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52500">
        <w:trPr>
          <w:trHeight w:hRule="exact" w:val="851"/>
        </w:trPr>
        <w:tc>
          <w:tcPr>
            <w:tcW w:w="1280" w:type="dxa"/>
            <w:tcBorders>
              <w:bottom w:val="single" w:sz="4" w:space="0" w:color="auto"/>
            </w:tcBorders>
          </w:tcPr>
          <w:p w:rsidR="00652500" w:rsidRDefault="00652500">
            <w:pPr>
              <w:rPr>
                <w:rFonts w:hint="eastAsia"/>
              </w:rPr>
            </w:pPr>
          </w:p>
        </w:tc>
        <w:tc>
          <w:tcPr>
            <w:tcW w:w="2273" w:type="dxa"/>
            <w:tcBorders>
              <w:bottom w:val="single" w:sz="4" w:space="0" w:color="auto"/>
            </w:tcBorders>
            <w:vAlign w:val="bottom"/>
          </w:tcPr>
          <w:p w:rsidR="00652500" w:rsidRDefault="00652500">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652500" w:rsidRDefault="00652500">
            <w:pPr>
              <w:spacing w:line="240" w:lineRule="atLeast"/>
              <w:jc w:val="right"/>
              <w:rPr>
                <w:rFonts w:hint="eastAsia"/>
                <w:szCs w:val="21"/>
              </w:rPr>
            </w:pPr>
            <w:r>
              <w:rPr>
                <w:sz w:val="40"/>
                <w:szCs w:val="40"/>
              </w:rPr>
              <w:t>HRI</w:t>
            </w:r>
            <w:r w:rsidRPr="00CD4228">
              <w:rPr>
                <w:sz w:val="20"/>
              </w:rPr>
              <w:t>/CORE/</w:t>
            </w:r>
            <w:r w:rsidR="00BD06A0">
              <w:rPr>
                <w:rFonts w:hint="eastAsia"/>
                <w:sz w:val="20"/>
              </w:rPr>
              <w:t>MUS/2008</w:t>
            </w:r>
          </w:p>
        </w:tc>
      </w:tr>
      <w:tr w:rsidR="00652500">
        <w:trPr>
          <w:trHeight w:hRule="exact" w:val="2835"/>
        </w:trPr>
        <w:tc>
          <w:tcPr>
            <w:tcW w:w="1280" w:type="dxa"/>
            <w:tcBorders>
              <w:top w:val="single" w:sz="4" w:space="0" w:color="auto"/>
              <w:bottom w:val="single" w:sz="12" w:space="0" w:color="auto"/>
            </w:tcBorders>
          </w:tcPr>
          <w:p w:rsidR="00652500" w:rsidRDefault="00652500">
            <w:pPr>
              <w:spacing w:line="120" w:lineRule="atLeast"/>
              <w:rPr>
                <w:sz w:val="10"/>
                <w:szCs w:val="10"/>
              </w:rPr>
            </w:pPr>
          </w:p>
          <w:p w:rsidR="00652500" w:rsidRDefault="00652500">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652500" w:rsidRDefault="00652500">
            <w:pPr>
              <w:spacing w:before="160" w:line="240" w:lineRule="auto"/>
              <w:rPr>
                <w:rFonts w:eastAsia="SimHei" w:hint="eastAsia"/>
                <w:spacing w:val="4"/>
                <w:sz w:val="36"/>
                <w:szCs w:val="36"/>
              </w:rPr>
            </w:pPr>
            <w:r>
              <w:rPr>
                <w:rFonts w:eastAsia="SimHei" w:hint="eastAsia"/>
                <w:spacing w:val="4"/>
                <w:sz w:val="36"/>
                <w:szCs w:val="36"/>
              </w:rPr>
              <w:t>国际人权文书</w:t>
            </w:r>
          </w:p>
        </w:tc>
        <w:tc>
          <w:tcPr>
            <w:tcW w:w="2819" w:type="dxa"/>
            <w:tcBorders>
              <w:top w:val="single" w:sz="4" w:space="0" w:color="auto"/>
              <w:bottom w:val="single" w:sz="12" w:space="0" w:color="auto"/>
            </w:tcBorders>
          </w:tcPr>
          <w:p w:rsidR="00652500" w:rsidRPr="00CD4228" w:rsidRDefault="00215753" w:rsidP="00CD4228">
            <w:pPr>
              <w:spacing w:before="240" w:line="240" w:lineRule="atLeast"/>
              <w:rPr>
                <w:sz w:val="20"/>
              </w:rPr>
            </w:pPr>
            <w:r>
              <w:rPr>
                <w:sz w:val="20"/>
              </w:rPr>
              <w:t xml:space="preserve">Distr.: </w:t>
            </w:r>
            <w:r w:rsidR="00652500" w:rsidRPr="00CD4228">
              <w:rPr>
                <w:sz w:val="20"/>
              </w:rPr>
              <w:t>General</w:t>
            </w:r>
          </w:p>
          <w:p w:rsidR="00652500" w:rsidRPr="00CD4228" w:rsidRDefault="00BD06A0">
            <w:pPr>
              <w:spacing w:line="240" w:lineRule="atLeast"/>
              <w:rPr>
                <w:sz w:val="20"/>
              </w:rPr>
            </w:pPr>
            <w:r>
              <w:rPr>
                <w:rFonts w:hint="eastAsia"/>
                <w:sz w:val="20"/>
              </w:rPr>
              <w:t xml:space="preserve">18 </w:t>
            </w:r>
            <w:r w:rsidRPr="00BD06A0">
              <w:rPr>
                <w:sz w:val="20"/>
              </w:rPr>
              <w:t>March</w:t>
            </w:r>
            <w:r w:rsidR="00B10D87">
              <w:rPr>
                <w:sz w:val="20"/>
              </w:rPr>
              <w:t xml:space="preserve"> 20</w:t>
            </w:r>
            <w:r w:rsidR="00B10D87">
              <w:rPr>
                <w:rFonts w:hint="eastAsia"/>
                <w:sz w:val="20"/>
              </w:rPr>
              <w:t>10</w:t>
            </w:r>
          </w:p>
          <w:p w:rsidR="00652500" w:rsidRPr="00CD4228" w:rsidRDefault="00652500">
            <w:pPr>
              <w:spacing w:line="240" w:lineRule="atLeast"/>
              <w:rPr>
                <w:sz w:val="20"/>
              </w:rPr>
            </w:pPr>
            <w:r w:rsidRPr="00CD4228">
              <w:rPr>
                <w:sz w:val="20"/>
              </w:rPr>
              <w:t xml:space="preserve">Chinese </w:t>
            </w:r>
          </w:p>
          <w:p w:rsidR="00652500" w:rsidRPr="00CD4228" w:rsidRDefault="00215753">
            <w:pPr>
              <w:spacing w:line="240" w:lineRule="atLeast"/>
              <w:rPr>
                <w:rFonts w:hint="eastAsia"/>
                <w:sz w:val="20"/>
              </w:rPr>
            </w:pPr>
            <w:r>
              <w:rPr>
                <w:sz w:val="20"/>
              </w:rPr>
              <w:t xml:space="preserve">Original: </w:t>
            </w:r>
            <w:r w:rsidR="00652500" w:rsidRPr="00CD4228">
              <w:rPr>
                <w:sz w:val="20"/>
              </w:rPr>
              <w:t>English</w:t>
            </w:r>
          </w:p>
        </w:tc>
      </w:tr>
    </w:tbl>
    <w:p w:rsidR="00BE2949" w:rsidRDefault="00652500" w:rsidP="003C00D0">
      <w:pPr>
        <w:pStyle w:val="HMGC"/>
        <w:rPr>
          <w:rFonts w:hint="eastAsia"/>
        </w:rPr>
      </w:pPr>
      <w:r>
        <w:tab/>
      </w:r>
      <w:r>
        <w:tab/>
      </w:r>
    </w:p>
    <w:p w:rsidR="00652500" w:rsidRDefault="00BE2949" w:rsidP="003C00D0">
      <w:pPr>
        <w:pStyle w:val="HMGC"/>
        <w:rPr>
          <w:rFonts w:hint="eastAsia"/>
        </w:rPr>
      </w:pPr>
      <w:r>
        <w:rPr>
          <w:rFonts w:hint="eastAsia"/>
        </w:rPr>
        <w:tab/>
      </w:r>
      <w:r>
        <w:rPr>
          <w:rFonts w:hint="eastAsia"/>
        </w:rPr>
        <w:tab/>
      </w:r>
      <w:r w:rsidR="00B967CA" w:rsidRPr="00B967CA">
        <w:rPr>
          <w:rFonts w:hint="eastAsia"/>
        </w:rPr>
        <w:t>作为缔约国报告组成部分的核心文件</w:t>
      </w:r>
    </w:p>
    <w:p w:rsidR="00652500" w:rsidRDefault="00652500" w:rsidP="003C00D0">
      <w:pPr>
        <w:pStyle w:val="HMGC"/>
        <w:rPr>
          <w:rFonts w:hint="eastAsia"/>
        </w:rPr>
      </w:pPr>
      <w:r>
        <w:tab/>
      </w:r>
      <w:r>
        <w:tab/>
      </w:r>
      <w:r w:rsidR="00B967CA" w:rsidRPr="00B967CA">
        <w:rPr>
          <w:rFonts w:hint="eastAsia"/>
        </w:rPr>
        <w:t>毛里求斯</w:t>
      </w:r>
      <w:r w:rsidR="00B723D0" w:rsidRPr="00312475">
        <w:rPr>
          <w:rStyle w:val="FootnoteReference"/>
          <w:sz w:val="34"/>
          <w:szCs w:val="28"/>
          <w:vertAlign w:val="baseline"/>
        </w:rPr>
        <w:footnoteReference w:customMarkFollows="1" w:id="1"/>
        <w:t>*</w:t>
      </w:r>
    </w:p>
    <w:p w:rsidR="00652500" w:rsidRDefault="00E66BD3">
      <w:pPr>
        <w:jc w:val="right"/>
        <w:rPr>
          <w:rFonts w:hint="eastAsia"/>
        </w:rPr>
      </w:pPr>
      <w:r>
        <w:rPr>
          <w:rFonts w:hint="eastAsia"/>
        </w:rPr>
        <w:t>[</w:t>
      </w:r>
      <w:r w:rsidR="00B967CA" w:rsidRPr="00B967CA">
        <w:rPr>
          <w:rFonts w:hint="eastAsia"/>
        </w:rPr>
        <w:t>2008</w:t>
      </w:r>
      <w:r w:rsidR="00B967CA" w:rsidRPr="00B967CA">
        <w:rPr>
          <w:rFonts w:hint="eastAsia"/>
        </w:rPr>
        <w:t>年</w:t>
      </w:r>
      <w:r w:rsidR="00B967CA" w:rsidRPr="00B967CA">
        <w:rPr>
          <w:rFonts w:hint="eastAsia"/>
        </w:rPr>
        <w:t>3</w:t>
      </w:r>
      <w:r w:rsidR="00B967CA" w:rsidRPr="00B967CA">
        <w:rPr>
          <w:rFonts w:hint="eastAsia"/>
        </w:rPr>
        <w:t>月</w:t>
      </w:r>
      <w:r w:rsidR="00B967CA" w:rsidRPr="00B967CA">
        <w:rPr>
          <w:rFonts w:hint="eastAsia"/>
        </w:rPr>
        <w:t>3</w:t>
      </w:r>
      <w:r w:rsidR="00B967CA" w:rsidRPr="00B967CA">
        <w:rPr>
          <w:rFonts w:hint="eastAsia"/>
        </w:rPr>
        <w:t>日</w:t>
      </w:r>
      <w:r>
        <w:rPr>
          <w:rFonts w:hint="eastAsia"/>
        </w:rPr>
        <w:t>]</w:t>
      </w:r>
    </w:p>
    <w:p w:rsidR="00652500" w:rsidRDefault="00652500">
      <w:pPr>
        <w:jc w:val="right"/>
        <w:rPr>
          <w:rFonts w:hint="eastAsia"/>
        </w:rPr>
      </w:pPr>
    </w:p>
    <w:p w:rsidR="00A03D9C" w:rsidRDefault="00BD06A0">
      <w:pPr>
        <w:spacing w:after="120"/>
        <w:rPr>
          <w:sz w:val="28"/>
          <w:szCs w:val="28"/>
        </w:rPr>
      </w:pPr>
      <w:r w:rsidRPr="00BD06A0">
        <w:br w:type="page"/>
      </w:r>
      <w:r w:rsidR="00A03D9C">
        <w:rPr>
          <w:rFonts w:hint="eastAsia"/>
          <w:sz w:val="28"/>
          <w:szCs w:val="28"/>
        </w:rPr>
        <w:t>目录</w:t>
      </w:r>
    </w:p>
    <w:p w:rsidR="00A03D9C" w:rsidRDefault="00A03D9C">
      <w:pPr>
        <w:tabs>
          <w:tab w:val="right" w:pos="8789"/>
          <w:tab w:val="right" w:pos="9639"/>
        </w:tabs>
        <w:spacing w:after="120"/>
        <w:ind w:left="488"/>
        <w:rPr>
          <w:rFonts w:eastAsia="KaiTi_GB2312"/>
          <w:sz w:val="23"/>
          <w:szCs w:val="23"/>
        </w:rPr>
      </w:pPr>
      <w:r w:rsidRPr="0047754B">
        <w:rPr>
          <w:rFonts w:eastAsia="KaiTi_GB2312" w:hint="eastAsia"/>
          <w:sz w:val="18"/>
          <w:szCs w:val="18"/>
        </w:rPr>
        <w:t>章次</w:t>
      </w:r>
      <w:r>
        <w:rPr>
          <w:rFonts w:eastAsia="KaiTi_GB2312"/>
          <w:sz w:val="18"/>
          <w:szCs w:val="18"/>
          <w:lang w:val="fr-CH"/>
        </w:rPr>
        <w:tab/>
      </w:r>
      <w:r w:rsidRPr="0027066F">
        <w:rPr>
          <w:rFonts w:eastAsia="KaiTi_GB2312" w:hint="eastAsia"/>
          <w:sz w:val="18"/>
          <w:szCs w:val="18"/>
        </w:rPr>
        <w:t>段次</w:t>
      </w:r>
      <w:r>
        <w:rPr>
          <w:rFonts w:eastAsia="KaiTi_GB2312"/>
          <w:sz w:val="23"/>
          <w:szCs w:val="23"/>
        </w:rPr>
        <w:tab/>
      </w:r>
      <w:r w:rsidRPr="0027066F">
        <w:rPr>
          <w:rFonts w:eastAsia="KaiTi_GB2312" w:hint="eastAsia"/>
          <w:sz w:val="18"/>
          <w:szCs w:val="18"/>
        </w:rPr>
        <w:t>页次</w:t>
      </w:r>
    </w:p>
    <w:p w:rsidR="00BD06A0" w:rsidRPr="00BD06A0" w:rsidRDefault="00A03D9C" w:rsidP="00A03D9C">
      <w:pPr>
        <w:pStyle w:val="a4"/>
        <w:rPr>
          <w:rFonts w:hint="eastAsia"/>
        </w:rPr>
      </w:pPr>
      <w:r>
        <w:rPr>
          <w:rFonts w:hint="eastAsia"/>
        </w:rPr>
        <w:tab/>
      </w:r>
      <w:r>
        <w:rPr>
          <w:rFonts w:hint="eastAsia"/>
        </w:rPr>
        <w:tab/>
      </w:r>
      <w:r w:rsidR="00BD06A0" w:rsidRPr="00BD06A0">
        <w:rPr>
          <w:rFonts w:hint="eastAsia"/>
        </w:rPr>
        <w:t>缩略语</w:t>
      </w:r>
      <w:r w:rsidR="00BD06A0" w:rsidRPr="00BD06A0">
        <w:t>……………</w:t>
      </w:r>
      <w:r w:rsidR="00EB590C">
        <w:rPr>
          <w:rFonts w:hint="eastAsia"/>
        </w:rPr>
        <w:t>.</w:t>
      </w:r>
      <w:r>
        <w:rPr>
          <w:rFonts w:hint="eastAsia"/>
        </w:rPr>
        <w:tab/>
      </w:r>
      <w:r>
        <w:rPr>
          <w:rFonts w:hint="eastAsia"/>
        </w:rPr>
        <w:tab/>
      </w:r>
      <w:r w:rsidR="004C040A">
        <w:rPr>
          <w:rFonts w:hint="eastAsia"/>
        </w:rPr>
        <w:t>3</w:t>
      </w:r>
    </w:p>
    <w:p w:rsidR="00BD06A0" w:rsidRPr="00BD06A0" w:rsidRDefault="00A03D9C" w:rsidP="00A03D9C">
      <w:pPr>
        <w:pStyle w:val="a3"/>
        <w:rPr>
          <w:rFonts w:hint="eastAsia"/>
        </w:rPr>
      </w:pPr>
      <w:r>
        <w:rPr>
          <w:rFonts w:hint="eastAsia"/>
        </w:rPr>
        <w:tab/>
      </w:r>
      <w:r>
        <w:rPr>
          <w:rFonts w:hint="eastAsia"/>
        </w:rPr>
        <w:tab/>
      </w:r>
      <w:r w:rsidR="00BD06A0" w:rsidRPr="00BD06A0">
        <w:rPr>
          <w:rFonts w:hint="eastAsia"/>
        </w:rPr>
        <w:t>导言</w:t>
      </w:r>
      <w:r w:rsidR="00BD06A0" w:rsidRPr="00BD06A0">
        <w:t>…………………</w:t>
      </w:r>
      <w:r>
        <w:rPr>
          <w:rFonts w:hint="eastAsia"/>
        </w:rPr>
        <w:t>.</w:t>
      </w:r>
      <w:r>
        <w:rPr>
          <w:rFonts w:hint="eastAsia"/>
        </w:rPr>
        <w:tab/>
      </w:r>
      <w:r>
        <w:rPr>
          <w:rFonts w:hint="eastAsia"/>
        </w:rPr>
        <w:tab/>
        <w:t>1</w:t>
      </w:r>
      <w:r>
        <w:rPr>
          <w:rFonts w:hint="eastAsia"/>
        </w:rPr>
        <w:tab/>
      </w:r>
      <w:r w:rsidR="004C040A">
        <w:rPr>
          <w:rFonts w:hint="eastAsia"/>
        </w:rPr>
        <w:t>4</w:t>
      </w:r>
    </w:p>
    <w:p w:rsidR="00BD06A0" w:rsidRPr="00BD06A0" w:rsidRDefault="00A03D9C" w:rsidP="00A03D9C">
      <w:pPr>
        <w:pStyle w:val="a3"/>
        <w:rPr>
          <w:rFonts w:hint="eastAsia"/>
        </w:rPr>
      </w:pPr>
      <w:r>
        <w:rPr>
          <w:rFonts w:hint="eastAsia"/>
        </w:rPr>
        <w:tab/>
      </w:r>
      <w:r w:rsidR="00BD06A0" w:rsidRPr="00BD06A0">
        <w:rPr>
          <w:rFonts w:hint="eastAsia"/>
        </w:rPr>
        <w:t>一</w:t>
      </w:r>
      <w:r>
        <w:rPr>
          <w:rFonts w:hint="eastAsia"/>
        </w:rPr>
        <w:t>.</w:t>
      </w:r>
      <w:r>
        <w:rPr>
          <w:rFonts w:hint="eastAsia"/>
        </w:rPr>
        <w:tab/>
      </w:r>
      <w:r w:rsidR="00BD06A0" w:rsidRPr="00BD06A0">
        <w:rPr>
          <w:rFonts w:hint="eastAsia"/>
        </w:rPr>
        <w:t>核心文件</w:t>
      </w:r>
      <w:r w:rsidR="00BD06A0" w:rsidRPr="00BD06A0">
        <w:t>…………</w:t>
      </w:r>
      <w:r w:rsidR="00296453">
        <w:rPr>
          <w:rFonts w:hint="eastAsia"/>
        </w:rPr>
        <w:t>.</w:t>
      </w:r>
      <w:r w:rsidR="00296453">
        <w:rPr>
          <w:rFonts w:hint="eastAsia"/>
        </w:rPr>
        <w:tab/>
      </w:r>
      <w:r w:rsidR="00296453">
        <w:rPr>
          <w:rFonts w:hint="eastAsia"/>
        </w:rPr>
        <w:tab/>
      </w:r>
      <w:r w:rsidR="00EB6E05">
        <w:rPr>
          <w:rFonts w:hint="eastAsia"/>
        </w:rPr>
        <w:t>2</w:t>
      </w:r>
      <w:r w:rsidR="00A725F5">
        <w:rPr>
          <w:rFonts w:hint="eastAsia"/>
        </w:rPr>
        <w:t>-140</w:t>
      </w:r>
      <w:r w:rsidR="00296453">
        <w:rPr>
          <w:rFonts w:hint="eastAsia"/>
        </w:rPr>
        <w:tab/>
      </w:r>
      <w:r w:rsidR="004C040A">
        <w:rPr>
          <w:rFonts w:hint="eastAsia"/>
        </w:rPr>
        <w:t>4</w:t>
      </w:r>
    </w:p>
    <w:p w:rsidR="00BD06A0" w:rsidRPr="00BD06A0" w:rsidRDefault="00296453" w:rsidP="00A03D9C">
      <w:pPr>
        <w:pStyle w:val="a3"/>
        <w:rPr>
          <w:rFonts w:hint="eastAsia"/>
        </w:rPr>
      </w:pPr>
      <w:r>
        <w:rPr>
          <w:rFonts w:hint="eastAsia"/>
        </w:rPr>
        <w:tab/>
      </w:r>
      <w:r>
        <w:rPr>
          <w:rFonts w:hint="eastAsia"/>
        </w:rPr>
        <w:tab/>
      </w:r>
      <w:r w:rsidR="00BD06A0" w:rsidRPr="00BD06A0">
        <w:rPr>
          <w:rFonts w:hint="eastAsia"/>
        </w:rPr>
        <w:t>A.</w:t>
      </w:r>
      <w:r>
        <w:rPr>
          <w:rFonts w:hint="eastAsia"/>
        </w:rPr>
        <w:tab/>
      </w:r>
      <w:r w:rsidR="00BD06A0" w:rsidRPr="00BD06A0">
        <w:rPr>
          <w:rFonts w:hint="eastAsia"/>
        </w:rPr>
        <w:t>一般资料</w:t>
      </w:r>
      <w:r w:rsidR="00BD06A0" w:rsidRPr="00BD06A0">
        <w:t>………</w:t>
      </w:r>
      <w:r w:rsidR="00E13646">
        <w:rPr>
          <w:rFonts w:hint="eastAsia"/>
        </w:rPr>
        <w:t>..</w:t>
      </w:r>
      <w:r w:rsidR="00E13646">
        <w:rPr>
          <w:rFonts w:hint="eastAsia"/>
        </w:rPr>
        <w:tab/>
      </w:r>
      <w:r w:rsidR="00E13646">
        <w:rPr>
          <w:rFonts w:hint="eastAsia"/>
        </w:rPr>
        <w:tab/>
      </w:r>
      <w:r w:rsidR="00EB6E05">
        <w:rPr>
          <w:rFonts w:hint="eastAsia"/>
        </w:rPr>
        <w:t>2-23</w:t>
      </w:r>
      <w:r w:rsidR="00E13646">
        <w:rPr>
          <w:rFonts w:hint="eastAsia"/>
        </w:rPr>
        <w:tab/>
      </w:r>
      <w:r w:rsidR="004C040A">
        <w:rPr>
          <w:rFonts w:hint="eastAsia"/>
        </w:rPr>
        <w:t>4</w:t>
      </w:r>
    </w:p>
    <w:p w:rsidR="00BD06A0" w:rsidRPr="00BD06A0" w:rsidRDefault="00E13646" w:rsidP="00A03D9C">
      <w:pPr>
        <w:pStyle w:val="a3"/>
        <w:rPr>
          <w:rFonts w:hint="eastAsia"/>
        </w:rPr>
      </w:pPr>
      <w:r>
        <w:rPr>
          <w:rFonts w:hint="eastAsia"/>
        </w:rPr>
        <w:tab/>
      </w:r>
      <w:r>
        <w:rPr>
          <w:rFonts w:hint="eastAsia"/>
        </w:rPr>
        <w:tab/>
      </w:r>
      <w:r>
        <w:rPr>
          <w:rFonts w:hint="eastAsia"/>
        </w:rPr>
        <w:tab/>
      </w:r>
      <w:r w:rsidR="00BD06A0" w:rsidRPr="00BD06A0">
        <w:rPr>
          <w:rFonts w:hint="eastAsia"/>
        </w:rPr>
        <w:t>1.</w:t>
      </w:r>
      <w:r>
        <w:rPr>
          <w:rFonts w:hint="eastAsia"/>
        </w:rPr>
        <w:tab/>
      </w:r>
      <w:r w:rsidR="00BD06A0" w:rsidRPr="00BD06A0">
        <w:rPr>
          <w:rFonts w:hint="eastAsia"/>
        </w:rPr>
        <w:t>人口、经济、社会和文化特点</w:t>
      </w:r>
      <w:r w:rsidR="00EB6E05">
        <w:rPr>
          <w:rFonts w:hint="eastAsia"/>
        </w:rPr>
        <w:tab/>
      </w:r>
      <w:r w:rsidR="00EB6E05">
        <w:rPr>
          <w:rFonts w:hint="eastAsia"/>
        </w:rPr>
        <w:tab/>
        <w:t>2-5</w:t>
      </w:r>
      <w:r>
        <w:rPr>
          <w:rFonts w:hint="eastAsia"/>
        </w:rPr>
        <w:tab/>
      </w:r>
      <w:r w:rsidR="004C040A">
        <w:rPr>
          <w:rFonts w:hint="eastAsia"/>
        </w:rPr>
        <w:t>4</w:t>
      </w:r>
    </w:p>
    <w:p w:rsidR="00BD06A0" w:rsidRPr="00BD06A0" w:rsidRDefault="00C968CB" w:rsidP="00A03D9C">
      <w:pPr>
        <w:pStyle w:val="a3"/>
        <w:rPr>
          <w:rFonts w:hint="eastAsia"/>
        </w:rPr>
      </w:pPr>
      <w:r>
        <w:rPr>
          <w:rFonts w:hint="eastAsia"/>
        </w:rPr>
        <w:tab/>
      </w:r>
      <w:r>
        <w:rPr>
          <w:rFonts w:hint="eastAsia"/>
        </w:rPr>
        <w:tab/>
      </w:r>
      <w:r>
        <w:rPr>
          <w:rFonts w:hint="eastAsia"/>
        </w:rPr>
        <w:tab/>
      </w:r>
      <w:r w:rsidR="00BD06A0" w:rsidRPr="00BD06A0">
        <w:rPr>
          <w:rFonts w:hint="eastAsia"/>
        </w:rPr>
        <w:t>2.</w:t>
      </w:r>
      <w:r>
        <w:rPr>
          <w:rFonts w:hint="eastAsia"/>
        </w:rPr>
        <w:tab/>
      </w:r>
      <w:r w:rsidR="00BD06A0" w:rsidRPr="00BD06A0">
        <w:rPr>
          <w:rFonts w:hint="eastAsia"/>
        </w:rPr>
        <w:t>宪法、政治和法律结构</w:t>
      </w:r>
      <w:r w:rsidR="00EB6E05">
        <w:rPr>
          <w:rFonts w:hint="eastAsia"/>
        </w:rPr>
        <w:tab/>
      </w:r>
      <w:r w:rsidR="00EB6E05">
        <w:rPr>
          <w:rFonts w:hint="eastAsia"/>
        </w:rPr>
        <w:tab/>
        <w:t>6-23</w:t>
      </w:r>
      <w:r>
        <w:rPr>
          <w:rFonts w:hint="eastAsia"/>
        </w:rPr>
        <w:tab/>
      </w:r>
      <w:r w:rsidR="004C040A">
        <w:rPr>
          <w:rFonts w:hint="eastAsia"/>
        </w:rPr>
        <w:t>4</w:t>
      </w:r>
    </w:p>
    <w:p w:rsidR="00BD06A0" w:rsidRPr="00BD06A0" w:rsidRDefault="00A611EC" w:rsidP="00A03D9C">
      <w:pPr>
        <w:pStyle w:val="a3"/>
        <w:rPr>
          <w:rFonts w:hint="eastAsia"/>
        </w:rPr>
      </w:pPr>
      <w:r>
        <w:rPr>
          <w:rFonts w:hint="eastAsia"/>
        </w:rPr>
        <w:tab/>
      </w:r>
      <w:r>
        <w:rPr>
          <w:rFonts w:hint="eastAsia"/>
        </w:rPr>
        <w:tab/>
      </w:r>
      <w:r w:rsidR="00BD06A0" w:rsidRPr="00BD06A0">
        <w:rPr>
          <w:rFonts w:hint="eastAsia"/>
        </w:rPr>
        <w:t>B.</w:t>
      </w:r>
      <w:r>
        <w:rPr>
          <w:rFonts w:hint="eastAsia"/>
        </w:rPr>
        <w:tab/>
      </w:r>
      <w:r w:rsidR="00BD06A0" w:rsidRPr="00BD06A0">
        <w:rPr>
          <w:rFonts w:hint="eastAsia"/>
        </w:rPr>
        <w:t>保护人权准则的一般框架</w:t>
      </w:r>
      <w:r w:rsidR="00EB6E05">
        <w:rPr>
          <w:rFonts w:hint="eastAsia"/>
        </w:rPr>
        <w:tab/>
      </w:r>
      <w:r w:rsidR="00EB6E05">
        <w:rPr>
          <w:rFonts w:hint="eastAsia"/>
        </w:rPr>
        <w:tab/>
        <w:t>24-104</w:t>
      </w:r>
      <w:r w:rsidR="00753570">
        <w:rPr>
          <w:rFonts w:hint="eastAsia"/>
        </w:rPr>
        <w:tab/>
      </w:r>
      <w:r w:rsidR="004C040A">
        <w:rPr>
          <w:rFonts w:hint="eastAsia"/>
        </w:rPr>
        <w:t>6</w:t>
      </w:r>
    </w:p>
    <w:p w:rsidR="00BD06A0" w:rsidRPr="00BD06A0" w:rsidRDefault="00E56418" w:rsidP="00A03D9C">
      <w:pPr>
        <w:pStyle w:val="a3"/>
        <w:rPr>
          <w:rFonts w:hint="eastAsia"/>
        </w:rPr>
      </w:pPr>
      <w:r>
        <w:rPr>
          <w:rFonts w:hint="eastAsia"/>
        </w:rPr>
        <w:tab/>
      </w:r>
      <w:r>
        <w:rPr>
          <w:rFonts w:hint="eastAsia"/>
        </w:rPr>
        <w:tab/>
      </w:r>
      <w:r>
        <w:rPr>
          <w:rFonts w:hint="eastAsia"/>
        </w:rPr>
        <w:tab/>
      </w:r>
      <w:r w:rsidR="00BD06A0" w:rsidRPr="00BD06A0">
        <w:rPr>
          <w:rFonts w:hint="eastAsia"/>
        </w:rPr>
        <w:t>1.</w:t>
      </w:r>
      <w:r>
        <w:rPr>
          <w:rFonts w:hint="eastAsia"/>
        </w:rPr>
        <w:tab/>
      </w:r>
      <w:r w:rsidR="00BD06A0" w:rsidRPr="00BD06A0">
        <w:rPr>
          <w:rFonts w:hint="eastAsia"/>
        </w:rPr>
        <w:t>接受国际人权标准的情况</w:t>
      </w:r>
      <w:r w:rsidR="00EB6E05">
        <w:rPr>
          <w:rFonts w:hint="eastAsia"/>
        </w:rPr>
        <w:tab/>
      </w:r>
      <w:r w:rsidR="00EB6E05">
        <w:rPr>
          <w:rFonts w:hint="eastAsia"/>
        </w:rPr>
        <w:tab/>
        <w:t>24-36</w:t>
      </w:r>
      <w:r w:rsidR="00C741EF">
        <w:rPr>
          <w:rFonts w:hint="eastAsia"/>
        </w:rPr>
        <w:tab/>
      </w:r>
      <w:r w:rsidR="004C040A">
        <w:rPr>
          <w:rFonts w:hint="eastAsia"/>
        </w:rPr>
        <w:t>6</w:t>
      </w:r>
    </w:p>
    <w:p w:rsidR="00BD06A0" w:rsidRPr="00BD06A0" w:rsidRDefault="00B0090E" w:rsidP="00A03D9C">
      <w:pPr>
        <w:pStyle w:val="a3"/>
        <w:rPr>
          <w:rFonts w:hint="eastAsia"/>
        </w:rPr>
      </w:pPr>
      <w:r>
        <w:rPr>
          <w:rFonts w:hint="eastAsia"/>
        </w:rPr>
        <w:tab/>
      </w:r>
      <w:r>
        <w:rPr>
          <w:rFonts w:hint="eastAsia"/>
        </w:rPr>
        <w:tab/>
      </w:r>
      <w:r>
        <w:rPr>
          <w:rFonts w:hint="eastAsia"/>
        </w:rPr>
        <w:tab/>
      </w:r>
      <w:r w:rsidR="00BD06A0" w:rsidRPr="00BD06A0">
        <w:rPr>
          <w:rFonts w:hint="eastAsia"/>
        </w:rPr>
        <w:t>2.</w:t>
      </w:r>
      <w:r>
        <w:rPr>
          <w:rFonts w:hint="eastAsia"/>
        </w:rPr>
        <w:tab/>
      </w:r>
      <w:r w:rsidR="00BD06A0" w:rsidRPr="00BD06A0">
        <w:rPr>
          <w:rFonts w:hint="eastAsia"/>
        </w:rPr>
        <w:t>在国家一级保护人权的法律框架</w:t>
      </w:r>
      <w:r w:rsidR="00EB6E05">
        <w:rPr>
          <w:rFonts w:hint="eastAsia"/>
        </w:rPr>
        <w:tab/>
      </w:r>
      <w:r w:rsidR="00EB6E05">
        <w:rPr>
          <w:rFonts w:hint="eastAsia"/>
        </w:rPr>
        <w:tab/>
        <w:t>37-55</w:t>
      </w:r>
      <w:r w:rsidR="00823D76">
        <w:rPr>
          <w:rFonts w:hint="eastAsia"/>
        </w:rPr>
        <w:tab/>
      </w:r>
      <w:r w:rsidR="004C040A">
        <w:rPr>
          <w:rFonts w:hint="eastAsia"/>
        </w:rPr>
        <w:t>7</w:t>
      </w:r>
    </w:p>
    <w:p w:rsidR="00BD06A0" w:rsidRPr="00BD06A0" w:rsidRDefault="0010076F" w:rsidP="00A03D9C">
      <w:pPr>
        <w:pStyle w:val="a3"/>
        <w:rPr>
          <w:rFonts w:hint="eastAsia"/>
        </w:rPr>
      </w:pPr>
      <w:r>
        <w:rPr>
          <w:rFonts w:hint="eastAsia"/>
          <w:bCs/>
        </w:rPr>
        <w:tab/>
      </w:r>
      <w:r>
        <w:rPr>
          <w:rFonts w:hint="eastAsia"/>
          <w:bCs/>
        </w:rPr>
        <w:tab/>
      </w:r>
      <w:r>
        <w:rPr>
          <w:rFonts w:hint="eastAsia"/>
          <w:bCs/>
        </w:rPr>
        <w:tab/>
      </w:r>
      <w:r w:rsidR="00BD06A0" w:rsidRPr="00BD06A0">
        <w:rPr>
          <w:rFonts w:hint="eastAsia"/>
          <w:bCs/>
        </w:rPr>
        <w:t>3.</w:t>
      </w:r>
      <w:r>
        <w:rPr>
          <w:rFonts w:hint="eastAsia"/>
          <w:bCs/>
        </w:rPr>
        <w:tab/>
      </w:r>
      <w:r w:rsidR="00BD06A0" w:rsidRPr="00BD06A0">
        <w:rPr>
          <w:rFonts w:hint="eastAsia"/>
          <w:bCs/>
        </w:rPr>
        <w:t>在</w:t>
      </w:r>
      <w:r w:rsidR="00BD06A0" w:rsidRPr="00BD06A0">
        <w:rPr>
          <w:rFonts w:hint="eastAsia"/>
        </w:rPr>
        <w:t>国家</w:t>
      </w:r>
      <w:r w:rsidR="00BD06A0" w:rsidRPr="00BD06A0">
        <w:rPr>
          <w:rFonts w:hint="eastAsia"/>
          <w:bCs/>
        </w:rPr>
        <w:t>一级增进人权的法律框架</w:t>
      </w:r>
      <w:r w:rsidR="00EB6E05">
        <w:rPr>
          <w:rFonts w:hint="eastAsia"/>
          <w:bCs/>
        </w:rPr>
        <w:tab/>
      </w:r>
      <w:r w:rsidR="00EB6E05">
        <w:rPr>
          <w:rFonts w:hint="eastAsia"/>
          <w:bCs/>
        </w:rPr>
        <w:tab/>
        <w:t>56-63</w:t>
      </w:r>
      <w:r w:rsidR="00975AB9">
        <w:rPr>
          <w:rFonts w:hint="eastAsia"/>
        </w:rPr>
        <w:tab/>
      </w:r>
      <w:r w:rsidR="004C040A">
        <w:rPr>
          <w:rFonts w:hint="eastAsia"/>
        </w:rPr>
        <w:t>10</w:t>
      </w:r>
    </w:p>
    <w:p w:rsidR="00BD06A0" w:rsidRPr="00BD06A0" w:rsidRDefault="00173775" w:rsidP="00A03D9C">
      <w:pPr>
        <w:pStyle w:val="a3"/>
        <w:rPr>
          <w:rFonts w:hint="eastAsia"/>
        </w:rPr>
      </w:pPr>
      <w:r>
        <w:rPr>
          <w:rFonts w:hint="eastAsia"/>
        </w:rPr>
        <w:tab/>
      </w:r>
      <w:r>
        <w:rPr>
          <w:rFonts w:hint="eastAsia"/>
        </w:rPr>
        <w:tab/>
      </w:r>
      <w:r>
        <w:rPr>
          <w:rFonts w:hint="eastAsia"/>
        </w:rPr>
        <w:tab/>
      </w:r>
      <w:r w:rsidR="00BD06A0" w:rsidRPr="00BD06A0">
        <w:rPr>
          <w:rFonts w:hint="eastAsia"/>
        </w:rPr>
        <w:t>4.</w:t>
      </w:r>
      <w:r>
        <w:rPr>
          <w:rFonts w:hint="eastAsia"/>
        </w:rPr>
        <w:tab/>
      </w:r>
      <w:r w:rsidR="00BD06A0" w:rsidRPr="00BD06A0">
        <w:rPr>
          <w:rFonts w:hint="eastAsia"/>
        </w:rPr>
        <w:t>其他有关的人权资料</w:t>
      </w:r>
      <w:r w:rsidR="00EB6E05">
        <w:rPr>
          <w:rFonts w:hint="eastAsia"/>
        </w:rPr>
        <w:tab/>
      </w:r>
      <w:r w:rsidR="00EB6E05">
        <w:rPr>
          <w:rFonts w:hint="eastAsia"/>
        </w:rPr>
        <w:tab/>
        <w:t>64-104</w:t>
      </w:r>
      <w:r w:rsidR="00780CC0">
        <w:rPr>
          <w:rFonts w:hint="eastAsia"/>
        </w:rPr>
        <w:tab/>
      </w:r>
      <w:r w:rsidR="004C040A">
        <w:rPr>
          <w:rFonts w:hint="eastAsia"/>
        </w:rPr>
        <w:t>11</w:t>
      </w:r>
    </w:p>
    <w:p w:rsidR="00BD06A0" w:rsidRPr="00BD06A0" w:rsidRDefault="00222A1E" w:rsidP="00A725F5">
      <w:pPr>
        <w:pStyle w:val="a3"/>
        <w:ind w:right="3658"/>
        <w:rPr>
          <w:rFonts w:hint="eastAsia"/>
        </w:rPr>
      </w:pPr>
      <w:r>
        <w:rPr>
          <w:rFonts w:hint="eastAsia"/>
        </w:rPr>
        <w:tab/>
      </w:r>
      <w:r>
        <w:rPr>
          <w:rFonts w:hint="eastAsia"/>
        </w:rPr>
        <w:tab/>
      </w:r>
      <w:r w:rsidR="00BD06A0" w:rsidRPr="00BD06A0">
        <w:rPr>
          <w:rFonts w:hint="eastAsia"/>
        </w:rPr>
        <w:t>C.</w:t>
      </w:r>
      <w:r>
        <w:rPr>
          <w:rFonts w:hint="eastAsia"/>
        </w:rPr>
        <w:tab/>
      </w:r>
      <w:r w:rsidR="00BD06A0" w:rsidRPr="00BD06A0">
        <w:rPr>
          <w:rFonts w:hint="eastAsia"/>
        </w:rPr>
        <w:t>在非歧视、平等和有效的补救措施方面的</w:t>
      </w:r>
      <w:r w:rsidR="00A725F5" w:rsidRPr="00BD06A0">
        <w:rPr>
          <w:rFonts w:hint="eastAsia"/>
        </w:rPr>
        <w:t>资料</w:t>
      </w:r>
      <w:r w:rsidR="005C586B">
        <w:rPr>
          <w:rFonts w:hint="eastAsia"/>
        </w:rPr>
        <w:tab/>
      </w:r>
      <w:r w:rsidR="005C586B">
        <w:rPr>
          <w:rFonts w:hint="eastAsia"/>
        </w:rPr>
        <w:tab/>
      </w:r>
      <w:r w:rsidR="00EB6E05">
        <w:rPr>
          <w:rFonts w:hint="eastAsia"/>
        </w:rPr>
        <w:t>105-140</w:t>
      </w:r>
      <w:r w:rsidR="00613B4A">
        <w:rPr>
          <w:rFonts w:hint="eastAsia"/>
        </w:rPr>
        <w:tab/>
      </w:r>
      <w:r w:rsidR="004C040A">
        <w:rPr>
          <w:rFonts w:hint="eastAsia"/>
        </w:rPr>
        <w:t>15</w:t>
      </w:r>
    </w:p>
    <w:p w:rsidR="00BD06A0" w:rsidRPr="00BD06A0" w:rsidRDefault="00BD06A0" w:rsidP="000233D2">
      <w:pPr>
        <w:pStyle w:val="HChGC"/>
        <w:rPr>
          <w:rFonts w:hint="eastAsia"/>
        </w:rPr>
      </w:pPr>
      <w:r w:rsidRPr="00BD06A0">
        <w:rPr>
          <w:rFonts w:hint="eastAsia"/>
        </w:rPr>
        <w:br w:type="page"/>
      </w:r>
      <w:r w:rsidR="000233D2">
        <w:rPr>
          <w:rFonts w:hint="eastAsia"/>
        </w:rPr>
        <w:tab/>
      </w:r>
      <w:r w:rsidR="000233D2">
        <w:rPr>
          <w:rFonts w:hint="eastAsia"/>
        </w:rPr>
        <w:tab/>
      </w:r>
      <w:r w:rsidRPr="00BD06A0">
        <w:rPr>
          <w:rFonts w:hint="eastAsia"/>
        </w:rPr>
        <w:t>缩略语</w:t>
      </w:r>
    </w:p>
    <w:p w:rsidR="00BD06A0" w:rsidRDefault="002F6A7A" w:rsidP="001930C5">
      <w:pPr>
        <w:pStyle w:val="SingleTxtGC"/>
        <w:tabs>
          <w:tab w:val="clear" w:pos="1134"/>
          <w:tab w:val="clear" w:pos="1565"/>
          <w:tab w:val="clear" w:pos="1996"/>
          <w:tab w:val="clear" w:pos="2427"/>
        </w:tabs>
        <w:ind w:left="2860" w:hanging="1726"/>
        <w:rPr>
          <w:rFonts w:hint="eastAsia"/>
          <w:bCs/>
        </w:rPr>
      </w:pPr>
      <w:r>
        <w:rPr>
          <w:bCs/>
        </w:rPr>
        <w:t>CAT</w:t>
      </w:r>
      <w:r>
        <w:rPr>
          <w:rFonts w:hint="eastAsia"/>
          <w:bCs/>
        </w:rPr>
        <w:tab/>
      </w:r>
      <w:r w:rsidR="00BD06A0" w:rsidRPr="00BD06A0">
        <w:rPr>
          <w:rFonts w:hint="eastAsia"/>
          <w:bCs/>
        </w:rPr>
        <w:t>《禁止酷刑公约》</w:t>
      </w:r>
    </w:p>
    <w:p w:rsidR="00BD06A0" w:rsidRPr="00BD06A0" w:rsidRDefault="00BD06A0" w:rsidP="001930C5">
      <w:pPr>
        <w:pStyle w:val="SingleTxtGC"/>
        <w:tabs>
          <w:tab w:val="clear" w:pos="1134"/>
          <w:tab w:val="clear" w:pos="1565"/>
          <w:tab w:val="clear" w:pos="1996"/>
          <w:tab w:val="clear" w:pos="2427"/>
        </w:tabs>
        <w:ind w:left="2860" w:hanging="1726"/>
        <w:rPr>
          <w:rFonts w:hint="eastAsia"/>
          <w:bCs/>
        </w:rPr>
      </w:pPr>
      <w:r w:rsidRPr="00BD06A0">
        <w:rPr>
          <w:bCs/>
        </w:rPr>
        <w:t>CEDAW</w:t>
      </w:r>
      <w:r w:rsidR="002F6A7A">
        <w:rPr>
          <w:rFonts w:hint="eastAsia"/>
          <w:bCs/>
        </w:rPr>
        <w:tab/>
      </w:r>
      <w:r w:rsidRPr="00BD06A0">
        <w:rPr>
          <w:rFonts w:hint="eastAsia"/>
          <w:bCs/>
        </w:rPr>
        <w:t>《消除对妇女一切形式歧视公约》</w:t>
      </w:r>
    </w:p>
    <w:p w:rsidR="00BD06A0" w:rsidRPr="00BD06A0" w:rsidRDefault="00BD06A0" w:rsidP="001930C5">
      <w:pPr>
        <w:pStyle w:val="SingleTxtGC"/>
        <w:tabs>
          <w:tab w:val="clear" w:pos="1134"/>
          <w:tab w:val="clear" w:pos="1565"/>
          <w:tab w:val="clear" w:pos="1996"/>
          <w:tab w:val="clear" w:pos="2427"/>
        </w:tabs>
        <w:ind w:left="2860" w:hanging="1726"/>
        <w:rPr>
          <w:bCs/>
        </w:rPr>
      </w:pPr>
      <w:r w:rsidRPr="00BD06A0">
        <w:rPr>
          <w:bCs/>
        </w:rPr>
        <w:t>CERD</w:t>
      </w:r>
      <w:r w:rsidRPr="00BD06A0">
        <w:rPr>
          <w:bCs/>
        </w:rPr>
        <w:tab/>
      </w:r>
      <w:r w:rsidRPr="00BD06A0">
        <w:rPr>
          <w:rFonts w:hint="eastAsia"/>
          <w:bCs/>
        </w:rPr>
        <w:t>《消除一切形式种族歧视国际公约》</w:t>
      </w:r>
    </w:p>
    <w:p w:rsidR="00BD06A0" w:rsidRPr="00BD06A0" w:rsidRDefault="002F6A7A" w:rsidP="001930C5">
      <w:pPr>
        <w:pStyle w:val="SingleTxtGC"/>
        <w:tabs>
          <w:tab w:val="clear" w:pos="1134"/>
          <w:tab w:val="clear" w:pos="1565"/>
          <w:tab w:val="clear" w:pos="1996"/>
          <w:tab w:val="clear" w:pos="2427"/>
        </w:tabs>
        <w:ind w:left="2860" w:hanging="1726"/>
        <w:rPr>
          <w:rFonts w:hint="eastAsia"/>
          <w:bCs/>
        </w:rPr>
      </w:pPr>
      <w:r>
        <w:rPr>
          <w:bCs/>
        </w:rPr>
        <w:t>CIB</w:t>
      </w:r>
      <w:r>
        <w:rPr>
          <w:bCs/>
        </w:rPr>
        <w:tab/>
      </w:r>
      <w:r w:rsidR="00BD06A0" w:rsidRPr="00BD06A0">
        <w:rPr>
          <w:rFonts w:hint="eastAsia"/>
          <w:bCs/>
        </w:rPr>
        <w:t>投诉调查局</w:t>
      </w:r>
    </w:p>
    <w:p w:rsidR="00BD06A0" w:rsidRPr="00BD06A0" w:rsidRDefault="00C94DB1" w:rsidP="001930C5">
      <w:pPr>
        <w:pStyle w:val="SingleTxtGC"/>
        <w:tabs>
          <w:tab w:val="clear" w:pos="1134"/>
          <w:tab w:val="clear" w:pos="1565"/>
          <w:tab w:val="clear" w:pos="1996"/>
          <w:tab w:val="clear" w:pos="2427"/>
        </w:tabs>
        <w:ind w:left="2860" w:hanging="1726"/>
        <w:rPr>
          <w:bCs/>
        </w:rPr>
      </w:pPr>
      <w:r>
        <w:rPr>
          <w:bCs/>
        </w:rPr>
        <w:t>CRC</w:t>
      </w:r>
      <w:r>
        <w:rPr>
          <w:rFonts w:hint="eastAsia"/>
          <w:bCs/>
        </w:rPr>
        <w:tab/>
      </w:r>
      <w:r w:rsidR="00BD06A0" w:rsidRPr="00BD06A0">
        <w:rPr>
          <w:rFonts w:hint="eastAsia"/>
          <w:bCs/>
        </w:rPr>
        <w:t>《儿童权利公约》</w:t>
      </w:r>
    </w:p>
    <w:p w:rsidR="00BD06A0" w:rsidRPr="00BD06A0" w:rsidRDefault="006C2801" w:rsidP="001930C5">
      <w:pPr>
        <w:pStyle w:val="SingleTxtGC"/>
        <w:tabs>
          <w:tab w:val="clear" w:pos="1134"/>
          <w:tab w:val="clear" w:pos="1565"/>
          <w:tab w:val="clear" w:pos="1996"/>
          <w:tab w:val="clear" w:pos="2427"/>
        </w:tabs>
        <w:ind w:left="2860" w:hanging="1726"/>
        <w:rPr>
          <w:rFonts w:hint="eastAsia"/>
          <w:bCs/>
        </w:rPr>
      </w:pPr>
      <w:r>
        <w:rPr>
          <w:bCs/>
        </w:rPr>
        <w:t>CRPD</w:t>
      </w:r>
      <w:r>
        <w:rPr>
          <w:rFonts w:hint="eastAsia"/>
          <w:bCs/>
        </w:rPr>
        <w:tab/>
      </w:r>
      <w:r w:rsidR="00BD06A0" w:rsidRPr="00BD06A0">
        <w:rPr>
          <w:rFonts w:hint="eastAsia"/>
          <w:bCs/>
        </w:rPr>
        <w:t>《残疾人权利公约》</w:t>
      </w:r>
    </w:p>
    <w:p w:rsidR="00BD06A0" w:rsidRPr="00BD06A0" w:rsidRDefault="00BD06A0" w:rsidP="001930C5">
      <w:pPr>
        <w:pStyle w:val="SingleTxtGC"/>
        <w:tabs>
          <w:tab w:val="clear" w:pos="1134"/>
          <w:tab w:val="clear" w:pos="1565"/>
          <w:tab w:val="clear" w:pos="1996"/>
          <w:tab w:val="clear" w:pos="2427"/>
        </w:tabs>
        <w:ind w:left="2860" w:hanging="1726"/>
        <w:rPr>
          <w:rFonts w:hint="eastAsia"/>
          <w:bCs/>
        </w:rPr>
      </w:pPr>
      <w:r w:rsidRPr="00BD06A0">
        <w:rPr>
          <w:bCs/>
        </w:rPr>
        <w:t>HR</w:t>
      </w:r>
      <w:r w:rsidR="006C2801">
        <w:rPr>
          <w:rFonts w:hint="eastAsia"/>
          <w:bCs/>
        </w:rPr>
        <w:tab/>
      </w:r>
      <w:r w:rsidRPr="00BD06A0">
        <w:rPr>
          <w:rFonts w:hint="eastAsia"/>
          <w:bCs/>
        </w:rPr>
        <w:t>人权</w:t>
      </w:r>
    </w:p>
    <w:p w:rsidR="00BD06A0" w:rsidRPr="00BD06A0" w:rsidRDefault="00BD06A0" w:rsidP="001930C5">
      <w:pPr>
        <w:pStyle w:val="SingleTxtGC"/>
        <w:tabs>
          <w:tab w:val="clear" w:pos="1134"/>
          <w:tab w:val="clear" w:pos="1565"/>
          <w:tab w:val="clear" w:pos="1996"/>
          <w:tab w:val="clear" w:pos="2427"/>
        </w:tabs>
        <w:ind w:left="2860" w:hanging="1726"/>
        <w:rPr>
          <w:rFonts w:hint="eastAsia"/>
          <w:bCs/>
        </w:rPr>
      </w:pPr>
      <w:r w:rsidRPr="00BD06A0">
        <w:rPr>
          <w:bCs/>
        </w:rPr>
        <w:t>ICC</w:t>
      </w:r>
      <w:r w:rsidR="007E264D">
        <w:rPr>
          <w:rFonts w:hint="eastAsia"/>
          <w:bCs/>
        </w:rPr>
        <w:tab/>
      </w:r>
      <w:r w:rsidRPr="00BD06A0">
        <w:rPr>
          <w:rFonts w:hint="eastAsia"/>
          <w:bCs/>
        </w:rPr>
        <w:t>国际刑事法院</w:t>
      </w:r>
    </w:p>
    <w:p w:rsidR="00BD06A0" w:rsidRPr="00BD06A0" w:rsidRDefault="00BD06A0" w:rsidP="001930C5">
      <w:pPr>
        <w:pStyle w:val="SingleTxtGC"/>
        <w:tabs>
          <w:tab w:val="clear" w:pos="1134"/>
          <w:tab w:val="clear" w:pos="1565"/>
          <w:tab w:val="clear" w:pos="1996"/>
          <w:tab w:val="clear" w:pos="2427"/>
        </w:tabs>
        <w:ind w:left="2860" w:hanging="1726"/>
        <w:rPr>
          <w:bCs/>
        </w:rPr>
      </w:pPr>
      <w:r w:rsidRPr="00BD06A0">
        <w:rPr>
          <w:bCs/>
        </w:rPr>
        <w:t>ICESCR</w:t>
      </w:r>
      <w:r w:rsidR="007731B7">
        <w:rPr>
          <w:rFonts w:hint="eastAsia"/>
          <w:bCs/>
        </w:rPr>
        <w:tab/>
      </w:r>
      <w:r w:rsidRPr="00BD06A0">
        <w:rPr>
          <w:rFonts w:hint="eastAsia"/>
          <w:bCs/>
        </w:rPr>
        <w:t>《经济、社会、文化权利国际公约》</w:t>
      </w:r>
    </w:p>
    <w:p w:rsidR="00BD06A0" w:rsidRPr="00BD06A0" w:rsidRDefault="00BD06A0" w:rsidP="001930C5">
      <w:pPr>
        <w:pStyle w:val="SingleTxtGC"/>
        <w:tabs>
          <w:tab w:val="clear" w:pos="1134"/>
          <w:tab w:val="clear" w:pos="1565"/>
          <w:tab w:val="clear" w:pos="1996"/>
          <w:tab w:val="clear" w:pos="2427"/>
        </w:tabs>
        <w:ind w:left="2860" w:hanging="1726"/>
        <w:rPr>
          <w:bCs/>
        </w:rPr>
      </w:pPr>
      <w:r w:rsidRPr="00BD06A0">
        <w:rPr>
          <w:bCs/>
        </w:rPr>
        <w:t>ICCPR</w:t>
      </w:r>
      <w:r w:rsidR="00DD31FE">
        <w:rPr>
          <w:rFonts w:hint="eastAsia"/>
          <w:bCs/>
        </w:rPr>
        <w:tab/>
      </w:r>
      <w:r w:rsidRPr="00BD06A0">
        <w:rPr>
          <w:rFonts w:hint="eastAsia"/>
          <w:bCs/>
        </w:rPr>
        <w:t>《公民权利和政治权利国际公约》</w:t>
      </w:r>
    </w:p>
    <w:p w:rsidR="00BD06A0" w:rsidRPr="00BD06A0" w:rsidRDefault="00BD06A0" w:rsidP="001930C5">
      <w:pPr>
        <w:pStyle w:val="SingleTxtGC"/>
        <w:tabs>
          <w:tab w:val="clear" w:pos="1134"/>
          <w:tab w:val="clear" w:pos="1565"/>
          <w:tab w:val="clear" w:pos="1996"/>
          <w:tab w:val="clear" w:pos="2427"/>
        </w:tabs>
        <w:ind w:left="2860" w:hanging="1726"/>
        <w:rPr>
          <w:rFonts w:hint="eastAsia"/>
          <w:bCs/>
        </w:rPr>
      </w:pPr>
      <w:r w:rsidRPr="00BD06A0">
        <w:rPr>
          <w:bCs/>
        </w:rPr>
        <w:t>LRC</w:t>
      </w:r>
      <w:r w:rsidR="003F018D">
        <w:rPr>
          <w:rFonts w:hint="eastAsia"/>
          <w:bCs/>
        </w:rPr>
        <w:tab/>
      </w:r>
      <w:r w:rsidRPr="00BD06A0">
        <w:rPr>
          <w:rFonts w:hint="eastAsia"/>
          <w:bCs/>
        </w:rPr>
        <w:t>法律改革委员会</w:t>
      </w:r>
    </w:p>
    <w:p w:rsidR="00BD06A0" w:rsidRPr="00BD06A0" w:rsidRDefault="00BD06A0" w:rsidP="001930C5">
      <w:pPr>
        <w:pStyle w:val="SingleTxtGC"/>
        <w:tabs>
          <w:tab w:val="clear" w:pos="1134"/>
          <w:tab w:val="clear" w:pos="1565"/>
          <w:tab w:val="clear" w:pos="1996"/>
          <w:tab w:val="clear" w:pos="2427"/>
        </w:tabs>
        <w:ind w:left="2860" w:hanging="1726"/>
        <w:rPr>
          <w:rFonts w:hint="eastAsia"/>
          <w:bCs/>
        </w:rPr>
      </w:pPr>
      <w:r w:rsidRPr="00BD06A0">
        <w:rPr>
          <w:bCs/>
        </w:rPr>
        <w:t>MIE</w:t>
      </w:r>
      <w:r w:rsidR="003F018D">
        <w:rPr>
          <w:rFonts w:hint="eastAsia"/>
          <w:bCs/>
        </w:rPr>
        <w:tab/>
      </w:r>
      <w:r w:rsidRPr="00BD06A0">
        <w:rPr>
          <w:rFonts w:hint="eastAsia"/>
          <w:bCs/>
        </w:rPr>
        <w:t>毛里求斯教育研究所</w:t>
      </w:r>
    </w:p>
    <w:p w:rsidR="00BD06A0" w:rsidRPr="00BD06A0" w:rsidRDefault="00BD06A0" w:rsidP="001930C5">
      <w:pPr>
        <w:pStyle w:val="SingleTxtGC"/>
        <w:tabs>
          <w:tab w:val="clear" w:pos="1134"/>
          <w:tab w:val="clear" w:pos="1565"/>
          <w:tab w:val="clear" w:pos="1996"/>
          <w:tab w:val="clear" w:pos="2427"/>
        </w:tabs>
        <w:ind w:left="2860" w:hanging="1726"/>
        <w:rPr>
          <w:rFonts w:hint="eastAsia"/>
          <w:bCs/>
        </w:rPr>
      </w:pPr>
      <w:r w:rsidRPr="00BD06A0">
        <w:rPr>
          <w:bCs/>
        </w:rPr>
        <w:t>NHRC</w:t>
      </w:r>
      <w:r w:rsidR="003F018D">
        <w:rPr>
          <w:rFonts w:hint="eastAsia"/>
          <w:bCs/>
        </w:rPr>
        <w:tab/>
      </w:r>
      <w:r w:rsidRPr="00BD06A0">
        <w:rPr>
          <w:rFonts w:hint="eastAsia"/>
          <w:bCs/>
        </w:rPr>
        <w:t>国家人权委员会</w:t>
      </w:r>
    </w:p>
    <w:p w:rsidR="00BD06A0" w:rsidRPr="002F6A7A" w:rsidRDefault="00BD06A0" w:rsidP="001930C5">
      <w:pPr>
        <w:pStyle w:val="SingleTxtGC"/>
        <w:tabs>
          <w:tab w:val="clear" w:pos="1134"/>
          <w:tab w:val="clear" w:pos="1565"/>
          <w:tab w:val="clear" w:pos="1996"/>
          <w:tab w:val="clear" w:pos="2427"/>
        </w:tabs>
        <w:ind w:left="2860" w:hanging="1726"/>
        <w:rPr>
          <w:rFonts w:hint="eastAsia"/>
          <w:bCs/>
        </w:rPr>
      </w:pPr>
      <w:r w:rsidRPr="002F6A7A">
        <w:rPr>
          <w:bCs/>
        </w:rPr>
        <w:t>PAS</w:t>
      </w:r>
      <w:r w:rsidR="00597541">
        <w:rPr>
          <w:rFonts w:hint="eastAsia"/>
          <w:bCs/>
        </w:rPr>
        <w:tab/>
      </w:r>
      <w:r w:rsidRPr="00BD06A0">
        <w:rPr>
          <w:rFonts w:hint="eastAsia"/>
          <w:bCs/>
        </w:rPr>
        <w:t>首席助理秘书</w:t>
      </w:r>
    </w:p>
    <w:p w:rsidR="00BD06A0" w:rsidRPr="002F6A7A" w:rsidRDefault="00BD06A0" w:rsidP="001930C5">
      <w:pPr>
        <w:pStyle w:val="SingleTxtGC"/>
        <w:tabs>
          <w:tab w:val="clear" w:pos="1134"/>
          <w:tab w:val="clear" w:pos="1565"/>
          <w:tab w:val="clear" w:pos="1996"/>
          <w:tab w:val="clear" w:pos="2427"/>
        </w:tabs>
        <w:ind w:left="2860" w:hanging="1726"/>
        <w:rPr>
          <w:rFonts w:hint="eastAsia"/>
          <w:bCs/>
        </w:rPr>
      </w:pPr>
      <w:r w:rsidRPr="002F6A7A">
        <w:rPr>
          <w:bCs/>
        </w:rPr>
        <w:t>PS</w:t>
      </w:r>
      <w:r w:rsidR="00204F20">
        <w:rPr>
          <w:rFonts w:hint="eastAsia"/>
          <w:bCs/>
        </w:rPr>
        <w:tab/>
      </w:r>
      <w:r w:rsidRPr="002F6A7A">
        <w:rPr>
          <w:rFonts w:hint="eastAsia"/>
          <w:bCs/>
        </w:rPr>
        <w:t>常任秘书长</w:t>
      </w:r>
    </w:p>
    <w:p w:rsidR="00BD06A0" w:rsidRPr="00BD06A0" w:rsidRDefault="00BD06A0" w:rsidP="00BC4C6A">
      <w:pPr>
        <w:pStyle w:val="HChGC"/>
        <w:rPr>
          <w:rFonts w:hint="eastAsia"/>
          <w:lang w:val="fr-FR"/>
        </w:rPr>
      </w:pPr>
      <w:r w:rsidRPr="00BD06A0">
        <w:rPr>
          <w:lang w:val="fr-FR"/>
        </w:rPr>
        <w:br w:type="page"/>
      </w:r>
      <w:r w:rsidR="00BC4C6A">
        <w:rPr>
          <w:rFonts w:hint="eastAsia"/>
          <w:lang w:val="fr-FR"/>
        </w:rPr>
        <w:tab/>
      </w:r>
      <w:r w:rsidR="00BC4C6A">
        <w:rPr>
          <w:rFonts w:hint="eastAsia"/>
          <w:lang w:val="fr-FR"/>
        </w:rPr>
        <w:tab/>
      </w:r>
      <w:r w:rsidRPr="00BD06A0">
        <w:rPr>
          <w:rFonts w:hint="eastAsia"/>
          <w:lang w:val="fr-FR"/>
        </w:rPr>
        <w:t>导言</w:t>
      </w:r>
    </w:p>
    <w:p w:rsidR="00BD06A0" w:rsidRPr="00BD06A0" w:rsidRDefault="00BD06A0" w:rsidP="00BD06A0">
      <w:pPr>
        <w:pStyle w:val="SingleTxtGC"/>
        <w:rPr>
          <w:rFonts w:hint="eastAsia"/>
          <w:lang w:val="fr-FR"/>
        </w:rPr>
      </w:pPr>
      <w:r w:rsidRPr="00BD06A0">
        <w:rPr>
          <w:rFonts w:hint="eastAsia"/>
          <w:lang w:val="fr-FR"/>
        </w:rPr>
        <w:t xml:space="preserve">1.  </w:t>
      </w:r>
      <w:r w:rsidRPr="00BD06A0">
        <w:rPr>
          <w:rFonts w:hint="eastAsia"/>
          <w:lang w:val="fr-FR"/>
        </w:rPr>
        <w:t>本文件是根据关于缔约国提交定期报告的形式和内容的一般准则</w:t>
      </w:r>
      <w:r w:rsidRPr="00BD06A0">
        <w:rPr>
          <w:lang w:val="fr-FR"/>
        </w:rPr>
        <w:t>(HRI/GEN/</w:t>
      </w:r>
      <w:r w:rsidR="00453FE5">
        <w:rPr>
          <w:rFonts w:hint="eastAsia"/>
          <w:lang w:val="fr-FR"/>
        </w:rPr>
        <w:t xml:space="preserve"> </w:t>
      </w:r>
      <w:r w:rsidRPr="00BD06A0">
        <w:rPr>
          <w:lang w:val="fr-FR"/>
        </w:rPr>
        <w:t>2/Rev.4)</w:t>
      </w:r>
      <w:r w:rsidRPr="00BD06A0">
        <w:rPr>
          <w:rFonts w:hint="eastAsia"/>
        </w:rPr>
        <w:t>提交的。</w:t>
      </w:r>
    </w:p>
    <w:p w:rsidR="00BD06A0" w:rsidRPr="00BD06A0" w:rsidRDefault="004E6100" w:rsidP="004E6100">
      <w:pPr>
        <w:pStyle w:val="HChGC"/>
        <w:rPr>
          <w:rFonts w:hint="eastAsia"/>
        </w:rPr>
      </w:pPr>
      <w:r>
        <w:rPr>
          <w:rFonts w:hint="eastAsia"/>
        </w:rPr>
        <w:tab/>
      </w:r>
      <w:r w:rsidR="00BD06A0" w:rsidRPr="00BD06A0">
        <w:rPr>
          <w:rFonts w:hint="eastAsia"/>
        </w:rPr>
        <w:t>一</w:t>
      </w:r>
      <w:r>
        <w:rPr>
          <w:rFonts w:hint="eastAsia"/>
        </w:rPr>
        <w:t>.</w:t>
      </w:r>
      <w:r>
        <w:rPr>
          <w:rFonts w:hint="eastAsia"/>
        </w:rPr>
        <w:tab/>
      </w:r>
      <w:r w:rsidR="00BD06A0" w:rsidRPr="00BD06A0">
        <w:rPr>
          <w:rFonts w:hint="eastAsia"/>
        </w:rPr>
        <w:t>核心文件</w:t>
      </w:r>
    </w:p>
    <w:p w:rsidR="00BD06A0" w:rsidRPr="00BD06A0" w:rsidRDefault="00D66DD2" w:rsidP="00D66DD2">
      <w:pPr>
        <w:pStyle w:val="H1GC"/>
        <w:rPr>
          <w:rFonts w:hint="eastAsia"/>
          <w:u w:val="single"/>
        </w:rPr>
      </w:pPr>
      <w:r>
        <w:rPr>
          <w:rFonts w:hint="eastAsia"/>
          <w:b/>
        </w:rPr>
        <w:tab/>
      </w:r>
      <w:r w:rsidR="00BD06A0" w:rsidRPr="00A84320">
        <w:rPr>
          <w:rFonts w:hint="eastAsia"/>
        </w:rPr>
        <w:t>A</w:t>
      </w:r>
      <w:r w:rsidR="00BD06A0" w:rsidRPr="00BD06A0">
        <w:rPr>
          <w:rFonts w:hint="eastAsia"/>
        </w:rPr>
        <w:t>.</w:t>
      </w:r>
      <w:r>
        <w:rPr>
          <w:rFonts w:hint="eastAsia"/>
        </w:rPr>
        <w:tab/>
      </w:r>
      <w:r w:rsidR="00BD06A0" w:rsidRPr="00BD06A0">
        <w:rPr>
          <w:rFonts w:hint="eastAsia"/>
        </w:rPr>
        <w:t>一般资料</w:t>
      </w:r>
    </w:p>
    <w:p w:rsidR="00BD06A0" w:rsidRPr="00BD06A0" w:rsidRDefault="00B955F9" w:rsidP="00B955F9">
      <w:pPr>
        <w:pStyle w:val="H23GC"/>
        <w:rPr>
          <w:rFonts w:hint="eastAsia"/>
          <w:u w:val="single"/>
        </w:rPr>
      </w:pPr>
      <w:r>
        <w:rPr>
          <w:rFonts w:hint="eastAsia"/>
          <w:b/>
        </w:rPr>
        <w:tab/>
      </w:r>
      <w:r w:rsidR="00BD06A0" w:rsidRPr="004F1431">
        <w:rPr>
          <w:rFonts w:hint="eastAsia"/>
        </w:rPr>
        <w:t>1</w:t>
      </w:r>
      <w:r w:rsidR="00BD06A0" w:rsidRPr="00BD06A0">
        <w:rPr>
          <w:rFonts w:hint="eastAsia"/>
        </w:rPr>
        <w:t>.</w:t>
      </w:r>
      <w:r>
        <w:rPr>
          <w:rFonts w:hint="eastAsia"/>
        </w:rPr>
        <w:tab/>
      </w:r>
      <w:r w:rsidR="00BD06A0" w:rsidRPr="00BD06A0">
        <w:rPr>
          <w:rFonts w:hint="eastAsia"/>
        </w:rPr>
        <w:t>人口、经济、社会和文化特点</w:t>
      </w:r>
    </w:p>
    <w:p w:rsidR="00BD06A0" w:rsidRPr="00BD06A0" w:rsidRDefault="00BD06A0" w:rsidP="00BD06A0">
      <w:pPr>
        <w:pStyle w:val="SingleTxtGC"/>
        <w:rPr>
          <w:rFonts w:hint="eastAsia"/>
        </w:rPr>
      </w:pPr>
      <w:r w:rsidRPr="00BD06A0">
        <w:rPr>
          <w:rFonts w:hint="eastAsia"/>
        </w:rPr>
        <w:t xml:space="preserve">2.  </w:t>
      </w:r>
      <w:r w:rsidRPr="00BD06A0">
        <w:rPr>
          <w:rFonts w:hint="eastAsia"/>
        </w:rPr>
        <w:t>毛里求斯为印度洋西南部岛国，面积</w:t>
      </w:r>
      <w:r w:rsidRPr="00BD06A0">
        <w:rPr>
          <w:rFonts w:hint="eastAsia"/>
        </w:rPr>
        <w:t>720</w:t>
      </w:r>
      <w:r w:rsidRPr="00BD06A0">
        <w:rPr>
          <w:rFonts w:hint="eastAsia"/>
        </w:rPr>
        <w:t>平方英里，人口大约为</w:t>
      </w:r>
      <w:r w:rsidRPr="00BD06A0">
        <w:rPr>
          <w:rFonts w:hint="eastAsia"/>
        </w:rPr>
        <w:t>120</w:t>
      </w:r>
      <w:r w:rsidRPr="00BD06A0">
        <w:rPr>
          <w:rFonts w:hint="eastAsia"/>
        </w:rPr>
        <w:t>万人。</w:t>
      </w:r>
    </w:p>
    <w:p w:rsidR="00BD06A0" w:rsidRPr="00BD06A0" w:rsidRDefault="00BD06A0" w:rsidP="00BD06A0">
      <w:pPr>
        <w:pStyle w:val="SingleTxtGC"/>
        <w:rPr>
          <w:rFonts w:hint="eastAsia"/>
        </w:rPr>
      </w:pPr>
      <w:r w:rsidRPr="00BD06A0">
        <w:rPr>
          <w:rFonts w:hint="eastAsia"/>
        </w:rPr>
        <w:t xml:space="preserve">3.  </w:t>
      </w:r>
      <w:r w:rsidRPr="00BD06A0">
        <w:rPr>
          <w:rFonts w:hint="eastAsia"/>
        </w:rPr>
        <w:t>经济主要依赖出口导向的制造业</w:t>
      </w:r>
      <w:r w:rsidRPr="00BD06A0">
        <w:rPr>
          <w:rFonts w:hint="eastAsia"/>
        </w:rPr>
        <w:t>(</w:t>
      </w:r>
      <w:r w:rsidRPr="00BD06A0">
        <w:rPr>
          <w:rFonts w:hint="eastAsia"/>
        </w:rPr>
        <w:t>主要是纺织品</w:t>
      </w:r>
      <w:r w:rsidRPr="00BD06A0">
        <w:rPr>
          <w:rFonts w:hint="eastAsia"/>
        </w:rPr>
        <w:t>)</w:t>
      </w:r>
      <w:r w:rsidRPr="00BD06A0">
        <w:rPr>
          <w:rFonts w:hint="eastAsia"/>
        </w:rPr>
        <w:t>、糖业、旅游和服务业。</w:t>
      </w:r>
    </w:p>
    <w:p w:rsidR="00BD06A0" w:rsidRPr="00BD06A0" w:rsidRDefault="00BD06A0" w:rsidP="00BD06A0">
      <w:pPr>
        <w:pStyle w:val="SingleTxtGC"/>
        <w:rPr>
          <w:rFonts w:hint="eastAsia"/>
        </w:rPr>
      </w:pPr>
      <w:r w:rsidRPr="00BD06A0">
        <w:rPr>
          <w:rFonts w:hint="eastAsia"/>
        </w:rPr>
        <w:t xml:space="preserve">4.  </w:t>
      </w:r>
      <w:r w:rsidRPr="00BD06A0">
        <w:rPr>
          <w:rFonts w:hint="eastAsia"/>
        </w:rPr>
        <w:t>根据政府维持福利国家的政策，人民享有免费医疗服务。另有私人诊所，满足选择自费医疗的人的需要。直至中学的教育全部免费，同时法律规定直至</w:t>
      </w:r>
      <w:r w:rsidRPr="00BD06A0">
        <w:rPr>
          <w:rFonts w:hint="eastAsia"/>
        </w:rPr>
        <w:t>16</w:t>
      </w:r>
      <w:r w:rsidRPr="00BD06A0">
        <w:rPr>
          <w:rFonts w:hint="eastAsia"/>
        </w:rPr>
        <w:t>岁的所有儿童的小学和中学教育为义务制。</w:t>
      </w:r>
    </w:p>
    <w:p w:rsidR="00BD06A0" w:rsidRPr="00BD06A0" w:rsidRDefault="00BD06A0" w:rsidP="00BD06A0">
      <w:pPr>
        <w:pStyle w:val="SingleTxtGC"/>
        <w:rPr>
          <w:rFonts w:hint="eastAsia"/>
        </w:rPr>
      </w:pPr>
      <w:r w:rsidRPr="00BD06A0">
        <w:rPr>
          <w:rFonts w:hint="eastAsia"/>
        </w:rPr>
        <w:t xml:space="preserve">5.  </w:t>
      </w:r>
      <w:r w:rsidRPr="00BD06A0">
        <w:rPr>
          <w:rFonts w:hint="eastAsia"/>
        </w:rPr>
        <w:t>毛里求斯没有国教，政府不干涉或限制任何宗教派别的礼拜。《宪法》规定宗教自由，对毛里求斯的社会结构具有特殊重要性，因为毛里求斯社会是由多种族、文化和宗教因素构成。</w:t>
      </w:r>
    </w:p>
    <w:p w:rsidR="00BD06A0" w:rsidRPr="00BD06A0" w:rsidRDefault="00C535D4" w:rsidP="00C535D4">
      <w:pPr>
        <w:pStyle w:val="H23GC"/>
        <w:rPr>
          <w:rFonts w:hint="eastAsia"/>
        </w:rPr>
      </w:pPr>
      <w:r>
        <w:rPr>
          <w:rFonts w:hint="eastAsia"/>
          <w:b/>
        </w:rPr>
        <w:tab/>
      </w:r>
      <w:r w:rsidR="00BD06A0" w:rsidRPr="004F1431">
        <w:rPr>
          <w:rFonts w:hint="eastAsia"/>
        </w:rPr>
        <w:t>2</w:t>
      </w:r>
      <w:r w:rsidR="00BD06A0" w:rsidRPr="00BD06A0">
        <w:rPr>
          <w:rFonts w:hint="eastAsia"/>
        </w:rPr>
        <w:t>.</w:t>
      </w:r>
      <w:r>
        <w:rPr>
          <w:rFonts w:hint="eastAsia"/>
        </w:rPr>
        <w:tab/>
      </w:r>
      <w:r w:rsidR="00BD06A0" w:rsidRPr="00BD06A0">
        <w:rPr>
          <w:rFonts w:hint="eastAsia"/>
        </w:rPr>
        <w:t>宪法、政治和法律结构</w:t>
      </w:r>
    </w:p>
    <w:p w:rsidR="00BD06A0" w:rsidRPr="00BD06A0" w:rsidRDefault="00BD06A0" w:rsidP="00BD06A0">
      <w:pPr>
        <w:pStyle w:val="SingleTxtGC"/>
        <w:rPr>
          <w:rFonts w:hint="eastAsia"/>
        </w:rPr>
      </w:pPr>
      <w:r w:rsidRPr="00BD06A0">
        <w:rPr>
          <w:rFonts w:hint="eastAsia"/>
        </w:rPr>
        <w:t xml:space="preserve">6.  </w:t>
      </w:r>
      <w:r w:rsidRPr="00BD06A0">
        <w:rPr>
          <w:rFonts w:hint="eastAsia"/>
        </w:rPr>
        <w:t>毛里求斯岛</w:t>
      </w:r>
      <w:r w:rsidRPr="00BD06A0">
        <w:rPr>
          <w:rFonts w:hint="eastAsia"/>
        </w:rPr>
        <w:t>1968</w:t>
      </w:r>
      <w:r w:rsidRPr="00BD06A0">
        <w:rPr>
          <w:rFonts w:hint="eastAsia"/>
        </w:rPr>
        <w:t>年脱离英国独立。直至</w:t>
      </w:r>
      <w:r w:rsidRPr="00BD06A0">
        <w:rPr>
          <w:rFonts w:hint="eastAsia"/>
        </w:rPr>
        <w:t>1992</w:t>
      </w:r>
      <w:r w:rsidRPr="00BD06A0">
        <w:rPr>
          <w:rFonts w:hint="eastAsia"/>
        </w:rPr>
        <w:t>年</w:t>
      </w:r>
      <w:r w:rsidR="00E66BD3">
        <w:rPr>
          <w:rFonts w:hint="eastAsia"/>
        </w:rPr>
        <w:t>，</w:t>
      </w:r>
      <w:r w:rsidRPr="00BD06A0">
        <w:rPr>
          <w:rFonts w:hint="eastAsia"/>
        </w:rPr>
        <w:t>毛里求斯实行共和制，英国女王陛下始终是国家元首。毛里求斯实行议会民主制，以总理为首，辅之以由副总理和</w:t>
      </w:r>
      <w:r w:rsidRPr="00BD06A0">
        <w:rPr>
          <w:rFonts w:hint="eastAsia"/>
        </w:rPr>
        <w:t>18</w:t>
      </w:r>
      <w:r w:rsidRPr="00BD06A0">
        <w:rPr>
          <w:rFonts w:hint="eastAsia"/>
        </w:rPr>
        <w:t>名部长组成的内阁。总统为国家元首，经总理动议由议会多数选举产生，其职责是坚持和捍卫《宪法》，确保民主体制和法制受到保护，所有人的基本权利受到尊重。</w:t>
      </w:r>
    </w:p>
    <w:p w:rsidR="00BD06A0" w:rsidRPr="00BD06A0" w:rsidRDefault="00BD06A0" w:rsidP="00BD06A0">
      <w:pPr>
        <w:pStyle w:val="SingleTxtGC"/>
        <w:rPr>
          <w:rFonts w:hint="eastAsia"/>
        </w:rPr>
      </w:pPr>
      <w:r w:rsidRPr="00BD06A0">
        <w:rPr>
          <w:rFonts w:hint="eastAsia"/>
        </w:rPr>
        <w:t xml:space="preserve">7.  </w:t>
      </w:r>
      <w:r w:rsidRPr="00BD06A0">
        <w:rPr>
          <w:rFonts w:hint="eastAsia"/>
        </w:rPr>
        <w:t>毛里求斯共和国定期举行公正自由的国家和地方选举。这些选举受独立的选举监督委员会监督。国民议会有</w:t>
      </w:r>
      <w:r w:rsidRPr="00BD06A0">
        <w:rPr>
          <w:rFonts w:hint="eastAsia"/>
        </w:rPr>
        <w:t>70</w:t>
      </w:r>
      <w:r w:rsidRPr="00BD06A0">
        <w:rPr>
          <w:rFonts w:hint="eastAsia"/>
        </w:rPr>
        <w:t>名议员，其中</w:t>
      </w:r>
      <w:r w:rsidRPr="00BD06A0">
        <w:rPr>
          <w:rFonts w:hint="eastAsia"/>
        </w:rPr>
        <w:t>62</w:t>
      </w:r>
      <w:r w:rsidRPr="00BD06A0">
        <w:rPr>
          <w:rFonts w:hint="eastAsia"/>
        </w:rPr>
        <w:t>名以简单多数票制度选举产生，其余</w:t>
      </w:r>
      <w:r w:rsidRPr="00BD06A0">
        <w:rPr>
          <w:rFonts w:hint="eastAsia"/>
        </w:rPr>
        <w:t>8</w:t>
      </w:r>
      <w:r w:rsidRPr="00BD06A0">
        <w:rPr>
          <w:rFonts w:hint="eastAsia"/>
        </w:rPr>
        <w:t>名为分配议席，按照</w:t>
      </w:r>
      <w:r w:rsidRPr="00C15EA3">
        <w:rPr>
          <w:rFonts w:ascii="SimSun" w:hAnsi="SimSun" w:hint="eastAsia"/>
        </w:rPr>
        <w:t>《</w:t>
      </w:r>
      <w:r w:rsidR="00C15EA3">
        <w:rPr>
          <w:rFonts w:ascii="SimSun" w:hAnsi="SimSun" w:hint="eastAsia"/>
        </w:rPr>
        <w:t>&lt;</w:t>
      </w:r>
      <w:r w:rsidRPr="00BD06A0">
        <w:rPr>
          <w:rFonts w:hint="eastAsia"/>
        </w:rPr>
        <w:t>宪法</w:t>
      </w:r>
      <w:r w:rsidR="00C15EA3">
        <w:rPr>
          <w:rFonts w:ascii="SimSun" w:hAnsi="SimSun" w:hint="eastAsia"/>
        </w:rPr>
        <w:t>&gt;</w:t>
      </w:r>
      <w:r w:rsidRPr="00BD06A0">
        <w:rPr>
          <w:rFonts w:hint="eastAsia"/>
        </w:rPr>
        <w:t>第一附表》从高票落选者中中产生。</w:t>
      </w:r>
    </w:p>
    <w:p w:rsidR="00BD06A0" w:rsidRPr="00BD06A0" w:rsidRDefault="00BD06A0" w:rsidP="00BD06A0">
      <w:pPr>
        <w:pStyle w:val="SingleTxtGC"/>
        <w:rPr>
          <w:rFonts w:hint="eastAsia"/>
        </w:rPr>
      </w:pPr>
      <w:r w:rsidRPr="00BD06A0">
        <w:rPr>
          <w:rFonts w:hint="eastAsia"/>
        </w:rPr>
        <w:t xml:space="preserve">8.  </w:t>
      </w:r>
      <w:r w:rsidRPr="00BD06A0">
        <w:rPr>
          <w:rFonts w:hint="eastAsia"/>
        </w:rPr>
        <w:t>《毛里求斯宪法》是</w:t>
      </w:r>
      <w:r w:rsidRPr="00BD06A0">
        <w:rPr>
          <w:rFonts w:hint="eastAsia"/>
        </w:rPr>
        <w:t>1968</w:t>
      </w:r>
      <w:r w:rsidRPr="00BD06A0">
        <w:rPr>
          <w:rFonts w:hint="eastAsia"/>
        </w:rPr>
        <w:t>年独立时按照英国政府枢密院令遗留下来的一个成文法文书，它以两项基本原则为基础：法治和权力分立。《宪法》第一条规定，毛里求斯共和国为“主权民主国家”。《宪法》第二章明确保障各项基本权利和自由，这主要是受《欧洲人权公约》的启示。</w:t>
      </w:r>
    </w:p>
    <w:p w:rsidR="00BD06A0" w:rsidRPr="00BD06A0" w:rsidRDefault="00BD06A0" w:rsidP="00BD06A0">
      <w:pPr>
        <w:pStyle w:val="SingleTxtGC"/>
        <w:rPr>
          <w:rFonts w:hint="eastAsia"/>
        </w:rPr>
      </w:pPr>
      <w:r w:rsidRPr="00BD06A0">
        <w:rPr>
          <w:rFonts w:hint="eastAsia"/>
        </w:rPr>
        <w:t xml:space="preserve">9.  </w:t>
      </w:r>
      <w:r w:rsidRPr="00BD06A0">
        <w:rPr>
          <w:rFonts w:hint="eastAsia"/>
        </w:rPr>
        <w:t>《宪法》为“国家最高法”，最高法院的职责不仅是解释，而且还要确保遵守《宪法》各项条款。由最高法院决定据指称违宪的任何法令是否有效，因为违背《宪法》的法律不应存在。</w:t>
      </w:r>
    </w:p>
    <w:p w:rsidR="00BD06A0" w:rsidRPr="00BD06A0" w:rsidRDefault="00BD06A0" w:rsidP="00BD06A0">
      <w:pPr>
        <w:pStyle w:val="SingleTxtGC"/>
        <w:rPr>
          <w:rFonts w:hint="eastAsia"/>
        </w:rPr>
      </w:pPr>
      <w:r w:rsidRPr="00BD06A0">
        <w:rPr>
          <w:rFonts w:hint="eastAsia"/>
        </w:rPr>
        <w:t xml:space="preserve">10.  </w:t>
      </w:r>
      <w:r w:rsidRPr="00BD06A0">
        <w:rPr>
          <w:rFonts w:hint="eastAsia"/>
        </w:rPr>
        <w:t>在确定违宪的任何案件中，法院的主要关注是确保尽可能恰当和迅速地纠正此类违宪行为。</w:t>
      </w:r>
    </w:p>
    <w:p w:rsidR="00BD06A0" w:rsidRPr="00BD06A0" w:rsidRDefault="00BD06A0" w:rsidP="00BD06A0">
      <w:pPr>
        <w:pStyle w:val="SingleTxtGC"/>
        <w:rPr>
          <w:rFonts w:hint="eastAsia"/>
        </w:rPr>
      </w:pPr>
      <w:r w:rsidRPr="00BD06A0">
        <w:rPr>
          <w:rFonts w:hint="eastAsia"/>
        </w:rPr>
        <w:t xml:space="preserve">11.  </w:t>
      </w:r>
      <w:r w:rsidRPr="00BD06A0">
        <w:rPr>
          <w:rFonts w:hint="eastAsia"/>
        </w:rPr>
        <w:t>《宪法》本身在第</w:t>
      </w:r>
      <w:r w:rsidRPr="00BD06A0">
        <w:rPr>
          <w:rFonts w:hint="eastAsia"/>
        </w:rPr>
        <w:t>17</w:t>
      </w:r>
      <w:r w:rsidRPr="00BD06A0">
        <w:rPr>
          <w:rFonts w:hint="eastAsia"/>
        </w:rPr>
        <w:t>条中作出规定，对权利曾经、正在或可能受到侵犯的任何个人给予补偿，其第二章确保保护个人的基本权利和自由</w:t>
      </w:r>
      <w:r w:rsidRPr="00BD06A0">
        <w:rPr>
          <w:rFonts w:hint="eastAsia"/>
        </w:rPr>
        <w:t>(</w:t>
      </w:r>
      <w:r w:rsidRPr="00BD06A0">
        <w:rPr>
          <w:rFonts w:hint="eastAsia"/>
        </w:rPr>
        <w:t>以下称“第二章权利”</w:t>
      </w:r>
      <w:r w:rsidRPr="00BD06A0">
        <w:rPr>
          <w:rFonts w:hint="eastAsia"/>
        </w:rPr>
        <w:t>)</w:t>
      </w:r>
      <w:r w:rsidRPr="00BD06A0">
        <w:rPr>
          <w:rFonts w:hint="eastAsia"/>
        </w:rPr>
        <w:t>。</w:t>
      </w:r>
    </w:p>
    <w:p w:rsidR="00BD06A0" w:rsidRPr="00BD06A0" w:rsidRDefault="00BD06A0" w:rsidP="00BD06A0">
      <w:pPr>
        <w:pStyle w:val="SingleTxtGC"/>
        <w:rPr>
          <w:rFonts w:hint="eastAsia"/>
        </w:rPr>
      </w:pPr>
      <w:r w:rsidRPr="00BD06A0">
        <w:rPr>
          <w:rFonts w:hint="eastAsia"/>
        </w:rPr>
        <w:t xml:space="preserve">12.  </w:t>
      </w:r>
      <w:r w:rsidRPr="00BD06A0">
        <w:rPr>
          <w:rFonts w:hint="eastAsia"/>
        </w:rPr>
        <w:t>即使法律规定了由某些法庭或公务员委员会处理违纪行为</w:t>
      </w:r>
      <w:r w:rsidRPr="00BD06A0">
        <w:rPr>
          <w:rFonts w:hint="eastAsia"/>
        </w:rPr>
        <w:t>(</w:t>
      </w:r>
      <w:r w:rsidRPr="00BD06A0">
        <w:rPr>
          <w:rFonts w:hint="eastAsia"/>
        </w:rPr>
        <w:t>授权它们专门管辖此类行为</w:t>
      </w:r>
      <w:r w:rsidRPr="00BD06A0">
        <w:rPr>
          <w:rFonts w:hint="eastAsia"/>
        </w:rPr>
        <w:t>)</w:t>
      </w:r>
      <w:r w:rsidRPr="00BD06A0">
        <w:rPr>
          <w:rFonts w:hint="eastAsia"/>
        </w:rPr>
        <w:t>，这些机构作出的决定最终仍然要由最高法院审查。</w:t>
      </w:r>
    </w:p>
    <w:p w:rsidR="00BD06A0" w:rsidRPr="00BD06A0" w:rsidRDefault="00BD06A0" w:rsidP="00BD06A0">
      <w:pPr>
        <w:pStyle w:val="SingleTxtGC"/>
        <w:rPr>
          <w:rFonts w:hint="eastAsia"/>
        </w:rPr>
      </w:pPr>
      <w:r w:rsidRPr="00BD06A0">
        <w:rPr>
          <w:rFonts w:hint="eastAsia"/>
        </w:rPr>
        <w:t xml:space="preserve">13.  </w:t>
      </w:r>
      <w:r w:rsidRPr="00BD06A0">
        <w:rPr>
          <w:rFonts w:hint="eastAsia"/>
        </w:rPr>
        <w:t>除了通过警务当局进行投诉的正常渠道外，毛里求斯共和国公民还可诉诸监察员办公室。监察员可以调查据称导致对共和国成员不公的任何弊政。</w:t>
      </w:r>
    </w:p>
    <w:p w:rsidR="00BD06A0" w:rsidRPr="00BD06A0" w:rsidRDefault="00BD06A0" w:rsidP="00BD06A0">
      <w:pPr>
        <w:pStyle w:val="SingleTxtGC"/>
        <w:rPr>
          <w:rFonts w:hint="eastAsia"/>
        </w:rPr>
      </w:pPr>
      <w:r w:rsidRPr="00BD06A0">
        <w:rPr>
          <w:rFonts w:hint="eastAsia"/>
        </w:rPr>
        <w:t xml:space="preserve">14.  </w:t>
      </w:r>
      <w:r w:rsidRPr="00BD06A0">
        <w:rPr>
          <w:rFonts w:hint="eastAsia"/>
        </w:rPr>
        <w:t>根据</w:t>
      </w:r>
      <w:r w:rsidRPr="00BD06A0">
        <w:rPr>
          <w:rFonts w:hint="eastAsia"/>
        </w:rPr>
        <w:t>1998</w:t>
      </w:r>
      <w:r w:rsidRPr="00BD06A0">
        <w:rPr>
          <w:rFonts w:hint="eastAsia"/>
        </w:rPr>
        <w:t>年《保护人权法》设立的国家人权委员会可调查侵犯第二章所规定个人权利的任何行为或对警官的任何投诉。它还可以视察任何警所或拘留地点，检查被拘留者的生活条件和待遇，并审查任何法令为保护人权规定的保障措施。</w:t>
      </w:r>
    </w:p>
    <w:p w:rsidR="00BD06A0" w:rsidRPr="00BD06A0" w:rsidRDefault="00BD06A0" w:rsidP="00BD06A0">
      <w:pPr>
        <w:pStyle w:val="SingleTxtGC"/>
        <w:rPr>
          <w:rFonts w:hint="eastAsia"/>
        </w:rPr>
      </w:pPr>
      <w:r w:rsidRPr="00BD06A0">
        <w:rPr>
          <w:rFonts w:hint="eastAsia"/>
        </w:rPr>
        <w:t xml:space="preserve">15.  </w:t>
      </w:r>
      <w:r w:rsidRPr="00BD06A0">
        <w:rPr>
          <w:rFonts w:hint="eastAsia"/>
        </w:rPr>
        <w:t>毛里求斯的司法制度主要受英国诉讼抗辩制的影响。它由拥有民事和刑事管辖权的最高法院、中级法院和地方法院，以及劳资法厅组成。最高法院拥有审理和裁定任何民事或刑事诉讼的最终管辖权。雇主－雇员合同关系引发的劳资争端也可由劳资关系委员会通过调解解决，或由常设仲裁厅通过自愿或强制仲裁解决。还有许多专门法庭，裁定具体争端</w:t>
      </w:r>
      <w:r w:rsidRPr="00BD06A0">
        <w:rPr>
          <w:rFonts w:hint="eastAsia"/>
        </w:rPr>
        <w:t>(</w:t>
      </w:r>
      <w:r w:rsidRPr="00BD06A0">
        <w:rPr>
          <w:rFonts w:hint="eastAsia"/>
        </w:rPr>
        <w:t>财务、环境、专业等方面的渎职行为等等</w:t>
      </w:r>
      <w:r w:rsidRPr="00BD06A0">
        <w:rPr>
          <w:rFonts w:hint="eastAsia"/>
        </w:rPr>
        <w:t>)</w:t>
      </w:r>
      <w:r w:rsidRPr="00BD06A0">
        <w:rPr>
          <w:rFonts w:hint="eastAsia"/>
        </w:rPr>
        <w:t>。</w:t>
      </w:r>
    </w:p>
    <w:p w:rsidR="00BD06A0" w:rsidRPr="00BD06A0" w:rsidRDefault="00BD06A0" w:rsidP="00BD06A0">
      <w:pPr>
        <w:pStyle w:val="SingleTxtGC"/>
        <w:rPr>
          <w:rFonts w:hint="eastAsia"/>
        </w:rPr>
      </w:pPr>
      <w:r w:rsidRPr="00BD06A0">
        <w:rPr>
          <w:rFonts w:hint="eastAsia"/>
        </w:rPr>
        <w:t xml:space="preserve">16.  </w:t>
      </w:r>
      <w:r w:rsidRPr="00BD06A0">
        <w:rPr>
          <w:rFonts w:hint="eastAsia"/>
        </w:rPr>
        <w:t>最高法院是行使初审管辖权的主要法院。提交最高法院的刑事案件由一名审判长和</w:t>
      </w:r>
      <w:r w:rsidRPr="00BD06A0">
        <w:rPr>
          <w:rFonts w:hint="eastAsia"/>
        </w:rPr>
        <w:t>9</w:t>
      </w:r>
      <w:r w:rsidRPr="00BD06A0">
        <w:rPr>
          <w:rFonts w:hint="eastAsia"/>
        </w:rPr>
        <w:t>人组成的陪审团审理，涉及非常严重的犯罪，比如谋杀和过失杀人。还规定对某些罪行诉讼，包括《危险麻醉品法》规定的贩毒等罪行，由最高法院法官审理，但无须陪审团。</w:t>
      </w:r>
      <w:r w:rsidRPr="00BD06A0">
        <w:rPr>
          <w:rFonts w:hint="eastAsia"/>
        </w:rPr>
        <w:t>1995</w:t>
      </w:r>
      <w:r w:rsidRPr="00BD06A0">
        <w:rPr>
          <w:rFonts w:hint="eastAsia"/>
        </w:rPr>
        <w:t>年取消了死刑。最高法院可根据法律判处终身监禁或不超过</w:t>
      </w:r>
      <w:r w:rsidRPr="00BD06A0">
        <w:rPr>
          <w:rFonts w:hint="eastAsia"/>
        </w:rPr>
        <w:t>60</w:t>
      </w:r>
      <w:r w:rsidRPr="00BD06A0">
        <w:rPr>
          <w:rFonts w:hint="eastAsia"/>
        </w:rPr>
        <w:t>年的监禁。</w:t>
      </w:r>
    </w:p>
    <w:p w:rsidR="00BD06A0" w:rsidRPr="00BD06A0" w:rsidRDefault="00BD06A0" w:rsidP="00BD06A0">
      <w:pPr>
        <w:pStyle w:val="SingleTxtGC"/>
        <w:rPr>
          <w:rFonts w:hint="eastAsia"/>
        </w:rPr>
      </w:pPr>
      <w:r w:rsidRPr="00BD06A0">
        <w:rPr>
          <w:rFonts w:hint="eastAsia"/>
        </w:rPr>
        <w:t xml:space="preserve">17.  </w:t>
      </w:r>
      <w:r w:rsidRPr="00BD06A0">
        <w:rPr>
          <w:rFonts w:hint="eastAsia"/>
        </w:rPr>
        <w:t>此外，按照《宪法》第</w:t>
      </w:r>
      <w:r w:rsidRPr="00BD06A0">
        <w:rPr>
          <w:rFonts w:hint="eastAsia"/>
        </w:rPr>
        <w:t>82</w:t>
      </w:r>
      <w:r w:rsidRPr="00BD06A0">
        <w:rPr>
          <w:rFonts w:hint="eastAsia"/>
        </w:rPr>
        <w:t>条，最高法院可对下属法院的任何民事或刑事诉讼行使监督权，并发布它认为必要的指令。最高法院还拥有上诉管辖权。</w:t>
      </w:r>
    </w:p>
    <w:p w:rsidR="00BD06A0" w:rsidRPr="00BD06A0" w:rsidRDefault="00BD06A0" w:rsidP="00BD06A0">
      <w:pPr>
        <w:pStyle w:val="SingleTxtGC"/>
        <w:rPr>
          <w:rFonts w:hint="eastAsia"/>
        </w:rPr>
      </w:pPr>
      <w:r w:rsidRPr="00BD06A0">
        <w:rPr>
          <w:rFonts w:hint="eastAsia"/>
        </w:rPr>
        <w:t xml:space="preserve">18.  </w:t>
      </w:r>
      <w:r w:rsidRPr="00BD06A0">
        <w:rPr>
          <w:rFonts w:hint="eastAsia"/>
        </w:rPr>
        <w:t>在具有重大一般性或公共性意义上的事情上，对上诉庭作出的决定还可以向英国枢密院司法委员会上诉，只要符合《宪法》规定的其他条件。</w:t>
      </w:r>
    </w:p>
    <w:p w:rsidR="00BD06A0" w:rsidRPr="00BD06A0" w:rsidRDefault="00BD06A0" w:rsidP="00BD06A0">
      <w:pPr>
        <w:pStyle w:val="SingleTxtGC"/>
        <w:rPr>
          <w:rFonts w:hint="eastAsia"/>
        </w:rPr>
      </w:pPr>
      <w:r w:rsidRPr="00BD06A0">
        <w:rPr>
          <w:rFonts w:hint="eastAsia"/>
        </w:rPr>
        <w:t xml:space="preserve">19.  </w:t>
      </w:r>
      <w:r w:rsidRPr="00BD06A0">
        <w:rPr>
          <w:rFonts w:hint="eastAsia"/>
        </w:rPr>
        <w:t>首席大法官在一名次席大法官和九名陪席推事的协助下主持最高法院。中级法院和地方法院由法官主持。它们受理大多数的刑事案件，而对民事案件的管辖权则有金额的限制。</w:t>
      </w:r>
    </w:p>
    <w:p w:rsidR="00BD06A0" w:rsidRPr="00BD06A0" w:rsidRDefault="00BD06A0" w:rsidP="00BD06A0">
      <w:pPr>
        <w:pStyle w:val="SingleTxtGC"/>
        <w:rPr>
          <w:rFonts w:hint="eastAsia"/>
        </w:rPr>
      </w:pPr>
      <w:r w:rsidRPr="00BD06A0">
        <w:rPr>
          <w:rFonts w:hint="eastAsia"/>
        </w:rPr>
        <w:t xml:space="preserve">20.  </w:t>
      </w:r>
      <w:r w:rsidRPr="00BD06A0">
        <w:rPr>
          <w:rFonts w:hint="eastAsia"/>
        </w:rPr>
        <w:t>被告人有权聘请自行选择的私人律师。然而，在某些情况下，如果确实财力有限，当事方在向法院申请后，可获得法律援助。</w:t>
      </w:r>
    </w:p>
    <w:p w:rsidR="00BD06A0" w:rsidRPr="00BD06A0" w:rsidRDefault="00BD06A0" w:rsidP="00BD06A0">
      <w:pPr>
        <w:pStyle w:val="SingleTxtGC"/>
        <w:rPr>
          <w:rFonts w:hint="eastAsia"/>
        </w:rPr>
      </w:pPr>
      <w:r w:rsidRPr="00BD06A0">
        <w:rPr>
          <w:rFonts w:hint="eastAsia"/>
        </w:rPr>
        <w:t xml:space="preserve">21.  </w:t>
      </w:r>
      <w:r w:rsidRPr="00BD06A0">
        <w:rPr>
          <w:rFonts w:hint="eastAsia"/>
        </w:rPr>
        <w:t>毛里求斯有强大和完备的法律业，由律师、检察官和公证人</w:t>
      </w:r>
      <w:r w:rsidRPr="00BD06A0">
        <w:rPr>
          <w:rFonts w:hint="eastAsia"/>
        </w:rPr>
        <w:t>(</w:t>
      </w:r>
      <w:r w:rsidRPr="00BD06A0">
        <w:rPr>
          <w:rFonts w:hint="eastAsia"/>
        </w:rPr>
        <w:t>主要处理财产让与和与开办公司有关的法律事务</w:t>
      </w:r>
      <w:r w:rsidRPr="00BD06A0">
        <w:rPr>
          <w:rFonts w:hint="eastAsia"/>
        </w:rPr>
        <w:t>)</w:t>
      </w:r>
      <w:r w:rsidRPr="00BD06A0">
        <w:rPr>
          <w:rFonts w:hint="eastAsia"/>
        </w:rPr>
        <w:t>组成。律师可能是在英国、法国或毛里求斯大学学习法律，在伦敦某一律师工会取得律师资格，或在毛里求斯通过法律教育委员会的职业考试。</w:t>
      </w:r>
    </w:p>
    <w:p w:rsidR="00BD06A0" w:rsidRPr="00BD06A0" w:rsidRDefault="00BD06A0" w:rsidP="00BD06A0">
      <w:pPr>
        <w:pStyle w:val="SingleTxtGC"/>
        <w:rPr>
          <w:rFonts w:hint="eastAsia"/>
        </w:rPr>
      </w:pPr>
      <w:r w:rsidRPr="00BD06A0">
        <w:rPr>
          <w:rFonts w:hint="eastAsia"/>
        </w:rPr>
        <w:t xml:space="preserve">22.  </w:t>
      </w:r>
      <w:r w:rsidRPr="00BD06A0">
        <w:rPr>
          <w:rFonts w:hint="eastAsia"/>
        </w:rPr>
        <w:t>毛里求斯法律制度的一个基本原则是权力分立。因此，立法权完全归于议会，法院不得侵犯或篡取此类权力。法院有权解释议会通过的权利，在此过程中，它们必须尊重法令和宪法解释的既定原则。</w:t>
      </w:r>
    </w:p>
    <w:p w:rsidR="00BD06A0" w:rsidRPr="00BD06A0" w:rsidRDefault="00BD06A0" w:rsidP="00BD06A0">
      <w:pPr>
        <w:pStyle w:val="SingleTxtGC"/>
        <w:rPr>
          <w:rFonts w:hint="eastAsia"/>
        </w:rPr>
      </w:pPr>
      <w:r w:rsidRPr="00BD06A0">
        <w:rPr>
          <w:rFonts w:hint="eastAsia"/>
        </w:rPr>
        <w:t xml:space="preserve">23.  </w:t>
      </w:r>
      <w:r w:rsidRPr="00BD06A0">
        <w:rPr>
          <w:rFonts w:hint="eastAsia"/>
        </w:rPr>
        <w:t>赋予权利的权力专属议会。法院虽然有权解释《宪法》或议会赋予的这些权利的范围，但不得创设国内法中并不存在的权利。</w:t>
      </w:r>
    </w:p>
    <w:p w:rsidR="00BD06A0" w:rsidRPr="00BD06A0" w:rsidRDefault="009A29D8" w:rsidP="009A29D8">
      <w:pPr>
        <w:pStyle w:val="H1GC"/>
        <w:rPr>
          <w:rFonts w:hint="eastAsia"/>
        </w:rPr>
      </w:pPr>
      <w:r>
        <w:rPr>
          <w:rFonts w:hint="eastAsia"/>
          <w:b/>
        </w:rPr>
        <w:tab/>
      </w:r>
      <w:r w:rsidR="00BD06A0" w:rsidRPr="009A29D8">
        <w:rPr>
          <w:rFonts w:hint="eastAsia"/>
        </w:rPr>
        <w:t>B</w:t>
      </w:r>
      <w:r w:rsidR="00BD06A0" w:rsidRPr="00BD06A0">
        <w:rPr>
          <w:rFonts w:hint="eastAsia"/>
        </w:rPr>
        <w:t>.</w:t>
      </w:r>
      <w:r>
        <w:rPr>
          <w:rFonts w:hint="eastAsia"/>
        </w:rPr>
        <w:tab/>
      </w:r>
      <w:r w:rsidR="00BD06A0" w:rsidRPr="00BD06A0">
        <w:rPr>
          <w:rFonts w:hint="eastAsia"/>
        </w:rPr>
        <w:t>保护人权准则的一般框架</w:t>
      </w:r>
    </w:p>
    <w:p w:rsidR="00BD06A0" w:rsidRPr="00BD06A0" w:rsidRDefault="002A637B" w:rsidP="002A637B">
      <w:pPr>
        <w:pStyle w:val="H23GC"/>
        <w:rPr>
          <w:rFonts w:hint="eastAsia"/>
          <w:u w:val="single"/>
        </w:rPr>
      </w:pPr>
      <w:r>
        <w:rPr>
          <w:rFonts w:hint="eastAsia"/>
          <w:b/>
        </w:rPr>
        <w:tab/>
      </w:r>
      <w:r w:rsidR="00BD06A0" w:rsidRPr="002A637B">
        <w:rPr>
          <w:rFonts w:hint="eastAsia"/>
        </w:rPr>
        <w:t>1</w:t>
      </w:r>
      <w:r w:rsidR="00BD06A0" w:rsidRPr="00BD06A0">
        <w:rPr>
          <w:rFonts w:hint="eastAsia"/>
        </w:rPr>
        <w:t>.</w:t>
      </w:r>
      <w:r>
        <w:rPr>
          <w:rFonts w:hint="eastAsia"/>
        </w:rPr>
        <w:tab/>
      </w:r>
      <w:r w:rsidR="00BD06A0" w:rsidRPr="00BD06A0">
        <w:rPr>
          <w:rFonts w:hint="eastAsia"/>
        </w:rPr>
        <w:t>接受国际人权标准的情况</w:t>
      </w:r>
    </w:p>
    <w:p w:rsidR="00BD06A0" w:rsidRPr="00BD06A0" w:rsidRDefault="00BD06A0" w:rsidP="00BD06A0">
      <w:pPr>
        <w:pStyle w:val="SingleTxtGC"/>
        <w:rPr>
          <w:rFonts w:hint="eastAsia"/>
        </w:rPr>
      </w:pPr>
      <w:r w:rsidRPr="00BD06A0">
        <w:rPr>
          <w:rFonts w:hint="eastAsia"/>
        </w:rPr>
        <w:t xml:space="preserve">24.  </w:t>
      </w:r>
      <w:r w:rsidRPr="00BD06A0">
        <w:rPr>
          <w:rFonts w:hint="eastAsia"/>
        </w:rPr>
        <w:t>毛里求斯签署和批准了大多数国际人权公约。</w:t>
      </w:r>
    </w:p>
    <w:p w:rsidR="00BD06A0" w:rsidRPr="00BD06A0" w:rsidRDefault="007C56B3" w:rsidP="007C56B3">
      <w:pPr>
        <w:pStyle w:val="H23GC"/>
        <w:rPr>
          <w:rFonts w:hint="eastAsia"/>
        </w:rPr>
      </w:pPr>
      <w:r>
        <w:rPr>
          <w:rFonts w:hint="eastAsia"/>
        </w:rPr>
        <w:tab/>
      </w:r>
      <w:r>
        <w:rPr>
          <w:rFonts w:hint="eastAsia"/>
        </w:rPr>
        <w:tab/>
      </w:r>
      <w:r w:rsidR="00BD06A0" w:rsidRPr="00BD06A0">
        <w:rPr>
          <w:rFonts w:hint="eastAsia"/>
        </w:rPr>
        <w:t>世界人权宣言</w:t>
      </w:r>
    </w:p>
    <w:p w:rsidR="00BD06A0" w:rsidRPr="00BD06A0" w:rsidRDefault="00BD06A0" w:rsidP="00BD06A0">
      <w:pPr>
        <w:pStyle w:val="SingleTxtGC"/>
        <w:rPr>
          <w:rFonts w:hint="eastAsia"/>
        </w:rPr>
      </w:pPr>
      <w:r w:rsidRPr="00BD06A0">
        <w:rPr>
          <w:rFonts w:hint="eastAsia"/>
        </w:rPr>
        <w:t xml:space="preserve">25.  </w:t>
      </w:r>
      <w:r w:rsidRPr="00BD06A0">
        <w:rPr>
          <w:rFonts w:hint="eastAsia"/>
        </w:rPr>
        <w:t>各项联合国人权问题决议屡次一致申明和重申《世界人权宣言》，毛里求斯支持这些决议，这就是对该《宣言》的承诺。</w:t>
      </w:r>
    </w:p>
    <w:p w:rsidR="00BD06A0" w:rsidRPr="00BD06A0" w:rsidRDefault="00215753" w:rsidP="00215753">
      <w:pPr>
        <w:pStyle w:val="H23GC"/>
        <w:rPr>
          <w:rFonts w:hint="eastAsia"/>
        </w:rPr>
      </w:pPr>
      <w:r>
        <w:rPr>
          <w:rFonts w:hint="eastAsia"/>
        </w:rPr>
        <w:tab/>
      </w:r>
      <w:r>
        <w:rPr>
          <w:rFonts w:hint="eastAsia"/>
        </w:rPr>
        <w:tab/>
      </w:r>
      <w:r w:rsidR="00BD06A0" w:rsidRPr="00BD06A0">
        <w:rPr>
          <w:rFonts w:hint="eastAsia"/>
        </w:rPr>
        <w:t>联合国主要人权公约</w:t>
      </w:r>
    </w:p>
    <w:p w:rsidR="00BD06A0" w:rsidRPr="00BD06A0" w:rsidRDefault="00BD06A0" w:rsidP="00BD06A0">
      <w:pPr>
        <w:pStyle w:val="SingleTxtGC"/>
        <w:rPr>
          <w:rFonts w:hint="eastAsia"/>
        </w:rPr>
      </w:pPr>
      <w:r w:rsidRPr="00BD06A0">
        <w:rPr>
          <w:rFonts w:hint="eastAsia"/>
        </w:rPr>
        <w:t xml:space="preserve">26.  </w:t>
      </w:r>
      <w:r w:rsidRPr="00BD06A0">
        <w:rPr>
          <w:rFonts w:hint="eastAsia"/>
        </w:rPr>
        <w:t>毛里求斯批准了联合国大会通过的六项主要人权公约，并签署了《残疾人权利公约》。</w:t>
      </w:r>
    </w:p>
    <w:p w:rsidR="00BD06A0" w:rsidRPr="00BD06A0" w:rsidRDefault="00BD06A0" w:rsidP="00781B14">
      <w:pPr>
        <w:pStyle w:val="H4GC"/>
        <w:rPr>
          <w:rFonts w:hint="eastAsia"/>
          <w:u w:val="single"/>
        </w:rPr>
      </w:pPr>
      <w:r w:rsidRPr="00BD06A0">
        <w:rPr>
          <w:rFonts w:hint="eastAsia"/>
        </w:rPr>
        <w:tab/>
      </w:r>
      <w:r w:rsidR="00C4352F">
        <w:rPr>
          <w:rFonts w:hint="eastAsia"/>
        </w:rPr>
        <w:tab/>
      </w:r>
      <w:r w:rsidRPr="00BD06A0">
        <w:rPr>
          <w:rFonts w:hint="eastAsia"/>
        </w:rPr>
        <w:t>《公民权利和政治权利国际公约》</w:t>
      </w:r>
    </w:p>
    <w:p w:rsidR="00BD06A0" w:rsidRPr="00BD06A0" w:rsidRDefault="00BD06A0" w:rsidP="00BD06A0">
      <w:pPr>
        <w:pStyle w:val="SingleTxtGC"/>
        <w:rPr>
          <w:rFonts w:hint="eastAsia"/>
        </w:rPr>
      </w:pPr>
      <w:r w:rsidRPr="00BD06A0">
        <w:rPr>
          <w:rFonts w:hint="eastAsia"/>
        </w:rPr>
        <w:t>27.  2005</w:t>
      </w:r>
      <w:r w:rsidRPr="00BD06A0">
        <w:rPr>
          <w:rFonts w:hint="eastAsia"/>
        </w:rPr>
        <w:t>年</w:t>
      </w:r>
      <w:r w:rsidRPr="00BD06A0">
        <w:rPr>
          <w:rFonts w:hint="eastAsia"/>
        </w:rPr>
        <w:t>3</w:t>
      </w:r>
      <w:r w:rsidRPr="00BD06A0">
        <w:rPr>
          <w:rFonts w:hint="eastAsia"/>
        </w:rPr>
        <w:t>月</w:t>
      </w:r>
      <w:r w:rsidRPr="00BD06A0">
        <w:rPr>
          <w:rFonts w:hint="eastAsia"/>
        </w:rPr>
        <w:t>17</w:t>
      </w:r>
      <w:r w:rsidRPr="00BD06A0">
        <w:rPr>
          <w:rFonts w:hint="eastAsia"/>
        </w:rPr>
        <w:t>和</w:t>
      </w:r>
      <w:r w:rsidRPr="00BD06A0">
        <w:rPr>
          <w:rFonts w:hint="eastAsia"/>
        </w:rPr>
        <w:t>18</w:t>
      </w:r>
      <w:r w:rsidRPr="00BD06A0">
        <w:rPr>
          <w:rFonts w:hint="eastAsia"/>
        </w:rPr>
        <w:t>日，人权事务委员会审议了毛里求斯的第四次定期报告。委员会的结论性意见载于</w:t>
      </w:r>
      <w:r w:rsidRPr="00BD06A0">
        <w:t>CCPR/CO/83/MUS</w:t>
      </w:r>
      <w:r w:rsidRPr="00BD06A0">
        <w:rPr>
          <w:rFonts w:hint="eastAsia"/>
        </w:rPr>
        <w:t>。</w:t>
      </w:r>
    </w:p>
    <w:p w:rsidR="00BD06A0" w:rsidRPr="00BD06A0" w:rsidRDefault="00BD06A0" w:rsidP="00781B14">
      <w:pPr>
        <w:pStyle w:val="H4GC"/>
        <w:rPr>
          <w:rFonts w:hint="eastAsia"/>
          <w:u w:val="single"/>
        </w:rPr>
      </w:pPr>
      <w:r w:rsidRPr="00BD06A0">
        <w:rPr>
          <w:rFonts w:hint="eastAsia"/>
          <w:b/>
        </w:rPr>
        <w:tab/>
      </w:r>
      <w:r w:rsidR="007F0819">
        <w:rPr>
          <w:rFonts w:hint="eastAsia"/>
          <w:b/>
        </w:rPr>
        <w:tab/>
      </w:r>
      <w:r w:rsidRPr="00A9741A">
        <w:rPr>
          <w:rFonts w:hint="eastAsia"/>
        </w:rPr>
        <w:t>1966</w:t>
      </w:r>
      <w:r w:rsidRPr="00BD06A0">
        <w:rPr>
          <w:rFonts w:hint="eastAsia"/>
        </w:rPr>
        <w:t>年《消除一切形式种族歧视国际公约》</w:t>
      </w:r>
    </w:p>
    <w:p w:rsidR="00BD06A0" w:rsidRPr="00BD06A0" w:rsidRDefault="00BD06A0" w:rsidP="00BD06A0">
      <w:pPr>
        <w:pStyle w:val="SingleTxtGC"/>
        <w:rPr>
          <w:rFonts w:hint="eastAsia"/>
        </w:rPr>
      </w:pPr>
      <w:r w:rsidRPr="00BD06A0">
        <w:rPr>
          <w:rFonts w:hint="eastAsia"/>
        </w:rPr>
        <w:t xml:space="preserve">28.  </w:t>
      </w:r>
      <w:r w:rsidRPr="00BD06A0">
        <w:rPr>
          <w:rFonts w:hint="eastAsia"/>
        </w:rPr>
        <w:t>《公约》设立的委员会审议了毛里求斯</w:t>
      </w:r>
      <w:r w:rsidRPr="00BD06A0">
        <w:rPr>
          <w:rFonts w:hint="eastAsia"/>
        </w:rPr>
        <w:t>2000</w:t>
      </w:r>
      <w:r w:rsidRPr="00BD06A0">
        <w:rPr>
          <w:rFonts w:hint="eastAsia"/>
        </w:rPr>
        <w:t>年</w:t>
      </w:r>
      <w:r w:rsidRPr="00BD06A0">
        <w:rPr>
          <w:rFonts w:hint="eastAsia"/>
        </w:rPr>
        <w:t>8</w:t>
      </w:r>
      <w:r w:rsidRPr="00BD06A0">
        <w:rPr>
          <w:rFonts w:hint="eastAsia"/>
        </w:rPr>
        <w:t>月作为一份文件提交的第三和第四次定期报告。委员会的结论性意见载于</w:t>
      </w:r>
      <w:r w:rsidRPr="00BD06A0">
        <w:t>01/05/2001CERD/C/304/</w:t>
      </w:r>
      <w:r w:rsidRPr="00BD06A0">
        <w:rPr>
          <w:rFonts w:hint="eastAsia"/>
        </w:rPr>
        <w:t xml:space="preserve"> </w:t>
      </w:r>
      <w:r w:rsidRPr="00BD06A0">
        <w:t>Add.106</w:t>
      </w:r>
      <w:r w:rsidRPr="00BD06A0">
        <w:rPr>
          <w:rFonts w:hint="eastAsia"/>
        </w:rPr>
        <w:t>。</w:t>
      </w:r>
    </w:p>
    <w:p w:rsidR="00BD06A0" w:rsidRPr="00BD06A0" w:rsidRDefault="00BD06A0" w:rsidP="00BF04C2">
      <w:pPr>
        <w:pStyle w:val="H4GC"/>
        <w:rPr>
          <w:rFonts w:hint="eastAsia"/>
          <w:u w:val="single"/>
        </w:rPr>
      </w:pPr>
      <w:r w:rsidRPr="00BD06A0">
        <w:rPr>
          <w:rFonts w:hint="eastAsia"/>
        </w:rPr>
        <w:tab/>
      </w:r>
      <w:r w:rsidR="009F08F4">
        <w:rPr>
          <w:rFonts w:hint="eastAsia"/>
        </w:rPr>
        <w:tab/>
      </w:r>
      <w:r w:rsidRPr="00BD06A0">
        <w:rPr>
          <w:rFonts w:hint="eastAsia"/>
        </w:rPr>
        <w:t>《消除对妇女一切形式歧视公约》</w:t>
      </w:r>
    </w:p>
    <w:p w:rsidR="00BD06A0" w:rsidRPr="00BD06A0" w:rsidRDefault="00BD06A0" w:rsidP="00BD06A0">
      <w:pPr>
        <w:pStyle w:val="SingleTxtGC"/>
        <w:rPr>
          <w:rFonts w:hint="eastAsia"/>
          <w:bCs/>
        </w:rPr>
      </w:pPr>
      <w:r w:rsidRPr="00BD06A0">
        <w:rPr>
          <w:rFonts w:hint="eastAsia"/>
        </w:rPr>
        <w:t xml:space="preserve">29.  </w:t>
      </w:r>
      <w:r w:rsidRPr="00BD06A0">
        <w:rPr>
          <w:rFonts w:hint="eastAsia"/>
        </w:rPr>
        <w:t>《公约》设立的委员会</w:t>
      </w:r>
      <w:r w:rsidRPr="00BD06A0">
        <w:rPr>
          <w:rFonts w:hint="eastAsia"/>
        </w:rPr>
        <w:t>2006</w:t>
      </w:r>
      <w:r w:rsidRPr="00BD06A0">
        <w:rPr>
          <w:rFonts w:hint="eastAsia"/>
        </w:rPr>
        <w:t>年</w:t>
      </w:r>
      <w:r w:rsidRPr="00BD06A0">
        <w:rPr>
          <w:rFonts w:hint="eastAsia"/>
        </w:rPr>
        <w:t>8</w:t>
      </w:r>
      <w:r w:rsidRPr="00BD06A0">
        <w:rPr>
          <w:rFonts w:hint="eastAsia"/>
        </w:rPr>
        <w:t>月审议了毛里求斯的合并的第三、第四和第五次定期报告。委员会的结论性意见载于</w:t>
      </w:r>
      <w:r w:rsidRPr="00BD06A0">
        <w:rPr>
          <w:bCs/>
        </w:rPr>
        <w:t>CEDAW/C/MAR/CO/5</w:t>
      </w:r>
      <w:r w:rsidRPr="00BD06A0">
        <w:rPr>
          <w:rFonts w:hint="eastAsia"/>
          <w:bCs/>
        </w:rPr>
        <w:t>。</w:t>
      </w:r>
    </w:p>
    <w:p w:rsidR="00BD06A0" w:rsidRPr="00BD06A0" w:rsidRDefault="00BD06A0" w:rsidP="00E01009">
      <w:pPr>
        <w:pStyle w:val="H4GC"/>
        <w:rPr>
          <w:rFonts w:hint="eastAsia"/>
          <w:u w:val="single"/>
        </w:rPr>
      </w:pPr>
      <w:r w:rsidRPr="00BD06A0">
        <w:rPr>
          <w:rFonts w:hint="eastAsia"/>
        </w:rPr>
        <w:tab/>
      </w:r>
      <w:r w:rsidR="00337C11">
        <w:rPr>
          <w:rFonts w:hint="eastAsia"/>
        </w:rPr>
        <w:tab/>
      </w:r>
      <w:r w:rsidRPr="00BD06A0">
        <w:rPr>
          <w:rFonts w:hint="eastAsia"/>
        </w:rPr>
        <w:t>《禁止酷刑和其他残忍、不人道或有辱人格的待遇或处罚公约》</w:t>
      </w:r>
    </w:p>
    <w:p w:rsidR="00BD06A0" w:rsidRPr="00BD06A0" w:rsidRDefault="00BD06A0" w:rsidP="00BD06A0">
      <w:pPr>
        <w:pStyle w:val="SingleTxtGC"/>
        <w:rPr>
          <w:rFonts w:hint="eastAsia"/>
        </w:rPr>
      </w:pPr>
      <w:r w:rsidRPr="00BD06A0">
        <w:rPr>
          <w:rFonts w:hint="eastAsia"/>
        </w:rPr>
        <w:t xml:space="preserve">30.  </w:t>
      </w:r>
      <w:r w:rsidRPr="00BD06A0">
        <w:rPr>
          <w:rFonts w:hint="eastAsia"/>
        </w:rPr>
        <w:t>尚未提交的定期报告正在最后定稿，并将迅速提交禁止酷刑委员会。</w:t>
      </w:r>
      <w:r w:rsidRPr="00BD06A0">
        <w:rPr>
          <w:rFonts w:hint="eastAsia"/>
        </w:rPr>
        <w:t>2007</w:t>
      </w:r>
      <w:r w:rsidRPr="00BD06A0">
        <w:rPr>
          <w:rFonts w:hint="eastAsia"/>
        </w:rPr>
        <w:t>年</w:t>
      </w:r>
      <w:r w:rsidRPr="00BD06A0">
        <w:rPr>
          <w:rFonts w:hint="eastAsia"/>
        </w:rPr>
        <w:t>10</w:t>
      </w:r>
      <w:r w:rsidRPr="00BD06A0">
        <w:rPr>
          <w:rFonts w:hint="eastAsia"/>
        </w:rPr>
        <w:t>月</w:t>
      </w:r>
      <w:r w:rsidRPr="00BD06A0">
        <w:rPr>
          <w:rFonts w:hint="eastAsia"/>
        </w:rPr>
        <w:t>10</w:t>
      </w:r>
      <w:r w:rsidRPr="00BD06A0">
        <w:rPr>
          <w:rFonts w:hint="eastAsia"/>
        </w:rPr>
        <w:t>日至</w:t>
      </w:r>
      <w:r w:rsidRPr="00BD06A0">
        <w:rPr>
          <w:rFonts w:hint="eastAsia"/>
        </w:rPr>
        <w:t>18</w:t>
      </w:r>
      <w:r w:rsidRPr="00BD06A0">
        <w:rPr>
          <w:rFonts w:hint="eastAsia"/>
        </w:rPr>
        <w:t>日，毛里求斯荣幸地接待了禁止酷刑小组委员会的访问。实际上，毛里求斯是通过抽签选定，成为根据</w:t>
      </w:r>
      <w:r w:rsidRPr="00126F9B">
        <w:rPr>
          <w:rFonts w:ascii="SimSun" w:hAnsi="SimSun" w:hint="eastAsia"/>
        </w:rPr>
        <w:t>《</w:t>
      </w:r>
      <w:r w:rsidR="00126F9B">
        <w:rPr>
          <w:rFonts w:ascii="SimSun" w:hAnsi="SimSun" w:hint="eastAsia"/>
        </w:rPr>
        <w:t>&lt;</w:t>
      </w:r>
      <w:r w:rsidRPr="00BD06A0">
        <w:rPr>
          <w:rFonts w:hint="eastAsia"/>
        </w:rPr>
        <w:t>公约</w:t>
      </w:r>
      <w:r w:rsidR="00126F9B">
        <w:rPr>
          <w:rFonts w:ascii="SimSun" w:hAnsi="SimSun" w:hint="eastAsia"/>
        </w:rPr>
        <w:t>&gt;</w:t>
      </w:r>
      <w:r w:rsidRPr="00BD06A0">
        <w:rPr>
          <w:rFonts w:hint="eastAsia"/>
        </w:rPr>
        <w:t>任择议定书》由小组委员会审议的第一个国家。</w:t>
      </w:r>
    </w:p>
    <w:p w:rsidR="00BD06A0" w:rsidRPr="00BD06A0" w:rsidRDefault="00BD06A0" w:rsidP="003B2DE8">
      <w:pPr>
        <w:pStyle w:val="H4GC"/>
        <w:rPr>
          <w:rFonts w:hint="eastAsia"/>
          <w:u w:val="single"/>
        </w:rPr>
      </w:pPr>
      <w:r w:rsidRPr="00BD06A0">
        <w:rPr>
          <w:rFonts w:hint="eastAsia"/>
        </w:rPr>
        <w:tab/>
      </w:r>
      <w:r w:rsidR="00B461E3">
        <w:rPr>
          <w:rFonts w:hint="eastAsia"/>
        </w:rPr>
        <w:tab/>
      </w:r>
      <w:r w:rsidRPr="00BD06A0">
        <w:rPr>
          <w:rFonts w:hint="eastAsia"/>
        </w:rPr>
        <w:t>《儿童权利公约》</w:t>
      </w:r>
    </w:p>
    <w:p w:rsidR="00BD06A0" w:rsidRPr="00BD06A0" w:rsidRDefault="00BD06A0" w:rsidP="00BD06A0">
      <w:pPr>
        <w:pStyle w:val="SingleTxtGC"/>
        <w:rPr>
          <w:rFonts w:hint="eastAsia"/>
          <w:iCs/>
        </w:rPr>
      </w:pPr>
      <w:r w:rsidRPr="00BD06A0">
        <w:rPr>
          <w:rFonts w:hint="eastAsia"/>
        </w:rPr>
        <w:t>31.  2006</w:t>
      </w:r>
      <w:r w:rsidRPr="00BD06A0">
        <w:rPr>
          <w:rFonts w:hint="eastAsia"/>
        </w:rPr>
        <w:t>年</w:t>
      </w:r>
      <w:r w:rsidRPr="00BD06A0">
        <w:rPr>
          <w:rFonts w:hint="eastAsia"/>
        </w:rPr>
        <w:t>1</w:t>
      </w:r>
      <w:r w:rsidRPr="00BD06A0">
        <w:rPr>
          <w:rFonts w:hint="eastAsia"/>
        </w:rPr>
        <w:t>月，儿童权利委员会审议了毛里求斯的第二份定期报告。委员会的结论性意见载于</w:t>
      </w:r>
      <w:r w:rsidRPr="00BD06A0">
        <w:rPr>
          <w:iCs/>
        </w:rPr>
        <w:t>CRC/C/MUS/CO/2</w:t>
      </w:r>
      <w:r w:rsidRPr="00BD06A0">
        <w:rPr>
          <w:rFonts w:hint="eastAsia"/>
          <w:iCs/>
        </w:rPr>
        <w:t>。</w:t>
      </w:r>
    </w:p>
    <w:p w:rsidR="00BD06A0" w:rsidRPr="00BD06A0" w:rsidRDefault="00BD06A0" w:rsidP="00522052">
      <w:pPr>
        <w:pStyle w:val="H4GC"/>
        <w:rPr>
          <w:rFonts w:hint="eastAsia"/>
          <w:u w:val="single"/>
        </w:rPr>
      </w:pPr>
      <w:r w:rsidRPr="00BD06A0">
        <w:rPr>
          <w:rFonts w:hint="eastAsia"/>
        </w:rPr>
        <w:tab/>
      </w:r>
      <w:r w:rsidR="00926402">
        <w:rPr>
          <w:rFonts w:hint="eastAsia"/>
        </w:rPr>
        <w:tab/>
      </w:r>
      <w:r w:rsidRPr="00BD06A0">
        <w:rPr>
          <w:rFonts w:hint="eastAsia"/>
        </w:rPr>
        <w:t>《残疾人权利公约》</w:t>
      </w:r>
    </w:p>
    <w:p w:rsidR="00BD06A0" w:rsidRPr="00BD06A0" w:rsidRDefault="00BD06A0" w:rsidP="00BD06A0">
      <w:pPr>
        <w:pStyle w:val="SingleTxtGC"/>
        <w:rPr>
          <w:rFonts w:hint="eastAsia"/>
        </w:rPr>
      </w:pPr>
      <w:r w:rsidRPr="00BD06A0">
        <w:rPr>
          <w:rFonts w:hint="eastAsia"/>
        </w:rPr>
        <w:t xml:space="preserve">32.  </w:t>
      </w:r>
      <w:r w:rsidRPr="00BD06A0">
        <w:rPr>
          <w:rFonts w:hint="eastAsia"/>
        </w:rPr>
        <w:t>毛里求斯</w:t>
      </w:r>
      <w:r w:rsidRPr="00BD06A0">
        <w:rPr>
          <w:rFonts w:hint="eastAsia"/>
        </w:rPr>
        <w:t>2007</w:t>
      </w:r>
      <w:r w:rsidRPr="00BD06A0">
        <w:rPr>
          <w:rFonts w:hint="eastAsia"/>
        </w:rPr>
        <w:t>年</w:t>
      </w:r>
      <w:r w:rsidRPr="00BD06A0">
        <w:rPr>
          <w:rFonts w:hint="eastAsia"/>
        </w:rPr>
        <w:t>9</w:t>
      </w:r>
      <w:r w:rsidRPr="00BD06A0">
        <w:rPr>
          <w:rFonts w:hint="eastAsia"/>
        </w:rPr>
        <w:t>月</w:t>
      </w:r>
      <w:r w:rsidRPr="00BD06A0">
        <w:rPr>
          <w:rFonts w:hint="eastAsia"/>
        </w:rPr>
        <w:t>25</w:t>
      </w:r>
      <w:r w:rsidRPr="00BD06A0">
        <w:rPr>
          <w:rFonts w:hint="eastAsia"/>
        </w:rPr>
        <w:t>日签署《残疾人权利公约》。该《公约》意在详尽规定残疾人权利，载明实施规范。加入该《公约》的各国着手制定和执行有关政策、法律和行政措施以确保落实《公约》中承认的权利，同时消除构成歧视的法律、条例、习俗和惯例。鉴于观念的转变对改善残疾人状况至关重要，各批准国正在努力消除陈规和偏见，提高对残疾人能力的认识。</w:t>
      </w:r>
    </w:p>
    <w:p w:rsidR="00BD06A0" w:rsidRPr="00BD06A0" w:rsidRDefault="000951DE" w:rsidP="00DF50F2">
      <w:pPr>
        <w:pStyle w:val="H4GC"/>
        <w:rPr>
          <w:rFonts w:hint="eastAsia"/>
          <w:u w:val="single"/>
        </w:rPr>
      </w:pPr>
      <w:r>
        <w:rPr>
          <w:rFonts w:hint="eastAsia"/>
        </w:rPr>
        <w:tab/>
      </w:r>
      <w:r>
        <w:rPr>
          <w:rFonts w:hint="eastAsia"/>
        </w:rPr>
        <w:tab/>
      </w:r>
      <w:r w:rsidR="00BD06A0" w:rsidRPr="00BD06A0">
        <w:rPr>
          <w:rFonts w:hint="eastAsia"/>
        </w:rPr>
        <w:t>《非洲人权和人民权利宪章》</w:t>
      </w:r>
    </w:p>
    <w:p w:rsidR="00BD06A0" w:rsidRPr="00BD06A0" w:rsidRDefault="00BD06A0" w:rsidP="00BD06A0">
      <w:pPr>
        <w:pStyle w:val="SingleTxtGC"/>
        <w:rPr>
          <w:rFonts w:hint="eastAsia"/>
        </w:rPr>
      </w:pPr>
      <w:r w:rsidRPr="00BD06A0">
        <w:rPr>
          <w:rFonts w:hint="eastAsia"/>
        </w:rPr>
        <w:t xml:space="preserve">33.  </w:t>
      </w:r>
      <w:r w:rsidRPr="00BD06A0">
        <w:rPr>
          <w:rFonts w:hint="eastAsia"/>
        </w:rPr>
        <w:t>毛里求斯还批准了《非洲人权和人民权利宪章》，正在完成《非洲宪章》第</w:t>
      </w:r>
      <w:r w:rsidRPr="00BD06A0">
        <w:rPr>
          <w:rFonts w:hint="eastAsia"/>
        </w:rPr>
        <w:t>62</w:t>
      </w:r>
      <w:r w:rsidRPr="00BD06A0">
        <w:rPr>
          <w:rFonts w:hint="eastAsia"/>
        </w:rPr>
        <w:t>条所要求的国家定期报告的定稿。</w:t>
      </w:r>
    </w:p>
    <w:p w:rsidR="00BD06A0" w:rsidRPr="00BD06A0" w:rsidRDefault="006B06DA" w:rsidP="00A32004">
      <w:pPr>
        <w:pStyle w:val="H4GC"/>
        <w:rPr>
          <w:rFonts w:hint="eastAsia"/>
        </w:rPr>
      </w:pPr>
      <w:r>
        <w:rPr>
          <w:rFonts w:hint="eastAsia"/>
        </w:rPr>
        <w:tab/>
      </w:r>
      <w:r>
        <w:rPr>
          <w:rFonts w:hint="eastAsia"/>
        </w:rPr>
        <w:tab/>
      </w:r>
      <w:r w:rsidR="00BD06A0" w:rsidRPr="00BD06A0">
        <w:rPr>
          <w:rFonts w:hint="eastAsia"/>
        </w:rPr>
        <w:t>国际劳工组织的各项公约</w:t>
      </w:r>
    </w:p>
    <w:p w:rsidR="00BD06A0" w:rsidRPr="00BD06A0" w:rsidRDefault="00BD06A0" w:rsidP="00BD06A0">
      <w:pPr>
        <w:pStyle w:val="SingleTxtGC"/>
        <w:rPr>
          <w:rFonts w:hint="eastAsia"/>
        </w:rPr>
      </w:pPr>
      <w:r w:rsidRPr="00BD06A0">
        <w:rPr>
          <w:rFonts w:hint="eastAsia"/>
        </w:rPr>
        <w:t xml:space="preserve">34.  </w:t>
      </w:r>
      <w:r w:rsidRPr="00BD06A0">
        <w:rPr>
          <w:rFonts w:hint="eastAsia"/>
        </w:rPr>
        <w:t>毛里求斯还签署了</w:t>
      </w:r>
      <w:r w:rsidRPr="00BD06A0">
        <w:rPr>
          <w:rFonts w:hint="eastAsia"/>
        </w:rPr>
        <w:t>35</w:t>
      </w:r>
      <w:r w:rsidRPr="00BD06A0">
        <w:rPr>
          <w:rFonts w:hint="eastAsia"/>
        </w:rPr>
        <w:t>项国际劳工组织公约，包括关于最恶劣形式的童工的第</w:t>
      </w:r>
      <w:r w:rsidRPr="00BD06A0">
        <w:rPr>
          <w:rFonts w:hint="eastAsia"/>
        </w:rPr>
        <w:t>182</w:t>
      </w:r>
      <w:r w:rsidRPr="00BD06A0">
        <w:rPr>
          <w:rFonts w:hint="eastAsia"/>
        </w:rPr>
        <w:t>号公约，关于最低年龄的第</w:t>
      </w:r>
      <w:r w:rsidRPr="00BD06A0">
        <w:rPr>
          <w:rFonts w:hint="eastAsia"/>
        </w:rPr>
        <w:t>138</w:t>
      </w:r>
      <w:r w:rsidRPr="00BD06A0">
        <w:rPr>
          <w:rFonts w:hint="eastAsia"/>
        </w:rPr>
        <w:t>号公约，关于同酬问题的第</w:t>
      </w:r>
      <w:r w:rsidRPr="00BD06A0">
        <w:rPr>
          <w:rFonts w:hint="eastAsia"/>
        </w:rPr>
        <w:t>100</w:t>
      </w:r>
      <w:r w:rsidRPr="00BD06A0">
        <w:rPr>
          <w:rFonts w:hint="eastAsia"/>
        </w:rPr>
        <w:t>号公约，关于就业和职业歧视的第</w:t>
      </w:r>
      <w:r w:rsidRPr="00BD06A0">
        <w:rPr>
          <w:rFonts w:hint="eastAsia"/>
        </w:rPr>
        <w:t>111</w:t>
      </w:r>
      <w:r w:rsidRPr="00BD06A0">
        <w:rPr>
          <w:rFonts w:hint="eastAsia"/>
        </w:rPr>
        <w:t>号公约，关于</w:t>
      </w:r>
      <w:r w:rsidRPr="00BD06A0">
        <w:rPr>
          <w:rFonts w:hint="eastAsia"/>
        </w:rPr>
        <w:t>(</w:t>
      </w:r>
      <w:r w:rsidRPr="00BD06A0">
        <w:rPr>
          <w:rFonts w:hint="eastAsia"/>
        </w:rPr>
        <w:t>残疾人</w:t>
      </w:r>
      <w:r w:rsidRPr="00BD06A0">
        <w:rPr>
          <w:rFonts w:hint="eastAsia"/>
        </w:rPr>
        <w:t>)</w:t>
      </w:r>
      <w:r w:rsidRPr="00BD06A0">
        <w:rPr>
          <w:rFonts w:hint="eastAsia"/>
        </w:rPr>
        <w:t>职业康复和就业的第</w:t>
      </w:r>
      <w:r w:rsidRPr="00BD06A0">
        <w:rPr>
          <w:rFonts w:hint="eastAsia"/>
        </w:rPr>
        <w:t>159</w:t>
      </w:r>
      <w:r w:rsidRPr="00BD06A0">
        <w:rPr>
          <w:rFonts w:hint="eastAsia"/>
        </w:rPr>
        <w:t>号公约。许多此类公约都已纳入国内劳动法。</w:t>
      </w:r>
    </w:p>
    <w:p w:rsidR="00BD06A0" w:rsidRPr="00BD06A0" w:rsidRDefault="00BD06A0" w:rsidP="00AF57FF">
      <w:pPr>
        <w:pStyle w:val="H4GC"/>
        <w:rPr>
          <w:rFonts w:hint="eastAsia"/>
          <w:u w:val="single"/>
        </w:rPr>
      </w:pPr>
      <w:r w:rsidRPr="00BD06A0">
        <w:rPr>
          <w:rFonts w:hint="eastAsia"/>
        </w:rPr>
        <w:tab/>
      </w:r>
      <w:r w:rsidR="00240EF4">
        <w:rPr>
          <w:rFonts w:hint="eastAsia"/>
        </w:rPr>
        <w:tab/>
      </w:r>
      <w:r w:rsidRPr="00BD06A0">
        <w:rPr>
          <w:rFonts w:hint="eastAsia"/>
        </w:rPr>
        <w:t>《罗马规约》</w:t>
      </w:r>
    </w:p>
    <w:p w:rsidR="00BD06A0" w:rsidRPr="00BD06A0" w:rsidRDefault="00BD06A0" w:rsidP="00BD06A0">
      <w:pPr>
        <w:pStyle w:val="SingleTxtGC"/>
        <w:rPr>
          <w:rFonts w:hint="eastAsia"/>
        </w:rPr>
      </w:pPr>
      <w:r w:rsidRPr="00BD06A0">
        <w:rPr>
          <w:rFonts w:hint="eastAsia"/>
        </w:rPr>
        <w:t>35.  2002</w:t>
      </w:r>
      <w:r w:rsidRPr="00BD06A0">
        <w:rPr>
          <w:rFonts w:hint="eastAsia"/>
        </w:rPr>
        <w:t>年批准了《罗马规约》，该规约规定了设立国际刑事法院，在法律史上第一次就最恶劣的反人类罪对个人行使国际刑事管辖权。毛里求斯正在最后完成实施立法。</w:t>
      </w:r>
    </w:p>
    <w:p w:rsidR="00BD06A0" w:rsidRPr="00BD06A0" w:rsidRDefault="00BD06A0" w:rsidP="00EB5E89">
      <w:pPr>
        <w:pStyle w:val="H4GC"/>
        <w:rPr>
          <w:rFonts w:hint="eastAsia"/>
          <w:u w:val="single"/>
        </w:rPr>
      </w:pPr>
      <w:r w:rsidRPr="00BD06A0">
        <w:rPr>
          <w:rFonts w:hint="eastAsia"/>
        </w:rPr>
        <w:tab/>
      </w:r>
      <w:r w:rsidR="00235962">
        <w:rPr>
          <w:rFonts w:hint="eastAsia"/>
        </w:rPr>
        <w:tab/>
      </w:r>
      <w:r w:rsidRPr="00BD06A0">
        <w:rPr>
          <w:rFonts w:hint="eastAsia"/>
        </w:rPr>
        <w:t>《非洲儿童权利和福利宪章》</w:t>
      </w:r>
    </w:p>
    <w:p w:rsidR="00BD06A0" w:rsidRPr="00BD06A0" w:rsidRDefault="00BD06A0" w:rsidP="00BD06A0">
      <w:pPr>
        <w:pStyle w:val="SingleTxtGC"/>
        <w:rPr>
          <w:rFonts w:hint="eastAsia"/>
        </w:rPr>
      </w:pPr>
      <w:r w:rsidRPr="00BD06A0">
        <w:rPr>
          <w:rFonts w:hint="eastAsia"/>
        </w:rPr>
        <w:t>36.  1992</w:t>
      </w:r>
      <w:r w:rsidRPr="00BD06A0">
        <w:rPr>
          <w:rFonts w:hint="eastAsia"/>
        </w:rPr>
        <w:t>年批准了《非洲儿童权利和福利宪章》。</w:t>
      </w:r>
    </w:p>
    <w:p w:rsidR="00BD06A0" w:rsidRPr="00BD06A0" w:rsidRDefault="00314018" w:rsidP="00314018">
      <w:pPr>
        <w:pStyle w:val="H23GC"/>
        <w:rPr>
          <w:rFonts w:hint="eastAsia"/>
        </w:rPr>
      </w:pPr>
      <w:r>
        <w:rPr>
          <w:rFonts w:hint="eastAsia"/>
          <w:b/>
        </w:rPr>
        <w:tab/>
      </w:r>
      <w:r w:rsidR="00BD06A0" w:rsidRPr="00314018">
        <w:rPr>
          <w:rFonts w:hint="eastAsia"/>
        </w:rPr>
        <w:t>2</w:t>
      </w:r>
      <w:r w:rsidR="00BD06A0" w:rsidRPr="00BD06A0">
        <w:rPr>
          <w:rFonts w:hint="eastAsia"/>
        </w:rPr>
        <w:t>.</w:t>
      </w:r>
      <w:r>
        <w:rPr>
          <w:rFonts w:hint="eastAsia"/>
        </w:rPr>
        <w:tab/>
      </w:r>
      <w:r w:rsidR="00BD06A0" w:rsidRPr="00BD06A0">
        <w:rPr>
          <w:rFonts w:hint="eastAsia"/>
        </w:rPr>
        <w:t>在国家一级保护人权的法律框架</w:t>
      </w:r>
    </w:p>
    <w:p w:rsidR="00BD06A0" w:rsidRPr="00BD06A0" w:rsidRDefault="00BD06A0" w:rsidP="00BD06A0">
      <w:pPr>
        <w:pStyle w:val="SingleTxtGC"/>
        <w:rPr>
          <w:rFonts w:hint="eastAsia"/>
        </w:rPr>
      </w:pPr>
      <w:r w:rsidRPr="00BD06A0">
        <w:rPr>
          <w:rFonts w:hint="eastAsia"/>
        </w:rPr>
        <w:t xml:space="preserve">37.  </w:t>
      </w:r>
      <w:r w:rsidRPr="00BD06A0">
        <w:rPr>
          <w:rFonts w:hint="eastAsia"/>
        </w:rPr>
        <w:t>毛里求斯共和国充分致力于在其境内和属土上保护人权。根据国家法律，存在若干机制，目的是确保个人的基本人权得到充分尊重，并对侵犯此类权利行为的任何受害者给予补偿。</w:t>
      </w:r>
    </w:p>
    <w:p w:rsidR="00BD06A0" w:rsidRPr="00BD06A0" w:rsidRDefault="00903FBE" w:rsidP="00903FBE">
      <w:pPr>
        <w:pStyle w:val="H23GC"/>
        <w:rPr>
          <w:rFonts w:hint="eastAsia"/>
        </w:rPr>
      </w:pPr>
      <w:r>
        <w:rPr>
          <w:rFonts w:hint="eastAsia"/>
        </w:rPr>
        <w:tab/>
      </w:r>
      <w:r>
        <w:rPr>
          <w:rFonts w:hint="eastAsia"/>
        </w:rPr>
        <w:tab/>
      </w:r>
      <w:r w:rsidR="00BD06A0" w:rsidRPr="00BD06A0">
        <w:rPr>
          <w:rFonts w:hint="eastAsia"/>
        </w:rPr>
        <w:t>毛里求斯的《宪法》</w:t>
      </w:r>
    </w:p>
    <w:p w:rsidR="00BD06A0" w:rsidRPr="00BD06A0" w:rsidRDefault="00BD06A0" w:rsidP="00BD06A0">
      <w:pPr>
        <w:pStyle w:val="SingleTxtGC"/>
        <w:rPr>
          <w:rFonts w:hint="eastAsia"/>
        </w:rPr>
      </w:pPr>
      <w:r w:rsidRPr="00BD06A0">
        <w:rPr>
          <w:rFonts w:hint="eastAsia"/>
        </w:rPr>
        <w:t xml:space="preserve">38.  </w:t>
      </w:r>
      <w:r w:rsidRPr="00BD06A0">
        <w:rPr>
          <w:rFonts w:hint="eastAsia"/>
        </w:rPr>
        <w:t>国家的最高法律</w:t>
      </w:r>
      <w:r w:rsidR="00650980">
        <w:rPr>
          <w:rFonts w:hint="eastAsia"/>
          <w:spacing w:val="-50"/>
        </w:rPr>
        <w:t>―</w:t>
      </w:r>
      <w:r w:rsidR="00650980">
        <w:rPr>
          <w:rFonts w:hint="eastAsia"/>
        </w:rPr>
        <w:t>―</w:t>
      </w:r>
      <w:r w:rsidRPr="00BD06A0">
        <w:rPr>
          <w:rFonts w:hint="eastAsia"/>
        </w:rPr>
        <w:t>《毛里求斯宪法》在题为“保护个人的基本权利和自由”的第二章中，载明了从生命权到宗教自由和思想自由等一系列基本权利和自由。</w:t>
      </w:r>
    </w:p>
    <w:p w:rsidR="00BD06A0" w:rsidRPr="00BD06A0" w:rsidRDefault="00BD06A0" w:rsidP="00BD06A0">
      <w:pPr>
        <w:pStyle w:val="SingleTxtGC"/>
        <w:rPr>
          <w:rFonts w:hint="eastAsia"/>
        </w:rPr>
      </w:pPr>
      <w:r w:rsidRPr="00BD06A0">
        <w:rPr>
          <w:rFonts w:hint="eastAsia"/>
        </w:rPr>
        <w:t xml:space="preserve">39.  </w:t>
      </w:r>
      <w:r w:rsidRPr="00BD06A0">
        <w:rPr>
          <w:rFonts w:hint="eastAsia"/>
        </w:rPr>
        <w:t>这些权利和自由已经并将继续存在于毛里求斯，不分种族、出生地、政治观点、肤色、信念或性别，但需尊重他人的权利和自由，并尊重公共利益。</w:t>
      </w:r>
    </w:p>
    <w:p w:rsidR="00BD06A0" w:rsidRPr="00BD06A0" w:rsidRDefault="00BD06A0" w:rsidP="00BD06A0">
      <w:pPr>
        <w:pStyle w:val="SingleTxtGC"/>
        <w:rPr>
          <w:rFonts w:hint="eastAsia"/>
        </w:rPr>
      </w:pPr>
      <w:r w:rsidRPr="00BD06A0">
        <w:rPr>
          <w:rFonts w:hint="eastAsia"/>
        </w:rPr>
        <w:t xml:space="preserve">40.  </w:t>
      </w:r>
      <w:r w:rsidRPr="00BD06A0">
        <w:rPr>
          <w:rFonts w:hint="eastAsia"/>
        </w:rPr>
        <w:t>任何公民，如果认为对他而言第二章的任何规定已经、正在或可能受到违反，均可请求最高法院根据《宪法》第</w:t>
      </w:r>
      <w:r w:rsidRPr="00BD06A0">
        <w:rPr>
          <w:rFonts w:hint="eastAsia"/>
        </w:rPr>
        <w:t>17</w:t>
      </w:r>
      <w:r w:rsidRPr="00BD06A0">
        <w:rPr>
          <w:rFonts w:hint="eastAsia"/>
        </w:rPr>
        <w:t>条给予补救，但第</w:t>
      </w:r>
      <w:r w:rsidRPr="00BD06A0">
        <w:rPr>
          <w:rFonts w:hint="eastAsia"/>
        </w:rPr>
        <w:t>17[2]</w:t>
      </w:r>
      <w:r w:rsidRPr="00BD06A0">
        <w:rPr>
          <w:rFonts w:hint="eastAsia"/>
        </w:rPr>
        <w:t>条有一项限制条件，规定宪法补救应为最后手段。</w:t>
      </w:r>
    </w:p>
    <w:p w:rsidR="00BD06A0" w:rsidRPr="00BD06A0" w:rsidRDefault="00BD06A0" w:rsidP="00BD06A0">
      <w:pPr>
        <w:pStyle w:val="SingleTxtGC"/>
        <w:rPr>
          <w:rFonts w:hint="eastAsia"/>
        </w:rPr>
      </w:pPr>
      <w:r w:rsidRPr="00BD06A0">
        <w:rPr>
          <w:rFonts w:hint="eastAsia"/>
        </w:rPr>
        <w:t xml:space="preserve">41.  </w:t>
      </w:r>
      <w:r w:rsidRPr="00BD06A0">
        <w:rPr>
          <w:rFonts w:hint="eastAsia"/>
        </w:rPr>
        <w:t>我国法院通常对《宪法》给予宽泛和有针对性的解释：</w:t>
      </w:r>
    </w:p>
    <w:p w:rsidR="00BD06A0" w:rsidRPr="003520D3" w:rsidRDefault="00AC56BE" w:rsidP="003520D3">
      <w:pPr>
        <w:pStyle w:val="SingleTxtGC"/>
        <w:rPr>
          <w:rFonts w:eastAsia="KaiTi_GB2312" w:hint="eastAsia"/>
        </w:rPr>
      </w:pPr>
      <w:r w:rsidRPr="003520D3">
        <w:rPr>
          <w:rFonts w:eastAsia="KaiTi_GB2312" w:hint="eastAsia"/>
        </w:rPr>
        <w:tab/>
      </w:r>
      <w:r w:rsidR="00BD06A0" w:rsidRPr="003520D3">
        <w:rPr>
          <w:rFonts w:eastAsia="KaiTi_GB2312" w:hint="eastAsia"/>
        </w:rPr>
        <w:t>“认为成文宪法不应视为议会法令，而应视为必须给予目的明确的解释的宪章或约定，这种看法确实很有道理。”</w:t>
      </w:r>
    </w:p>
    <w:p w:rsidR="00BD06A0" w:rsidRPr="00E5368F" w:rsidRDefault="00BD06A0" w:rsidP="00056D72">
      <w:pPr>
        <w:pStyle w:val="SingleTxtGC"/>
        <w:jc w:val="right"/>
        <w:rPr>
          <w:rFonts w:eastAsia="KaiTi_GB2312"/>
          <w:bCs/>
        </w:rPr>
      </w:pPr>
      <w:r w:rsidRPr="001930C5">
        <w:rPr>
          <w:rFonts w:eastAsia="KaiTi_GB2312"/>
          <w:bCs/>
          <w:i/>
        </w:rPr>
        <w:t>Duval</w:t>
      </w:r>
      <w:r w:rsidRPr="00E5368F">
        <w:rPr>
          <w:rFonts w:eastAsia="KaiTi_GB2312" w:hint="eastAsia"/>
          <w:bCs/>
        </w:rPr>
        <w:t>诉</w:t>
      </w:r>
      <w:r w:rsidRPr="001930C5">
        <w:rPr>
          <w:rFonts w:eastAsia="KaiTi_GB2312"/>
          <w:bCs/>
          <w:i/>
        </w:rPr>
        <w:t>Seetaram</w:t>
      </w:r>
      <w:r w:rsidRPr="00E5368F">
        <w:rPr>
          <w:rFonts w:eastAsia="KaiTi_GB2312" w:hint="eastAsia"/>
          <w:bCs/>
        </w:rPr>
        <w:t>案</w:t>
      </w:r>
      <w:r w:rsidRPr="001930C5">
        <w:rPr>
          <w:rFonts w:eastAsia="KaiTi_GB2312"/>
          <w:bCs/>
          <w:i/>
        </w:rPr>
        <w:t>[1991]</w:t>
      </w:r>
    </w:p>
    <w:p w:rsidR="00BD06A0" w:rsidRPr="00BD06A0" w:rsidRDefault="00BF543C" w:rsidP="00BF543C">
      <w:pPr>
        <w:pStyle w:val="H23GC"/>
        <w:rPr>
          <w:rFonts w:hint="eastAsia"/>
        </w:rPr>
      </w:pPr>
      <w:r>
        <w:rPr>
          <w:rFonts w:hint="eastAsia"/>
          <w:b/>
        </w:rPr>
        <w:tab/>
      </w:r>
      <w:r>
        <w:rPr>
          <w:rFonts w:hint="eastAsia"/>
          <w:b/>
        </w:rPr>
        <w:tab/>
      </w:r>
      <w:r w:rsidR="00BD06A0" w:rsidRPr="00BF543C">
        <w:rPr>
          <w:rFonts w:hint="eastAsia"/>
        </w:rPr>
        <w:t>1998</w:t>
      </w:r>
      <w:r w:rsidR="00BD06A0" w:rsidRPr="00BD06A0">
        <w:rPr>
          <w:rFonts w:hint="eastAsia"/>
        </w:rPr>
        <w:t>年《保护人权法》</w:t>
      </w:r>
    </w:p>
    <w:p w:rsidR="00BD06A0" w:rsidRPr="00BD06A0" w:rsidRDefault="00BD06A0" w:rsidP="00BD06A0">
      <w:pPr>
        <w:pStyle w:val="SingleTxtGC"/>
        <w:rPr>
          <w:rFonts w:hint="eastAsia"/>
        </w:rPr>
      </w:pPr>
      <w:r w:rsidRPr="00BD06A0">
        <w:rPr>
          <w:rFonts w:hint="eastAsia"/>
        </w:rPr>
        <w:t xml:space="preserve">42.  </w:t>
      </w:r>
      <w:r w:rsidRPr="00BD06A0">
        <w:rPr>
          <w:rFonts w:hint="eastAsia"/>
        </w:rPr>
        <w:t>《保护人权法》于</w:t>
      </w:r>
      <w:r w:rsidRPr="00BD06A0">
        <w:rPr>
          <w:rFonts w:hint="eastAsia"/>
        </w:rPr>
        <w:t>1999</w:t>
      </w:r>
      <w:r w:rsidRPr="00BD06A0">
        <w:rPr>
          <w:rFonts w:hint="eastAsia"/>
        </w:rPr>
        <w:t>年</w:t>
      </w:r>
      <w:r w:rsidRPr="00BD06A0">
        <w:rPr>
          <w:rFonts w:hint="eastAsia"/>
        </w:rPr>
        <w:t>2</w:t>
      </w:r>
      <w:r w:rsidRPr="00BD06A0">
        <w:rPr>
          <w:rFonts w:hint="eastAsia"/>
        </w:rPr>
        <w:t>月</w:t>
      </w:r>
      <w:r w:rsidRPr="00BD06A0">
        <w:rPr>
          <w:rFonts w:hint="eastAsia"/>
        </w:rPr>
        <w:t>23</w:t>
      </w:r>
      <w:r w:rsidRPr="00BD06A0">
        <w:rPr>
          <w:rFonts w:hint="eastAsia"/>
        </w:rPr>
        <w:t>日生效。其目的是“规定设立国家人权委员会，更好地保护人权，更深入地调查对警方人员的投诉，并处理与此相关或伴随发生的问题”。该法规定“人权”为</w:t>
      </w:r>
      <w:r w:rsidR="00842514">
        <w:rPr>
          <w:rFonts w:hint="eastAsia"/>
        </w:rPr>
        <w:t>“</w:t>
      </w:r>
      <w:r w:rsidRPr="00BD06A0">
        <w:rPr>
          <w:rFonts w:hint="eastAsia"/>
        </w:rPr>
        <w:t>《宪法》第二章提及的任何权利或自由”。</w:t>
      </w:r>
    </w:p>
    <w:p w:rsidR="00BD06A0" w:rsidRPr="00BD06A0" w:rsidRDefault="00BD06A0" w:rsidP="00BD06A0">
      <w:pPr>
        <w:pStyle w:val="SingleTxtGC"/>
        <w:rPr>
          <w:rFonts w:hint="eastAsia"/>
        </w:rPr>
      </w:pPr>
      <w:r w:rsidRPr="00BD06A0">
        <w:rPr>
          <w:rFonts w:hint="eastAsia"/>
        </w:rPr>
        <w:t xml:space="preserve">43.  </w:t>
      </w:r>
      <w:r w:rsidRPr="00BD06A0">
        <w:rPr>
          <w:rFonts w:hint="eastAsia"/>
        </w:rPr>
        <w:t>虽然普遍承认《宪法》第二章涉及公民权利和政治权利，但其中一些条款与经济、社会和文化权利密切相关。因此良心自由、见解和表达自由、开办学校的自由确保了多元主义在毛里求斯的兴盛，促进了社会和谐。结社自由使工人能够坚持其经济权利。防止剥夺财产的规定，使投资者，尤其是外国投资者放心，促进了经济繁荣。第</w:t>
      </w:r>
      <w:r w:rsidRPr="00BD06A0">
        <w:rPr>
          <w:rFonts w:hint="eastAsia"/>
        </w:rPr>
        <w:t>16</w:t>
      </w:r>
      <w:r w:rsidRPr="00BD06A0">
        <w:rPr>
          <w:rFonts w:hint="eastAsia"/>
        </w:rPr>
        <w:t>条中的防止歧视，保障人们同等享有各项权利。此外，生命权也在一些案例中被解释为有尊严的生活的权利，包括食品权、清洁用水权以及防止沦入绝对贫困。</w:t>
      </w:r>
    </w:p>
    <w:p w:rsidR="00BD06A0" w:rsidRPr="00BD06A0" w:rsidRDefault="00BD06A0" w:rsidP="00BD06A0">
      <w:pPr>
        <w:pStyle w:val="SingleTxtGC"/>
        <w:rPr>
          <w:rFonts w:hint="eastAsia"/>
        </w:rPr>
      </w:pPr>
      <w:r w:rsidRPr="00BD06A0">
        <w:rPr>
          <w:rFonts w:hint="eastAsia"/>
        </w:rPr>
        <w:t xml:space="preserve">44.  </w:t>
      </w:r>
      <w:r w:rsidRPr="00BD06A0">
        <w:rPr>
          <w:rFonts w:hint="eastAsia"/>
        </w:rPr>
        <w:t>因此，国家人权委员会认为它还可监督《宪法》第二章中所载的经济、社会和文化权利的享有情况。因此，</w:t>
      </w:r>
      <w:r w:rsidRPr="00BD06A0">
        <w:rPr>
          <w:rFonts w:hint="eastAsia"/>
        </w:rPr>
        <w:t>2006</w:t>
      </w:r>
      <w:r w:rsidRPr="00BD06A0">
        <w:rPr>
          <w:rFonts w:hint="eastAsia"/>
        </w:rPr>
        <w:t>年委员会年度报告第二章关乎“毛里求斯的经济、社会和文化权利”。</w:t>
      </w:r>
    </w:p>
    <w:p w:rsidR="00BD06A0" w:rsidRPr="00BD06A0" w:rsidRDefault="00D35943" w:rsidP="00D35943">
      <w:pPr>
        <w:pStyle w:val="H23GC"/>
        <w:rPr>
          <w:rFonts w:hint="eastAsia"/>
        </w:rPr>
      </w:pPr>
      <w:r>
        <w:rPr>
          <w:rFonts w:hint="eastAsia"/>
          <w:b/>
        </w:rPr>
        <w:tab/>
      </w:r>
      <w:r>
        <w:rPr>
          <w:rFonts w:hint="eastAsia"/>
          <w:b/>
        </w:rPr>
        <w:tab/>
      </w:r>
      <w:r w:rsidR="00BD06A0" w:rsidRPr="00D35943">
        <w:rPr>
          <w:rFonts w:hint="eastAsia"/>
        </w:rPr>
        <w:t>2002</w:t>
      </w:r>
      <w:r w:rsidR="00BD06A0" w:rsidRPr="00BD06A0">
        <w:rPr>
          <w:rFonts w:hint="eastAsia"/>
        </w:rPr>
        <w:t>年的《性别歧视法》</w:t>
      </w:r>
    </w:p>
    <w:p w:rsidR="00BD06A0" w:rsidRPr="00BD06A0" w:rsidRDefault="00BD06A0" w:rsidP="00BD06A0">
      <w:pPr>
        <w:pStyle w:val="SingleTxtGC"/>
        <w:rPr>
          <w:rFonts w:hint="eastAsia"/>
        </w:rPr>
      </w:pPr>
      <w:r w:rsidRPr="00BD06A0">
        <w:rPr>
          <w:rFonts w:hint="eastAsia"/>
        </w:rPr>
        <w:t xml:space="preserve">45.  </w:t>
      </w:r>
      <w:r w:rsidRPr="0007721A">
        <w:rPr>
          <w:rFonts w:eastAsia="SimHei" w:hint="eastAsia"/>
        </w:rPr>
        <w:t>《性别歧视法》</w:t>
      </w:r>
      <w:r w:rsidRPr="00BD06A0">
        <w:rPr>
          <w:rFonts w:hint="eastAsia"/>
        </w:rPr>
        <w:t>2003</w:t>
      </w:r>
      <w:r w:rsidRPr="00BD06A0">
        <w:rPr>
          <w:rFonts w:hint="eastAsia"/>
        </w:rPr>
        <w:t>年</w:t>
      </w:r>
      <w:r w:rsidRPr="00BD06A0">
        <w:rPr>
          <w:rFonts w:hint="eastAsia"/>
        </w:rPr>
        <w:t>3</w:t>
      </w:r>
      <w:r w:rsidRPr="00BD06A0">
        <w:rPr>
          <w:rFonts w:hint="eastAsia"/>
        </w:rPr>
        <w:t>月</w:t>
      </w:r>
      <w:r w:rsidRPr="00BD06A0">
        <w:rPr>
          <w:rFonts w:hint="eastAsia"/>
        </w:rPr>
        <w:t>8</w:t>
      </w:r>
      <w:r w:rsidRPr="00BD06A0">
        <w:rPr>
          <w:rFonts w:hint="eastAsia"/>
        </w:rPr>
        <w:t>日生效。其目的是“规定在特定公共活动领域消除一切形式的性别歧视和性骚扰”。</w:t>
      </w:r>
    </w:p>
    <w:p w:rsidR="00BD06A0" w:rsidRPr="00BD06A0" w:rsidRDefault="00BD06A0" w:rsidP="00BD06A0">
      <w:pPr>
        <w:pStyle w:val="SingleTxtGC"/>
        <w:rPr>
          <w:rFonts w:hint="eastAsia"/>
        </w:rPr>
      </w:pPr>
      <w:r w:rsidRPr="00BD06A0">
        <w:rPr>
          <w:rFonts w:hint="eastAsia"/>
        </w:rPr>
        <w:t>46.  2003</w:t>
      </w:r>
      <w:r w:rsidRPr="00BD06A0">
        <w:rPr>
          <w:rFonts w:hint="eastAsia"/>
        </w:rPr>
        <w:t>年，在国家人权委员会内设立了性别歧视司，调查对性别歧视和性骚扰的投诉。</w:t>
      </w:r>
    </w:p>
    <w:p w:rsidR="00BD06A0" w:rsidRPr="00BD06A0" w:rsidRDefault="00BD06A0" w:rsidP="00BD06A0">
      <w:pPr>
        <w:pStyle w:val="SingleTxtGC"/>
        <w:rPr>
          <w:rFonts w:hint="eastAsia"/>
        </w:rPr>
      </w:pPr>
      <w:r w:rsidRPr="00BD06A0">
        <w:rPr>
          <w:rFonts w:hint="eastAsia"/>
        </w:rPr>
        <w:t xml:space="preserve">47.  </w:t>
      </w:r>
      <w:r w:rsidRPr="00BD06A0">
        <w:rPr>
          <w:rFonts w:hint="eastAsia"/>
        </w:rPr>
        <w:t>该法列举了有可能发生性别歧视的具体领域，例如就业，或与工作、行业或职业有关的歧视，教育，货物、服务或设施的提供，膳宿，财产的处置，以及在公司、伙伴关系或协会和俱乐部中的性别歧视。</w:t>
      </w:r>
    </w:p>
    <w:p w:rsidR="00BD06A0" w:rsidRPr="00BD06A0" w:rsidRDefault="00BD06A0" w:rsidP="00BD06A0">
      <w:pPr>
        <w:pStyle w:val="SingleTxtGC"/>
        <w:rPr>
          <w:rFonts w:hint="eastAsia"/>
        </w:rPr>
      </w:pPr>
      <w:r w:rsidRPr="00BD06A0">
        <w:rPr>
          <w:rFonts w:hint="eastAsia"/>
        </w:rPr>
        <w:t xml:space="preserve">48.  </w:t>
      </w:r>
      <w:r w:rsidRPr="00BD06A0">
        <w:rPr>
          <w:rFonts w:hint="eastAsia"/>
        </w:rPr>
        <w:t>该法在第</w:t>
      </w:r>
      <w:r w:rsidRPr="00BD06A0">
        <w:rPr>
          <w:rFonts w:hint="eastAsia"/>
        </w:rPr>
        <w:t>6</w:t>
      </w:r>
      <w:r w:rsidRPr="00BD06A0">
        <w:rPr>
          <w:rFonts w:hint="eastAsia"/>
        </w:rPr>
        <w:t>条中还进一步规定进行合理性检验，以评估：如果某一条件、要求或做法会导致异性处于不利境况，那么实行这种条件、要求或做法是否合理？</w:t>
      </w:r>
    </w:p>
    <w:p w:rsidR="00BD06A0" w:rsidRPr="00BD06A0" w:rsidRDefault="00CF5974" w:rsidP="00CF5974">
      <w:pPr>
        <w:pStyle w:val="H23GC"/>
        <w:rPr>
          <w:rFonts w:hint="eastAsia"/>
        </w:rPr>
      </w:pPr>
      <w:r>
        <w:rPr>
          <w:rFonts w:hint="eastAsia"/>
          <w:b/>
        </w:rPr>
        <w:tab/>
      </w:r>
      <w:r>
        <w:rPr>
          <w:rFonts w:hint="eastAsia"/>
          <w:b/>
        </w:rPr>
        <w:tab/>
      </w:r>
      <w:r w:rsidR="00BD06A0" w:rsidRPr="00CF5974">
        <w:rPr>
          <w:rFonts w:hint="eastAsia"/>
        </w:rPr>
        <w:t>1994</w:t>
      </w:r>
      <w:r w:rsidR="00BD06A0" w:rsidRPr="00BD06A0">
        <w:rPr>
          <w:rFonts w:hint="eastAsia"/>
        </w:rPr>
        <w:t>年《儿童保护法》</w:t>
      </w:r>
    </w:p>
    <w:p w:rsidR="00BD06A0" w:rsidRPr="00BD06A0" w:rsidRDefault="00BD06A0" w:rsidP="00BD06A0">
      <w:pPr>
        <w:pStyle w:val="SingleTxtGC"/>
        <w:rPr>
          <w:rFonts w:hint="eastAsia"/>
        </w:rPr>
      </w:pPr>
      <w:r w:rsidRPr="00BD06A0">
        <w:rPr>
          <w:rFonts w:hint="eastAsia"/>
        </w:rPr>
        <w:t xml:space="preserve">49.  </w:t>
      </w:r>
      <w:r w:rsidRPr="00BD06A0">
        <w:rPr>
          <w:rFonts w:hint="eastAsia"/>
        </w:rPr>
        <w:t>《儿童保护法》于</w:t>
      </w:r>
      <w:r w:rsidRPr="00BD06A0">
        <w:rPr>
          <w:rFonts w:hint="eastAsia"/>
        </w:rPr>
        <w:t>1995</w:t>
      </w:r>
      <w:r w:rsidRPr="00BD06A0">
        <w:rPr>
          <w:rFonts w:hint="eastAsia"/>
        </w:rPr>
        <w:t>年</w:t>
      </w:r>
      <w:r w:rsidRPr="00BD06A0">
        <w:rPr>
          <w:rFonts w:hint="eastAsia"/>
        </w:rPr>
        <w:t>4</w:t>
      </w:r>
      <w:r w:rsidRPr="00BD06A0">
        <w:rPr>
          <w:rFonts w:hint="eastAsia"/>
        </w:rPr>
        <w:t>月</w:t>
      </w:r>
      <w:r w:rsidRPr="00BD06A0">
        <w:rPr>
          <w:rFonts w:hint="eastAsia"/>
        </w:rPr>
        <w:t>4</w:t>
      </w:r>
      <w:r w:rsidRPr="00BD06A0">
        <w:rPr>
          <w:rFonts w:hint="eastAsia"/>
        </w:rPr>
        <w:t>日生效。其目的是“更好地的为儿童提供保护”。它规定了某些措施，例如在据认为儿童正在遭受或有可能遭受重大伤害时的紧急保护令，或儿童遭受虐待、忽视、遗弃、贫穷或其他伤害时，对安全场所的委托令。</w:t>
      </w:r>
    </w:p>
    <w:p w:rsidR="00BD06A0" w:rsidRPr="00BD06A0" w:rsidRDefault="00BD06A0" w:rsidP="00BD06A0">
      <w:pPr>
        <w:pStyle w:val="SingleTxtGC"/>
        <w:rPr>
          <w:rFonts w:hint="eastAsia"/>
        </w:rPr>
      </w:pPr>
      <w:r w:rsidRPr="00BD06A0">
        <w:rPr>
          <w:rFonts w:hint="eastAsia"/>
        </w:rPr>
        <w:t xml:space="preserve">50.  </w:t>
      </w:r>
      <w:r w:rsidRPr="00BD06A0">
        <w:rPr>
          <w:rFonts w:hint="eastAsia"/>
        </w:rPr>
        <w:t>《儿童保护法》还规定了虐待儿童或导致儿童遭受性虐待、接触妓院或从事卖淫等等罪名。</w:t>
      </w:r>
    </w:p>
    <w:p w:rsidR="00BD06A0" w:rsidRPr="00BD06A0" w:rsidRDefault="009F4756" w:rsidP="009F4756">
      <w:pPr>
        <w:pStyle w:val="H23GC"/>
        <w:rPr>
          <w:rFonts w:hint="eastAsia"/>
        </w:rPr>
      </w:pPr>
      <w:r>
        <w:rPr>
          <w:rFonts w:hint="eastAsia"/>
        </w:rPr>
        <w:tab/>
      </w:r>
      <w:r>
        <w:rPr>
          <w:rFonts w:hint="eastAsia"/>
        </w:rPr>
        <w:tab/>
      </w:r>
      <w:r w:rsidR="00BD06A0" w:rsidRPr="00BD06A0">
        <w:rPr>
          <w:rFonts w:hint="eastAsia"/>
        </w:rPr>
        <w:t>《防止家庭暴力法》</w:t>
      </w:r>
    </w:p>
    <w:p w:rsidR="00BD06A0" w:rsidRPr="00BD06A0" w:rsidRDefault="00BD06A0" w:rsidP="00BD06A0">
      <w:pPr>
        <w:pStyle w:val="SingleTxtGC"/>
        <w:rPr>
          <w:rFonts w:hint="eastAsia"/>
        </w:rPr>
      </w:pPr>
      <w:r w:rsidRPr="00BD06A0">
        <w:rPr>
          <w:rFonts w:hint="eastAsia"/>
        </w:rPr>
        <w:t xml:space="preserve">51.  </w:t>
      </w:r>
      <w:r w:rsidRPr="00BD06A0">
        <w:rPr>
          <w:rFonts w:hint="eastAsia"/>
        </w:rPr>
        <w:t>《防止家庭暴力法》于</w:t>
      </w:r>
      <w:r w:rsidRPr="00BD06A0">
        <w:rPr>
          <w:rFonts w:hint="eastAsia"/>
        </w:rPr>
        <w:t>1998</w:t>
      </w:r>
      <w:r w:rsidRPr="00BD06A0">
        <w:rPr>
          <w:rFonts w:hint="eastAsia"/>
        </w:rPr>
        <w:t>年生效，此后在情况需要时作了一系列修正。它采纳了最广泛的定义，以提供最大限度的保护。例如，“家庭暴力”定义为包含全部一系列状况，从身体伤害到恐吓，从骚扰到残暴行为。“子女”包括任何血缘子女、收养子女、过继子女或寄养子女。</w:t>
      </w:r>
    </w:p>
    <w:p w:rsidR="00BD06A0" w:rsidRPr="00BD06A0" w:rsidRDefault="006B215E" w:rsidP="006B215E">
      <w:pPr>
        <w:pStyle w:val="H23GC"/>
        <w:rPr>
          <w:rFonts w:hint="eastAsia"/>
        </w:rPr>
      </w:pPr>
      <w:r>
        <w:rPr>
          <w:rFonts w:hint="eastAsia"/>
        </w:rPr>
        <w:tab/>
      </w:r>
      <w:r>
        <w:rPr>
          <w:rFonts w:hint="eastAsia"/>
        </w:rPr>
        <w:tab/>
      </w:r>
      <w:r w:rsidR="00BD06A0" w:rsidRPr="00BD06A0">
        <w:rPr>
          <w:rFonts w:hint="eastAsia"/>
        </w:rPr>
        <w:t>判例法</w:t>
      </w:r>
    </w:p>
    <w:p w:rsidR="00BD06A0" w:rsidRPr="00BD06A0" w:rsidRDefault="00BD06A0" w:rsidP="00BD06A0">
      <w:pPr>
        <w:pStyle w:val="SingleTxtGC"/>
        <w:rPr>
          <w:rFonts w:hint="eastAsia"/>
        </w:rPr>
      </w:pPr>
      <w:r w:rsidRPr="00BD06A0">
        <w:rPr>
          <w:rFonts w:hint="eastAsia"/>
        </w:rPr>
        <w:t xml:space="preserve">52.  </w:t>
      </w:r>
      <w:r w:rsidRPr="00BD06A0">
        <w:rPr>
          <w:rFonts w:hint="eastAsia"/>
        </w:rPr>
        <w:t>最高法院不断对基本人权尽可能给予广泛和有针对性的解释，以在必要时提供最大限度的保护。</w:t>
      </w:r>
    </w:p>
    <w:p w:rsidR="00BD06A0" w:rsidRPr="00BD06A0" w:rsidRDefault="00BD06A0" w:rsidP="00BD06A0">
      <w:pPr>
        <w:pStyle w:val="SingleTxtGC"/>
        <w:rPr>
          <w:rFonts w:hint="eastAsia"/>
        </w:rPr>
      </w:pPr>
      <w:r w:rsidRPr="00BD06A0">
        <w:rPr>
          <w:rFonts w:hint="eastAsia"/>
        </w:rPr>
        <w:t xml:space="preserve">53.  </w:t>
      </w:r>
      <w:r w:rsidRPr="00BD06A0">
        <w:rPr>
          <w:rFonts w:hint="eastAsia"/>
        </w:rPr>
        <w:t>上述的例子屡见不鲜。在</w:t>
      </w:r>
      <w:r w:rsidR="00386269">
        <w:t>Philibert</w:t>
      </w:r>
      <w:r w:rsidRPr="00BD06A0">
        <w:rPr>
          <w:rFonts w:hint="eastAsia"/>
        </w:rPr>
        <w:t>和</w:t>
      </w:r>
      <w:r w:rsidRPr="00BD06A0">
        <w:t>ors</w:t>
      </w:r>
      <w:r w:rsidRPr="00BD06A0">
        <w:rPr>
          <w:rFonts w:hint="eastAsia"/>
        </w:rPr>
        <w:t>诉国家案</w:t>
      </w:r>
      <w:r w:rsidR="00E66BD3">
        <w:rPr>
          <w:rFonts w:hint="eastAsia"/>
        </w:rPr>
        <w:t>(</w:t>
      </w:r>
      <w:r w:rsidRPr="00BD06A0">
        <w:rPr>
          <w:rFonts w:hint="eastAsia"/>
        </w:rPr>
        <w:t xml:space="preserve">(2007) </w:t>
      </w:r>
      <w:r w:rsidRPr="00BD06A0">
        <w:t>SCJ 274</w:t>
      </w:r>
      <w:r w:rsidRPr="00BD06A0">
        <w:rPr>
          <w:rFonts w:hint="eastAsia"/>
        </w:rPr>
        <w:t>号</w:t>
      </w:r>
      <w:r w:rsidR="00E66BD3">
        <w:rPr>
          <w:rFonts w:hint="eastAsia"/>
        </w:rPr>
        <w:t>)</w:t>
      </w:r>
      <w:r w:rsidRPr="00BD06A0">
        <w:rPr>
          <w:rFonts w:hint="eastAsia"/>
        </w:rPr>
        <w:t>中，最高法院全体法官宣布，《刑法》第</w:t>
      </w:r>
      <w:r w:rsidRPr="00BD06A0">
        <w:rPr>
          <w:rFonts w:hint="eastAsia"/>
        </w:rPr>
        <w:t>222[1]</w:t>
      </w:r>
      <w:r w:rsidRPr="00BD06A0">
        <w:rPr>
          <w:rFonts w:hint="eastAsia"/>
        </w:rPr>
        <w:t>条和</w:t>
      </w:r>
      <w:r w:rsidRPr="00BD06A0">
        <w:rPr>
          <w:rFonts w:hint="eastAsia"/>
        </w:rPr>
        <w:t>2000</w:t>
      </w:r>
      <w:r w:rsidRPr="00BD06A0">
        <w:rPr>
          <w:rFonts w:hint="eastAsia"/>
        </w:rPr>
        <w:t>年《危险麻醉品法》第</w:t>
      </w:r>
      <w:r w:rsidRPr="00BD06A0">
        <w:rPr>
          <w:rFonts w:hint="eastAsia"/>
        </w:rPr>
        <w:t>43[1]</w:t>
      </w:r>
      <w:r w:rsidRPr="00BD06A0">
        <w:rPr>
          <w:rFonts w:hint="eastAsia"/>
        </w:rPr>
        <w:t>条在经</w:t>
      </w:r>
      <w:r w:rsidRPr="00BD06A0">
        <w:rPr>
          <w:rFonts w:hint="eastAsia"/>
        </w:rPr>
        <w:t>2007</w:t>
      </w:r>
      <w:r w:rsidRPr="00BD06A0">
        <w:rPr>
          <w:rFonts w:hint="eastAsia"/>
        </w:rPr>
        <w:t>年第</w:t>
      </w:r>
      <w:r w:rsidRPr="00BD06A0">
        <w:rPr>
          <w:rFonts w:hint="eastAsia"/>
        </w:rPr>
        <w:t>6</w:t>
      </w:r>
      <w:r w:rsidRPr="00BD06A0">
        <w:rPr>
          <w:rFonts w:hint="eastAsia"/>
        </w:rPr>
        <w:t>号法修正之前，违反了《宪法》第</w:t>
      </w:r>
      <w:r w:rsidRPr="00BD06A0">
        <w:rPr>
          <w:rFonts w:hint="eastAsia"/>
        </w:rPr>
        <w:t>7[1]</w:t>
      </w:r>
      <w:r w:rsidRPr="00BD06A0">
        <w:rPr>
          <w:rFonts w:hint="eastAsia"/>
        </w:rPr>
        <w:t>条，因为强制判处</w:t>
      </w:r>
      <w:r w:rsidRPr="00BD06A0">
        <w:rPr>
          <w:rFonts w:hint="eastAsia"/>
        </w:rPr>
        <w:t>45</w:t>
      </w:r>
      <w:r w:rsidRPr="00BD06A0">
        <w:rPr>
          <w:rFonts w:hint="eastAsia"/>
        </w:rPr>
        <w:t>年拘役，违反了相称原则，构成违背《宪法》第</w:t>
      </w:r>
      <w:r w:rsidRPr="00BD06A0">
        <w:rPr>
          <w:rFonts w:hint="eastAsia"/>
        </w:rPr>
        <w:t>7[1]</w:t>
      </w:r>
      <w:r w:rsidRPr="00BD06A0">
        <w:rPr>
          <w:rFonts w:hint="eastAsia"/>
        </w:rPr>
        <w:t>条的“非人道或有辱人格处罚或待遇”。最高法院还申明，上述条款可解释为规定了其中所载明强制性刑罚构成最高刑期。</w:t>
      </w:r>
    </w:p>
    <w:p w:rsidR="00BD06A0" w:rsidRPr="00BD06A0" w:rsidRDefault="00BD06A0" w:rsidP="00BD06A0">
      <w:pPr>
        <w:pStyle w:val="SingleTxtGC"/>
        <w:rPr>
          <w:rFonts w:hint="eastAsia"/>
          <w:bCs/>
        </w:rPr>
      </w:pPr>
      <w:r w:rsidRPr="00BD06A0">
        <w:rPr>
          <w:rFonts w:hint="eastAsia"/>
        </w:rPr>
        <w:t xml:space="preserve">54.  </w:t>
      </w:r>
      <w:r w:rsidRPr="00BD06A0">
        <w:rPr>
          <w:rFonts w:hint="eastAsia"/>
        </w:rPr>
        <w:t>在</w:t>
      </w:r>
      <w:r w:rsidRPr="00BD06A0">
        <w:rPr>
          <w:bCs/>
        </w:rPr>
        <w:t>Wadud</w:t>
      </w:r>
      <w:r w:rsidRPr="00BD06A0">
        <w:rPr>
          <w:rFonts w:hint="eastAsia"/>
          <w:bCs/>
        </w:rPr>
        <w:t>诉国家案</w:t>
      </w:r>
      <w:r w:rsidR="00E66BD3">
        <w:rPr>
          <w:rFonts w:hint="eastAsia"/>
          <w:bCs/>
        </w:rPr>
        <w:t>(</w:t>
      </w:r>
      <w:r w:rsidRPr="00BD06A0">
        <w:rPr>
          <w:bCs/>
        </w:rPr>
        <w:t>[1999] SCJ 187</w:t>
      </w:r>
      <w:r w:rsidRPr="00BD06A0">
        <w:rPr>
          <w:rFonts w:hint="eastAsia"/>
          <w:bCs/>
        </w:rPr>
        <w:t>号</w:t>
      </w:r>
      <w:r w:rsidR="00E66BD3">
        <w:rPr>
          <w:rFonts w:hint="eastAsia"/>
          <w:bCs/>
        </w:rPr>
        <w:t>)</w:t>
      </w:r>
      <w:r w:rsidRPr="00BD06A0">
        <w:rPr>
          <w:rFonts w:hint="eastAsia"/>
          <w:bCs/>
        </w:rPr>
        <w:t>中，最高法院否定了</w:t>
      </w:r>
      <w:r w:rsidRPr="00BD06A0">
        <w:rPr>
          <w:rFonts w:hint="eastAsia"/>
          <w:bCs/>
        </w:rPr>
        <w:t>1997</w:t>
      </w:r>
      <w:r w:rsidRPr="00BD06A0">
        <w:rPr>
          <w:rFonts w:hint="eastAsia"/>
          <w:bCs/>
        </w:rPr>
        <w:t>年的判决</w:t>
      </w:r>
      <w:r w:rsidRPr="00BD06A0">
        <w:rPr>
          <w:rFonts w:hint="eastAsia"/>
          <w:bCs/>
        </w:rPr>
        <w:t>(</w:t>
      </w:r>
      <w:r w:rsidRPr="00BD06A0">
        <w:rPr>
          <w:rFonts w:hint="eastAsia"/>
          <w:bCs/>
        </w:rPr>
        <w:t>见国家诉</w:t>
      </w:r>
      <w:r w:rsidRPr="00BD06A0">
        <w:rPr>
          <w:bCs/>
        </w:rPr>
        <w:t>Coowar</w:t>
      </w:r>
      <w:r w:rsidRPr="00BD06A0">
        <w:rPr>
          <w:rFonts w:hint="eastAsia"/>
          <w:bCs/>
        </w:rPr>
        <w:t>案</w:t>
      </w:r>
      <w:r w:rsidRPr="00BD06A0">
        <w:rPr>
          <w:bCs/>
        </w:rPr>
        <w:t>[</w:t>
      </w:r>
      <w:hyperlink r:id="rId8" w:tgtFrame="_blank" w:history="1">
        <w:r w:rsidRPr="00327AF2">
          <w:rPr>
            <w:u w:val="single"/>
          </w:rPr>
          <w:t>1997 MR 123</w:t>
        </w:r>
      </w:hyperlink>
      <w:r w:rsidRPr="00BD06A0">
        <w:rPr>
          <w:bCs/>
        </w:rPr>
        <w:t>])</w:t>
      </w:r>
      <w:r w:rsidRPr="00BD06A0">
        <w:rPr>
          <w:rFonts w:hint="eastAsia"/>
          <w:bCs/>
        </w:rPr>
        <w:t>。最高法院的这项判决裁定，被拘留者获悉其向律师咨询的权利，这是一项宪法权利，是绝对的，但也可以说警方有告知被拘留者其向律师咨询的权利的法律义务。但是，在</w:t>
      </w:r>
      <w:r w:rsidRPr="00BD06A0">
        <w:rPr>
          <w:bCs/>
        </w:rPr>
        <w:t>Wadud</w:t>
      </w:r>
      <w:r w:rsidRPr="00BD06A0">
        <w:rPr>
          <w:rFonts w:hint="eastAsia"/>
          <w:bCs/>
        </w:rPr>
        <w:t>案中提到了枢密院的一个案例，据裁定，获悉咨询权的权利不是绝对的。应当考虑到具体宪法保障的性质和具体违反行为的性质。</w:t>
      </w:r>
    </w:p>
    <w:p w:rsidR="00BD06A0" w:rsidRPr="00BD06A0" w:rsidRDefault="00BD06A0" w:rsidP="00BD06A0">
      <w:pPr>
        <w:pStyle w:val="SingleTxtGC"/>
        <w:rPr>
          <w:rFonts w:hint="eastAsia"/>
          <w:bCs/>
        </w:rPr>
      </w:pPr>
      <w:r w:rsidRPr="00BD06A0">
        <w:rPr>
          <w:rFonts w:hint="eastAsia"/>
          <w:bCs/>
        </w:rPr>
        <w:t xml:space="preserve">55.  </w:t>
      </w:r>
      <w:r w:rsidRPr="00BD06A0">
        <w:rPr>
          <w:rFonts w:hint="eastAsia"/>
          <w:bCs/>
        </w:rPr>
        <w:t>因此，在毛里求斯，案例法，只要能对《宪法》或其他现行法律已经规定的权利范围提供解释的，就可以被视为人权的“渊源”。对现行人权保护制度的任何改革或扩大已有保护范围的任何项目因此都必须由议会进行。</w:t>
      </w:r>
    </w:p>
    <w:p w:rsidR="00BD06A0" w:rsidRPr="00BD06A0" w:rsidRDefault="00E00C56" w:rsidP="00E00C56">
      <w:pPr>
        <w:pStyle w:val="H23GC"/>
        <w:rPr>
          <w:rFonts w:hint="eastAsia"/>
        </w:rPr>
      </w:pPr>
      <w:r>
        <w:rPr>
          <w:rFonts w:hint="eastAsia"/>
          <w:b/>
        </w:rPr>
        <w:tab/>
      </w:r>
      <w:r w:rsidR="00BD06A0" w:rsidRPr="00D376D6">
        <w:rPr>
          <w:rFonts w:hint="eastAsia"/>
        </w:rPr>
        <w:t>3</w:t>
      </w:r>
      <w:r w:rsidR="00D376D6">
        <w:rPr>
          <w:rFonts w:hint="eastAsia"/>
        </w:rPr>
        <w:t>.</w:t>
      </w:r>
      <w:r>
        <w:rPr>
          <w:rFonts w:hint="eastAsia"/>
        </w:rPr>
        <w:tab/>
      </w:r>
      <w:r w:rsidR="00BD06A0" w:rsidRPr="00BD06A0">
        <w:rPr>
          <w:rFonts w:hint="eastAsia"/>
        </w:rPr>
        <w:t>在国家一级增进人权的法律框架</w:t>
      </w:r>
    </w:p>
    <w:p w:rsidR="00BD06A0" w:rsidRPr="00BD06A0" w:rsidRDefault="0050477E" w:rsidP="0011419D">
      <w:pPr>
        <w:pStyle w:val="H23GC"/>
        <w:rPr>
          <w:rFonts w:hint="eastAsia"/>
        </w:rPr>
      </w:pPr>
      <w:r>
        <w:rPr>
          <w:rFonts w:hint="eastAsia"/>
        </w:rPr>
        <w:tab/>
      </w:r>
      <w:r>
        <w:rPr>
          <w:rFonts w:hint="eastAsia"/>
        </w:rPr>
        <w:tab/>
      </w:r>
      <w:r w:rsidR="00BD06A0" w:rsidRPr="00BD06A0">
        <w:rPr>
          <w:rFonts w:hint="eastAsia"/>
        </w:rPr>
        <w:t>国家人权委员会</w:t>
      </w:r>
    </w:p>
    <w:p w:rsidR="00BD06A0" w:rsidRPr="00BD06A0" w:rsidRDefault="00BD06A0" w:rsidP="00BD06A0">
      <w:pPr>
        <w:pStyle w:val="SingleTxtGC"/>
        <w:rPr>
          <w:rFonts w:hint="eastAsia"/>
        </w:rPr>
      </w:pPr>
      <w:r w:rsidRPr="00BD06A0">
        <w:rPr>
          <w:rFonts w:hint="eastAsia"/>
        </w:rPr>
        <w:t xml:space="preserve">56.  </w:t>
      </w:r>
      <w:r w:rsidRPr="00BD06A0">
        <w:rPr>
          <w:rFonts w:hint="eastAsia"/>
        </w:rPr>
        <w:t>国家人权委员会是根据</w:t>
      </w:r>
      <w:r w:rsidRPr="00D5421D">
        <w:rPr>
          <w:rFonts w:hint="eastAsia"/>
        </w:rPr>
        <w:t>1998</w:t>
      </w:r>
      <w:r w:rsidRPr="001504BD">
        <w:rPr>
          <w:rFonts w:hint="eastAsia"/>
        </w:rPr>
        <w:t>年《保护人权法</w:t>
      </w:r>
      <w:r w:rsidRPr="008032D6">
        <w:rPr>
          <w:rFonts w:eastAsia="SimHei" w:hint="eastAsia"/>
        </w:rPr>
        <w:t>》</w:t>
      </w:r>
      <w:r w:rsidRPr="00BD06A0">
        <w:rPr>
          <w:rFonts w:hint="eastAsia"/>
        </w:rPr>
        <w:t>设立的，它可以调查对第二章规定个人权利的任何侵犯或对警官的任何投诉。它还可以视察任何警局或其他拘留场所，检查被拘留者的生活条件和待遇，并审查保护人权的任何法令规定的保障措施。</w:t>
      </w:r>
    </w:p>
    <w:p w:rsidR="00BD06A0" w:rsidRPr="00BD06A0" w:rsidRDefault="00BD06A0" w:rsidP="00BD06A0">
      <w:pPr>
        <w:pStyle w:val="SingleTxtGC"/>
        <w:rPr>
          <w:rFonts w:hint="eastAsia"/>
        </w:rPr>
      </w:pPr>
      <w:r w:rsidRPr="00BD06A0">
        <w:rPr>
          <w:rFonts w:hint="eastAsia"/>
        </w:rPr>
        <w:t xml:space="preserve">57.  </w:t>
      </w:r>
      <w:r w:rsidRPr="00BD06A0">
        <w:rPr>
          <w:rFonts w:hint="eastAsia"/>
        </w:rPr>
        <w:t>委员会委员经总理提议后由共和国总统任命。委员会由主席</w:t>
      </w:r>
      <w:r w:rsidRPr="00BD06A0">
        <w:rPr>
          <w:rFonts w:hint="eastAsia"/>
        </w:rPr>
        <w:t>(</w:t>
      </w:r>
      <w:r w:rsidRPr="00BD06A0">
        <w:rPr>
          <w:rFonts w:hint="eastAsia"/>
        </w:rPr>
        <w:t>为最高法院前法官</w:t>
      </w:r>
      <w:r w:rsidRPr="00BD06A0">
        <w:rPr>
          <w:rFonts w:hint="eastAsia"/>
        </w:rPr>
        <w:t>)</w:t>
      </w:r>
      <w:r w:rsidRPr="00BD06A0">
        <w:rPr>
          <w:rFonts w:hint="eastAsia"/>
        </w:rPr>
        <w:t>与另外三名委员组成，同一主席与其他两名委员组成性歧视司。该司处理关于公共和私人部门性歧视和性骚扰的投诉。</w:t>
      </w:r>
    </w:p>
    <w:p w:rsidR="00BD06A0" w:rsidRPr="00BD06A0" w:rsidRDefault="00772B28" w:rsidP="00772B28">
      <w:pPr>
        <w:pStyle w:val="H23GC"/>
        <w:rPr>
          <w:rFonts w:hint="eastAsia"/>
        </w:rPr>
      </w:pPr>
      <w:r>
        <w:rPr>
          <w:rFonts w:hint="eastAsia"/>
        </w:rPr>
        <w:tab/>
      </w:r>
      <w:r>
        <w:rPr>
          <w:rFonts w:hint="eastAsia"/>
        </w:rPr>
        <w:tab/>
      </w:r>
      <w:r w:rsidR="00BD06A0" w:rsidRPr="00BD06A0">
        <w:rPr>
          <w:rFonts w:hint="eastAsia"/>
        </w:rPr>
        <w:t>监察员办公室</w:t>
      </w:r>
    </w:p>
    <w:p w:rsidR="00BD06A0" w:rsidRPr="00BD06A0" w:rsidRDefault="00BD06A0" w:rsidP="00BD06A0">
      <w:pPr>
        <w:pStyle w:val="SingleTxtGC"/>
        <w:rPr>
          <w:rFonts w:hint="eastAsia"/>
        </w:rPr>
      </w:pPr>
      <w:r w:rsidRPr="00BD06A0">
        <w:rPr>
          <w:rFonts w:hint="eastAsia"/>
        </w:rPr>
        <w:t xml:space="preserve">58.  </w:t>
      </w:r>
      <w:r w:rsidRPr="00BD06A0">
        <w:rPr>
          <w:rFonts w:hint="eastAsia"/>
        </w:rPr>
        <w:t>《宪法》设立了监察员办公室，为一公共机构。监察员受权调查下述官员或机构的行为，即政府部门、警方及其成员、毛里求斯狱政署、负责确定哪些人可与政府签署合同的机构、地方当局及其行使各自行政职能的成员，只要民众向监察员声称其因上述官员或机构管理不善遭受了不公正、或在监察员看来如此。</w:t>
      </w:r>
    </w:p>
    <w:p w:rsidR="00BD06A0" w:rsidRPr="00BD06A0" w:rsidRDefault="00B64AE3" w:rsidP="00B64AE3">
      <w:pPr>
        <w:pStyle w:val="H23GC"/>
        <w:rPr>
          <w:rFonts w:hint="eastAsia"/>
        </w:rPr>
      </w:pPr>
      <w:r>
        <w:rPr>
          <w:rFonts w:hint="eastAsia"/>
        </w:rPr>
        <w:tab/>
      </w:r>
      <w:r>
        <w:rPr>
          <w:rFonts w:hint="eastAsia"/>
        </w:rPr>
        <w:tab/>
      </w:r>
      <w:r w:rsidR="00BD06A0" w:rsidRPr="00BD06A0">
        <w:rPr>
          <w:rFonts w:hint="eastAsia"/>
        </w:rPr>
        <w:t>投诉调查局</w:t>
      </w:r>
    </w:p>
    <w:p w:rsidR="00BD06A0" w:rsidRPr="00BD06A0" w:rsidRDefault="00BD06A0" w:rsidP="00BD06A0">
      <w:pPr>
        <w:pStyle w:val="SingleTxtGC"/>
        <w:rPr>
          <w:rFonts w:hint="eastAsia"/>
        </w:rPr>
      </w:pPr>
      <w:r w:rsidRPr="00BD06A0">
        <w:rPr>
          <w:rFonts w:hint="eastAsia"/>
        </w:rPr>
        <w:t xml:space="preserve">59.  </w:t>
      </w:r>
      <w:r w:rsidRPr="00BD06A0">
        <w:rPr>
          <w:rFonts w:hint="eastAsia"/>
        </w:rPr>
        <w:t>投诉调查局于</w:t>
      </w:r>
      <w:r w:rsidRPr="00BD06A0">
        <w:rPr>
          <w:rFonts w:hint="eastAsia"/>
        </w:rPr>
        <w:t>1999</w:t>
      </w:r>
      <w:r w:rsidRPr="00BD06A0">
        <w:rPr>
          <w:rFonts w:hint="eastAsia"/>
        </w:rPr>
        <w:t>年</w:t>
      </w:r>
      <w:r w:rsidRPr="00BD06A0">
        <w:rPr>
          <w:rFonts w:hint="eastAsia"/>
        </w:rPr>
        <w:t>10</w:t>
      </w:r>
      <w:r w:rsidRPr="00BD06A0">
        <w:rPr>
          <w:rFonts w:hint="eastAsia"/>
        </w:rPr>
        <w:t>月设立，调查民众对警察的投诉。这是警务署中唯一受权负责调查对警方投诉的机构。虽然投诉调查局是在国家人权委员会监督下并根据其指令行事，但它始终由警务署署长进行行政管理。政府目前考虑设立独立的警务投诉委员会，取代投诉调查局，以采取透明和公正的方式，处理对警方粗暴行为的投诉。</w:t>
      </w:r>
    </w:p>
    <w:p w:rsidR="00BD06A0" w:rsidRPr="00BD06A0" w:rsidRDefault="005446CD" w:rsidP="005446CD">
      <w:pPr>
        <w:pStyle w:val="H23GC"/>
        <w:rPr>
          <w:rFonts w:hint="eastAsia"/>
        </w:rPr>
      </w:pPr>
      <w:r>
        <w:rPr>
          <w:rFonts w:hint="eastAsia"/>
        </w:rPr>
        <w:tab/>
      </w:r>
      <w:r>
        <w:rPr>
          <w:rFonts w:hint="eastAsia"/>
        </w:rPr>
        <w:tab/>
      </w:r>
      <w:r w:rsidR="00BD06A0" w:rsidRPr="00BD06A0">
        <w:rPr>
          <w:rFonts w:hint="eastAsia"/>
        </w:rPr>
        <w:t>儿童事务监察员</w:t>
      </w:r>
    </w:p>
    <w:p w:rsidR="00BD06A0" w:rsidRPr="00BD06A0" w:rsidRDefault="00BD06A0" w:rsidP="00BD06A0">
      <w:pPr>
        <w:pStyle w:val="SingleTxtGC"/>
        <w:rPr>
          <w:rFonts w:hint="eastAsia"/>
        </w:rPr>
      </w:pPr>
      <w:r w:rsidRPr="00BD06A0">
        <w:rPr>
          <w:rFonts w:hint="eastAsia"/>
        </w:rPr>
        <w:t xml:space="preserve">60.  </w:t>
      </w:r>
      <w:r w:rsidRPr="00907169">
        <w:rPr>
          <w:rFonts w:hint="eastAsia"/>
        </w:rPr>
        <w:t>《儿童事务监察员法》</w:t>
      </w:r>
      <w:r w:rsidRPr="00BD06A0">
        <w:rPr>
          <w:rFonts w:hint="eastAsia"/>
        </w:rPr>
        <w:t>于</w:t>
      </w:r>
      <w:r w:rsidRPr="00BD06A0">
        <w:rPr>
          <w:rFonts w:hint="eastAsia"/>
        </w:rPr>
        <w:t>2003</w:t>
      </w:r>
      <w:r w:rsidRPr="00BD06A0">
        <w:rPr>
          <w:rFonts w:hint="eastAsia"/>
        </w:rPr>
        <w:t>年</w:t>
      </w:r>
      <w:r w:rsidRPr="00BD06A0">
        <w:rPr>
          <w:rFonts w:hint="eastAsia"/>
        </w:rPr>
        <w:t>11</w:t>
      </w:r>
      <w:r w:rsidRPr="00BD06A0">
        <w:rPr>
          <w:rFonts w:hint="eastAsia"/>
        </w:rPr>
        <w:t>月</w:t>
      </w:r>
      <w:r w:rsidRPr="00BD06A0">
        <w:rPr>
          <w:rFonts w:hint="eastAsia"/>
        </w:rPr>
        <w:t>20</w:t>
      </w:r>
      <w:r w:rsidRPr="00BD06A0">
        <w:rPr>
          <w:rFonts w:hint="eastAsia"/>
        </w:rPr>
        <w:t>日生效。它规定了设立儿童事务监察员办公室，以确保政府机关、私人机构、个人和个人协会充分考虑儿童的权利、需求和利益，增进儿童的权利和利益，促进遵守《儿童权利公约》。儿童事务监察员特别负责调查儿童就侵犯儿童权利作出的投诉。</w:t>
      </w:r>
    </w:p>
    <w:p w:rsidR="00BD06A0" w:rsidRPr="00BD06A0" w:rsidRDefault="00AF1EF1" w:rsidP="00AF1EF1">
      <w:pPr>
        <w:pStyle w:val="H23GC"/>
        <w:rPr>
          <w:rFonts w:hint="eastAsia"/>
        </w:rPr>
      </w:pPr>
      <w:r>
        <w:rPr>
          <w:rFonts w:hint="eastAsia"/>
        </w:rPr>
        <w:tab/>
      </w:r>
      <w:r>
        <w:rPr>
          <w:rFonts w:hint="eastAsia"/>
        </w:rPr>
        <w:tab/>
      </w:r>
      <w:r w:rsidR="00BD06A0" w:rsidRPr="00BD06A0">
        <w:rPr>
          <w:rFonts w:hint="eastAsia"/>
        </w:rPr>
        <w:t>人权中心</w:t>
      </w:r>
    </w:p>
    <w:p w:rsidR="00BD06A0" w:rsidRPr="00BD06A0" w:rsidRDefault="00BD06A0" w:rsidP="00BD06A0">
      <w:pPr>
        <w:pStyle w:val="SingleTxtGC"/>
        <w:rPr>
          <w:rFonts w:hint="eastAsia"/>
        </w:rPr>
      </w:pPr>
      <w:r w:rsidRPr="00BD06A0">
        <w:rPr>
          <w:rFonts w:hint="eastAsia"/>
        </w:rPr>
        <w:t xml:space="preserve">61.  </w:t>
      </w:r>
      <w:r w:rsidRPr="00BD06A0">
        <w:rPr>
          <w:rFonts w:hint="eastAsia"/>
        </w:rPr>
        <w:t>最近启用的人权中心</w:t>
      </w:r>
      <w:r w:rsidRPr="00BD06A0">
        <w:rPr>
          <w:rFonts w:hint="eastAsia"/>
        </w:rPr>
        <w:t>[</w:t>
      </w:r>
      <w:r w:rsidRPr="00BD06A0">
        <w:rPr>
          <w:rFonts w:hint="eastAsia"/>
        </w:rPr>
        <w:t>设在最高法院对面</w:t>
      </w:r>
      <w:r w:rsidRPr="00BD06A0">
        <w:rPr>
          <w:rFonts w:hint="eastAsia"/>
        </w:rPr>
        <w:t>]</w:t>
      </w:r>
      <w:r w:rsidRPr="00BD06A0">
        <w:rPr>
          <w:rFonts w:hint="eastAsia"/>
        </w:rPr>
        <w:t>隶属于人权部，旨在成为在毛里求斯增进人权的主要论坛。该中心还将成为交流信息的渠道，以使公众了解现行体制和法律，更好地维护其人权</w:t>
      </w:r>
      <w:r w:rsidRPr="00BD06A0">
        <w:rPr>
          <w:rFonts w:hint="eastAsia"/>
        </w:rPr>
        <w:t>(</w:t>
      </w:r>
      <w:r w:rsidRPr="00BD06A0">
        <w:rPr>
          <w:rFonts w:hint="eastAsia"/>
        </w:rPr>
        <w:t>关于人权中心的更多信息，见第</w:t>
      </w:r>
      <w:r w:rsidRPr="00BD06A0">
        <w:rPr>
          <w:rFonts w:hint="eastAsia"/>
        </w:rPr>
        <w:t>577</w:t>
      </w:r>
      <w:r w:rsidRPr="00BD06A0">
        <w:rPr>
          <w:rFonts w:hint="eastAsia"/>
        </w:rPr>
        <w:t>段</w:t>
      </w:r>
      <w:r w:rsidRPr="00BD06A0">
        <w:rPr>
          <w:rFonts w:hint="eastAsia"/>
        </w:rPr>
        <w:t>)</w:t>
      </w:r>
      <w:r w:rsidRPr="00BD06A0">
        <w:rPr>
          <w:rFonts w:hint="eastAsia"/>
        </w:rPr>
        <w:t>。</w:t>
      </w:r>
    </w:p>
    <w:p w:rsidR="00BD06A0" w:rsidRPr="00BD06A0" w:rsidRDefault="002E620E" w:rsidP="002E620E">
      <w:pPr>
        <w:pStyle w:val="H23GC"/>
        <w:rPr>
          <w:rFonts w:hint="eastAsia"/>
        </w:rPr>
      </w:pPr>
      <w:r>
        <w:rPr>
          <w:rFonts w:hint="eastAsia"/>
        </w:rPr>
        <w:tab/>
      </w:r>
      <w:r>
        <w:rPr>
          <w:rFonts w:hint="eastAsia"/>
        </w:rPr>
        <w:tab/>
      </w:r>
      <w:r w:rsidR="00BD06A0" w:rsidRPr="00BD06A0">
        <w:rPr>
          <w:rFonts w:hint="eastAsia"/>
        </w:rPr>
        <w:t>法律改革委员会</w:t>
      </w:r>
    </w:p>
    <w:p w:rsidR="00BD06A0" w:rsidRPr="00BD06A0" w:rsidRDefault="00BD06A0" w:rsidP="00BD06A0">
      <w:pPr>
        <w:pStyle w:val="SingleTxtGC"/>
        <w:rPr>
          <w:rFonts w:hint="eastAsia"/>
        </w:rPr>
      </w:pPr>
      <w:r w:rsidRPr="00BD06A0">
        <w:rPr>
          <w:rFonts w:hint="eastAsia"/>
        </w:rPr>
        <w:t xml:space="preserve">62. </w:t>
      </w:r>
      <w:r w:rsidR="00D757FE">
        <w:rPr>
          <w:rFonts w:hint="eastAsia"/>
        </w:rPr>
        <w:t xml:space="preserve"> </w:t>
      </w:r>
      <w:r w:rsidRPr="00F16A3D">
        <w:rPr>
          <w:rFonts w:eastAsia="SimHei" w:hint="eastAsia"/>
        </w:rPr>
        <w:t>《</w:t>
      </w:r>
      <w:r w:rsidRPr="00F16A3D">
        <w:rPr>
          <w:rFonts w:eastAsia="SimHei" w:hint="eastAsia"/>
        </w:rPr>
        <w:t>2005</w:t>
      </w:r>
      <w:r w:rsidRPr="00F16A3D">
        <w:rPr>
          <w:rFonts w:eastAsia="SimHei" w:hint="eastAsia"/>
        </w:rPr>
        <w:t>年法律改革委员会法》</w:t>
      </w:r>
      <w:r w:rsidRPr="00BD06A0">
        <w:rPr>
          <w:rFonts w:hint="eastAsia"/>
        </w:rPr>
        <w:t>撤消并取代了前《法律改革委员会法》，它于</w:t>
      </w:r>
      <w:r w:rsidRPr="00BD06A0">
        <w:rPr>
          <w:rFonts w:hint="eastAsia"/>
        </w:rPr>
        <w:t>2006</w:t>
      </w:r>
      <w:r w:rsidRPr="00BD06A0">
        <w:rPr>
          <w:rFonts w:hint="eastAsia"/>
        </w:rPr>
        <w:t>年</w:t>
      </w:r>
      <w:r w:rsidRPr="00BD06A0">
        <w:rPr>
          <w:rFonts w:hint="eastAsia"/>
        </w:rPr>
        <w:t>1</w:t>
      </w:r>
      <w:r w:rsidRPr="00BD06A0">
        <w:rPr>
          <w:rFonts w:hint="eastAsia"/>
        </w:rPr>
        <w:t>月</w:t>
      </w:r>
      <w:r w:rsidRPr="00BD06A0">
        <w:rPr>
          <w:rFonts w:hint="eastAsia"/>
        </w:rPr>
        <w:t>10</w:t>
      </w:r>
      <w:r w:rsidRPr="00BD06A0">
        <w:rPr>
          <w:rFonts w:hint="eastAsia"/>
        </w:rPr>
        <w:t>日生效。它规定设立了法律改革委员会，其主要职能是就改革和制定有关法律提出建议，并在适当和可行时附上法律草案，同时还就毛里求斯法律如何得到切实贯彻向总检察长提供咨询。该委员会还应至少每年一次，制定并向总检察长提交有关方案，用以审查毛里求斯法律的特定方面，以便求得改革或发展。</w:t>
      </w:r>
    </w:p>
    <w:p w:rsidR="00BD06A0" w:rsidRPr="00BD06A0" w:rsidRDefault="00BD06A0" w:rsidP="00BD06A0">
      <w:pPr>
        <w:pStyle w:val="SingleTxtGC"/>
        <w:rPr>
          <w:rFonts w:hint="eastAsia"/>
        </w:rPr>
      </w:pPr>
      <w:r w:rsidRPr="00BD06A0">
        <w:rPr>
          <w:rFonts w:hint="eastAsia"/>
        </w:rPr>
        <w:t xml:space="preserve">63.  </w:t>
      </w:r>
      <w:r w:rsidRPr="00BD06A0">
        <w:rPr>
          <w:rFonts w:hint="eastAsia"/>
        </w:rPr>
        <w:t>总检察长可随时请该委员会审查毛里求斯法律的任何方面，委员会应对法律的该一方面进行相应审查，并向总检察长提交载有其建议的报告。</w:t>
      </w:r>
    </w:p>
    <w:p w:rsidR="00BD06A0" w:rsidRPr="00BD06A0" w:rsidRDefault="005C3315" w:rsidP="005C3315">
      <w:pPr>
        <w:pStyle w:val="H23GC"/>
        <w:rPr>
          <w:rFonts w:hint="eastAsia"/>
        </w:rPr>
      </w:pPr>
      <w:r>
        <w:rPr>
          <w:rFonts w:hint="eastAsia"/>
          <w:b/>
        </w:rPr>
        <w:tab/>
      </w:r>
      <w:r w:rsidR="00BD06A0" w:rsidRPr="005C3315">
        <w:rPr>
          <w:rFonts w:hint="eastAsia"/>
        </w:rPr>
        <w:t>4</w:t>
      </w:r>
      <w:r w:rsidR="00BD06A0" w:rsidRPr="00BD06A0">
        <w:rPr>
          <w:rFonts w:hint="eastAsia"/>
        </w:rPr>
        <w:t>.</w:t>
      </w:r>
      <w:r>
        <w:rPr>
          <w:rFonts w:hint="eastAsia"/>
        </w:rPr>
        <w:tab/>
      </w:r>
      <w:r w:rsidR="00BD06A0" w:rsidRPr="00BD06A0">
        <w:rPr>
          <w:rFonts w:hint="eastAsia"/>
        </w:rPr>
        <w:t>其他有关的人权资料</w:t>
      </w:r>
    </w:p>
    <w:p w:rsidR="00BD06A0" w:rsidRPr="00BD06A0" w:rsidRDefault="005C3315" w:rsidP="005C3315">
      <w:pPr>
        <w:pStyle w:val="H23GC"/>
        <w:rPr>
          <w:rFonts w:hint="eastAsia"/>
        </w:rPr>
      </w:pPr>
      <w:r>
        <w:rPr>
          <w:rFonts w:hint="eastAsia"/>
        </w:rPr>
        <w:tab/>
      </w:r>
      <w:r>
        <w:rPr>
          <w:rFonts w:hint="eastAsia"/>
        </w:rPr>
        <w:tab/>
      </w:r>
      <w:r w:rsidR="00BD06A0" w:rsidRPr="00BD06A0">
        <w:rPr>
          <w:rFonts w:hint="eastAsia"/>
        </w:rPr>
        <w:t>发展权</w:t>
      </w:r>
    </w:p>
    <w:p w:rsidR="00BD06A0" w:rsidRPr="00BD06A0" w:rsidRDefault="00BD06A0" w:rsidP="00BD06A0">
      <w:pPr>
        <w:pStyle w:val="SingleTxtGC"/>
        <w:rPr>
          <w:rFonts w:hint="eastAsia"/>
        </w:rPr>
      </w:pPr>
      <w:r w:rsidRPr="00BD06A0">
        <w:rPr>
          <w:rFonts w:hint="eastAsia"/>
        </w:rPr>
        <w:t xml:space="preserve">64.  </w:t>
      </w:r>
      <w:r w:rsidRPr="00BD06A0">
        <w:rPr>
          <w:rFonts w:hint="eastAsia"/>
        </w:rPr>
        <w:t>虽然毛里求斯《宪法》没有对发展权作出具体规定，下列法律可视为与《千年发展目标》和发展权是一致的。</w:t>
      </w:r>
    </w:p>
    <w:p w:rsidR="00BD06A0" w:rsidRPr="00BD06A0" w:rsidRDefault="00BD06A0" w:rsidP="00BD06A0">
      <w:pPr>
        <w:pStyle w:val="SingleTxtGC"/>
        <w:rPr>
          <w:rFonts w:hint="eastAsia"/>
        </w:rPr>
      </w:pPr>
      <w:r w:rsidRPr="00BD06A0">
        <w:rPr>
          <w:rFonts w:hint="eastAsia"/>
        </w:rPr>
        <w:t xml:space="preserve">65.  </w:t>
      </w:r>
      <w:r w:rsidRPr="00403084">
        <w:rPr>
          <w:rFonts w:eastAsia="SimHei" w:hint="eastAsia"/>
        </w:rPr>
        <w:t>2004</w:t>
      </w:r>
      <w:r w:rsidRPr="00403084">
        <w:rPr>
          <w:rFonts w:eastAsia="SimHei" w:hint="eastAsia"/>
        </w:rPr>
        <w:t>年《规划和发展法》</w:t>
      </w:r>
      <w:r w:rsidRPr="00BD06A0">
        <w:rPr>
          <w:rFonts w:hint="eastAsia"/>
        </w:rPr>
        <w:t>(</w:t>
      </w:r>
      <w:r w:rsidRPr="00BD06A0">
        <w:rPr>
          <w:rFonts w:hint="eastAsia"/>
        </w:rPr>
        <w:t>尚未正式生效</w:t>
      </w:r>
      <w:r w:rsidRPr="00BD06A0">
        <w:rPr>
          <w:rFonts w:hint="eastAsia"/>
        </w:rPr>
        <w:t>)</w:t>
      </w:r>
      <w:r w:rsidRPr="00BD06A0">
        <w:rPr>
          <w:rFonts w:hint="eastAsia"/>
        </w:rPr>
        <w:t>：目的是革新城乡规划，对毛里求斯的土地使用规划和发展作出全面规定。</w:t>
      </w:r>
    </w:p>
    <w:p w:rsidR="00BD06A0" w:rsidRPr="00BD06A0" w:rsidRDefault="00BD06A0" w:rsidP="00BD06A0">
      <w:pPr>
        <w:pStyle w:val="SingleTxtGC"/>
        <w:rPr>
          <w:rFonts w:hint="eastAsia"/>
        </w:rPr>
      </w:pPr>
      <w:r w:rsidRPr="00BD06A0">
        <w:rPr>
          <w:rFonts w:hint="eastAsia"/>
        </w:rPr>
        <w:t xml:space="preserve">66.  </w:t>
      </w:r>
      <w:r w:rsidRPr="005B20E0">
        <w:rPr>
          <w:rFonts w:eastAsia="SimHei" w:hint="eastAsia"/>
        </w:rPr>
        <w:t>《社会保障法公约》</w:t>
      </w:r>
      <w:r w:rsidRPr="00BD06A0">
        <w:rPr>
          <w:rFonts w:hint="eastAsia"/>
        </w:rPr>
        <w:t>：规定毛里求斯政府与英国政府之间</w:t>
      </w:r>
      <w:r w:rsidRPr="00BD06A0">
        <w:rPr>
          <w:rFonts w:hint="eastAsia"/>
        </w:rPr>
        <w:t>1981</w:t>
      </w:r>
      <w:r w:rsidRPr="00BD06A0">
        <w:rPr>
          <w:rFonts w:hint="eastAsia"/>
        </w:rPr>
        <w:t>年</w:t>
      </w:r>
      <w:r w:rsidRPr="00BD06A0">
        <w:rPr>
          <w:rFonts w:hint="eastAsia"/>
        </w:rPr>
        <w:t>4</w:t>
      </w:r>
      <w:r w:rsidRPr="00BD06A0">
        <w:rPr>
          <w:rFonts w:hint="eastAsia"/>
        </w:rPr>
        <w:t>月</w:t>
      </w:r>
      <w:r w:rsidRPr="00BD06A0">
        <w:rPr>
          <w:rFonts w:hint="eastAsia"/>
        </w:rPr>
        <w:t>22</w:t>
      </w:r>
      <w:r w:rsidRPr="00BD06A0">
        <w:rPr>
          <w:rFonts w:hint="eastAsia"/>
        </w:rPr>
        <w:t>日签署的《社会保障公约》在毛里求斯具有法律效力。</w:t>
      </w:r>
    </w:p>
    <w:p w:rsidR="00BD06A0" w:rsidRPr="00BD06A0" w:rsidRDefault="00BD06A0" w:rsidP="00BD06A0">
      <w:pPr>
        <w:pStyle w:val="SingleTxtGC"/>
        <w:rPr>
          <w:rFonts w:hint="eastAsia"/>
        </w:rPr>
      </w:pPr>
      <w:r w:rsidRPr="00BD06A0">
        <w:rPr>
          <w:rFonts w:hint="eastAsia"/>
        </w:rPr>
        <w:t xml:space="preserve">67.  </w:t>
      </w:r>
      <w:r w:rsidRPr="00180508">
        <w:rPr>
          <w:rFonts w:eastAsia="SimHei" w:hint="eastAsia"/>
        </w:rPr>
        <w:t>《政府保障</w:t>
      </w:r>
      <w:r w:rsidRPr="00180508">
        <w:rPr>
          <w:rFonts w:eastAsia="SimHei" w:hint="eastAsia"/>
        </w:rPr>
        <w:t>(</w:t>
      </w:r>
      <w:r w:rsidRPr="00180508">
        <w:rPr>
          <w:rFonts w:eastAsia="SimHei" w:hint="eastAsia"/>
        </w:rPr>
        <w:t>发展目标</w:t>
      </w:r>
      <w:r w:rsidRPr="00180508">
        <w:rPr>
          <w:rFonts w:eastAsia="SimHei" w:hint="eastAsia"/>
        </w:rPr>
        <w:t>)</w:t>
      </w:r>
      <w:r w:rsidRPr="00180508">
        <w:rPr>
          <w:rFonts w:eastAsia="SimHei" w:hint="eastAsia"/>
        </w:rPr>
        <w:t>法》</w:t>
      </w:r>
      <w:r w:rsidRPr="00BD06A0">
        <w:rPr>
          <w:rFonts w:hint="eastAsia"/>
        </w:rPr>
        <w:t>：规定政府采取保障措施，偿付毛里求斯人为发展目的，即为促进毛里求斯的经济发展而借贷的任何资金。</w:t>
      </w:r>
    </w:p>
    <w:p w:rsidR="00BD06A0" w:rsidRPr="00BD06A0" w:rsidRDefault="00BD06A0" w:rsidP="00BD06A0">
      <w:pPr>
        <w:pStyle w:val="SingleTxtGC"/>
        <w:rPr>
          <w:rFonts w:hint="eastAsia"/>
        </w:rPr>
      </w:pPr>
      <w:r w:rsidRPr="00BD06A0">
        <w:rPr>
          <w:rFonts w:hint="eastAsia"/>
        </w:rPr>
        <w:t xml:space="preserve">68.  </w:t>
      </w:r>
      <w:r w:rsidRPr="00E37E26">
        <w:rPr>
          <w:rFonts w:eastAsia="SimHei" w:hint="eastAsia"/>
        </w:rPr>
        <w:t>《政府社会福利中心法》</w:t>
      </w:r>
      <w:r w:rsidRPr="00BD06A0">
        <w:rPr>
          <w:rFonts w:hint="eastAsia"/>
        </w:rPr>
        <w:t>：设立社会福利委员会，以管理社会福利中心。</w:t>
      </w:r>
    </w:p>
    <w:p w:rsidR="00BD06A0" w:rsidRPr="00BD06A0" w:rsidRDefault="00BD06A0" w:rsidP="00BD06A0">
      <w:pPr>
        <w:pStyle w:val="SingleTxtGC"/>
        <w:rPr>
          <w:rFonts w:hint="eastAsia"/>
        </w:rPr>
      </w:pPr>
      <w:r w:rsidRPr="00BD06A0">
        <w:rPr>
          <w:rFonts w:hint="eastAsia"/>
        </w:rPr>
        <w:t xml:space="preserve">69.  </w:t>
      </w:r>
      <w:r w:rsidRPr="00BC65F7">
        <w:rPr>
          <w:rFonts w:eastAsia="SimHei" w:hint="eastAsia"/>
        </w:rPr>
        <w:t>《人力资源开发法》</w:t>
      </w:r>
      <w:r w:rsidRPr="00BD06A0">
        <w:rPr>
          <w:rFonts w:hint="eastAsia"/>
        </w:rPr>
        <w:t>：设立人力资源开发理事会，主要就人力资源开发政策和战略向政府提供咨询。</w:t>
      </w:r>
    </w:p>
    <w:p w:rsidR="00BD06A0" w:rsidRPr="00BD06A0" w:rsidRDefault="00BD06A0" w:rsidP="00BD06A0">
      <w:pPr>
        <w:pStyle w:val="SingleTxtGC"/>
        <w:rPr>
          <w:rFonts w:hint="eastAsia"/>
        </w:rPr>
      </w:pPr>
      <w:r w:rsidRPr="00BD06A0">
        <w:rPr>
          <w:rFonts w:hint="eastAsia"/>
        </w:rPr>
        <w:t xml:space="preserve">70.  </w:t>
      </w:r>
      <w:r w:rsidRPr="00082304">
        <w:rPr>
          <w:rFonts w:hint="eastAsia"/>
        </w:rPr>
        <w:t>2000</w:t>
      </w:r>
      <w:r w:rsidRPr="00082304">
        <w:rPr>
          <w:rFonts w:hint="eastAsia"/>
        </w:rPr>
        <w:t>年《投资促进法》</w:t>
      </w:r>
      <w:r w:rsidRPr="00BD06A0">
        <w:rPr>
          <w:rFonts w:hint="eastAsia"/>
        </w:rPr>
        <w:t>：设立投资局，以刺激毛里求斯经济的发展，推动毛里求斯成为国际投资业务和服务中心，并制定投资政策；还规定申请投资许可的程序。</w:t>
      </w:r>
    </w:p>
    <w:p w:rsidR="00BD06A0" w:rsidRPr="00BD06A0" w:rsidRDefault="00BD06A0" w:rsidP="00BD06A0">
      <w:pPr>
        <w:pStyle w:val="SingleTxtGC"/>
        <w:rPr>
          <w:rFonts w:hint="eastAsia"/>
        </w:rPr>
      </w:pPr>
      <w:r w:rsidRPr="00BD06A0">
        <w:rPr>
          <w:rFonts w:hint="eastAsia"/>
        </w:rPr>
        <w:t xml:space="preserve">71.  </w:t>
      </w:r>
      <w:r w:rsidRPr="00F36C57">
        <w:rPr>
          <w:rFonts w:hint="eastAsia"/>
        </w:rPr>
        <w:t>《毛里求斯工业发展局法》：</w:t>
      </w:r>
      <w:r w:rsidRPr="00BD06A0">
        <w:rPr>
          <w:rFonts w:hint="eastAsia"/>
        </w:rPr>
        <w:t>设立工业发展局，以开发和运营工业地点和园区，促进毛里求斯的商品和服务出口，并就与出口促进等有关的各项事务向政府提供咨询。</w:t>
      </w:r>
    </w:p>
    <w:p w:rsidR="00BD06A0" w:rsidRPr="00BD06A0" w:rsidRDefault="00BD06A0" w:rsidP="00BD06A0">
      <w:pPr>
        <w:pStyle w:val="SingleTxtGC"/>
        <w:rPr>
          <w:rFonts w:hint="eastAsia"/>
        </w:rPr>
      </w:pPr>
      <w:r w:rsidRPr="00BD06A0">
        <w:rPr>
          <w:rFonts w:hint="eastAsia"/>
        </w:rPr>
        <w:t xml:space="preserve">72.  </w:t>
      </w:r>
      <w:r w:rsidRPr="00EB52B9">
        <w:rPr>
          <w:rFonts w:hint="eastAsia"/>
        </w:rPr>
        <w:t>《毛里求斯海洋研究所法》</w:t>
      </w:r>
      <w:r w:rsidRPr="00BD06A0">
        <w:rPr>
          <w:rFonts w:hint="eastAsia"/>
        </w:rPr>
        <w:t>：设立海洋研究所，以加强研究和发展对海洋学的兴趣，同时还就制定和实施有关政策和方案向政府提供咨询。</w:t>
      </w:r>
    </w:p>
    <w:p w:rsidR="00BD06A0" w:rsidRPr="00BD06A0" w:rsidRDefault="00BD06A0" w:rsidP="00BD06A0">
      <w:pPr>
        <w:pStyle w:val="SingleTxtGC"/>
        <w:rPr>
          <w:rFonts w:hint="eastAsia"/>
        </w:rPr>
      </w:pPr>
      <w:r w:rsidRPr="00BD06A0">
        <w:rPr>
          <w:rFonts w:hint="eastAsia"/>
        </w:rPr>
        <w:t xml:space="preserve">73.  </w:t>
      </w:r>
      <w:r w:rsidRPr="00356217">
        <w:rPr>
          <w:rFonts w:hint="eastAsia"/>
        </w:rPr>
        <w:t>《运沙法》</w:t>
      </w:r>
      <w:r w:rsidRPr="00BD06A0">
        <w:rPr>
          <w:rFonts w:hint="eastAsia"/>
        </w:rPr>
        <w:t>：涉及采沙场的管理。</w:t>
      </w:r>
    </w:p>
    <w:p w:rsidR="00BD06A0" w:rsidRPr="00BD06A0" w:rsidRDefault="00BD06A0" w:rsidP="00BD06A0">
      <w:pPr>
        <w:pStyle w:val="SingleTxtGC"/>
        <w:rPr>
          <w:rFonts w:hint="eastAsia"/>
        </w:rPr>
      </w:pPr>
      <w:r w:rsidRPr="00BD06A0">
        <w:rPr>
          <w:rFonts w:hint="eastAsia"/>
        </w:rPr>
        <w:t xml:space="preserve">74.  </w:t>
      </w:r>
      <w:r w:rsidRPr="00411998">
        <w:rPr>
          <w:rFonts w:hint="eastAsia"/>
        </w:rPr>
        <w:t>《毛里求斯研究理事会法》</w:t>
      </w:r>
      <w:r w:rsidRPr="00BD06A0">
        <w:rPr>
          <w:rFonts w:hint="eastAsia"/>
        </w:rPr>
        <w:t>：设立毛里求斯研究理事会，以向政府提供咨询，并在科学、技术、社会和经济活动各个领域加强研究与开发工作。</w:t>
      </w:r>
    </w:p>
    <w:p w:rsidR="00BD06A0" w:rsidRPr="00BD06A0" w:rsidRDefault="00BD06A0" w:rsidP="00BD06A0">
      <w:pPr>
        <w:pStyle w:val="SingleTxtGC"/>
        <w:rPr>
          <w:rFonts w:hint="eastAsia"/>
        </w:rPr>
      </w:pPr>
      <w:r w:rsidRPr="00BD06A0">
        <w:rPr>
          <w:rFonts w:hint="eastAsia"/>
        </w:rPr>
        <w:t xml:space="preserve">75.  </w:t>
      </w:r>
      <w:r w:rsidRPr="003628EA">
        <w:rPr>
          <w:rFonts w:hint="eastAsia"/>
        </w:rPr>
        <w:t>《毛里求斯糖业研究所法》</w:t>
      </w:r>
      <w:r w:rsidRPr="00BD06A0">
        <w:rPr>
          <w:rFonts w:hint="eastAsia"/>
        </w:rPr>
        <w:t>：设立糖业研究研究所，以通过研究和调查等方式促进糖业的技术发展和效益。</w:t>
      </w:r>
    </w:p>
    <w:p w:rsidR="00BD06A0" w:rsidRPr="00BD06A0" w:rsidRDefault="00BD06A0" w:rsidP="00BD06A0">
      <w:pPr>
        <w:pStyle w:val="SingleTxtGC"/>
        <w:rPr>
          <w:rFonts w:hint="eastAsia"/>
        </w:rPr>
      </w:pPr>
      <w:r w:rsidRPr="00BD06A0">
        <w:rPr>
          <w:rFonts w:hint="eastAsia"/>
        </w:rPr>
        <w:t xml:space="preserve">76.  </w:t>
      </w:r>
      <w:r w:rsidRPr="001D0ED5">
        <w:rPr>
          <w:rFonts w:eastAsia="SimHei" w:hint="eastAsia"/>
        </w:rPr>
        <w:t>《毛里求斯旅游促进局法》</w:t>
      </w:r>
      <w:r w:rsidRPr="00BD06A0">
        <w:rPr>
          <w:rFonts w:hint="eastAsia"/>
        </w:rPr>
        <w:t>：设立旅游促进局，以推动毛里求斯成为旅游目的地。</w:t>
      </w:r>
    </w:p>
    <w:p w:rsidR="00BD06A0" w:rsidRPr="00BD06A0" w:rsidRDefault="00BD06A0" w:rsidP="00BD06A0">
      <w:pPr>
        <w:pStyle w:val="SingleTxtGC"/>
        <w:rPr>
          <w:rFonts w:hint="eastAsia"/>
        </w:rPr>
      </w:pPr>
      <w:r w:rsidRPr="00BD06A0">
        <w:rPr>
          <w:rFonts w:hint="eastAsia"/>
        </w:rPr>
        <w:t xml:space="preserve">77.  </w:t>
      </w:r>
      <w:r w:rsidRPr="00FC158D">
        <w:rPr>
          <w:rFonts w:hint="eastAsia"/>
        </w:rPr>
        <w:t>《国家生产力和竞争理事会法》</w:t>
      </w:r>
      <w:r w:rsidRPr="00BD06A0">
        <w:rPr>
          <w:rFonts w:hint="eastAsia"/>
        </w:rPr>
        <w:t>：设立生产力和竞争理事会，在各经济部门培养生产力和质量的意识。</w:t>
      </w:r>
    </w:p>
    <w:p w:rsidR="00BD06A0" w:rsidRPr="00BD06A0" w:rsidRDefault="00BD06A0" w:rsidP="00BD06A0">
      <w:pPr>
        <w:pStyle w:val="SingleTxtGC"/>
        <w:rPr>
          <w:rFonts w:hint="eastAsia"/>
        </w:rPr>
      </w:pPr>
      <w:r w:rsidRPr="00BD06A0">
        <w:rPr>
          <w:rFonts w:hint="eastAsia"/>
        </w:rPr>
        <w:t xml:space="preserve">78.  </w:t>
      </w:r>
      <w:r w:rsidRPr="00901B67">
        <w:rPr>
          <w:rFonts w:hint="eastAsia"/>
        </w:rPr>
        <w:t>《道路发展局法》</w:t>
      </w:r>
      <w:r w:rsidRPr="00BD06A0">
        <w:rPr>
          <w:rFonts w:hint="eastAsia"/>
        </w:rPr>
        <w:t>：设立道路发展局，负责公路和干道的修筑、维护、保养和改进。</w:t>
      </w:r>
    </w:p>
    <w:p w:rsidR="00BD06A0" w:rsidRPr="00BD06A0" w:rsidRDefault="00BD06A0" w:rsidP="00BD06A0">
      <w:pPr>
        <w:pStyle w:val="SingleTxtGC"/>
        <w:rPr>
          <w:rFonts w:hint="eastAsia"/>
        </w:rPr>
      </w:pPr>
      <w:r w:rsidRPr="00BD06A0">
        <w:rPr>
          <w:rFonts w:hint="eastAsia"/>
        </w:rPr>
        <w:t xml:space="preserve">79.  </w:t>
      </w:r>
      <w:r w:rsidRPr="005B78AA">
        <w:rPr>
          <w:rFonts w:hint="eastAsia"/>
        </w:rPr>
        <w:t>《废水管理局法》</w:t>
      </w:r>
      <w:r w:rsidRPr="00BD06A0">
        <w:rPr>
          <w:rFonts w:hint="eastAsia"/>
        </w:rPr>
        <w:t>：设立废水管理局，负责毛里求斯的废水管理。</w:t>
      </w:r>
    </w:p>
    <w:p w:rsidR="00BD06A0" w:rsidRPr="00BD06A0" w:rsidRDefault="00BD06A0" w:rsidP="00BD06A0">
      <w:pPr>
        <w:pStyle w:val="SingleTxtGC"/>
        <w:rPr>
          <w:rFonts w:hint="eastAsia"/>
        </w:rPr>
      </w:pPr>
      <w:r w:rsidRPr="00BD06A0">
        <w:rPr>
          <w:rFonts w:hint="eastAsia"/>
        </w:rPr>
        <w:t xml:space="preserve">80.  </w:t>
      </w:r>
      <w:r w:rsidRPr="004D4189">
        <w:rPr>
          <w:rFonts w:eastAsia="SimHei" w:hint="eastAsia"/>
        </w:rPr>
        <w:t>《野生生物和国家公园法》</w:t>
      </w:r>
      <w:r w:rsidRPr="00BD06A0">
        <w:rPr>
          <w:rFonts w:hint="eastAsia"/>
        </w:rPr>
        <w:t>：主要设立了咨询委员会，就与野生生物、国家公园和一般保护有关的事宜向政府提供咨询。</w:t>
      </w:r>
    </w:p>
    <w:p w:rsidR="00BD06A0" w:rsidRPr="00BD06A0" w:rsidRDefault="00BD06A0" w:rsidP="00BD06A0">
      <w:pPr>
        <w:pStyle w:val="SingleTxtGC"/>
        <w:rPr>
          <w:rFonts w:hint="eastAsia"/>
        </w:rPr>
      </w:pPr>
      <w:r w:rsidRPr="00BD06A0">
        <w:rPr>
          <w:rFonts w:hint="eastAsia"/>
        </w:rPr>
        <w:t xml:space="preserve">81.  </w:t>
      </w:r>
      <w:r w:rsidRPr="0001535A">
        <w:rPr>
          <w:rFonts w:hint="eastAsia"/>
        </w:rPr>
        <w:t>《国家妇女企业家理事会法》：</w:t>
      </w:r>
      <w:r w:rsidRPr="00BD06A0">
        <w:rPr>
          <w:rFonts w:hint="eastAsia"/>
        </w:rPr>
        <w:t>设立国家妇女企业家理事会，促进妇女的创业活动；《理事会法》设立国家妇女理事会，协助实施和评估与妇女需要有关的政府政策。</w:t>
      </w:r>
    </w:p>
    <w:p w:rsidR="00BD06A0" w:rsidRPr="00BD06A0" w:rsidRDefault="00BD06A0" w:rsidP="00BD06A0">
      <w:pPr>
        <w:pStyle w:val="SingleTxtGC"/>
        <w:rPr>
          <w:rFonts w:hint="eastAsia"/>
        </w:rPr>
      </w:pPr>
      <w:r w:rsidRPr="00BD06A0">
        <w:rPr>
          <w:rFonts w:hint="eastAsia"/>
        </w:rPr>
        <w:t xml:space="preserve">82.  </w:t>
      </w:r>
      <w:r w:rsidRPr="00E74811">
        <w:rPr>
          <w:rFonts w:hint="eastAsia"/>
        </w:rPr>
        <w:t>《噪音防治法》</w:t>
      </w:r>
      <w:r w:rsidRPr="00BD06A0">
        <w:rPr>
          <w:rFonts w:hint="eastAsia"/>
        </w:rPr>
        <w:t>：规定有关机构</w:t>
      </w:r>
      <w:r w:rsidRPr="00BD06A0">
        <w:rPr>
          <w:rFonts w:hint="eastAsia"/>
        </w:rPr>
        <w:t>(</w:t>
      </w:r>
      <w:r w:rsidRPr="00BD06A0">
        <w:rPr>
          <w:rFonts w:hint="eastAsia"/>
        </w:rPr>
        <w:t>即市或区委员会</w:t>
      </w:r>
      <w:r w:rsidRPr="00BD06A0">
        <w:rPr>
          <w:rFonts w:hint="eastAsia"/>
        </w:rPr>
        <w:t>)</w:t>
      </w:r>
      <w:r w:rsidRPr="00BD06A0">
        <w:rPr>
          <w:rFonts w:hint="eastAsia"/>
        </w:rPr>
        <w:t>可制定防治噪音的条例。</w:t>
      </w:r>
    </w:p>
    <w:p w:rsidR="00BD06A0" w:rsidRPr="00BD06A0" w:rsidRDefault="00BD06A0" w:rsidP="00BD06A0">
      <w:pPr>
        <w:pStyle w:val="SingleTxtGC"/>
        <w:rPr>
          <w:rFonts w:hint="eastAsia"/>
        </w:rPr>
      </w:pPr>
      <w:r w:rsidRPr="00BD06A0">
        <w:rPr>
          <w:rFonts w:hint="eastAsia"/>
        </w:rPr>
        <w:t xml:space="preserve">83.  </w:t>
      </w:r>
      <w:r w:rsidRPr="00355B6C">
        <w:rPr>
          <w:rFonts w:hint="eastAsia"/>
        </w:rPr>
        <w:t>《公司法》</w:t>
      </w:r>
      <w:r w:rsidRPr="00BD06A0">
        <w:rPr>
          <w:rFonts w:hint="eastAsia"/>
        </w:rPr>
        <w:t>：设立边缘岛屿开发公司，负责就有关发展的活动，促进边缘岛屿经济开发等问题向政府提供咨询。</w:t>
      </w:r>
    </w:p>
    <w:p w:rsidR="00BD06A0" w:rsidRPr="00BD06A0" w:rsidRDefault="00BD06A0" w:rsidP="00BD06A0">
      <w:pPr>
        <w:pStyle w:val="SingleTxtGC"/>
        <w:rPr>
          <w:rFonts w:hint="eastAsia"/>
        </w:rPr>
      </w:pPr>
      <w:r w:rsidRPr="00BD06A0">
        <w:rPr>
          <w:rFonts w:hint="eastAsia"/>
        </w:rPr>
        <w:t xml:space="preserve">84.  </w:t>
      </w:r>
      <w:r w:rsidRPr="00B83457">
        <w:rPr>
          <w:rFonts w:hint="eastAsia"/>
        </w:rPr>
        <w:t>《专利、工业设计和商标法》</w:t>
      </w:r>
      <w:r w:rsidRPr="00BD06A0">
        <w:rPr>
          <w:rFonts w:hint="eastAsia"/>
        </w:rPr>
        <w:t>：设立工业产权局，调查对侵犯工业产权的指控，《版权法》对作品保护作出规定。</w:t>
      </w:r>
    </w:p>
    <w:p w:rsidR="00BD06A0" w:rsidRPr="00BD06A0" w:rsidRDefault="00BD06A0" w:rsidP="00BD06A0">
      <w:pPr>
        <w:pStyle w:val="SingleTxtGC"/>
        <w:rPr>
          <w:rFonts w:hint="eastAsia"/>
        </w:rPr>
      </w:pPr>
      <w:r w:rsidRPr="00BD06A0">
        <w:rPr>
          <w:rFonts w:hint="eastAsia"/>
        </w:rPr>
        <w:t xml:space="preserve">85.  </w:t>
      </w:r>
      <w:r w:rsidRPr="001B2C52">
        <w:rPr>
          <w:rFonts w:hint="eastAsia"/>
        </w:rPr>
        <w:t>《防止不公平做法</w:t>
      </w:r>
      <w:r w:rsidRPr="001B2C52">
        <w:rPr>
          <w:rFonts w:hint="eastAsia"/>
        </w:rPr>
        <w:t>(</w:t>
      </w:r>
      <w:r w:rsidRPr="001B2C52">
        <w:rPr>
          <w:rFonts w:hint="eastAsia"/>
        </w:rPr>
        <w:t>工业产权</w:t>
      </w:r>
      <w:r w:rsidRPr="001B2C52">
        <w:rPr>
          <w:rFonts w:hint="eastAsia"/>
        </w:rPr>
        <w:t>)</w:t>
      </w:r>
      <w:r w:rsidRPr="001B2C52">
        <w:rPr>
          <w:rFonts w:hint="eastAsia"/>
        </w:rPr>
        <w:t>法》：</w:t>
      </w:r>
      <w:r w:rsidRPr="00BD06A0">
        <w:rPr>
          <w:rFonts w:hint="eastAsia"/>
        </w:rPr>
        <w:t>规定不公平做法的刑事和民事责任。</w:t>
      </w:r>
    </w:p>
    <w:p w:rsidR="00BD06A0" w:rsidRPr="00BD06A0" w:rsidRDefault="00BD06A0" w:rsidP="00BD06A0">
      <w:pPr>
        <w:pStyle w:val="SingleTxtGC"/>
        <w:rPr>
          <w:rFonts w:hint="eastAsia"/>
        </w:rPr>
      </w:pPr>
      <w:r w:rsidRPr="00BD06A0">
        <w:rPr>
          <w:rFonts w:hint="eastAsia"/>
        </w:rPr>
        <w:t xml:space="preserve">86.  </w:t>
      </w:r>
      <w:r w:rsidRPr="007556B1">
        <w:rPr>
          <w:rFonts w:eastAsia="SimHei" w:hint="eastAsia"/>
        </w:rPr>
        <w:t>《公平贸易法》</w:t>
      </w:r>
      <w:r w:rsidRPr="00BD06A0">
        <w:rPr>
          <w:rFonts w:hint="eastAsia"/>
        </w:rPr>
        <w:t>：将受禁止的消费贸易做法定为刑事犯罪，并规定视察用于贸易目的的任何地点的权利。</w:t>
      </w:r>
    </w:p>
    <w:p w:rsidR="00BD06A0" w:rsidRPr="00BD06A0" w:rsidRDefault="00BD06A0" w:rsidP="00BD06A0">
      <w:pPr>
        <w:pStyle w:val="SingleTxtGC"/>
        <w:rPr>
          <w:rFonts w:hint="eastAsia"/>
        </w:rPr>
      </w:pPr>
      <w:r w:rsidRPr="00BD06A0">
        <w:rPr>
          <w:rFonts w:hint="eastAsia"/>
        </w:rPr>
        <w:t xml:space="preserve">87.  </w:t>
      </w:r>
      <w:r w:rsidRPr="00891152">
        <w:rPr>
          <w:rFonts w:eastAsia="SimHei" w:hint="eastAsia"/>
        </w:rPr>
        <w:t>《计算机滥用和网络犯罪法》</w:t>
      </w:r>
      <w:r w:rsidRPr="00BD06A0">
        <w:rPr>
          <w:rFonts w:hint="eastAsia"/>
        </w:rPr>
        <w:t>：管制未经授权检索计算机数据和电子欺诈。</w:t>
      </w:r>
    </w:p>
    <w:p w:rsidR="00BD06A0" w:rsidRPr="00BD06A0" w:rsidRDefault="008752E2" w:rsidP="008752E2">
      <w:pPr>
        <w:pStyle w:val="H23GC"/>
        <w:rPr>
          <w:rFonts w:hint="eastAsia"/>
        </w:rPr>
      </w:pPr>
      <w:r>
        <w:rPr>
          <w:rFonts w:hint="eastAsia"/>
        </w:rPr>
        <w:tab/>
      </w:r>
      <w:r>
        <w:rPr>
          <w:rFonts w:hint="eastAsia"/>
        </w:rPr>
        <w:tab/>
      </w:r>
      <w:r w:rsidR="00BD06A0" w:rsidRPr="00BD06A0" w:rsidDel="001A7E53">
        <w:rPr>
          <w:rFonts w:hint="eastAsia"/>
        </w:rPr>
        <w:t>享有</w:t>
      </w:r>
      <w:r w:rsidR="00BD06A0" w:rsidRPr="00BD06A0">
        <w:rPr>
          <w:rFonts w:hint="eastAsia"/>
        </w:rPr>
        <w:t>清洁和优美环境权</w:t>
      </w:r>
    </w:p>
    <w:p w:rsidR="00BD06A0" w:rsidRPr="00BD06A0" w:rsidRDefault="008752E2" w:rsidP="008752E2">
      <w:pPr>
        <w:pStyle w:val="H4GC"/>
        <w:rPr>
          <w:rFonts w:hint="eastAsia"/>
        </w:rPr>
      </w:pPr>
      <w:r>
        <w:rPr>
          <w:rFonts w:hint="eastAsia"/>
        </w:rPr>
        <w:tab/>
      </w:r>
      <w:r>
        <w:rPr>
          <w:rFonts w:hint="eastAsia"/>
        </w:rPr>
        <w:tab/>
      </w:r>
      <w:r w:rsidR="00BD06A0" w:rsidRPr="00BD06A0">
        <w:rPr>
          <w:rFonts w:hint="eastAsia"/>
        </w:rPr>
        <w:t>法律框架</w:t>
      </w:r>
    </w:p>
    <w:p w:rsidR="00BD06A0" w:rsidRPr="00BD06A0" w:rsidRDefault="008752E2" w:rsidP="008752E2">
      <w:pPr>
        <w:pStyle w:val="H56GC"/>
        <w:rPr>
          <w:rFonts w:hint="eastAsia"/>
        </w:rPr>
      </w:pPr>
      <w:r>
        <w:rPr>
          <w:rFonts w:hint="eastAsia"/>
        </w:rPr>
        <w:tab/>
      </w:r>
      <w:r>
        <w:rPr>
          <w:rFonts w:hint="eastAsia"/>
        </w:rPr>
        <w:tab/>
      </w:r>
      <w:r w:rsidR="00BD06A0" w:rsidRPr="00BD06A0">
        <w:rPr>
          <w:rFonts w:hint="eastAsia"/>
        </w:rPr>
        <w:t>2002</w:t>
      </w:r>
      <w:r w:rsidR="00BD06A0" w:rsidRPr="00BD06A0">
        <w:rPr>
          <w:rFonts w:hint="eastAsia"/>
        </w:rPr>
        <w:t>年《环境保护法》</w:t>
      </w:r>
    </w:p>
    <w:p w:rsidR="00BD06A0" w:rsidRPr="00BD06A0" w:rsidRDefault="00BD06A0" w:rsidP="00BD06A0">
      <w:pPr>
        <w:pStyle w:val="SingleTxtGC"/>
        <w:rPr>
          <w:rFonts w:hint="eastAsia"/>
        </w:rPr>
      </w:pPr>
      <w:r w:rsidRPr="00BD06A0">
        <w:rPr>
          <w:rFonts w:hint="eastAsia"/>
        </w:rPr>
        <w:t>88.  2002</w:t>
      </w:r>
      <w:r w:rsidRPr="00BD06A0">
        <w:rPr>
          <w:rFonts w:hint="eastAsia"/>
        </w:rPr>
        <w:t>年《环境保护法》是主要的环境立法。该法的基本原则是保护环境和人类健康。它规定：</w:t>
      </w:r>
    </w:p>
    <w:p w:rsidR="00BD06A0" w:rsidRPr="00BD06A0" w:rsidRDefault="00BD06A0" w:rsidP="00596608">
      <w:pPr>
        <w:pStyle w:val="SingleTxtGC"/>
        <w:numPr>
          <w:ilvl w:val="0"/>
          <w:numId w:val="11"/>
        </w:numPr>
        <w:rPr>
          <w:rFonts w:hint="eastAsia"/>
        </w:rPr>
      </w:pPr>
      <w:r w:rsidRPr="00BD06A0">
        <w:rPr>
          <w:rFonts w:hint="eastAsia"/>
        </w:rPr>
        <w:t>保护和管理毛里求斯的环境资产，使其延续社会的能力及其发展不受损害；</w:t>
      </w:r>
    </w:p>
    <w:p w:rsidR="00BD06A0" w:rsidRPr="00BD06A0" w:rsidRDefault="00BD06A0" w:rsidP="00596608">
      <w:pPr>
        <w:pStyle w:val="SingleTxtGC"/>
        <w:numPr>
          <w:ilvl w:val="0"/>
          <w:numId w:val="11"/>
        </w:numPr>
        <w:rPr>
          <w:rFonts w:hint="eastAsia"/>
        </w:rPr>
      </w:pPr>
      <w:r w:rsidRPr="00BD06A0">
        <w:rPr>
          <w:rFonts w:hint="eastAsia"/>
        </w:rPr>
        <w:t>确保生活质量、环境保护和可持续发展之间的协调，造福当代人和后代人；</w:t>
      </w:r>
    </w:p>
    <w:p w:rsidR="00BD06A0" w:rsidRPr="00BD06A0" w:rsidRDefault="00BD06A0" w:rsidP="00596608">
      <w:pPr>
        <w:pStyle w:val="SingleTxtGC"/>
        <w:numPr>
          <w:ilvl w:val="0"/>
          <w:numId w:val="11"/>
        </w:numPr>
        <w:rPr>
          <w:rFonts w:hint="eastAsia"/>
        </w:rPr>
      </w:pPr>
      <w:r w:rsidRPr="00BD06A0">
        <w:rPr>
          <w:rFonts w:hint="eastAsia"/>
        </w:rPr>
        <w:t>保护自然环境的法律框架和机制；</w:t>
      </w:r>
    </w:p>
    <w:p w:rsidR="00BD06A0" w:rsidRPr="00BD06A0" w:rsidRDefault="00BD06A0" w:rsidP="00596608">
      <w:pPr>
        <w:pStyle w:val="SingleTxtGC"/>
        <w:numPr>
          <w:ilvl w:val="0"/>
          <w:numId w:val="11"/>
        </w:numPr>
        <w:rPr>
          <w:rFonts w:hint="eastAsia"/>
        </w:rPr>
      </w:pPr>
      <w:r w:rsidRPr="00BD06A0">
        <w:rPr>
          <w:rFonts w:hint="eastAsia"/>
        </w:rPr>
        <w:t>规划环境管理和协调各种环境问题的相互关系。</w:t>
      </w:r>
    </w:p>
    <w:p w:rsidR="00BD06A0" w:rsidRPr="00BD06A0" w:rsidRDefault="0029243A" w:rsidP="0029243A">
      <w:pPr>
        <w:pStyle w:val="H56GC"/>
        <w:rPr>
          <w:rFonts w:hint="eastAsia"/>
        </w:rPr>
      </w:pPr>
      <w:r>
        <w:rPr>
          <w:rFonts w:hint="eastAsia"/>
        </w:rPr>
        <w:tab/>
      </w:r>
      <w:r>
        <w:rPr>
          <w:rFonts w:hint="eastAsia"/>
        </w:rPr>
        <w:tab/>
      </w:r>
      <w:r w:rsidR="00BD06A0" w:rsidRPr="00BD06A0">
        <w:rPr>
          <w:rFonts w:hint="eastAsia"/>
        </w:rPr>
        <w:t>环境管理</w:t>
      </w:r>
    </w:p>
    <w:p w:rsidR="00BD06A0" w:rsidRPr="00BD06A0" w:rsidRDefault="00BD06A0" w:rsidP="00BD06A0">
      <w:pPr>
        <w:pStyle w:val="SingleTxtGC"/>
        <w:rPr>
          <w:rFonts w:hint="eastAsia"/>
        </w:rPr>
      </w:pPr>
      <w:r w:rsidRPr="00BD06A0">
        <w:rPr>
          <w:rFonts w:hint="eastAsia"/>
        </w:rPr>
        <w:t>89.  2002</w:t>
      </w:r>
      <w:r w:rsidRPr="00BD06A0">
        <w:rPr>
          <w:rFonts w:hint="eastAsia"/>
        </w:rPr>
        <w:t>年《环境保护法》提出的一个重要概念是环境管理，表明毛里求斯每一公民都有义务积极爱护自然环境，进而维护和提高生活质量。</w:t>
      </w:r>
    </w:p>
    <w:p w:rsidR="00BD06A0" w:rsidRPr="00BD06A0" w:rsidRDefault="00313492" w:rsidP="002C121B">
      <w:pPr>
        <w:pStyle w:val="H56GC"/>
        <w:rPr>
          <w:rFonts w:hint="eastAsia"/>
        </w:rPr>
      </w:pPr>
      <w:r>
        <w:rPr>
          <w:rFonts w:hint="eastAsia"/>
        </w:rPr>
        <w:tab/>
      </w:r>
      <w:r>
        <w:rPr>
          <w:rFonts w:hint="eastAsia"/>
        </w:rPr>
        <w:tab/>
      </w:r>
      <w:r w:rsidR="00BD06A0" w:rsidRPr="00BD06A0">
        <w:rPr>
          <w:rFonts w:hint="eastAsia"/>
        </w:rPr>
        <w:t>环境影响评估</w:t>
      </w:r>
    </w:p>
    <w:p w:rsidR="00BD06A0" w:rsidRPr="00BD06A0" w:rsidRDefault="00BD06A0" w:rsidP="00BD06A0">
      <w:pPr>
        <w:pStyle w:val="SingleTxtGC"/>
        <w:rPr>
          <w:rFonts w:hint="eastAsia"/>
        </w:rPr>
      </w:pPr>
      <w:r w:rsidRPr="00BD06A0">
        <w:rPr>
          <w:rFonts w:hint="eastAsia"/>
        </w:rPr>
        <w:t xml:space="preserve">90.  </w:t>
      </w:r>
      <w:r w:rsidRPr="00BD06A0">
        <w:rPr>
          <w:rFonts w:hint="eastAsia"/>
        </w:rPr>
        <w:t>为减轻全岛发展带来的环境影响，</w:t>
      </w:r>
      <w:r w:rsidRPr="00BD06A0">
        <w:rPr>
          <w:rFonts w:hint="eastAsia"/>
        </w:rPr>
        <w:t>2002</w:t>
      </w:r>
      <w:r w:rsidRPr="00BD06A0">
        <w:rPr>
          <w:rFonts w:hint="eastAsia"/>
        </w:rPr>
        <w:t>年《环境保护法》授权对计划中的工程发放环境影响评估许可证或议会环境报告核准书。这种许可证是在认真评估了所有可能的影响和减轻影响的方法后发放的。这一机制是确保良好可持续环境的重要工具。</w:t>
      </w:r>
    </w:p>
    <w:p w:rsidR="00BD06A0" w:rsidRPr="00BD06A0" w:rsidRDefault="00BD06A0" w:rsidP="00BD06A0">
      <w:pPr>
        <w:pStyle w:val="SingleTxtGC"/>
        <w:rPr>
          <w:rFonts w:hint="eastAsia"/>
        </w:rPr>
      </w:pPr>
      <w:r w:rsidRPr="00BD06A0">
        <w:rPr>
          <w:rFonts w:hint="eastAsia"/>
        </w:rPr>
        <w:t xml:space="preserve">91.  </w:t>
      </w:r>
      <w:r w:rsidRPr="00BD06A0">
        <w:rPr>
          <w:rFonts w:hint="eastAsia"/>
        </w:rPr>
        <w:t>《环境保护法》规定了一个上诉机制；环境上诉法庭审理和裁定受部长决定影响的个人提出的上诉。</w:t>
      </w:r>
    </w:p>
    <w:p w:rsidR="00BD06A0" w:rsidRPr="00BD06A0" w:rsidRDefault="004A3A20" w:rsidP="004A3A20">
      <w:pPr>
        <w:pStyle w:val="H56GC"/>
        <w:rPr>
          <w:rFonts w:hint="eastAsia"/>
        </w:rPr>
      </w:pPr>
      <w:r>
        <w:rPr>
          <w:rFonts w:hint="eastAsia"/>
        </w:rPr>
        <w:tab/>
      </w:r>
      <w:r>
        <w:rPr>
          <w:rFonts w:hint="eastAsia"/>
        </w:rPr>
        <w:tab/>
      </w:r>
      <w:r w:rsidR="00BD06A0" w:rsidRPr="00BD06A0">
        <w:rPr>
          <w:rFonts w:hint="eastAsia"/>
        </w:rPr>
        <w:t>环境保护费</w:t>
      </w:r>
    </w:p>
    <w:p w:rsidR="00BD06A0" w:rsidRPr="00BD06A0" w:rsidRDefault="00BD06A0" w:rsidP="00BD06A0">
      <w:pPr>
        <w:pStyle w:val="SingleTxtGC"/>
        <w:rPr>
          <w:rFonts w:hint="eastAsia"/>
        </w:rPr>
      </w:pPr>
      <w:r w:rsidRPr="00BD06A0">
        <w:rPr>
          <w:rFonts w:hint="eastAsia"/>
        </w:rPr>
        <w:t xml:space="preserve">92.  </w:t>
      </w:r>
      <w:r w:rsidRPr="00BD06A0">
        <w:rPr>
          <w:rFonts w:hint="eastAsia"/>
        </w:rPr>
        <w:t>《环境保护法》规定了基于“谁污染谁付费原则”征收的绿色环境税。环境保护费是逐步推行谁污染谁付费原则的第一步，于</w:t>
      </w:r>
      <w:r w:rsidRPr="00BD06A0">
        <w:rPr>
          <w:rFonts w:hint="eastAsia"/>
        </w:rPr>
        <w:t>2000</w:t>
      </w:r>
      <w:r w:rsidRPr="00BD06A0">
        <w:rPr>
          <w:rFonts w:hint="eastAsia"/>
        </w:rPr>
        <w:t>年实行。环境保护费目前的征收对象是旅馆、寄宿舍和碎石业，今后将扩展到其他部门。</w:t>
      </w:r>
    </w:p>
    <w:p w:rsidR="00BD06A0" w:rsidRPr="00BD06A0" w:rsidRDefault="00BD06A0" w:rsidP="00BD06A0">
      <w:pPr>
        <w:pStyle w:val="SingleTxtGC"/>
        <w:rPr>
          <w:rFonts w:hint="eastAsia"/>
        </w:rPr>
      </w:pPr>
      <w:r w:rsidRPr="00BD06A0">
        <w:rPr>
          <w:rFonts w:hint="eastAsia"/>
        </w:rPr>
        <w:t xml:space="preserve">93.  </w:t>
      </w:r>
      <w:r w:rsidRPr="00BD06A0">
        <w:rPr>
          <w:rFonts w:hint="eastAsia"/>
        </w:rPr>
        <w:t>《环境保护法》目前正在修订，以便能更好地适应新的经济结构带来的挑战，确保树立企业环境伦理。</w:t>
      </w:r>
    </w:p>
    <w:p w:rsidR="00BD06A0" w:rsidRPr="00BD06A0" w:rsidRDefault="0050700F" w:rsidP="0050700F">
      <w:pPr>
        <w:pStyle w:val="H56GC"/>
        <w:rPr>
          <w:rFonts w:hint="eastAsia"/>
        </w:rPr>
      </w:pPr>
      <w:r>
        <w:rPr>
          <w:rFonts w:hint="eastAsia"/>
        </w:rPr>
        <w:tab/>
      </w:r>
      <w:r>
        <w:rPr>
          <w:rFonts w:hint="eastAsia"/>
        </w:rPr>
        <w:tab/>
      </w:r>
      <w:r w:rsidR="00BD06A0" w:rsidRPr="00BD06A0">
        <w:rPr>
          <w:rFonts w:hint="eastAsia"/>
        </w:rPr>
        <w:t>标准和条例</w:t>
      </w:r>
    </w:p>
    <w:p w:rsidR="00BD06A0" w:rsidRPr="00BD06A0" w:rsidRDefault="00BD06A0" w:rsidP="00BD06A0">
      <w:pPr>
        <w:pStyle w:val="SingleTxtGC"/>
        <w:rPr>
          <w:rFonts w:hint="eastAsia"/>
        </w:rPr>
      </w:pPr>
      <w:r w:rsidRPr="00BD06A0">
        <w:rPr>
          <w:rFonts w:hint="eastAsia"/>
        </w:rPr>
        <w:t xml:space="preserve">94.  </w:t>
      </w:r>
      <w:r w:rsidRPr="00BD06A0">
        <w:rPr>
          <w:rFonts w:hint="eastAsia"/>
        </w:rPr>
        <w:t>《环境保护法》还规定了制定与保护环境有关的条例和标准。已制定了一系列条例和标准，包括饮用水质量、噪音、大气标准以及排放条例。</w:t>
      </w:r>
      <w:r w:rsidRPr="00BD06A0">
        <w:rPr>
          <w:rFonts w:hint="eastAsia"/>
        </w:rPr>
        <w:t>2005</w:t>
      </w:r>
      <w:r w:rsidRPr="00BD06A0">
        <w:rPr>
          <w:rFonts w:hint="eastAsia"/>
        </w:rPr>
        <w:t>年制定了条例，宣布</w:t>
      </w:r>
      <w:r w:rsidRPr="00BD06A0">
        <w:rPr>
          <w:rFonts w:hint="eastAsia"/>
        </w:rPr>
        <w:t>41</w:t>
      </w:r>
      <w:r w:rsidRPr="00BD06A0">
        <w:rPr>
          <w:rFonts w:hint="eastAsia"/>
        </w:rPr>
        <w:t>项其他法规或法规中的一部分为环境法，以便利用《环境保护法》规定的执法机制。环境法的若干例子包括《地下水法》、《渔业和海洋资源法》和《噪音防治法》。</w:t>
      </w:r>
    </w:p>
    <w:p w:rsidR="00BD06A0" w:rsidRPr="00BD06A0" w:rsidRDefault="00374361" w:rsidP="00374361">
      <w:pPr>
        <w:pStyle w:val="H56GC"/>
        <w:rPr>
          <w:rFonts w:hint="eastAsia"/>
        </w:rPr>
      </w:pPr>
      <w:r>
        <w:rPr>
          <w:rFonts w:hint="eastAsia"/>
        </w:rPr>
        <w:tab/>
      </w:r>
      <w:r>
        <w:rPr>
          <w:rFonts w:hint="eastAsia"/>
        </w:rPr>
        <w:tab/>
      </w:r>
      <w:r w:rsidR="00BD06A0" w:rsidRPr="00BD06A0">
        <w:rPr>
          <w:rFonts w:hint="eastAsia"/>
        </w:rPr>
        <w:t>其他法律</w:t>
      </w:r>
    </w:p>
    <w:p w:rsidR="00BD06A0" w:rsidRPr="00BD06A0" w:rsidRDefault="00BD06A0" w:rsidP="00BD06A0">
      <w:pPr>
        <w:pStyle w:val="SingleTxtGC"/>
        <w:rPr>
          <w:rFonts w:hint="eastAsia"/>
        </w:rPr>
      </w:pPr>
      <w:r w:rsidRPr="00BD06A0">
        <w:rPr>
          <w:rFonts w:hint="eastAsia"/>
        </w:rPr>
        <w:t xml:space="preserve">95.  </w:t>
      </w:r>
      <w:r w:rsidRPr="00BD06A0">
        <w:rPr>
          <w:rFonts w:hint="eastAsia"/>
        </w:rPr>
        <w:t>除了《环境保护法》外，还有其他一些处理环境问题的部门性立法，例如关于固体废料管理的《地方政府法》，关于土地利用问题的《规划和开发法》，关于环境危害和卫生的《公共卫生法》。</w:t>
      </w:r>
    </w:p>
    <w:p w:rsidR="00BD06A0" w:rsidRPr="00BD06A0" w:rsidRDefault="00BA09E6" w:rsidP="00BA09E6">
      <w:pPr>
        <w:pStyle w:val="H56GC"/>
        <w:rPr>
          <w:rFonts w:hint="eastAsia"/>
        </w:rPr>
      </w:pPr>
      <w:r>
        <w:rPr>
          <w:rFonts w:hint="eastAsia"/>
        </w:rPr>
        <w:tab/>
      </w:r>
      <w:r>
        <w:rPr>
          <w:rFonts w:hint="eastAsia"/>
        </w:rPr>
        <w:tab/>
      </w:r>
      <w:r w:rsidR="00BD06A0" w:rsidRPr="00BD06A0">
        <w:rPr>
          <w:rFonts w:hint="eastAsia"/>
        </w:rPr>
        <w:t>机构设置</w:t>
      </w:r>
    </w:p>
    <w:p w:rsidR="00BD06A0" w:rsidRPr="00BD06A0" w:rsidRDefault="00BD06A0" w:rsidP="00BD06A0">
      <w:pPr>
        <w:pStyle w:val="SingleTxtGC"/>
        <w:rPr>
          <w:rFonts w:hint="eastAsia"/>
        </w:rPr>
      </w:pPr>
      <w:r w:rsidRPr="00BD06A0">
        <w:rPr>
          <w:rFonts w:hint="eastAsia"/>
        </w:rPr>
        <w:t xml:space="preserve">96.  </w:t>
      </w:r>
      <w:r w:rsidRPr="00BD06A0">
        <w:rPr>
          <w:rFonts w:hint="eastAsia"/>
        </w:rPr>
        <w:t>《环境保护法》规定了建立体制结构和其他组织系统进行环境管理。环境部通过环境技术司，担负环境保护、规划、监测、协调和宣传方面的主要责任。</w:t>
      </w:r>
    </w:p>
    <w:p w:rsidR="00BD06A0" w:rsidRPr="00BD06A0" w:rsidRDefault="00BD06A0" w:rsidP="00BD06A0">
      <w:pPr>
        <w:pStyle w:val="SingleTxtGC"/>
        <w:rPr>
          <w:rFonts w:hint="eastAsia"/>
        </w:rPr>
      </w:pPr>
      <w:r w:rsidRPr="00BD06A0">
        <w:rPr>
          <w:rFonts w:hint="eastAsia"/>
        </w:rPr>
        <w:t xml:space="preserve">97.  </w:t>
      </w:r>
      <w:r w:rsidRPr="00BD06A0">
        <w:rPr>
          <w:rFonts w:hint="eastAsia"/>
        </w:rPr>
        <w:t>国家环境委员会是最高环境管理机构，由总理担任主席，成员包括处理环境保护的所有部长。该委员会是最高决策机构，负责监督或审查处理环境问题的政府部门的工作，并提出相应建议。</w:t>
      </w:r>
    </w:p>
    <w:p w:rsidR="00BD06A0" w:rsidRPr="00BD06A0" w:rsidRDefault="00BD06A0" w:rsidP="00BD06A0">
      <w:pPr>
        <w:pStyle w:val="SingleTxtGC"/>
        <w:rPr>
          <w:rFonts w:hint="eastAsia"/>
        </w:rPr>
      </w:pPr>
      <w:r w:rsidRPr="00BD06A0">
        <w:rPr>
          <w:rFonts w:hint="eastAsia"/>
        </w:rPr>
        <w:t xml:space="preserve">98.  </w:t>
      </w:r>
      <w:r w:rsidRPr="00BD06A0">
        <w:rPr>
          <w:rFonts w:hint="eastAsia"/>
        </w:rPr>
        <w:t>环境协调委员会由环境部领导。处理环境保护问题的政府部门和执法机构汇集在这一论坛，确保环境法，包括环境标准和政策得到遵守。委员会还就与污染控制措施和环境保护行为规范有关的事务向环境部长提出建议。</w:t>
      </w:r>
    </w:p>
    <w:p w:rsidR="00BD06A0" w:rsidRPr="00BD06A0" w:rsidRDefault="00BD06A0" w:rsidP="00BD06A0">
      <w:pPr>
        <w:pStyle w:val="SingleTxtGC"/>
        <w:rPr>
          <w:rFonts w:hint="eastAsia"/>
        </w:rPr>
      </w:pPr>
      <w:r w:rsidRPr="00BD06A0">
        <w:rPr>
          <w:rFonts w:hint="eastAsia"/>
        </w:rPr>
        <w:t xml:space="preserve">99.  </w:t>
      </w:r>
      <w:r w:rsidRPr="00BD06A0">
        <w:rPr>
          <w:rFonts w:hint="eastAsia"/>
        </w:rPr>
        <w:t>《环境保护法》规定的环境联络官会议确保执法机构在执行环境法方面的协调。</w:t>
      </w:r>
    </w:p>
    <w:p w:rsidR="00BD06A0" w:rsidRPr="00BD06A0" w:rsidRDefault="00BD06A0" w:rsidP="00BD06A0">
      <w:pPr>
        <w:pStyle w:val="SingleTxtGC"/>
        <w:rPr>
          <w:rFonts w:hint="eastAsia"/>
        </w:rPr>
      </w:pPr>
      <w:r w:rsidRPr="00BD06A0">
        <w:rPr>
          <w:rFonts w:hint="eastAsia"/>
        </w:rPr>
        <w:t xml:space="preserve">100.  </w:t>
      </w:r>
      <w:r w:rsidRPr="00BD06A0">
        <w:rPr>
          <w:rFonts w:hint="eastAsia"/>
        </w:rPr>
        <w:t>国家可持续发展网络由环境部长主持，成员包括来自公共部门、私人部门、准国营机构、非政府组织、学术界的代表。它充当一个论坛，讨论和协商环境政策和规划、环境质量和状况、综合污染防治、改善环境和视觉污染等问题，以保护环境，实现可持续发展。</w:t>
      </w:r>
    </w:p>
    <w:p w:rsidR="00BD06A0" w:rsidRPr="00BD06A0" w:rsidRDefault="00BD06A0" w:rsidP="00BD06A0">
      <w:pPr>
        <w:pStyle w:val="SingleTxtGC"/>
        <w:rPr>
          <w:rFonts w:hint="eastAsia"/>
        </w:rPr>
      </w:pPr>
      <w:r w:rsidRPr="00BD06A0">
        <w:rPr>
          <w:rFonts w:hint="eastAsia"/>
        </w:rPr>
        <w:t xml:space="preserve">101.  </w:t>
      </w:r>
      <w:r w:rsidRPr="00BD06A0">
        <w:rPr>
          <w:rFonts w:hint="eastAsia"/>
        </w:rPr>
        <w:t>国家环境基金是根据</w:t>
      </w:r>
      <w:r w:rsidRPr="00BD06A0">
        <w:rPr>
          <w:rFonts w:hint="eastAsia"/>
        </w:rPr>
        <w:t>2002</w:t>
      </w:r>
      <w:r w:rsidRPr="00BD06A0">
        <w:rPr>
          <w:rFonts w:hint="eastAsia"/>
        </w:rPr>
        <w:t>年《环境保护法》建立的一个共同筹资机制，目的是为各种项目筹资，促进环境教育和研究，支持环境非政府组织并鼓励治理环境的地方举措。</w:t>
      </w:r>
    </w:p>
    <w:p w:rsidR="00BD06A0" w:rsidRPr="00BD06A0" w:rsidRDefault="003B6ACA" w:rsidP="003B6ACA">
      <w:pPr>
        <w:pStyle w:val="H56GC"/>
        <w:rPr>
          <w:rFonts w:hint="eastAsia"/>
        </w:rPr>
      </w:pPr>
      <w:r>
        <w:rPr>
          <w:rFonts w:hint="eastAsia"/>
        </w:rPr>
        <w:tab/>
      </w:r>
      <w:r>
        <w:rPr>
          <w:rFonts w:hint="eastAsia"/>
        </w:rPr>
        <w:tab/>
      </w:r>
      <w:r w:rsidR="00BD06A0" w:rsidRPr="00BD06A0">
        <w:rPr>
          <w:rFonts w:hint="eastAsia"/>
        </w:rPr>
        <w:t>环境政策</w:t>
      </w:r>
    </w:p>
    <w:p w:rsidR="00BD06A0" w:rsidRPr="00BD06A0" w:rsidRDefault="00BD06A0" w:rsidP="00BD06A0">
      <w:pPr>
        <w:pStyle w:val="SingleTxtGC"/>
        <w:rPr>
          <w:rFonts w:hint="eastAsia"/>
        </w:rPr>
      </w:pPr>
      <w:r w:rsidRPr="00BD06A0">
        <w:rPr>
          <w:rFonts w:hint="eastAsia"/>
        </w:rPr>
        <w:t xml:space="preserve">102.  </w:t>
      </w:r>
      <w:r w:rsidRPr="00BD06A0">
        <w:rPr>
          <w:rFonts w:hint="eastAsia"/>
        </w:rPr>
        <w:t>目前的环境管理政策载于若干文件中，例如</w:t>
      </w:r>
      <w:r w:rsidRPr="00BD06A0">
        <w:rPr>
          <w:rFonts w:hint="eastAsia"/>
        </w:rPr>
        <w:t>1991</w:t>
      </w:r>
      <w:r w:rsidRPr="00BD06A0">
        <w:rPr>
          <w:rFonts w:hint="eastAsia"/>
        </w:rPr>
        <w:t>年的《国家环境政策》，</w:t>
      </w:r>
      <w:r w:rsidRPr="00BD06A0">
        <w:rPr>
          <w:rFonts w:hint="eastAsia"/>
        </w:rPr>
        <w:t>1999</w:t>
      </w:r>
      <w:r w:rsidRPr="00BD06A0">
        <w:rPr>
          <w:rFonts w:hint="eastAsia"/>
        </w:rPr>
        <w:t>年的《国家环境战略》和其他部门规划。《国家环境战略》是一个为期</w:t>
      </w:r>
      <w:r w:rsidRPr="00BD06A0">
        <w:rPr>
          <w:rFonts w:hint="eastAsia"/>
        </w:rPr>
        <w:t>10</w:t>
      </w:r>
      <w:r w:rsidRPr="00BD06A0">
        <w:rPr>
          <w:rFonts w:hint="eastAsia"/>
        </w:rPr>
        <w:t>年的环境管理规划框架，其制定是为了应对经济增长导致的不断变化的生产和消费模式的挑战。</w:t>
      </w:r>
      <w:r w:rsidRPr="00BD06A0">
        <w:rPr>
          <w:rFonts w:hint="eastAsia"/>
        </w:rPr>
        <w:t>1991</w:t>
      </w:r>
      <w:r w:rsidRPr="00BD06A0">
        <w:rPr>
          <w:rFonts w:hint="eastAsia"/>
        </w:rPr>
        <w:t>年的政策经审查后，成为关于新的国家环境政策的白皮书草案。《国家环境战略》正在审查中，目的是纳入新出现的环境问题，贯彻多边环境协定。</w:t>
      </w:r>
    </w:p>
    <w:p w:rsidR="00BD06A0" w:rsidRPr="00BD06A0" w:rsidRDefault="00BD06A0" w:rsidP="00BD06A0">
      <w:pPr>
        <w:pStyle w:val="SingleTxtGC"/>
        <w:rPr>
          <w:rFonts w:hint="eastAsia"/>
        </w:rPr>
      </w:pPr>
      <w:r w:rsidRPr="00BD06A0">
        <w:rPr>
          <w:rFonts w:hint="eastAsia"/>
        </w:rPr>
        <w:t>103.  1991</w:t>
      </w:r>
      <w:r w:rsidRPr="00BD06A0">
        <w:rPr>
          <w:rFonts w:hint="eastAsia"/>
        </w:rPr>
        <w:t>年的《国家环境政策》确立了一项原则，即政府应确保建立适当的立法、执法和司法机制，保护公民免遭污染带来的风险。它还加强了“谁污染谁付费原则”，即污染者必须支付清理污染的费用。</w:t>
      </w:r>
    </w:p>
    <w:p w:rsidR="00BD06A0" w:rsidRPr="00BD06A0" w:rsidRDefault="00BD06A0" w:rsidP="00BD06A0">
      <w:pPr>
        <w:pStyle w:val="SingleTxtGC"/>
        <w:rPr>
          <w:rFonts w:hint="eastAsia"/>
        </w:rPr>
      </w:pPr>
      <w:r w:rsidRPr="00BD06A0">
        <w:rPr>
          <w:rFonts w:hint="eastAsia"/>
        </w:rPr>
        <w:t xml:space="preserve">104.  </w:t>
      </w:r>
      <w:r w:rsidRPr="00BD06A0">
        <w:rPr>
          <w:rFonts w:hint="eastAsia"/>
        </w:rPr>
        <w:t>目前正在审查《国家环境政策》，以形成综合的和全面的政策声明。之所以需要新的政策，是因为在目前的全球背景下，可持续发展已被公认为主导性的发展模式。基于可持续发展概念的这一环境政策框架将整合历次全球环境会议的有关建议</w:t>
      </w:r>
      <w:r w:rsidRPr="00BD06A0">
        <w:rPr>
          <w:rFonts w:hint="eastAsia"/>
        </w:rPr>
        <w:t>[</w:t>
      </w:r>
      <w:r w:rsidRPr="00BD06A0">
        <w:rPr>
          <w:rFonts w:hint="eastAsia"/>
        </w:rPr>
        <w:t>里约热内卢地球问题首脑会议</w:t>
      </w:r>
      <w:r w:rsidRPr="00BD06A0">
        <w:rPr>
          <w:rFonts w:hint="eastAsia"/>
        </w:rPr>
        <w:t>(1992</w:t>
      </w:r>
      <w:r w:rsidRPr="00BD06A0">
        <w:rPr>
          <w:rFonts w:hint="eastAsia"/>
        </w:rPr>
        <w:t>年</w:t>
      </w:r>
      <w:r w:rsidRPr="00BD06A0">
        <w:rPr>
          <w:rFonts w:hint="eastAsia"/>
        </w:rPr>
        <w:t>)</w:t>
      </w:r>
      <w:r w:rsidRPr="00BD06A0">
        <w:rPr>
          <w:rFonts w:hint="eastAsia"/>
        </w:rPr>
        <w:t>、千年发展目标首脑会议</w:t>
      </w:r>
      <w:r w:rsidRPr="00BD06A0">
        <w:rPr>
          <w:rFonts w:hint="eastAsia"/>
        </w:rPr>
        <w:t>(2000</w:t>
      </w:r>
      <w:r w:rsidRPr="00BD06A0">
        <w:rPr>
          <w:rFonts w:hint="eastAsia"/>
        </w:rPr>
        <w:t>年</w:t>
      </w:r>
      <w:r w:rsidRPr="00BD06A0">
        <w:rPr>
          <w:rFonts w:hint="eastAsia"/>
        </w:rPr>
        <w:t>)</w:t>
      </w:r>
      <w:r w:rsidRPr="00BD06A0">
        <w:rPr>
          <w:rFonts w:hint="eastAsia"/>
        </w:rPr>
        <w:t>、约翰内斯堡世界首脑会议</w:t>
      </w:r>
      <w:r w:rsidRPr="00BD06A0">
        <w:rPr>
          <w:rFonts w:hint="eastAsia"/>
        </w:rPr>
        <w:t>(2002</w:t>
      </w:r>
      <w:r w:rsidRPr="00BD06A0">
        <w:rPr>
          <w:rFonts w:hint="eastAsia"/>
        </w:rPr>
        <w:t>年</w:t>
      </w:r>
      <w:r w:rsidRPr="00BD06A0">
        <w:rPr>
          <w:rFonts w:hint="eastAsia"/>
        </w:rPr>
        <w:t>)</w:t>
      </w:r>
      <w:r w:rsidRPr="00BD06A0">
        <w:rPr>
          <w:rFonts w:hint="eastAsia"/>
        </w:rPr>
        <w:t>和小岛屿发展中国家问题毛里求斯国际会议</w:t>
      </w:r>
      <w:r w:rsidRPr="00BD06A0">
        <w:rPr>
          <w:rFonts w:hint="eastAsia"/>
        </w:rPr>
        <w:t>(2005</w:t>
      </w:r>
      <w:r w:rsidRPr="00BD06A0">
        <w:rPr>
          <w:rFonts w:hint="eastAsia"/>
        </w:rPr>
        <w:t>年</w:t>
      </w:r>
      <w:r w:rsidRPr="00BD06A0">
        <w:rPr>
          <w:rFonts w:hint="eastAsia"/>
        </w:rPr>
        <w:t>)]</w:t>
      </w:r>
      <w:r w:rsidRPr="00BD06A0">
        <w:rPr>
          <w:rFonts w:hint="eastAsia"/>
        </w:rPr>
        <w:t>。重点放在改进环境治理上：</w:t>
      </w:r>
    </w:p>
    <w:p w:rsidR="00BD06A0" w:rsidRDefault="003520D3" w:rsidP="003520D3">
      <w:pPr>
        <w:pStyle w:val="SingleTxtGC"/>
        <w:rPr>
          <w:rFonts w:hint="eastAsia"/>
        </w:rPr>
      </w:pPr>
      <w:r>
        <w:tab/>
        <w:t xml:space="preserve">1.  </w:t>
      </w:r>
      <w:r w:rsidR="00BD06A0" w:rsidRPr="00BD06A0">
        <w:rPr>
          <w:rFonts w:hint="eastAsia"/>
        </w:rPr>
        <w:t>改进信息的获取</w:t>
      </w:r>
      <w:r w:rsidR="00BD06A0" w:rsidRPr="00BD06A0">
        <w:rPr>
          <w:rFonts w:hint="eastAsia"/>
        </w:rPr>
        <w:t>(</w:t>
      </w:r>
      <w:r w:rsidR="00BD06A0" w:rsidRPr="00BD06A0">
        <w:rPr>
          <w:rFonts w:hint="eastAsia"/>
        </w:rPr>
        <w:t>公共信息中心、提高所有利益相关者群体的意识，网站、海啸</w:t>
      </w:r>
      <w:r w:rsidR="00BD06A0" w:rsidRPr="00BD06A0">
        <w:rPr>
          <w:rFonts w:hint="eastAsia"/>
        </w:rPr>
        <w:t>/</w:t>
      </w:r>
      <w:r w:rsidR="00BD06A0" w:rsidRPr="00BD06A0">
        <w:rPr>
          <w:rFonts w:hint="eastAsia"/>
        </w:rPr>
        <w:t>石油泄漏等灾害的早期预警</w:t>
      </w:r>
      <w:r w:rsidR="00BD06A0" w:rsidRPr="00BD06A0">
        <w:rPr>
          <w:rFonts w:hint="eastAsia"/>
        </w:rPr>
        <w:t>)</w:t>
      </w:r>
    </w:p>
    <w:p w:rsidR="00BD06A0" w:rsidRDefault="003520D3" w:rsidP="003520D3">
      <w:pPr>
        <w:pStyle w:val="SingleTxtGC"/>
        <w:rPr>
          <w:rFonts w:hint="eastAsia"/>
        </w:rPr>
      </w:pPr>
      <w:r>
        <w:tab/>
        <w:t xml:space="preserve">2.  </w:t>
      </w:r>
      <w:r w:rsidR="00BD06A0" w:rsidRPr="00BD06A0">
        <w:rPr>
          <w:rFonts w:hint="eastAsia"/>
        </w:rPr>
        <w:t>加强决策过程中的公众参与</w:t>
      </w:r>
      <w:r w:rsidR="00BD06A0" w:rsidRPr="00BD06A0">
        <w:rPr>
          <w:rFonts w:hint="eastAsia"/>
        </w:rPr>
        <w:t>(</w:t>
      </w:r>
      <w:r w:rsidR="00BD06A0" w:rsidRPr="00BD06A0">
        <w:rPr>
          <w:rFonts w:hint="eastAsia"/>
        </w:rPr>
        <w:t>例如环境影响评估过程中的评论以及环境标准</w:t>
      </w:r>
      <w:r w:rsidR="00BD06A0" w:rsidRPr="00BD06A0">
        <w:rPr>
          <w:rFonts w:hint="eastAsia"/>
        </w:rPr>
        <w:t>/</w:t>
      </w:r>
      <w:r w:rsidR="00BD06A0" w:rsidRPr="00BD06A0">
        <w:rPr>
          <w:rFonts w:hint="eastAsia"/>
        </w:rPr>
        <w:t>政策</w:t>
      </w:r>
      <w:r w:rsidR="00BD06A0" w:rsidRPr="00BD06A0">
        <w:rPr>
          <w:rFonts w:hint="eastAsia"/>
        </w:rPr>
        <w:t>/</w:t>
      </w:r>
      <w:r w:rsidR="00BD06A0" w:rsidRPr="00BD06A0">
        <w:rPr>
          <w:rFonts w:hint="eastAsia"/>
        </w:rPr>
        <w:t>战略制定</w:t>
      </w:r>
      <w:r w:rsidR="00BD06A0" w:rsidRPr="00BD06A0">
        <w:rPr>
          <w:rFonts w:hint="eastAsia"/>
        </w:rPr>
        <w:t>/</w:t>
      </w:r>
      <w:r w:rsidR="00BD06A0" w:rsidRPr="00BD06A0">
        <w:rPr>
          <w:rFonts w:hint="eastAsia"/>
        </w:rPr>
        <w:t>沿海区综合管理委员会</w:t>
      </w:r>
      <w:r w:rsidR="00BD06A0" w:rsidRPr="00BD06A0">
        <w:rPr>
          <w:rFonts w:hint="eastAsia"/>
        </w:rPr>
        <w:t>)</w:t>
      </w:r>
    </w:p>
    <w:p w:rsidR="00BD06A0" w:rsidRDefault="003520D3" w:rsidP="003520D3">
      <w:pPr>
        <w:pStyle w:val="SingleTxtGC"/>
        <w:rPr>
          <w:rFonts w:hint="eastAsia"/>
        </w:rPr>
      </w:pPr>
      <w:r>
        <w:tab/>
        <w:t xml:space="preserve">3.  </w:t>
      </w:r>
      <w:r w:rsidR="00BD06A0" w:rsidRPr="00BD06A0">
        <w:rPr>
          <w:rFonts w:hint="eastAsia"/>
        </w:rPr>
        <w:t>加强执法</w:t>
      </w:r>
      <w:r w:rsidR="00BD06A0" w:rsidRPr="00BD06A0">
        <w:rPr>
          <w:rFonts w:hint="eastAsia"/>
        </w:rPr>
        <w:t>(</w:t>
      </w:r>
      <w:r w:rsidR="00BD06A0" w:rsidRPr="00BD06A0">
        <w:rPr>
          <w:rFonts w:hint="eastAsia"/>
        </w:rPr>
        <w:t>包括对地方当局下放权力，赋予执法机构权力，诉诸监察员</w:t>
      </w:r>
      <w:r w:rsidR="00BD06A0" w:rsidRPr="00BD06A0">
        <w:rPr>
          <w:rFonts w:hint="eastAsia"/>
        </w:rPr>
        <w:t>)</w:t>
      </w:r>
    </w:p>
    <w:p w:rsidR="00BD06A0" w:rsidRDefault="003520D3" w:rsidP="003520D3">
      <w:pPr>
        <w:pStyle w:val="SingleTxtGC"/>
        <w:rPr>
          <w:rFonts w:hint="eastAsia"/>
        </w:rPr>
      </w:pPr>
      <w:r>
        <w:tab/>
        <w:t xml:space="preserve">4.  </w:t>
      </w:r>
      <w:r w:rsidR="00BD06A0" w:rsidRPr="00BD06A0">
        <w:rPr>
          <w:rFonts w:hint="eastAsia"/>
        </w:rPr>
        <w:t>创新性的执法机制，例如固定处罚</w:t>
      </w:r>
    </w:p>
    <w:p w:rsidR="00BD06A0" w:rsidRDefault="003520D3" w:rsidP="003520D3">
      <w:pPr>
        <w:pStyle w:val="SingleTxtGC"/>
        <w:rPr>
          <w:rFonts w:hint="eastAsia"/>
        </w:rPr>
      </w:pPr>
      <w:r>
        <w:tab/>
        <w:t xml:space="preserve">5.  </w:t>
      </w:r>
      <w:r w:rsidR="00BD06A0" w:rsidRPr="00BD06A0">
        <w:rPr>
          <w:rFonts w:hint="eastAsia"/>
        </w:rPr>
        <w:t>电子政务</w:t>
      </w:r>
      <w:r w:rsidR="00BD06A0" w:rsidRPr="00BD06A0">
        <w:rPr>
          <w:rFonts w:hint="eastAsia"/>
        </w:rPr>
        <w:t>(</w:t>
      </w:r>
      <w:r w:rsidR="00BD06A0" w:rsidRPr="00BD06A0">
        <w:rPr>
          <w:rFonts w:hint="eastAsia"/>
        </w:rPr>
        <w:t>在线环境投诉</w:t>
      </w:r>
      <w:r w:rsidR="00BD06A0" w:rsidRPr="00BD06A0">
        <w:rPr>
          <w:rFonts w:hint="eastAsia"/>
        </w:rPr>
        <w:t>)</w:t>
      </w:r>
    </w:p>
    <w:p w:rsidR="00BD06A0" w:rsidRDefault="003520D3" w:rsidP="003520D3">
      <w:pPr>
        <w:pStyle w:val="SingleTxtGC"/>
        <w:rPr>
          <w:rFonts w:hint="eastAsia"/>
        </w:rPr>
      </w:pPr>
      <w:r>
        <w:tab/>
        <w:t xml:space="preserve">6.  </w:t>
      </w:r>
      <w:r w:rsidR="00BD06A0" w:rsidRPr="00BD06A0">
        <w:rPr>
          <w:rFonts w:hint="eastAsia"/>
        </w:rPr>
        <w:t>诉诸司法</w:t>
      </w:r>
      <w:r w:rsidR="00BD06A0" w:rsidRPr="00BD06A0">
        <w:rPr>
          <w:rFonts w:hint="eastAsia"/>
        </w:rPr>
        <w:t>(</w:t>
      </w:r>
      <w:r w:rsidR="00BD06A0" w:rsidRPr="00BD06A0">
        <w:rPr>
          <w:rFonts w:hint="eastAsia"/>
        </w:rPr>
        <w:t>例如法庭补救措施</w:t>
      </w:r>
      <w:r w:rsidR="00BD06A0" w:rsidRPr="00BD06A0">
        <w:rPr>
          <w:rFonts w:hint="eastAsia"/>
        </w:rPr>
        <w:t>)</w:t>
      </w:r>
    </w:p>
    <w:p w:rsidR="00BD06A0" w:rsidRDefault="003520D3" w:rsidP="003520D3">
      <w:pPr>
        <w:pStyle w:val="SingleTxtGC"/>
        <w:rPr>
          <w:rFonts w:hint="eastAsia"/>
        </w:rPr>
      </w:pPr>
      <w:r>
        <w:tab/>
        <w:t xml:space="preserve">7.  </w:t>
      </w:r>
      <w:r w:rsidR="00BD06A0" w:rsidRPr="00BD06A0">
        <w:rPr>
          <w:rFonts w:hint="eastAsia"/>
        </w:rPr>
        <w:t>对泄漏和环境紧急情况的责任和赔偿</w:t>
      </w:r>
    </w:p>
    <w:p w:rsidR="00BD06A0" w:rsidRPr="00BD06A0" w:rsidRDefault="003520D3" w:rsidP="003520D3">
      <w:pPr>
        <w:pStyle w:val="SingleTxtGC"/>
        <w:rPr>
          <w:rFonts w:hint="eastAsia"/>
        </w:rPr>
      </w:pPr>
      <w:r>
        <w:tab/>
        <w:t xml:space="preserve">8.  </w:t>
      </w:r>
      <w:r w:rsidR="00BD06A0" w:rsidRPr="00BD06A0">
        <w:rPr>
          <w:rFonts w:hint="eastAsia"/>
        </w:rPr>
        <w:t>在各个经济和社会活动领域对气候变化的影响采取的适应措施</w:t>
      </w:r>
    </w:p>
    <w:p w:rsidR="00BD06A0" w:rsidRPr="00BD06A0" w:rsidRDefault="001E381F" w:rsidP="001E381F">
      <w:pPr>
        <w:pStyle w:val="H1GC"/>
        <w:rPr>
          <w:rFonts w:hint="eastAsia"/>
        </w:rPr>
      </w:pPr>
      <w:r>
        <w:rPr>
          <w:rFonts w:hint="eastAsia"/>
          <w:b/>
        </w:rPr>
        <w:tab/>
      </w:r>
      <w:r w:rsidR="00BD06A0" w:rsidRPr="001E381F">
        <w:rPr>
          <w:rFonts w:hint="eastAsia"/>
        </w:rPr>
        <w:t>C</w:t>
      </w:r>
      <w:r w:rsidR="00BD06A0" w:rsidRPr="00BD06A0">
        <w:rPr>
          <w:rFonts w:hint="eastAsia"/>
        </w:rPr>
        <w:t>.</w:t>
      </w:r>
      <w:r>
        <w:rPr>
          <w:rFonts w:hint="eastAsia"/>
        </w:rPr>
        <w:tab/>
      </w:r>
      <w:r w:rsidR="00BD06A0" w:rsidRPr="00BD06A0">
        <w:rPr>
          <w:rFonts w:hint="eastAsia"/>
        </w:rPr>
        <w:t>在不歧视、平等和有效的补救措施方面的资料</w:t>
      </w:r>
    </w:p>
    <w:p w:rsidR="00BD06A0" w:rsidRPr="00BD06A0" w:rsidRDefault="001E381F" w:rsidP="001E381F">
      <w:pPr>
        <w:pStyle w:val="H23GC"/>
        <w:rPr>
          <w:rFonts w:hint="eastAsia"/>
        </w:rPr>
      </w:pPr>
      <w:r>
        <w:rPr>
          <w:rFonts w:hint="eastAsia"/>
        </w:rPr>
        <w:tab/>
      </w:r>
      <w:r>
        <w:rPr>
          <w:rFonts w:hint="eastAsia"/>
        </w:rPr>
        <w:tab/>
      </w:r>
      <w:r w:rsidR="00BD06A0" w:rsidRPr="00BD06A0">
        <w:rPr>
          <w:rFonts w:hint="eastAsia"/>
        </w:rPr>
        <w:t>《残疾人权利公约》</w:t>
      </w:r>
    </w:p>
    <w:p w:rsidR="00BD06A0" w:rsidRPr="00BD06A0" w:rsidRDefault="00BD06A0" w:rsidP="00BD06A0">
      <w:pPr>
        <w:pStyle w:val="SingleTxtGC"/>
        <w:rPr>
          <w:rFonts w:hint="eastAsia"/>
        </w:rPr>
      </w:pPr>
      <w:r w:rsidRPr="00BD06A0">
        <w:rPr>
          <w:rFonts w:hint="eastAsia"/>
        </w:rPr>
        <w:t xml:space="preserve">105.  </w:t>
      </w:r>
      <w:r w:rsidRPr="00BD06A0">
        <w:rPr>
          <w:rFonts w:hint="eastAsia"/>
        </w:rPr>
        <w:t>政府致力于遵守和适用联合国《残疾人权利公约》各项条款。在这一背景下，由隶属社会保障和民族团结部的一指导委员会审查《公约》的执行情况，组织关于这一问题的提高意识活动，以推动尽早批准该《公约》。</w:t>
      </w:r>
    </w:p>
    <w:p w:rsidR="00BD06A0" w:rsidRPr="00BD06A0" w:rsidRDefault="001C16B9" w:rsidP="001C16B9">
      <w:pPr>
        <w:pStyle w:val="H23GC"/>
        <w:rPr>
          <w:rFonts w:hint="eastAsia"/>
        </w:rPr>
      </w:pPr>
      <w:r>
        <w:rPr>
          <w:rFonts w:hint="eastAsia"/>
        </w:rPr>
        <w:tab/>
      </w:r>
      <w:r>
        <w:rPr>
          <w:rFonts w:hint="eastAsia"/>
        </w:rPr>
        <w:tab/>
      </w:r>
      <w:r w:rsidR="00BD06A0" w:rsidRPr="00BD06A0">
        <w:rPr>
          <w:rFonts w:hint="eastAsia"/>
        </w:rPr>
        <w:t>毛里求斯宪法</w:t>
      </w:r>
    </w:p>
    <w:p w:rsidR="00BD06A0" w:rsidRPr="00BD06A0" w:rsidRDefault="00BD06A0" w:rsidP="00BD06A0">
      <w:pPr>
        <w:pStyle w:val="SingleTxtGC"/>
        <w:rPr>
          <w:rFonts w:hint="eastAsia"/>
        </w:rPr>
      </w:pPr>
      <w:r w:rsidRPr="00BD06A0">
        <w:rPr>
          <w:rFonts w:hint="eastAsia"/>
        </w:rPr>
        <w:t xml:space="preserve">106.  </w:t>
      </w:r>
      <w:r w:rsidRPr="003E65A1">
        <w:rPr>
          <w:rFonts w:eastAsia="SimHei" w:hint="eastAsia"/>
        </w:rPr>
        <w:t>《宪法》第</w:t>
      </w:r>
      <w:r w:rsidRPr="003E65A1">
        <w:rPr>
          <w:rFonts w:eastAsia="SimHei" w:hint="eastAsia"/>
        </w:rPr>
        <w:t>3</w:t>
      </w:r>
      <w:r w:rsidRPr="003E65A1">
        <w:rPr>
          <w:rFonts w:eastAsia="SimHei" w:hint="eastAsia"/>
        </w:rPr>
        <w:t>条题为：“个人的基本权利和自由”，该条</w:t>
      </w:r>
      <w:r w:rsidRPr="00BD06A0">
        <w:rPr>
          <w:rFonts w:hint="eastAsia"/>
        </w:rPr>
        <w:t>申明：</w:t>
      </w:r>
    </w:p>
    <w:p w:rsidR="00BD06A0" w:rsidRPr="003520D3" w:rsidRDefault="00BD06A0" w:rsidP="003520D3">
      <w:pPr>
        <w:pStyle w:val="SingleTxtGC"/>
        <w:rPr>
          <w:rFonts w:eastAsia="KaiTi_GB2312" w:hint="eastAsia"/>
        </w:rPr>
      </w:pPr>
      <w:r w:rsidRPr="003520D3">
        <w:rPr>
          <w:rFonts w:eastAsia="KaiTi_GB2312" w:hint="eastAsia"/>
        </w:rPr>
        <w:tab/>
      </w:r>
      <w:r w:rsidRPr="003520D3">
        <w:rPr>
          <w:rFonts w:eastAsia="KaiTi_GB2312" w:hint="eastAsia"/>
        </w:rPr>
        <w:t>兹承认并宣布在毛里求斯已经存在并应继续存在以下各项人权和基本自由，不因种族、原籍地、政治见解、肤色、信仰或性别而加以歧视，但须尊重他人权利和自由以及公共利益：</w:t>
      </w:r>
    </w:p>
    <w:p w:rsidR="00BD06A0" w:rsidRPr="00D307C7" w:rsidRDefault="00BD06A0" w:rsidP="00D429A6">
      <w:pPr>
        <w:pStyle w:val="SingleTxtGC"/>
        <w:numPr>
          <w:ilvl w:val="0"/>
          <w:numId w:val="24"/>
        </w:numPr>
        <w:rPr>
          <w:rFonts w:eastAsia="KaiTi_GB2312" w:hint="eastAsia"/>
        </w:rPr>
      </w:pPr>
      <w:r w:rsidRPr="00D307C7">
        <w:rPr>
          <w:rFonts w:eastAsia="KaiTi_GB2312" w:hint="eastAsia"/>
        </w:rPr>
        <w:t>个人享有生活、自由、人身安全和法律保护的权利；</w:t>
      </w:r>
    </w:p>
    <w:p w:rsidR="00BD06A0" w:rsidRPr="00D307C7" w:rsidRDefault="00BD06A0" w:rsidP="00D429A6">
      <w:pPr>
        <w:pStyle w:val="SingleTxtGC"/>
        <w:numPr>
          <w:ilvl w:val="0"/>
          <w:numId w:val="24"/>
        </w:numPr>
        <w:rPr>
          <w:rFonts w:eastAsia="KaiTi_GB2312" w:hint="eastAsia"/>
        </w:rPr>
      </w:pPr>
      <w:r w:rsidRPr="00D307C7">
        <w:rPr>
          <w:rFonts w:eastAsia="KaiTi_GB2312" w:hint="eastAsia"/>
        </w:rPr>
        <w:t>信仰、表达、集会和结社的自由及建立学校的自由；</w:t>
      </w:r>
    </w:p>
    <w:p w:rsidR="00BD06A0" w:rsidRPr="00D307C7" w:rsidRDefault="00BD06A0" w:rsidP="00D429A6">
      <w:pPr>
        <w:pStyle w:val="SingleTxtGC"/>
        <w:numPr>
          <w:ilvl w:val="0"/>
          <w:numId w:val="24"/>
        </w:numPr>
        <w:rPr>
          <w:rFonts w:eastAsia="KaiTi_GB2312" w:hint="eastAsia"/>
        </w:rPr>
      </w:pPr>
      <w:r w:rsidRPr="00D307C7">
        <w:rPr>
          <w:rFonts w:eastAsia="KaiTi_GB2312" w:hint="eastAsia"/>
        </w:rPr>
        <w:t>个人享有住宅和其他财产的私有性受到保护和财产不受无偿剥夺的权利，</w:t>
      </w:r>
    </w:p>
    <w:p w:rsidR="00BD06A0" w:rsidRPr="00F95B46" w:rsidRDefault="00BD06A0" w:rsidP="00BD06A0">
      <w:pPr>
        <w:pStyle w:val="SingleTxtGC"/>
        <w:rPr>
          <w:rFonts w:eastAsia="KaiTi_GB2312" w:hint="eastAsia"/>
        </w:rPr>
      </w:pPr>
      <w:r w:rsidRPr="00F95B46">
        <w:rPr>
          <w:rFonts w:eastAsia="KaiTi_GB2312" w:hint="eastAsia"/>
        </w:rPr>
        <w:t>本章各条款之效力，以保护权利和自由为目的，但这一保护需受这一条款中所载限制的制约，限制旨在确保任何个人享有的权利和自由不影响他人的权利和自由或公共利益。</w:t>
      </w:r>
    </w:p>
    <w:p w:rsidR="00BD06A0" w:rsidRPr="00BD06A0" w:rsidRDefault="00BD06A0" w:rsidP="00BD06A0">
      <w:pPr>
        <w:pStyle w:val="SingleTxtGC"/>
        <w:rPr>
          <w:rFonts w:hint="eastAsia"/>
        </w:rPr>
      </w:pPr>
      <w:r w:rsidRPr="00BD06A0">
        <w:rPr>
          <w:rFonts w:hint="eastAsia"/>
        </w:rPr>
        <w:t xml:space="preserve">107.  </w:t>
      </w:r>
      <w:r w:rsidRPr="0027299B">
        <w:rPr>
          <w:rFonts w:eastAsia="SimHei" w:hint="eastAsia"/>
        </w:rPr>
        <w:t>《宪法》第</w:t>
      </w:r>
      <w:r w:rsidRPr="0027299B">
        <w:rPr>
          <w:rFonts w:eastAsia="SimHei" w:hint="eastAsia"/>
        </w:rPr>
        <w:t>16</w:t>
      </w:r>
      <w:r w:rsidRPr="0027299B">
        <w:rPr>
          <w:rFonts w:eastAsia="SimHei" w:hint="eastAsia"/>
        </w:rPr>
        <w:t>条题为“防止歧视”</w:t>
      </w:r>
      <w:r w:rsidRPr="00BD06A0">
        <w:rPr>
          <w:rFonts w:hint="eastAsia"/>
        </w:rPr>
        <w:t>，申明：</w:t>
      </w:r>
    </w:p>
    <w:p w:rsidR="00BD06A0" w:rsidRPr="00123CD3" w:rsidRDefault="00BD06A0" w:rsidP="00D26B41">
      <w:pPr>
        <w:pStyle w:val="SingleTxtGC"/>
        <w:numPr>
          <w:ilvl w:val="0"/>
          <w:numId w:val="27"/>
        </w:numPr>
        <w:rPr>
          <w:rFonts w:eastAsia="KaiTi_GB2312" w:hint="eastAsia"/>
        </w:rPr>
      </w:pPr>
      <w:r w:rsidRPr="00123CD3">
        <w:rPr>
          <w:rFonts w:eastAsia="KaiTi_GB2312" w:hint="eastAsia"/>
        </w:rPr>
        <w:t>在遵守第</w:t>
      </w:r>
      <w:r w:rsidRPr="00123CD3">
        <w:rPr>
          <w:rFonts w:eastAsia="KaiTi_GB2312" w:hint="eastAsia"/>
        </w:rPr>
        <w:t>(4)</w:t>
      </w:r>
      <w:r w:rsidRPr="00123CD3">
        <w:rPr>
          <w:rFonts w:eastAsia="KaiTi_GB2312" w:hint="eastAsia"/>
        </w:rPr>
        <w:t>、</w:t>
      </w:r>
      <w:r w:rsidRPr="00123CD3">
        <w:rPr>
          <w:rFonts w:eastAsia="KaiTi_GB2312" w:hint="eastAsia"/>
        </w:rPr>
        <w:t>(5)</w:t>
      </w:r>
      <w:r w:rsidRPr="00123CD3">
        <w:rPr>
          <w:rFonts w:eastAsia="KaiTi_GB2312" w:hint="eastAsia"/>
        </w:rPr>
        <w:t>和</w:t>
      </w:r>
      <w:r w:rsidRPr="00123CD3">
        <w:rPr>
          <w:rFonts w:eastAsia="KaiTi_GB2312" w:hint="eastAsia"/>
        </w:rPr>
        <w:t>(7)</w:t>
      </w:r>
      <w:r w:rsidRPr="00123CD3">
        <w:rPr>
          <w:rFonts w:eastAsia="KaiTi_GB2312" w:hint="eastAsia"/>
        </w:rPr>
        <w:t>款的情况下，任何法律均不应作出其本身就是歧视性或者有歧视性影响的规定。</w:t>
      </w:r>
    </w:p>
    <w:p w:rsidR="00BD06A0" w:rsidRPr="00123CD3" w:rsidRDefault="00BD06A0" w:rsidP="00D26B41">
      <w:pPr>
        <w:pStyle w:val="SingleTxtGC"/>
        <w:numPr>
          <w:ilvl w:val="0"/>
          <w:numId w:val="27"/>
        </w:numPr>
        <w:rPr>
          <w:rFonts w:eastAsia="KaiTi_GB2312" w:hint="eastAsia"/>
        </w:rPr>
      </w:pPr>
      <w:r w:rsidRPr="00123CD3">
        <w:rPr>
          <w:rFonts w:eastAsia="KaiTi_GB2312" w:hint="eastAsia"/>
        </w:rPr>
        <w:t>在遵守第</w:t>
      </w:r>
      <w:r w:rsidRPr="00123CD3">
        <w:rPr>
          <w:rFonts w:eastAsia="KaiTi_GB2312" w:hint="eastAsia"/>
        </w:rPr>
        <w:t>(4)</w:t>
      </w:r>
      <w:r w:rsidRPr="00123CD3">
        <w:rPr>
          <w:rFonts w:eastAsia="KaiTi_GB2312" w:hint="eastAsia"/>
        </w:rPr>
        <w:t>、</w:t>
      </w:r>
      <w:r w:rsidRPr="00123CD3">
        <w:rPr>
          <w:rFonts w:eastAsia="KaiTi_GB2312" w:hint="eastAsia"/>
        </w:rPr>
        <w:t>(5)</w:t>
      </w:r>
      <w:r w:rsidRPr="00123CD3">
        <w:rPr>
          <w:rFonts w:eastAsia="KaiTi_GB2312" w:hint="eastAsia"/>
        </w:rPr>
        <w:t>和</w:t>
      </w:r>
      <w:r w:rsidRPr="00123CD3">
        <w:rPr>
          <w:rFonts w:eastAsia="KaiTi_GB2312" w:hint="eastAsia"/>
        </w:rPr>
        <w:t>(7)</w:t>
      </w:r>
      <w:r w:rsidRPr="00123CD3">
        <w:rPr>
          <w:rFonts w:eastAsia="KaiTi_GB2312" w:hint="eastAsia"/>
        </w:rPr>
        <w:t>款的情况下，任何法律均不应作出本身就是歧视性或者有歧视性的规定。</w:t>
      </w:r>
    </w:p>
    <w:p w:rsidR="00BD06A0" w:rsidRPr="00123CD3" w:rsidRDefault="00BD06A0" w:rsidP="00D26B41">
      <w:pPr>
        <w:pStyle w:val="SingleTxtGC"/>
        <w:numPr>
          <w:ilvl w:val="0"/>
          <w:numId w:val="27"/>
        </w:numPr>
        <w:rPr>
          <w:rFonts w:eastAsia="KaiTi_GB2312" w:hint="eastAsia"/>
        </w:rPr>
      </w:pPr>
      <w:r w:rsidRPr="00123CD3">
        <w:rPr>
          <w:rFonts w:eastAsia="KaiTi_GB2312" w:hint="eastAsia"/>
        </w:rPr>
        <w:t>在遵守第</w:t>
      </w:r>
      <w:r w:rsidRPr="00123CD3">
        <w:rPr>
          <w:rFonts w:eastAsia="KaiTi_GB2312" w:hint="eastAsia"/>
        </w:rPr>
        <w:t>(6)</w:t>
      </w:r>
      <w:r w:rsidRPr="00123CD3">
        <w:rPr>
          <w:rFonts w:eastAsia="KaiTi_GB2312" w:hint="eastAsia"/>
        </w:rPr>
        <w:t>、</w:t>
      </w:r>
      <w:r w:rsidRPr="00123CD3">
        <w:rPr>
          <w:rFonts w:eastAsia="KaiTi_GB2312" w:hint="eastAsia"/>
        </w:rPr>
        <w:t>(7)</w:t>
      </w:r>
      <w:r w:rsidRPr="00123CD3">
        <w:rPr>
          <w:rFonts w:eastAsia="KaiTi_GB2312" w:hint="eastAsia"/>
        </w:rPr>
        <w:t>和</w:t>
      </w:r>
      <w:r w:rsidRPr="00123CD3">
        <w:rPr>
          <w:rFonts w:eastAsia="KaiTi_GB2312" w:hint="eastAsia"/>
        </w:rPr>
        <w:t>(8)</w:t>
      </w:r>
      <w:r w:rsidRPr="00123CD3">
        <w:rPr>
          <w:rFonts w:eastAsia="KaiTi_GB2312" w:hint="eastAsia"/>
        </w:rPr>
        <w:t>款的情况下，任何依照法律履行公共职责的人或在其他情况下执行公务或行使公权力的人，均不得以歧视性方式对待其他个人。</w:t>
      </w:r>
    </w:p>
    <w:p w:rsidR="00BD06A0" w:rsidRPr="00123CD3" w:rsidRDefault="00BD06A0" w:rsidP="00D26B41">
      <w:pPr>
        <w:pStyle w:val="SingleTxtGC"/>
        <w:numPr>
          <w:ilvl w:val="0"/>
          <w:numId w:val="27"/>
        </w:numPr>
        <w:rPr>
          <w:rFonts w:eastAsia="KaiTi_GB2312" w:hint="eastAsia"/>
        </w:rPr>
      </w:pPr>
      <w:r w:rsidRPr="00123CD3" w:rsidDel="009F2D49">
        <w:rPr>
          <w:rFonts w:eastAsia="KaiTi_GB2312" w:hint="eastAsia"/>
        </w:rPr>
        <w:t>在</w:t>
      </w:r>
      <w:r w:rsidRPr="00123CD3">
        <w:rPr>
          <w:rFonts w:eastAsia="KaiTi_GB2312" w:hint="eastAsia"/>
        </w:rPr>
        <w:t>本条的“歧视”系指完全或主要因各自种族、种姓、原籍地、政治见解、肤色、信仰或性别的不同而对个人给予不同待遇，导致具有上述某种特征的个人失去资格或受到限制，而具有上述别种特征的个人则不受影响，或者得到上述别种特征的人得不到的特权或优势。</w:t>
      </w:r>
    </w:p>
    <w:p w:rsidR="00BD06A0" w:rsidRPr="00BD06A0" w:rsidRDefault="00BD06A0" w:rsidP="00D26B41">
      <w:pPr>
        <w:pStyle w:val="SingleTxtGC"/>
        <w:numPr>
          <w:ilvl w:val="0"/>
          <w:numId w:val="27"/>
        </w:numPr>
        <w:rPr>
          <w:rFonts w:hint="eastAsia"/>
        </w:rPr>
      </w:pPr>
      <w:r w:rsidRPr="00123CD3">
        <w:rPr>
          <w:rFonts w:eastAsia="KaiTi_GB2312" w:hint="eastAsia"/>
        </w:rPr>
        <w:t>第</w:t>
      </w:r>
      <w:r w:rsidRPr="00123CD3">
        <w:rPr>
          <w:rFonts w:eastAsia="KaiTi_GB2312" w:hint="eastAsia"/>
        </w:rPr>
        <w:t>(1)</w:t>
      </w:r>
      <w:r w:rsidRPr="00123CD3">
        <w:rPr>
          <w:rFonts w:eastAsia="KaiTi_GB2312" w:hint="eastAsia"/>
        </w:rPr>
        <w:t>款不适用于作出下列规定的任何法律</w:t>
      </w:r>
      <w:r w:rsidRPr="00BD06A0">
        <w:rPr>
          <w:rFonts w:hint="eastAsia"/>
        </w:rPr>
        <w:t>：</w:t>
      </w:r>
    </w:p>
    <w:p w:rsidR="00BD06A0" w:rsidRPr="007F3C31" w:rsidRDefault="00BD06A0" w:rsidP="00C55D94">
      <w:pPr>
        <w:pStyle w:val="SingleTxtGC"/>
        <w:numPr>
          <w:ilvl w:val="1"/>
          <w:numId w:val="27"/>
        </w:numPr>
        <w:ind w:left="1565"/>
        <w:rPr>
          <w:rFonts w:eastAsia="KaiTi_GB2312" w:hint="eastAsia"/>
        </w:rPr>
      </w:pPr>
      <w:r w:rsidRPr="007F3C31">
        <w:rPr>
          <w:rFonts w:eastAsia="KaiTi_GB2312" w:hint="eastAsia"/>
        </w:rPr>
        <w:t>拨付毛里求斯的岁入或其他基金；</w:t>
      </w:r>
    </w:p>
    <w:p w:rsidR="00BD06A0" w:rsidRPr="007F3C31" w:rsidRDefault="00BD06A0" w:rsidP="00C55D94">
      <w:pPr>
        <w:pStyle w:val="SingleTxtGC"/>
        <w:numPr>
          <w:ilvl w:val="1"/>
          <w:numId w:val="27"/>
        </w:numPr>
        <w:ind w:left="1565"/>
        <w:rPr>
          <w:rFonts w:eastAsia="KaiTi_GB2312" w:hint="eastAsia"/>
        </w:rPr>
      </w:pPr>
      <w:r w:rsidRPr="007F3C31">
        <w:rPr>
          <w:rFonts w:eastAsia="KaiTi_GB2312" w:hint="eastAsia"/>
        </w:rPr>
        <w:t>针对非毛里求斯公民的个人；</w:t>
      </w:r>
    </w:p>
    <w:p w:rsidR="00BD06A0" w:rsidRPr="007F3C31" w:rsidRDefault="00BD06A0" w:rsidP="00C55D94">
      <w:pPr>
        <w:pStyle w:val="SingleTxtGC"/>
        <w:numPr>
          <w:ilvl w:val="1"/>
          <w:numId w:val="27"/>
        </w:numPr>
        <w:ind w:left="1565"/>
        <w:rPr>
          <w:rFonts w:eastAsia="KaiTi_GB2312" w:hint="eastAsia"/>
        </w:rPr>
      </w:pPr>
      <w:r w:rsidRPr="007F3C31">
        <w:rPr>
          <w:rFonts w:eastAsia="KaiTi_GB2312" w:hint="eastAsia"/>
        </w:rPr>
        <w:t>就第</w:t>
      </w:r>
      <w:r w:rsidRPr="007F3C31">
        <w:rPr>
          <w:rFonts w:eastAsia="KaiTi_GB2312" w:hint="eastAsia"/>
        </w:rPr>
        <w:t>(3)</w:t>
      </w:r>
      <w:r w:rsidRPr="007F3C31">
        <w:rPr>
          <w:rFonts w:eastAsia="KaiTi_GB2312" w:hint="eastAsia"/>
        </w:rPr>
        <w:t>款所述任何特征的个人</w:t>
      </w:r>
      <w:r w:rsidRPr="007F3C31">
        <w:rPr>
          <w:rFonts w:eastAsia="KaiTi_GB2312" w:hint="eastAsia"/>
        </w:rPr>
        <w:t>(</w:t>
      </w:r>
      <w:r w:rsidRPr="007F3C31">
        <w:rPr>
          <w:rFonts w:eastAsia="KaiTi_GB2312" w:hint="eastAsia"/>
        </w:rPr>
        <w:t>或与此类个人有关者</w:t>
      </w:r>
      <w:r w:rsidRPr="007F3C31">
        <w:rPr>
          <w:rFonts w:eastAsia="KaiTi_GB2312" w:hint="eastAsia"/>
        </w:rPr>
        <w:t>)</w:t>
      </w:r>
      <w:r w:rsidRPr="007F3C31">
        <w:rPr>
          <w:rFonts w:eastAsia="KaiTi_GB2312" w:hint="eastAsia"/>
        </w:rPr>
        <w:t>而言，法律的适用涉及收养、婚姻、离婚、丧葬、死亡后的析产或其他类似但对上述特征的个人适用属人法的事宜。</w:t>
      </w:r>
    </w:p>
    <w:p w:rsidR="00BD06A0" w:rsidRPr="00F31106" w:rsidRDefault="00BD06A0" w:rsidP="00BD06A0">
      <w:pPr>
        <w:pStyle w:val="SingleTxtGC"/>
        <w:numPr>
          <w:ilvl w:val="0"/>
          <w:numId w:val="27"/>
        </w:numPr>
        <w:rPr>
          <w:rFonts w:eastAsia="KaiTi_GB2312" w:hint="eastAsia"/>
        </w:rPr>
      </w:pPr>
      <w:r w:rsidRPr="00F31106">
        <w:rPr>
          <w:rFonts w:eastAsia="KaiTi_GB2312" w:hint="eastAsia"/>
        </w:rPr>
        <w:t>任何法律中的条款，如果作出规定，要求任何个人达到某些标准或资格</w:t>
      </w:r>
      <w:r w:rsidRPr="00F31106">
        <w:rPr>
          <w:rFonts w:eastAsia="KaiTi_GB2312" w:hint="eastAsia"/>
        </w:rPr>
        <w:t>(</w:t>
      </w:r>
      <w:r w:rsidRPr="00F31106">
        <w:rPr>
          <w:rFonts w:eastAsia="KaiTi_GB2312" w:hint="eastAsia"/>
        </w:rPr>
        <w:t>但不是种族、种姓、出生地、政治见解、肤色、信仰或性别等方面的标准或资格</w:t>
      </w:r>
      <w:r w:rsidRPr="00F31106">
        <w:rPr>
          <w:rFonts w:eastAsia="KaiTi_GB2312" w:hint="eastAsia"/>
        </w:rPr>
        <w:t>)</w:t>
      </w:r>
      <w:r w:rsidRPr="00F31106">
        <w:rPr>
          <w:rFonts w:eastAsia="KaiTi_GB2312" w:hint="eastAsia"/>
        </w:rPr>
        <w:t>，以便予以任命，担任公职、在纪律严明的部队中任职、在地方当局任职、或在依法为公益目的直接设立的法人团体中任职，均不得视为不符合或违反第</w:t>
      </w:r>
      <w:r w:rsidRPr="00F31106">
        <w:rPr>
          <w:rFonts w:eastAsia="KaiTi_GB2312" w:hint="eastAsia"/>
        </w:rPr>
        <w:t>(1)</w:t>
      </w:r>
      <w:r w:rsidRPr="00F31106">
        <w:rPr>
          <w:rFonts w:eastAsia="KaiTi_GB2312" w:hint="eastAsia"/>
        </w:rPr>
        <w:t>款。</w:t>
      </w:r>
    </w:p>
    <w:p w:rsidR="00BD06A0" w:rsidRPr="00F31106" w:rsidRDefault="00BD06A0" w:rsidP="00BD06A0">
      <w:pPr>
        <w:pStyle w:val="SingleTxtGC"/>
        <w:numPr>
          <w:ilvl w:val="0"/>
          <w:numId w:val="27"/>
        </w:numPr>
        <w:rPr>
          <w:rFonts w:eastAsia="KaiTi_GB2312" w:hint="eastAsia"/>
        </w:rPr>
      </w:pPr>
      <w:r w:rsidRPr="00F31106">
        <w:rPr>
          <w:rFonts w:eastAsia="KaiTi_GB2312" w:hint="eastAsia"/>
        </w:rPr>
        <w:t>第</w:t>
      </w:r>
      <w:r w:rsidRPr="00F31106">
        <w:rPr>
          <w:rFonts w:eastAsia="KaiTi_GB2312" w:hint="eastAsia"/>
        </w:rPr>
        <w:t>(2)</w:t>
      </w:r>
      <w:r w:rsidRPr="00F31106">
        <w:rPr>
          <w:rFonts w:eastAsia="KaiTi_GB2312" w:hint="eastAsia"/>
        </w:rPr>
        <w:t>款不得适用于第</w:t>
      </w:r>
      <w:r w:rsidRPr="00F31106">
        <w:rPr>
          <w:rFonts w:eastAsia="KaiTi_GB2312" w:hint="eastAsia"/>
        </w:rPr>
        <w:t>(4)</w:t>
      </w:r>
      <w:r w:rsidRPr="00F31106">
        <w:rPr>
          <w:rFonts w:eastAsia="KaiTi_GB2312" w:hint="eastAsia"/>
        </w:rPr>
        <w:t>或</w:t>
      </w:r>
      <w:r w:rsidRPr="00F31106">
        <w:rPr>
          <w:rFonts w:eastAsia="KaiTi_GB2312" w:hint="eastAsia"/>
        </w:rPr>
        <w:t>(5)</w:t>
      </w:r>
      <w:r w:rsidRPr="00F31106">
        <w:rPr>
          <w:rFonts w:eastAsia="KaiTi_GB2312" w:hint="eastAsia"/>
        </w:rPr>
        <w:t>款所提及法律的任何条款通过明示或必要默示授权去做的事情。</w:t>
      </w:r>
    </w:p>
    <w:p w:rsidR="00BD06A0" w:rsidRPr="00F31106" w:rsidRDefault="00BD06A0" w:rsidP="00BD06A0">
      <w:pPr>
        <w:pStyle w:val="SingleTxtGC"/>
        <w:numPr>
          <w:ilvl w:val="0"/>
          <w:numId w:val="27"/>
        </w:numPr>
        <w:rPr>
          <w:rFonts w:eastAsia="KaiTi_GB2312" w:hint="eastAsia"/>
        </w:rPr>
      </w:pPr>
      <w:r w:rsidRPr="00F31106">
        <w:rPr>
          <w:rFonts w:eastAsia="KaiTi_GB2312" w:hint="eastAsia"/>
        </w:rPr>
        <w:t>任何法律，如果作出规定，致使第</w:t>
      </w:r>
      <w:r w:rsidRPr="00F31106">
        <w:rPr>
          <w:rFonts w:eastAsia="KaiTi_GB2312" w:hint="eastAsia"/>
        </w:rPr>
        <w:t>(3)</w:t>
      </w:r>
      <w:r w:rsidRPr="00F31106">
        <w:rPr>
          <w:rFonts w:eastAsia="KaiTi_GB2312" w:hint="eastAsia"/>
        </w:rPr>
        <w:t>款所提及特征的个人受第</w:t>
      </w:r>
      <w:r w:rsidRPr="00F31106">
        <w:rPr>
          <w:rFonts w:eastAsia="KaiTi_GB2312" w:hint="eastAsia"/>
        </w:rPr>
        <w:t>9</w:t>
      </w:r>
      <w:r w:rsidRPr="00F31106">
        <w:rPr>
          <w:rFonts w:eastAsia="KaiTi_GB2312" w:hint="eastAsia"/>
        </w:rPr>
        <w:t>、</w:t>
      </w:r>
      <w:r w:rsidRPr="00F31106">
        <w:rPr>
          <w:rFonts w:eastAsia="KaiTi_GB2312" w:hint="eastAsia"/>
        </w:rPr>
        <w:t>11</w:t>
      </w:r>
      <w:r w:rsidRPr="00F31106">
        <w:rPr>
          <w:rFonts w:eastAsia="KaiTi_GB2312" w:hint="eastAsia"/>
        </w:rPr>
        <w:t>、</w:t>
      </w:r>
      <w:r w:rsidRPr="00F31106">
        <w:rPr>
          <w:rFonts w:eastAsia="KaiTi_GB2312" w:hint="eastAsia"/>
        </w:rPr>
        <w:t>12</w:t>
      </w:r>
      <w:r w:rsidRPr="00F31106">
        <w:rPr>
          <w:rFonts w:eastAsia="KaiTi_GB2312" w:hint="eastAsia"/>
        </w:rPr>
        <w:t>、</w:t>
      </w:r>
      <w:r w:rsidRPr="00F31106">
        <w:rPr>
          <w:rFonts w:eastAsia="KaiTi_GB2312" w:hint="eastAsia"/>
        </w:rPr>
        <w:t>13</w:t>
      </w:r>
      <w:r w:rsidRPr="00F31106">
        <w:rPr>
          <w:rFonts w:eastAsia="KaiTi_GB2312" w:hint="eastAsia"/>
        </w:rPr>
        <w:t>、</w:t>
      </w:r>
      <w:r w:rsidRPr="00F31106">
        <w:rPr>
          <w:rFonts w:eastAsia="KaiTi_GB2312" w:hint="eastAsia"/>
        </w:rPr>
        <w:t>14</w:t>
      </w:r>
      <w:r w:rsidRPr="00F31106">
        <w:rPr>
          <w:rFonts w:eastAsia="KaiTi_GB2312" w:hint="eastAsia"/>
        </w:rPr>
        <w:t>和</w:t>
      </w:r>
      <w:r w:rsidRPr="00F31106">
        <w:rPr>
          <w:rFonts w:eastAsia="KaiTi_GB2312" w:hint="eastAsia"/>
        </w:rPr>
        <w:t>15</w:t>
      </w:r>
      <w:r w:rsidRPr="00F31106">
        <w:rPr>
          <w:rFonts w:eastAsia="KaiTi_GB2312" w:hint="eastAsia"/>
        </w:rPr>
        <w:t>条保护的权利和自由受到限制，而依照具体情况，此一限制是经第</w:t>
      </w:r>
      <w:r w:rsidRPr="00F31106">
        <w:rPr>
          <w:rFonts w:eastAsia="KaiTi_GB2312" w:hint="eastAsia"/>
        </w:rPr>
        <w:t>9(2)</w:t>
      </w:r>
      <w:r w:rsidRPr="00F31106">
        <w:rPr>
          <w:rFonts w:eastAsia="KaiTi_GB2312" w:hint="eastAsia"/>
        </w:rPr>
        <w:t>、</w:t>
      </w:r>
      <w:r w:rsidRPr="00F31106">
        <w:rPr>
          <w:rFonts w:eastAsia="KaiTi_GB2312" w:hint="eastAsia"/>
        </w:rPr>
        <w:t>11(5)</w:t>
      </w:r>
      <w:r w:rsidRPr="00F31106">
        <w:rPr>
          <w:rFonts w:eastAsia="KaiTi_GB2312" w:hint="eastAsia"/>
        </w:rPr>
        <w:t>、</w:t>
      </w:r>
      <w:r w:rsidRPr="00F31106">
        <w:rPr>
          <w:rFonts w:eastAsia="KaiTi_GB2312" w:hint="eastAsia"/>
        </w:rPr>
        <w:t>12(2)</w:t>
      </w:r>
      <w:r w:rsidRPr="00F31106">
        <w:rPr>
          <w:rFonts w:eastAsia="KaiTi_GB2312" w:hint="eastAsia"/>
        </w:rPr>
        <w:t>、</w:t>
      </w:r>
      <w:r w:rsidRPr="00F31106">
        <w:rPr>
          <w:rFonts w:eastAsia="KaiTi_GB2312" w:hint="eastAsia"/>
        </w:rPr>
        <w:t>13(2)</w:t>
      </w:r>
      <w:r w:rsidRPr="00F31106">
        <w:rPr>
          <w:rFonts w:eastAsia="KaiTi_GB2312" w:hint="eastAsia"/>
        </w:rPr>
        <w:t>、</w:t>
      </w:r>
      <w:r w:rsidRPr="00F31106">
        <w:rPr>
          <w:rFonts w:eastAsia="KaiTi_GB2312" w:hint="eastAsia"/>
        </w:rPr>
        <w:t>14(2)</w:t>
      </w:r>
      <w:r w:rsidRPr="00F31106">
        <w:rPr>
          <w:rFonts w:eastAsia="KaiTi_GB2312" w:hint="eastAsia"/>
        </w:rPr>
        <w:t>或</w:t>
      </w:r>
      <w:r w:rsidRPr="00F31106">
        <w:rPr>
          <w:rFonts w:eastAsia="KaiTi_GB2312" w:hint="eastAsia"/>
        </w:rPr>
        <w:t>15(3)</w:t>
      </w:r>
      <w:r w:rsidRPr="00F31106">
        <w:rPr>
          <w:rFonts w:eastAsia="KaiTi_GB2312" w:hint="eastAsia"/>
        </w:rPr>
        <w:t>条授权，则此类法律授权的内容或依照此类法律的授权所采取的行动，均不应视为不符合或违反本条。</w:t>
      </w:r>
    </w:p>
    <w:p w:rsidR="00BD06A0" w:rsidRPr="00F31106" w:rsidRDefault="00BD06A0" w:rsidP="00BD06A0">
      <w:pPr>
        <w:pStyle w:val="SingleTxtGC"/>
        <w:numPr>
          <w:ilvl w:val="0"/>
          <w:numId w:val="27"/>
        </w:numPr>
        <w:rPr>
          <w:rFonts w:eastAsia="KaiTi_GB2312" w:hint="eastAsia"/>
        </w:rPr>
      </w:pPr>
      <w:r w:rsidRPr="00F31106">
        <w:rPr>
          <w:rFonts w:eastAsia="KaiTi_GB2312" w:hint="eastAsia"/>
        </w:rPr>
        <w:t>在法庭提起、进行、终止民事或刑事诉讼方面，第</w:t>
      </w:r>
      <w:r w:rsidRPr="00F31106">
        <w:rPr>
          <w:rFonts w:eastAsia="KaiTi_GB2312" w:hint="eastAsia"/>
        </w:rPr>
        <w:t>(2)</w:t>
      </w:r>
      <w:r w:rsidRPr="00F31106">
        <w:rPr>
          <w:rFonts w:eastAsia="KaiTi_GB2312" w:hint="eastAsia"/>
        </w:rPr>
        <w:t>款不得影响由本宪法或其他法律，或者根据本宪法或其他法律赋予个人的酌处权。</w:t>
      </w:r>
    </w:p>
    <w:p w:rsidR="00BD06A0" w:rsidRPr="00BD06A0" w:rsidRDefault="001F3596" w:rsidP="00ED4F66">
      <w:pPr>
        <w:pStyle w:val="H23GC"/>
        <w:rPr>
          <w:rFonts w:hint="eastAsia"/>
        </w:rPr>
      </w:pPr>
      <w:r>
        <w:rPr>
          <w:rFonts w:hint="eastAsia"/>
          <w:b/>
        </w:rPr>
        <w:tab/>
      </w:r>
      <w:r>
        <w:rPr>
          <w:rFonts w:hint="eastAsia"/>
          <w:b/>
        </w:rPr>
        <w:tab/>
      </w:r>
      <w:r w:rsidR="00BD06A0" w:rsidRPr="00ED4F66">
        <w:rPr>
          <w:rFonts w:hint="eastAsia"/>
        </w:rPr>
        <w:t>2002</w:t>
      </w:r>
      <w:r w:rsidR="00BD06A0" w:rsidRPr="00BD06A0">
        <w:rPr>
          <w:rFonts w:hint="eastAsia"/>
        </w:rPr>
        <w:t>年性别歧视法</w:t>
      </w:r>
    </w:p>
    <w:p w:rsidR="00BD06A0" w:rsidRPr="00BD06A0" w:rsidRDefault="00BD06A0" w:rsidP="00BD06A0">
      <w:pPr>
        <w:pStyle w:val="SingleTxtGC"/>
        <w:rPr>
          <w:rFonts w:hint="eastAsia"/>
        </w:rPr>
      </w:pPr>
      <w:r w:rsidRPr="00BD06A0">
        <w:rPr>
          <w:rFonts w:hint="eastAsia"/>
        </w:rPr>
        <w:t xml:space="preserve">108.  </w:t>
      </w:r>
      <w:r w:rsidRPr="00356F8F">
        <w:rPr>
          <w:rFonts w:eastAsia="SimHei" w:hint="eastAsia"/>
        </w:rPr>
        <w:t>2002</w:t>
      </w:r>
      <w:r w:rsidRPr="00356F8F">
        <w:rPr>
          <w:rFonts w:eastAsia="SimHei" w:hint="eastAsia"/>
        </w:rPr>
        <w:t>年的《性别歧视法》</w:t>
      </w:r>
      <w:r w:rsidRPr="00BD06A0">
        <w:rPr>
          <w:rFonts w:hint="eastAsia"/>
        </w:rPr>
        <w:t>于</w:t>
      </w:r>
      <w:r w:rsidRPr="00BD06A0">
        <w:rPr>
          <w:rFonts w:hint="eastAsia"/>
        </w:rPr>
        <w:t>2003</w:t>
      </w:r>
      <w:r w:rsidRPr="00BD06A0">
        <w:rPr>
          <w:rFonts w:hint="eastAsia"/>
        </w:rPr>
        <w:t>年</w:t>
      </w:r>
      <w:r w:rsidRPr="00BD06A0">
        <w:rPr>
          <w:rFonts w:hint="eastAsia"/>
        </w:rPr>
        <w:t>3</w:t>
      </w:r>
      <w:r w:rsidRPr="00BD06A0">
        <w:rPr>
          <w:rFonts w:hint="eastAsia"/>
        </w:rPr>
        <w:t>月</w:t>
      </w:r>
      <w:r w:rsidRPr="00BD06A0">
        <w:rPr>
          <w:rFonts w:hint="eastAsia"/>
        </w:rPr>
        <w:t>8</w:t>
      </w:r>
      <w:r w:rsidRPr="00BD06A0">
        <w:rPr>
          <w:rFonts w:hint="eastAsia"/>
        </w:rPr>
        <w:t>日生效，旨在“规定消除特定公共活动领域中的一切形式的性别歧视和性骚扰”。该法禁止就业歧视：雇主不得在招聘、甄选或就业方面以性别、婚姻状况、怀孕或家庭责任为由进行歧视。按照《性别歧视法》的规定，严格禁止在教育、膳宿、财产处置、公司和伙伴关系以及俱乐部等方面的歧视。</w:t>
      </w:r>
    </w:p>
    <w:p w:rsidR="00BD06A0" w:rsidRPr="00BD06A0" w:rsidRDefault="00BD06A0" w:rsidP="00BD06A0">
      <w:pPr>
        <w:pStyle w:val="SingleTxtGC"/>
        <w:rPr>
          <w:rFonts w:hint="eastAsia"/>
        </w:rPr>
      </w:pPr>
      <w:r w:rsidRPr="00BD06A0">
        <w:rPr>
          <w:rFonts w:hint="eastAsia"/>
        </w:rPr>
        <w:t xml:space="preserve">109.  </w:t>
      </w:r>
      <w:r w:rsidRPr="00BD06A0">
        <w:rPr>
          <w:rFonts w:hint="eastAsia"/>
        </w:rPr>
        <w:t>此外，</w:t>
      </w:r>
      <w:r w:rsidRPr="00356F8F">
        <w:rPr>
          <w:rFonts w:eastAsia="SimHei" w:hint="eastAsia"/>
        </w:rPr>
        <w:t>2002</w:t>
      </w:r>
      <w:r w:rsidRPr="00356F8F">
        <w:rPr>
          <w:rFonts w:eastAsia="SimHei" w:hint="eastAsia"/>
        </w:rPr>
        <w:t>年《性别歧视法》</w:t>
      </w:r>
      <w:r w:rsidRPr="00BD06A0">
        <w:rPr>
          <w:rFonts w:hint="eastAsia"/>
        </w:rPr>
        <w:t>第</w:t>
      </w:r>
      <w:r w:rsidRPr="00BD06A0">
        <w:rPr>
          <w:rFonts w:hint="eastAsia"/>
        </w:rPr>
        <w:t>4</w:t>
      </w:r>
      <w:r w:rsidRPr="00BD06A0">
        <w:rPr>
          <w:rFonts w:hint="eastAsia"/>
        </w:rPr>
        <w:t>部分还规定处罚性骚扰行为</w:t>
      </w:r>
      <w:r w:rsidRPr="00BD06A0">
        <w:rPr>
          <w:rFonts w:hint="eastAsia"/>
        </w:rPr>
        <w:t>(</w:t>
      </w:r>
      <w:r w:rsidRPr="00BD06A0">
        <w:rPr>
          <w:rFonts w:hint="eastAsia"/>
        </w:rPr>
        <w:t>定义为不受欢迎的性挑逗、不受欢迎地要求性好处和含有性意味的不受欢迎的行为</w:t>
      </w:r>
      <w:r w:rsidRPr="00BD06A0">
        <w:rPr>
          <w:rFonts w:hint="eastAsia"/>
        </w:rPr>
        <w:t>)</w:t>
      </w:r>
      <w:r w:rsidRPr="00BD06A0">
        <w:rPr>
          <w:rFonts w:hint="eastAsia"/>
        </w:rPr>
        <w:t>。尤其是，任何雇主均不得对雇员或求职者进行性骚扰，任何雇员均不得对同事进行骚扰，教育机构的任何教职员工均不得对同事或学生进行性骚扰。</w:t>
      </w:r>
    </w:p>
    <w:p w:rsidR="00BD06A0" w:rsidRPr="00BD06A0" w:rsidRDefault="00BD06A0" w:rsidP="00BD06A0">
      <w:pPr>
        <w:pStyle w:val="SingleTxtGC"/>
        <w:rPr>
          <w:rFonts w:hint="eastAsia"/>
        </w:rPr>
      </w:pPr>
      <w:r w:rsidRPr="00BD06A0">
        <w:rPr>
          <w:rFonts w:hint="eastAsia"/>
        </w:rPr>
        <w:t xml:space="preserve">110.  </w:t>
      </w:r>
      <w:r w:rsidRPr="00BD06A0">
        <w:rPr>
          <w:rFonts w:hint="eastAsia"/>
        </w:rPr>
        <w:t>国家人权委员会性别歧视司受权接受并调查对指称违反《性别歧视法》行为有关的任何书面投诉。该司的职责还包括促进了解和适用该法。</w:t>
      </w:r>
    </w:p>
    <w:p w:rsidR="00BD06A0" w:rsidRPr="00BD06A0" w:rsidRDefault="00BD06A0" w:rsidP="00BD06A0">
      <w:pPr>
        <w:pStyle w:val="SingleTxtGC"/>
        <w:rPr>
          <w:rFonts w:hint="eastAsia"/>
        </w:rPr>
      </w:pPr>
      <w:r w:rsidRPr="00BD06A0">
        <w:rPr>
          <w:rFonts w:hint="eastAsia"/>
        </w:rPr>
        <w:t xml:space="preserve">111.  </w:t>
      </w:r>
      <w:r w:rsidRPr="00BD06A0">
        <w:rPr>
          <w:rFonts w:hint="eastAsia"/>
        </w:rPr>
        <w:t>《非公民</w:t>
      </w:r>
      <w:r w:rsidRPr="00BD06A0">
        <w:rPr>
          <w:rFonts w:hint="eastAsia"/>
        </w:rPr>
        <w:t>(</w:t>
      </w:r>
      <w:r w:rsidRPr="00BD06A0">
        <w:rPr>
          <w:rFonts w:hint="eastAsia"/>
        </w:rPr>
        <w:t>就业限制</w:t>
      </w:r>
      <w:r w:rsidRPr="00BD06A0">
        <w:rPr>
          <w:rFonts w:hint="eastAsia"/>
        </w:rPr>
        <w:t>)</w:t>
      </w:r>
      <w:r w:rsidRPr="00BD06A0">
        <w:rPr>
          <w:rFonts w:hint="eastAsia"/>
        </w:rPr>
        <w:t>条例》是</w:t>
      </w:r>
      <w:r w:rsidRPr="00BD06A0">
        <w:rPr>
          <w:rFonts w:hint="eastAsia"/>
        </w:rPr>
        <w:t>2001</w:t>
      </w:r>
      <w:r w:rsidRPr="00BD06A0">
        <w:rPr>
          <w:rFonts w:hint="eastAsia"/>
        </w:rPr>
        <w:t>年制定的，涉及与毛里求斯人结婚的非公民，根据该法，他们现在不再需要获得居留许可。</w:t>
      </w:r>
    </w:p>
    <w:p w:rsidR="00BD06A0" w:rsidRPr="00BD06A0" w:rsidRDefault="00BD06A0" w:rsidP="00BD06A0">
      <w:pPr>
        <w:pStyle w:val="SingleTxtGC"/>
        <w:rPr>
          <w:rFonts w:hint="eastAsia"/>
        </w:rPr>
      </w:pPr>
      <w:r w:rsidRPr="00BD06A0">
        <w:rPr>
          <w:rFonts w:hint="eastAsia"/>
        </w:rPr>
        <w:t xml:space="preserve">112.  </w:t>
      </w:r>
      <w:r w:rsidRPr="000F0534">
        <w:rPr>
          <w:rFonts w:eastAsia="SimHei" w:hint="eastAsia"/>
        </w:rPr>
        <w:t>《社会援助法》第</w:t>
      </w:r>
      <w:r w:rsidRPr="000F0534">
        <w:rPr>
          <w:rFonts w:eastAsia="SimHei" w:hint="eastAsia"/>
        </w:rPr>
        <w:t>3(1)</w:t>
      </w:r>
      <w:r w:rsidRPr="000F0534">
        <w:rPr>
          <w:rFonts w:eastAsia="SimHei" w:hint="eastAsia"/>
        </w:rPr>
        <w:t>条</w:t>
      </w:r>
      <w:r w:rsidRPr="00451914">
        <w:rPr>
          <w:rFonts w:hint="eastAsia"/>
        </w:rPr>
        <w:t>规定</w:t>
      </w:r>
      <w:r w:rsidRPr="00BD06A0">
        <w:rPr>
          <w:rFonts w:hint="eastAsia"/>
        </w:rPr>
        <w:t>任何人，如果由于</w:t>
      </w:r>
    </w:p>
    <w:p w:rsidR="00BD06A0" w:rsidRPr="00DB2158" w:rsidRDefault="00BC3D9D" w:rsidP="00BD06A0">
      <w:pPr>
        <w:pStyle w:val="SingleTxtGC"/>
        <w:rPr>
          <w:rFonts w:eastAsia="KaiTi_GB2312" w:hint="eastAsia"/>
        </w:rPr>
      </w:pPr>
      <w:r>
        <w:rPr>
          <w:rFonts w:hint="eastAsia"/>
        </w:rPr>
        <w:tab/>
      </w:r>
      <w:r w:rsidR="00BD06A0" w:rsidRPr="00DB2158" w:rsidDel="00F54EF4">
        <w:rPr>
          <w:rFonts w:eastAsia="KaiTi_GB2312" w:hint="eastAsia"/>
        </w:rPr>
        <w:t>任何</w:t>
      </w:r>
      <w:r w:rsidR="00BD06A0" w:rsidRPr="00DB2158">
        <w:rPr>
          <w:rFonts w:eastAsia="KaiTi_GB2312" w:hint="eastAsia"/>
        </w:rPr>
        <w:t>身体或心智上的任何残障；</w:t>
      </w:r>
    </w:p>
    <w:p w:rsidR="00BD06A0" w:rsidRPr="00DB2158" w:rsidRDefault="00BC3D9D" w:rsidP="00BD06A0">
      <w:pPr>
        <w:pStyle w:val="SingleTxtGC"/>
        <w:rPr>
          <w:rFonts w:eastAsia="KaiTi_GB2312" w:hint="eastAsia"/>
        </w:rPr>
      </w:pPr>
      <w:r w:rsidRPr="00DB2158">
        <w:rPr>
          <w:rFonts w:eastAsia="KaiTi_GB2312" w:hint="eastAsia"/>
        </w:rPr>
        <w:tab/>
      </w:r>
      <w:r w:rsidR="00BD06A0" w:rsidRPr="00DB2158">
        <w:rPr>
          <w:rFonts w:eastAsia="KaiTi_GB2312" w:hint="eastAsia"/>
        </w:rPr>
        <w:t>由获得认可的执业医生证明的任何疾病或事故；</w:t>
      </w:r>
    </w:p>
    <w:p w:rsidR="00BD06A0" w:rsidRPr="00DB2158" w:rsidRDefault="00BC3D9D" w:rsidP="00BD06A0">
      <w:pPr>
        <w:pStyle w:val="SingleTxtGC"/>
        <w:rPr>
          <w:rFonts w:eastAsia="KaiTi_GB2312" w:hint="eastAsia"/>
        </w:rPr>
      </w:pPr>
      <w:r w:rsidRPr="00DB2158">
        <w:rPr>
          <w:rFonts w:eastAsia="KaiTi_GB2312" w:hint="eastAsia"/>
        </w:rPr>
        <w:tab/>
      </w:r>
      <w:r w:rsidR="00BD06A0" w:rsidRPr="00DB2158">
        <w:rPr>
          <w:rFonts w:eastAsia="KaiTi_GB2312" w:hint="eastAsia"/>
        </w:rPr>
        <w:t>遭配偶遗弃；</w:t>
      </w:r>
    </w:p>
    <w:p w:rsidR="00BD06A0" w:rsidRPr="00DB2158" w:rsidRDefault="00BC3D9D" w:rsidP="00BD06A0">
      <w:pPr>
        <w:pStyle w:val="SingleTxtGC"/>
        <w:rPr>
          <w:rFonts w:eastAsia="KaiTi_GB2312" w:hint="eastAsia"/>
        </w:rPr>
      </w:pPr>
      <w:r w:rsidRPr="00DB2158">
        <w:rPr>
          <w:rFonts w:eastAsia="KaiTi_GB2312" w:hint="eastAsia"/>
        </w:rPr>
        <w:tab/>
      </w:r>
      <w:r w:rsidR="00BD06A0" w:rsidRPr="00DB2158">
        <w:rPr>
          <w:rFonts w:eastAsia="KaiTi_GB2312" w:hint="eastAsia"/>
        </w:rPr>
        <w:t>突然失业，持续达六个月以上，暂时或永久地不能适当谋生，缺乏充分手段维持自己和受抚养人的生活，</w:t>
      </w:r>
    </w:p>
    <w:p w:rsidR="00BD06A0" w:rsidRPr="00BD06A0" w:rsidRDefault="00EE17B5" w:rsidP="00BD06A0">
      <w:pPr>
        <w:pStyle w:val="SingleTxtGC"/>
        <w:rPr>
          <w:rFonts w:hint="eastAsia"/>
        </w:rPr>
      </w:pPr>
      <w:r>
        <w:rPr>
          <w:rFonts w:hint="eastAsia"/>
        </w:rPr>
        <w:tab/>
      </w:r>
      <w:r w:rsidR="00BD06A0" w:rsidRPr="00EE17B5">
        <w:rPr>
          <w:rFonts w:eastAsia="KaiTi_GB2312" w:hint="eastAsia"/>
        </w:rPr>
        <w:t>应有资格申请社会援助</w:t>
      </w:r>
      <w:r w:rsidR="00BD06A0" w:rsidRPr="00BD06A0">
        <w:rPr>
          <w:rFonts w:hint="eastAsia"/>
        </w:rPr>
        <w:t>。</w:t>
      </w:r>
    </w:p>
    <w:p w:rsidR="00BD06A0" w:rsidRPr="00BD06A0" w:rsidRDefault="00BD06A0" w:rsidP="00BD06A0">
      <w:pPr>
        <w:pStyle w:val="SingleTxtGC"/>
        <w:rPr>
          <w:rFonts w:hint="eastAsia"/>
        </w:rPr>
      </w:pPr>
      <w:r w:rsidRPr="00BD06A0">
        <w:rPr>
          <w:rFonts w:hint="eastAsia"/>
        </w:rPr>
        <w:t xml:space="preserve">113.  </w:t>
      </w:r>
      <w:r w:rsidRPr="0069494F">
        <w:rPr>
          <w:rFonts w:eastAsia="SimHei" w:hint="eastAsia"/>
        </w:rPr>
        <w:t>《残疾人培训和就业法》第</w:t>
      </w:r>
      <w:r w:rsidRPr="0069494F">
        <w:rPr>
          <w:rFonts w:eastAsia="SimHei" w:hint="eastAsia"/>
        </w:rPr>
        <w:t>4</w:t>
      </w:r>
      <w:r w:rsidRPr="0069494F">
        <w:rPr>
          <w:rFonts w:eastAsia="SimHei" w:hint="eastAsia"/>
        </w:rPr>
        <w:t>条</w:t>
      </w:r>
      <w:r w:rsidRPr="00BD06A0">
        <w:rPr>
          <w:rFonts w:hint="eastAsia"/>
        </w:rPr>
        <w:t>规定设立一个委员会，负责防止残疾人因其残疾受到歧视等等的工作。</w:t>
      </w:r>
      <w:r w:rsidRPr="00541A34">
        <w:rPr>
          <w:rFonts w:eastAsia="KaiTi_GB2312" w:hint="eastAsia"/>
        </w:rPr>
        <w:t>参见关于第</w:t>
      </w:r>
      <w:r w:rsidRPr="00541A34">
        <w:rPr>
          <w:rFonts w:eastAsia="KaiTi_GB2312" w:hint="eastAsia"/>
        </w:rPr>
        <w:t>15</w:t>
      </w:r>
      <w:r w:rsidRPr="00541A34">
        <w:rPr>
          <w:rFonts w:eastAsia="KaiTi_GB2312" w:hint="eastAsia"/>
        </w:rPr>
        <w:t>条的评论意见</w:t>
      </w:r>
      <w:r w:rsidRPr="00BD06A0">
        <w:rPr>
          <w:rFonts w:hint="eastAsia"/>
          <w:i/>
        </w:rPr>
        <w:t>。</w:t>
      </w:r>
    </w:p>
    <w:p w:rsidR="00BD06A0" w:rsidRPr="00BD06A0" w:rsidRDefault="00BD06A0" w:rsidP="00BD06A0">
      <w:pPr>
        <w:pStyle w:val="SingleTxtGC"/>
        <w:rPr>
          <w:rFonts w:hint="eastAsia"/>
        </w:rPr>
      </w:pPr>
      <w:r w:rsidRPr="00BD06A0">
        <w:rPr>
          <w:rFonts w:hint="eastAsia"/>
        </w:rPr>
        <w:t xml:space="preserve">114.  </w:t>
      </w:r>
      <w:r w:rsidRPr="008517BE">
        <w:rPr>
          <w:rFonts w:eastAsia="SimHei" w:hint="eastAsia"/>
        </w:rPr>
        <w:t>《聋人福利协会法》第</w:t>
      </w:r>
      <w:r w:rsidRPr="008517BE">
        <w:rPr>
          <w:rFonts w:eastAsia="SimHei" w:hint="eastAsia"/>
        </w:rPr>
        <w:t>3</w:t>
      </w:r>
      <w:r w:rsidRPr="008517BE">
        <w:rPr>
          <w:rFonts w:eastAsia="SimHei" w:hint="eastAsia"/>
        </w:rPr>
        <w:t>条</w:t>
      </w:r>
      <w:r w:rsidRPr="00BD06A0">
        <w:rPr>
          <w:rFonts w:hint="eastAsia"/>
        </w:rPr>
        <w:t>规定聋人福利协会的目标是援助、培训和教育所有聋人；援助聋人获得医疗和适当就业；向聋人发放其所需要的物质救济；修建、开办和管理培训中心、学校和旅社。</w:t>
      </w:r>
    </w:p>
    <w:p w:rsidR="00BD06A0" w:rsidRPr="00BD06A0" w:rsidRDefault="00BD06A0" w:rsidP="00BD06A0">
      <w:pPr>
        <w:pStyle w:val="SingleTxtGC"/>
        <w:rPr>
          <w:rFonts w:hint="eastAsia"/>
        </w:rPr>
      </w:pPr>
      <w:r w:rsidRPr="00BD06A0">
        <w:rPr>
          <w:rFonts w:hint="eastAsia"/>
        </w:rPr>
        <w:t xml:space="preserve">115.  </w:t>
      </w:r>
      <w:r w:rsidRPr="006B6C01">
        <w:rPr>
          <w:rFonts w:eastAsia="SimHei" w:hint="eastAsia"/>
        </w:rPr>
        <w:t>《失业救助法》第</w:t>
      </w:r>
      <w:r w:rsidRPr="006B6C01">
        <w:rPr>
          <w:rFonts w:eastAsia="SimHei" w:hint="eastAsia"/>
        </w:rPr>
        <w:t>3(1)</w:t>
      </w:r>
      <w:r w:rsidRPr="006B6C01">
        <w:rPr>
          <w:rFonts w:eastAsia="SimHei" w:hint="eastAsia"/>
        </w:rPr>
        <w:t>条</w:t>
      </w:r>
      <w:r w:rsidRPr="00BD06A0">
        <w:rPr>
          <w:rFonts w:hint="eastAsia"/>
        </w:rPr>
        <w:t>规定，</w:t>
      </w:r>
      <w:r w:rsidRPr="00BD06A0">
        <w:rPr>
          <w:rFonts w:hint="eastAsia"/>
        </w:rPr>
        <w:t>60</w:t>
      </w:r>
      <w:r w:rsidRPr="00BD06A0">
        <w:rPr>
          <w:rFonts w:hint="eastAsia"/>
        </w:rPr>
        <w:t>岁以下的失业者，如有妻子儿女，或者是残疾人，同时符合与居留有关的规定条件，并缺乏必要的生活来源，应有资格申请困难救济。</w:t>
      </w:r>
    </w:p>
    <w:p w:rsidR="00BD06A0" w:rsidRPr="00BD06A0" w:rsidRDefault="00BD06A0" w:rsidP="00BD06A0">
      <w:pPr>
        <w:pStyle w:val="SingleTxtGC"/>
        <w:rPr>
          <w:rFonts w:hint="eastAsia"/>
        </w:rPr>
      </w:pPr>
      <w:r w:rsidRPr="00BD06A0">
        <w:rPr>
          <w:rFonts w:hint="eastAsia"/>
        </w:rPr>
        <w:t xml:space="preserve">116.  </w:t>
      </w:r>
      <w:r w:rsidRPr="00BD06A0">
        <w:rPr>
          <w:rFonts w:hint="eastAsia"/>
        </w:rPr>
        <w:t>同样也负责民族团结和高龄公民问题的社会保障部已在老年人和残疾人的保护和福利方面采取了一系列措施。</w:t>
      </w:r>
    </w:p>
    <w:p w:rsidR="00BD06A0" w:rsidRPr="00BD06A0" w:rsidRDefault="00BD06A0" w:rsidP="00BD06A0">
      <w:pPr>
        <w:pStyle w:val="SingleTxtGC"/>
        <w:rPr>
          <w:rFonts w:hint="eastAsia"/>
        </w:rPr>
      </w:pPr>
      <w:r w:rsidRPr="00BD06A0">
        <w:rPr>
          <w:rFonts w:hint="eastAsia"/>
        </w:rPr>
        <w:t xml:space="preserve">117.  </w:t>
      </w:r>
      <w:r w:rsidRPr="00BD06A0">
        <w:rPr>
          <w:rFonts w:hint="eastAsia"/>
        </w:rPr>
        <w:t>此外，</w:t>
      </w:r>
      <w:r w:rsidRPr="00BD06A0">
        <w:rPr>
          <w:rFonts w:hint="eastAsia"/>
        </w:rPr>
        <w:t>60</w:t>
      </w:r>
      <w:r w:rsidRPr="00BD06A0">
        <w:rPr>
          <w:rFonts w:hint="eastAsia"/>
        </w:rPr>
        <w:t>岁以上者可从政府那里领取养老金。领取养老金者和残疾人以及在校学生还可以免费乘坐公共汽车。</w:t>
      </w:r>
    </w:p>
    <w:p w:rsidR="00BD06A0" w:rsidRPr="00BD06A0" w:rsidRDefault="00BD06A0" w:rsidP="00BD06A0">
      <w:pPr>
        <w:pStyle w:val="SingleTxtGC"/>
        <w:rPr>
          <w:rFonts w:hint="eastAsia"/>
        </w:rPr>
      </w:pPr>
      <w:r w:rsidRPr="00BD06A0">
        <w:rPr>
          <w:rFonts w:hint="eastAsia"/>
        </w:rPr>
        <w:t xml:space="preserve">118.  </w:t>
      </w:r>
      <w:r w:rsidRPr="00522B05">
        <w:rPr>
          <w:rFonts w:eastAsia="SimHei" w:hint="eastAsia"/>
        </w:rPr>
        <w:t>《职业妇女福利互助会老年人日间照料中心信托基金法》</w:t>
      </w:r>
      <w:r w:rsidRPr="00BD06A0">
        <w:rPr>
          <w:rFonts w:hint="eastAsia"/>
        </w:rPr>
        <w:t>于</w:t>
      </w:r>
      <w:r w:rsidRPr="00BD06A0">
        <w:rPr>
          <w:rFonts w:hint="eastAsia"/>
        </w:rPr>
        <w:t>2004</w:t>
      </w:r>
      <w:r w:rsidRPr="00BD06A0">
        <w:rPr>
          <w:rFonts w:hint="eastAsia"/>
        </w:rPr>
        <w:t>年颁布，设立一家信托基金，开办日间照料中心，提供对老年人的日间照料、护理和其他服务，普遍促进老年人的福利。</w:t>
      </w:r>
    </w:p>
    <w:p w:rsidR="00BD06A0" w:rsidRPr="00BD06A0" w:rsidRDefault="00BD06A0" w:rsidP="00BD06A0">
      <w:pPr>
        <w:pStyle w:val="SingleTxtGC"/>
        <w:rPr>
          <w:rFonts w:hint="eastAsia"/>
        </w:rPr>
      </w:pPr>
      <w:r w:rsidRPr="00BD06A0">
        <w:rPr>
          <w:rFonts w:hint="eastAsia"/>
        </w:rPr>
        <w:t xml:space="preserve">119.  </w:t>
      </w:r>
      <w:r w:rsidRPr="00817CED">
        <w:rPr>
          <w:rFonts w:eastAsia="SimHei" w:hint="eastAsia"/>
        </w:rPr>
        <w:t>《保护老年人法》</w:t>
      </w:r>
      <w:r w:rsidRPr="00BD06A0">
        <w:rPr>
          <w:rFonts w:hint="eastAsia"/>
        </w:rPr>
        <w:t>2005</w:t>
      </w:r>
      <w:r w:rsidRPr="00BD06A0">
        <w:rPr>
          <w:rFonts w:hint="eastAsia"/>
        </w:rPr>
        <w:t>年通过；该法的目标是建立法律和行政框架，确保向毛里求斯和罗德里格斯岛的老年人提供适当保护和援助。该法规定创立下列体制机构，以确保、促进和维持对老年人的身体、心理、情感、社会、文化和经济保护：</w:t>
      </w:r>
    </w:p>
    <w:p w:rsidR="00BD06A0" w:rsidRPr="00BD06A0" w:rsidRDefault="00BD06A0" w:rsidP="008F6E2A">
      <w:pPr>
        <w:pStyle w:val="Bullet1GC"/>
        <w:rPr>
          <w:rFonts w:hint="eastAsia"/>
        </w:rPr>
      </w:pPr>
      <w:r w:rsidRPr="00BD06A0">
        <w:rPr>
          <w:rFonts w:hint="eastAsia"/>
        </w:rPr>
        <w:t>保护老年人网络；</w:t>
      </w:r>
    </w:p>
    <w:p w:rsidR="00BD06A0" w:rsidRPr="00BD06A0" w:rsidRDefault="00BD06A0" w:rsidP="008F6E2A">
      <w:pPr>
        <w:pStyle w:val="Bullet1GC"/>
        <w:rPr>
          <w:rFonts w:hint="eastAsia"/>
        </w:rPr>
      </w:pPr>
      <w:r w:rsidRPr="00BD06A0">
        <w:rPr>
          <w:rFonts w:hint="eastAsia"/>
        </w:rPr>
        <w:t>老年人问题监测委员会；</w:t>
      </w:r>
    </w:p>
    <w:p w:rsidR="00BD06A0" w:rsidRPr="00BD06A0" w:rsidRDefault="00BD06A0" w:rsidP="008F6E2A">
      <w:pPr>
        <w:pStyle w:val="Bullet1GC"/>
        <w:rPr>
          <w:rFonts w:hint="eastAsia"/>
        </w:rPr>
      </w:pPr>
      <w:r w:rsidRPr="00BD06A0">
        <w:rPr>
          <w:rFonts w:hint="eastAsia"/>
        </w:rPr>
        <w:t>老年人保护股；</w:t>
      </w:r>
    </w:p>
    <w:p w:rsidR="00BD06A0" w:rsidRPr="00BD06A0" w:rsidRDefault="00BD06A0" w:rsidP="008F6E2A">
      <w:pPr>
        <w:pStyle w:val="Bullet1GC"/>
        <w:rPr>
          <w:rFonts w:hint="eastAsia"/>
        </w:rPr>
      </w:pPr>
      <w:r w:rsidRPr="00BD06A0">
        <w:rPr>
          <w:rFonts w:hint="eastAsia"/>
        </w:rPr>
        <w:t>毛里求斯不同地区的老年人观察站。</w:t>
      </w:r>
    </w:p>
    <w:p w:rsidR="00BD06A0" w:rsidRPr="00BD06A0" w:rsidRDefault="00CD4EEC" w:rsidP="00CD4EEC">
      <w:pPr>
        <w:pStyle w:val="H23GC"/>
        <w:rPr>
          <w:rFonts w:hint="eastAsia"/>
        </w:rPr>
      </w:pPr>
      <w:r>
        <w:rPr>
          <w:rFonts w:hint="eastAsia"/>
          <w:b/>
        </w:rPr>
        <w:tab/>
      </w:r>
      <w:r>
        <w:rPr>
          <w:rFonts w:hint="eastAsia"/>
          <w:b/>
        </w:rPr>
        <w:tab/>
      </w:r>
      <w:r w:rsidR="00BD06A0" w:rsidRPr="00377671">
        <w:rPr>
          <w:rFonts w:hint="eastAsia"/>
        </w:rPr>
        <w:t>Lois Lagesse</w:t>
      </w:r>
      <w:r w:rsidR="00BD06A0" w:rsidRPr="00BD06A0">
        <w:rPr>
          <w:rFonts w:hint="eastAsia"/>
        </w:rPr>
        <w:t>信托基金和毛里求斯盲人联盟</w:t>
      </w:r>
    </w:p>
    <w:p w:rsidR="00BD06A0" w:rsidRPr="00BD06A0" w:rsidRDefault="00BD06A0" w:rsidP="00BD06A0">
      <w:pPr>
        <w:pStyle w:val="SingleTxtGC"/>
        <w:rPr>
          <w:rFonts w:hint="eastAsia"/>
        </w:rPr>
      </w:pPr>
      <w:r w:rsidRPr="00BD06A0">
        <w:rPr>
          <w:rFonts w:hint="eastAsia"/>
        </w:rPr>
        <w:t>120.  Lois Lagesse</w:t>
      </w:r>
      <w:r w:rsidRPr="00BD06A0">
        <w:rPr>
          <w:rFonts w:hint="eastAsia"/>
        </w:rPr>
        <w:t>信托基金和毛里求斯盲人联盟规定培训毛里求斯的残疾人。</w:t>
      </w:r>
      <w:r w:rsidRPr="00BD06A0">
        <w:rPr>
          <w:rFonts w:hint="eastAsia"/>
        </w:rPr>
        <w:t>Lois Lagesse</w:t>
      </w:r>
      <w:r w:rsidRPr="00BD06A0">
        <w:rPr>
          <w:rFonts w:hint="eastAsia"/>
        </w:rPr>
        <w:t>信托基金服务于毛里求斯的视力残障者。其主要目标是为他们提供教育、培训和就业。它开办一所小学和一家幼儿园，并推行一项方案，通过家访确认残疾人，帮助他们恢复正常生活。它提供设备和盲人行动辅助工具</w:t>
      </w:r>
      <w:r w:rsidRPr="00BD06A0">
        <w:rPr>
          <w:rFonts w:hint="eastAsia"/>
        </w:rPr>
        <w:t>(</w:t>
      </w:r>
      <w:r w:rsidRPr="00BD06A0">
        <w:rPr>
          <w:rFonts w:hint="eastAsia"/>
        </w:rPr>
        <w:t>白手杖</w:t>
      </w:r>
      <w:r w:rsidRPr="00BD06A0">
        <w:rPr>
          <w:rFonts w:hint="eastAsia"/>
        </w:rPr>
        <w:t>)</w:t>
      </w:r>
      <w:r w:rsidRPr="00BD06A0">
        <w:rPr>
          <w:rFonts w:hint="eastAsia"/>
        </w:rPr>
        <w:t>。它开办一家室内工场，雇佣视力残障者编筐和制作手杖。其他服务包括行动和定向培训、指导或咨询、工作安置、家访和语音图书馆。它还管理一所视力损害问题资源中心。</w:t>
      </w:r>
    </w:p>
    <w:p w:rsidR="00BD06A0" w:rsidRPr="00BD06A0" w:rsidRDefault="00BD06A0" w:rsidP="00BD06A0">
      <w:pPr>
        <w:pStyle w:val="SingleTxtGC"/>
        <w:rPr>
          <w:rFonts w:hint="eastAsia"/>
        </w:rPr>
      </w:pPr>
      <w:r w:rsidRPr="00BD06A0">
        <w:rPr>
          <w:rFonts w:hint="eastAsia"/>
        </w:rPr>
        <w:t xml:space="preserve">121.  </w:t>
      </w:r>
      <w:r w:rsidRPr="00BD06A0">
        <w:rPr>
          <w:rFonts w:hint="eastAsia"/>
        </w:rPr>
        <w:t>毛里求斯盲人协会为视力残障者开办了一所学校。它还在正规学校中开设了教学单元，帮助视力受损儿童和成人通过行动、定向、日常生活技能和教育培训融入社会。该协会还从事体育和文化活动。</w:t>
      </w:r>
    </w:p>
    <w:p w:rsidR="00BD06A0" w:rsidRPr="00BD06A0" w:rsidRDefault="00D0721D" w:rsidP="00D0721D">
      <w:pPr>
        <w:pStyle w:val="H23GC"/>
        <w:rPr>
          <w:rFonts w:hint="eastAsia"/>
        </w:rPr>
      </w:pPr>
      <w:r>
        <w:rPr>
          <w:rFonts w:hint="eastAsia"/>
        </w:rPr>
        <w:tab/>
      </w:r>
      <w:r>
        <w:rPr>
          <w:rFonts w:hint="eastAsia"/>
        </w:rPr>
        <w:tab/>
      </w:r>
      <w:r w:rsidR="00BD06A0" w:rsidRPr="00BD06A0">
        <w:rPr>
          <w:rFonts w:hint="eastAsia"/>
        </w:rPr>
        <w:t>一般政策</w:t>
      </w:r>
    </w:p>
    <w:p w:rsidR="00BD06A0" w:rsidRPr="00BD06A0" w:rsidRDefault="00BD06A0" w:rsidP="00BD06A0">
      <w:pPr>
        <w:pStyle w:val="SingleTxtGC"/>
        <w:rPr>
          <w:rFonts w:hint="eastAsia"/>
        </w:rPr>
      </w:pPr>
      <w:r w:rsidRPr="00BD06A0">
        <w:rPr>
          <w:rFonts w:hint="eastAsia"/>
        </w:rPr>
        <w:t xml:space="preserve">122.  </w:t>
      </w:r>
      <w:r w:rsidRPr="00BD06A0">
        <w:rPr>
          <w:rFonts w:hint="eastAsia"/>
        </w:rPr>
        <w:t>社会保障和民族团结部还为慈善机构的</w:t>
      </w:r>
      <w:r w:rsidR="00215753">
        <w:rPr>
          <w:rFonts w:hint="eastAsia"/>
        </w:rPr>
        <w:t>5,</w:t>
      </w:r>
      <w:r w:rsidRPr="00BD06A0">
        <w:rPr>
          <w:rFonts w:hint="eastAsia"/>
        </w:rPr>
        <w:t>000</w:t>
      </w:r>
      <w:r w:rsidRPr="00BD06A0">
        <w:rPr>
          <w:rFonts w:hint="eastAsia"/>
        </w:rPr>
        <w:t>名被收容者、专门学校的残疾儿童和</w:t>
      </w:r>
      <w:r w:rsidRPr="00BD06A0">
        <w:rPr>
          <w:rFonts w:hint="eastAsia"/>
        </w:rPr>
        <w:t>90</w:t>
      </w:r>
      <w:r w:rsidRPr="00BD06A0">
        <w:rPr>
          <w:rFonts w:hint="eastAsia"/>
        </w:rPr>
        <w:t>岁及以上的老年人提供了流感免疫接种。此外，今年，</w:t>
      </w:r>
      <w:r w:rsidRPr="00BD06A0">
        <w:rPr>
          <w:rFonts w:hint="eastAsia"/>
        </w:rPr>
        <w:t>65</w:t>
      </w:r>
      <w:r w:rsidRPr="00BD06A0">
        <w:rPr>
          <w:rFonts w:hint="eastAsia"/>
        </w:rPr>
        <w:t>岁以上者也将接受免疫接种。为此，该部采购了</w:t>
      </w:r>
      <w:r w:rsidRPr="00BD06A0">
        <w:rPr>
          <w:rFonts w:hint="eastAsia"/>
        </w:rPr>
        <w:t>4</w:t>
      </w:r>
      <w:r w:rsidR="00215753">
        <w:rPr>
          <w:rFonts w:hint="eastAsia"/>
        </w:rPr>
        <w:t>5,</w:t>
      </w:r>
      <w:r w:rsidRPr="00BD06A0">
        <w:rPr>
          <w:rFonts w:hint="eastAsia"/>
        </w:rPr>
        <w:t>000</w:t>
      </w:r>
      <w:r w:rsidRPr="00BD06A0">
        <w:rPr>
          <w:rFonts w:hint="eastAsia"/>
        </w:rPr>
        <w:t>剂疫苗。</w:t>
      </w:r>
    </w:p>
    <w:p w:rsidR="00BD06A0" w:rsidRPr="00BD06A0" w:rsidRDefault="00BD06A0" w:rsidP="00BD06A0">
      <w:pPr>
        <w:pStyle w:val="SingleTxtGC"/>
        <w:rPr>
          <w:rFonts w:hint="eastAsia"/>
        </w:rPr>
      </w:pPr>
      <w:r w:rsidRPr="00BD06A0">
        <w:rPr>
          <w:rFonts w:hint="eastAsia"/>
        </w:rPr>
        <w:t xml:space="preserve">123.  </w:t>
      </w:r>
      <w:r w:rsidRPr="00BD06A0">
        <w:rPr>
          <w:rFonts w:hint="eastAsia"/>
        </w:rPr>
        <w:t>根据《</w:t>
      </w:r>
      <w:r w:rsidRPr="00BD06A0">
        <w:rPr>
          <w:rFonts w:hint="eastAsia"/>
        </w:rPr>
        <w:t>2005-2010</w:t>
      </w:r>
      <w:r w:rsidRPr="00BD06A0">
        <w:rPr>
          <w:rFonts w:hint="eastAsia"/>
        </w:rPr>
        <w:t>年政府方案》，政府的目标之一是弘扬包容性社会的概念，使残疾人可以更好地融入社会主流。为实现这一目标，政府在采取一系列措施。</w:t>
      </w:r>
    </w:p>
    <w:p w:rsidR="00BD06A0" w:rsidRPr="00BD06A0" w:rsidRDefault="00FA4DAD" w:rsidP="00FA4DAD">
      <w:pPr>
        <w:pStyle w:val="H4GC"/>
        <w:rPr>
          <w:rFonts w:hint="eastAsia"/>
        </w:rPr>
      </w:pPr>
      <w:r>
        <w:rPr>
          <w:rFonts w:hint="eastAsia"/>
        </w:rPr>
        <w:tab/>
      </w:r>
      <w:r>
        <w:rPr>
          <w:rFonts w:hint="eastAsia"/>
        </w:rPr>
        <w:tab/>
      </w:r>
      <w:r w:rsidR="00BD06A0" w:rsidRPr="00BD06A0">
        <w:rPr>
          <w:rFonts w:hint="eastAsia"/>
        </w:rPr>
        <w:t>养老金和补贴</w:t>
      </w:r>
    </w:p>
    <w:p w:rsidR="00BD06A0" w:rsidRPr="00BD06A0" w:rsidRDefault="00BD06A0" w:rsidP="00BD06A0">
      <w:pPr>
        <w:pStyle w:val="SingleTxtGC"/>
        <w:rPr>
          <w:rFonts w:hint="eastAsia"/>
        </w:rPr>
      </w:pPr>
      <w:r w:rsidRPr="00BD06A0">
        <w:rPr>
          <w:rFonts w:hint="eastAsia"/>
        </w:rPr>
        <w:t xml:space="preserve">124.  </w:t>
      </w:r>
      <w:r w:rsidRPr="00BD06A0">
        <w:rPr>
          <w:rFonts w:hint="eastAsia"/>
        </w:rPr>
        <w:t>联合国《残疾人机会平等准则》规定各国确保向残疾人提供适当的收入支持，据此，残疾人可以获得一系列养老金和补贴。其中包括丧失工作能力基本养老金、适当情况下的社会补助以及对严重残疾者的护工补助。</w:t>
      </w:r>
    </w:p>
    <w:p w:rsidR="00BD06A0" w:rsidRPr="00BD06A0" w:rsidRDefault="000A401A" w:rsidP="000A401A">
      <w:pPr>
        <w:pStyle w:val="H4GC"/>
        <w:rPr>
          <w:rFonts w:hint="eastAsia"/>
        </w:rPr>
      </w:pPr>
      <w:r>
        <w:rPr>
          <w:rFonts w:hint="eastAsia"/>
        </w:rPr>
        <w:tab/>
      </w:r>
      <w:r>
        <w:rPr>
          <w:rFonts w:hint="eastAsia"/>
        </w:rPr>
        <w:tab/>
      </w:r>
      <w:r w:rsidR="00BD06A0" w:rsidRPr="00BD06A0">
        <w:rPr>
          <w:rFonts w:hint="eastAsia"/>
        </w:rPr>
        <w:t>辅助性器材</w:t>
      </w:r>
    </w:p>
    <w:p w:rsidR="00BD06A0" w:rsidRPr="00BD06A0" w:rsidRDefault="00BD06A0" w:rsidP="00BD06A0">
      <w:pPr>
        <w:pStyle w:val="SingleTxtGC"/>
        <w:rPr>
          <w:rFonts w:hint="eastAsia"/>
        </w:rPr>
      </w:pPr>
      <w:r w:rsidRPr="00BD06A0">
        <w:rPr>
          <w:rFonts w:hint="eastAsia"/>
        </w:rPr>
        <w:t xml:space="preserve">125.  </w:t>
      </w:r>
      <w:r w:rsidRPr="00BD06A0">
        <w:rPr>
          <w:rFonts w:hint="eastAsia"/>
        </w:rPr>
        <w:t>为提高残疾人的行动能力，我们向有此需要的人提供一系列器材，例如轮椅和助听器。</w:t>
      </w:r>
    </w:p>
    <w:p w:rsidR="00BD06A0" w:rsidRPr="00BD06A0" w:rsidRDefault="002F6D41" w:rsidP="002F6D41">
      <w:pPr>
        <w:pStyle w:val="H4GC"/>
        <w:rPr>
          <w:rFonts w:hint="eastAsia"/>
        </w:rPr>
      </w:pPr>
      <w:r>
        <w:rPr>
          <w:rFonts w:hint="eastAsia"/>
        </w:rPr>
        <w:tab/>
      </w:r>
      <w:r>
        <w:rPr>
          <w:rFonts w:hint="eastAsia"/>
        </w:rPr>
        <w:tab/>
      </w:r>
      <w:r w:rsidR="00BD06A0" w:rsidRPr="00BD06A0">
        <w:rPr>
          <w:rFonts w:hint="eastAsia"/>
        </w:rPr>
        <w:t>教育</w:t>
      </w:r>
    </w:p>
    <w:p w:rsidR="00BD06A0" w:rsidRPr="00BD06A0" w:rsidRDefault="00BD06A0" w:rsidP="00BD06A0">
      <w:pPr>
        <w:pStyle w:val="SingleTxtGC"/>
        <w:rPr>
          <w:rFonts w:hint="eastAsia"/>
        </w:rPr>
      </w:pPr>
      <w:r w:rsidRPr="00BD06A0">
        <w:rPr>
          <w:rFonts w:hint="eastAsia"/>
        </w:rPr>
        <w:t xml:space="preserve">126.  </w:t>
      </w:r>
      <w:r w:rsidRPr="00BD06A0">
        <w:rPr>
          <w:rFonts w:hint="eastAsia"/>
        </w:rPr>
        <w:t>为建立包容社会，残疾儿童必须接受与非残疾儿童同等的教育。</w:t>
      </w:r>
    </w:p>
    <w:p w:rsidR="00BD06A0" w:rsidRPr="00BD06A0" w:rsidRDefault="00BD06A0" w:rsidP="00D10C16">
      <w:pPr>
        <w:pStyle w:val="SingleTxtGC"/>
        <w:spacing w:after="60"/>
        <w:rPr>
          <w:rFonts w:hint="eastAsia"/>
        </w:rPr>
      </w:pPr>
      <w:r w:rsidRPr="00BD06A0">
        <w:rPr>
          <w:rFonts w:hint="eastAsia"/>
        </w:rPr>
        <w:t xml:space="preserve">127.  </w:t>
      </w:r>
      <w:r w:rsidRPr="00BD06A0">
        <w:rPr>
          <w:rFonts w:hint="eastAsia"/>
        </w:rPr>
        <w:t>在这一方面，教育和人力资源部制定了《包容性教育战略文件》。主流学校在作出努力，接纳越来越多的残疾儿童。</w:t>
      </w:r>
    </w:p>
    <w:p w:rsidR="00BD06A0" w:rsidRPr="00BD06A0" w:rsidRDefault="00BD06A0" w:rsidP="00D10C16">
      <w:pPr>
        <w:pStyle w:val="SingleTxtGC"/>
        <w:spacing w:after="60"/>
        <w:rPr>
          <w:rFonts w:hint="eastAsia"/>
        </w:rPr>
      </w:pPr>
      <w:r w:rsidRPr="00BD06A0">
        <w:rPr>
          <w:rFonts w:hint="eastAsia"/>
        </w:rPr>
        <w:t xml:space="preserve">128.  </w:t>
      </w:r>
      <w:r w:rsidRPr="00BD06A0">
        <w:rPr>
          <w:rFonts w:hint="eastAsia"/>
        </w:rPr>
        <w:t>社会保障部向进入初中和高中学习的残疾儿童提供了奖励。例如，他们可受益于称为</w:t>
      </w:r>
      <w:r w:rsidRPr="00BD06A0">
        <w:t>François Sockalingum</w:t>
      </w:r>
      <w:r w:rsidRPr="00BD06A0">
        <w:rPr>
          <w:rFonts w:hint="eastAsia"/>
        </w:rPr>
        <w:t>奖的奖学金计划。</w:t>
      </w:r>
    </w:p>
    <w:p w:rsidR="00BD06A0" w:rsidRPr="00BD06A0" w:rsidRDefault="00BD06A0" w:rsidP="00D10C16">
      <w:pPr>
        <w:pStyle w:val="SingleTxtGC"/>
        <w:spacing w:after="60"/>
        <w:rPr>
          <w:rFonts w:hint="eastAsia"/>
        </w:rPr>
      </w:pPr>
      <w:r w:rsidRPr="00BD06A0">
        <w:rPr>
          <w:rFonts w:hint="eastAsia"/>
        </w:rPr>
        <w:t xml:space="preserve">129.  </w:t>
      </w:r>
      <w:r w:rsidRPr="00BD06A0">
        <w:rPr>
          <w:rFonts w:hint="eastAsia"/>
        </w:rPr>
        <w:t>此外，为鼓励父母送残疾儿童上学，这些儿童如果使用特殊的交通工具，将向他们返还汽车费。如果需要人陪伴，陪伴他们的家长的汽车费同样返还。使用普通交通工具的残疾儿童，可领取免费车票。</w:t>
      </w:r>
    </w:p>
    <w:p w:rsidR="00BD06A0" w:rsidRPr="00BD06A0" w:rsidRDefault="00BD06A0" w:rsidP="00D10C16">
      <w:pPr>
        <w:pStyle w:val="SingleTxtGC"/>
        <w:spacing w:after="60"/>
        <w:rPr>
          <w:rFonts w:hint="eastAsia"/>
        </w:rPr>
      </w:pPr>
      <w:r w:rsidRPr="00BD06A0">
        <w:rPr>
          <w:rFonts w:hint="eastAsia"/>
        </w:rPr>
        <w:t xml:space="preserve">130.  </w:t>
      </w:r>
      <w:r w:rsidRPr="00BD06A0">
        <w:rPr>
          <w:rFonts w:hint="eastAsia"/>
        </w:rPr>
        <w:t>目标是使最大数量的残疾儿童进入主流教育机构学习。严重残疾儿童将继续在非政府组织开办的专门学校中就学。</w:t>
      </w:r>
    </w:p>
    <w:p w:rsidR="00BD06A0" w:rsidRPr="00BD06A0" w:rsidRDefault="002066E4" w:rsidP="00D10C16">
      <w:pPr>
        <w:pStyle w:val="H4GC"/>
        <w:spacing w:after="60"/>
        <w:rPr>
          <w:rFonts w:hint="eastAsia"/>
        </w:rPr>
      </w:pPr>
      <w:r>
        <w:rPr>
          <w:rFonts w:hint="eastAsia"/>
        </w:rPr>
        <w:tab/>
      </w:r>
      <w:r>
        <w:rPr>
          <w:rFonts w:hint="eastAsia"/>
        </w:rPr>
        <w:tab/>
      </w:r>
      <w:r w:rsidR="00BD06A0" w:rsidRPr="00BD06A0">
        <w:rPr>
          <w:rFonts w:hint="eastAsia"/>
        </w:rPr>
        <w:t>培训和就业</w:t>
      </w:r>
    </w:p>
    <w:p w:rsidR="00BD06A0" w:rsidRPr="00BD06A0" w:rsidRDefault="00BD06A0" w:rsidP="00D10C16">
      <w:pPr>
        <w:pStyle w:val="SingleTxtGC"/>
        <w:spacing w:after="60"/>
        <w:rPr>
          <w:rFonts w:hint="eastAsia"/>
        </w:rPr>
      </w:pPr>
      <w:r w:rsidRPr="00BD06A0">
        <w:rPr>
          <w:rFonts w:hint="eastAsia"/>
        </w:rPr>
        <w:t xml:space="preserve">131.  </w:t>
      </w:r>
      <w:r w:rsidRPr="00BD06A0">
        <w:rPr>
          <w:rFonts w:hint="eastAsia"/>
        </w:rPr>
        <w:t>政府政策的一个基石是赋予残疾人权利。这样做的一个方式是对残疾人进行高质量培训，使他们可以进入劳动市场，加入职业圈。这就有助于他们自力更生。他们可以谋生，过上独立生活。</w:t>
      </w:r>
    </w:p>
    <w:p w:rsidR="00BD06A0" w:rsidRPr="00BD06A0" w:rsidRDefault="00BD06A0" w:rsidP="00D10C16">
      <w:pPr>
        <w:pStyle w:val="SingleTxtGC"/>
        <w:spacing w:after="60"/>
        <w:rPr>
          <w:rFonts w:hint="eastAsia"/>
        </w:rPr>
      </w:pPr>
      <w:r w:rsidRPr="00BD06A0">
        <w:rPr>
          <w:rFonts w:hint="eastAsia"/>
        </w:rPr>
        <w:t xml:space="preserve">132.  </w:t>
      </w:r>
      <w:r w:rsidRPr="00BD06A0">
        <w:rPr>
          <w:rFonts w:hint="eastAsia"/>
        </w:rPr>
        <w:t>在这一方面，残疾人培训和就业委员会与工业、职业和培训委员会之间签署了《谅解备忘录》。后者同意向残疾人开放培训机构，使残疾人能够得到与非残疾人同样的培训。他们将向雇主进行宣传，使之认识到向受过培训的残疾人提供就业机会的必要性。</w:t>
      </w:r>
    </w:p>
    <w:p w:rsidR="00BD06A0" w:rsidRPr="00BD06A0" w:rsidRDefault="00BD06A0" w:rsidP="00D10C16">
      <w:pPr>
        <w:pStyle w:val="SingleTxtGC"/>
        <w:spacing w:after="60"/>
        <w:rPr>
          <w:rFonts w:hint="eastAsia"/>
        </w:rPr>
      </w:pPr>
      <w:r w:rsidRPr="00BD06A0">
        <w:rPr>
          <w:rFonts w:hint="eastAsia"/>
        </w:rPr>
        <w:t xml:space="preserve">133.  </w:t>
      </w:r>
      <w:r w:rsidRPr="00BD06A0">
        <w:rPr>
          <w:rFonts w:hint="eastAsia"/>
        </w:rPr>
        <w:t>公务方面也在采取步骤，使之更便利于残疾人。</w:t>
      </w:r>
    </w:p>
    <w:p w:rsidR="00BD06A0" w:rsidRPr="00BD06A0" w:rsidRDefault="00BD06A0" w:rsidP="00D10C16">
      <w:pPr>
        <w:pStyle w:val="SingleTxtGC"/>
        <w:spacing w:after="60"/>
        <w:rPr>
          <w:rFonts w:hint="eastAsia"/>
        </w:rPr>
      </w:pPr>
      <w:r w:rsidRPr="00BD06A0">
        <w:rPr>
          <w:rFonts w:hint="eastAsia"/>
        </w:rPr>
        <w:t xml:space="preserve">134.  </w:t>
      </w:r>
      <w:r w:rsidRPr="00BD06A0">
        <w:rPr>
          <w:rFonts w:hint="eastAsia"/>
        </w:rPr>
        <w:t>另外还将提供小额信贷设施，鼓励残疾人自谋职业。</w:t>
      </w:r>
    </w:p>
    <w:p w:rsidR="00BD06A0" w:rsidRPr="00BD06A0" w:rsidRDefault="000D4217" w:rsidP="00D10C16">
      <w:pPr>
        <w:pStyle w:val="H4GC"/>
        <w:spacing w:after="60"/>
        <w:rPr>
          <w:rFonts w:hint="eastAsia"/>
        </w:rPr>
      </w:pPr>
      <w:r>
        <w:rPr>
          <w:rFonts w:hint="eastAsia"/>
        </w:rPr>
        <w:tab/>
      </w:r>
      <w:r>
        <w:rPr>
          <w:rFonts w:hint="eastAsia"/>
        </w:rPr>
        <w:tab/>
      </w:r>
      <w:r w:rsidR="00BD06A0" w:rsidRPr="00BD06A0">
        <w:rPr>
          <w:rFonts w:hint="eastAsia"/>
        </w:rPr>
        <w:t>无障碍性</w:t>
      </w:r>
    </w:p>
    <w:p w:rsidR="00BD06A0" w:rsidRPr="00BD06A0" w:rsidRDefault="00BD06A0" w:rsidP="00D10C16">
      <w:pPr>
        <w:pStyle w:val="SingleTxtGC"/>
        <w:spacing w:after="60"/>
        <w:rPr>
          <w:rFonts w:hint="eastAsia"/>
        </w:rPr>
      </w:pPr>
      <w:r w:rsidRPr="00BD06A0">
        <w:rPr>
          <w:rFonts w:hint="eastAsia"/>
        </w:rPr>
        <w:t xml:space="preserve">135.  </w:t>
      </w:r>
      <w:r w:rsidRPr="00BD06A0">
        <w:rPr>
          <w:rFonts w:hint="eastAsia"/>
        </w:rPr>
        <w:t>如果不能实现公共建筑和场所对残疾人的无障碍性，则社会融入不可能行之有效。</w:t>
      </w:r>
    </w:p>
    <w:p w:rsidR="00BD06A0" w:rsidRPr="00BD06A0" w:rsidRDefault="00BD06A0" w:rsidP="00D10C16">
      <w:pPr>
        <w:pStyle w:val="SingleTxtGC"/>
        <w:spacing w:after="60"/>
        <w:rPr>
          <w:rFonts w:hint="eastAsia"/>
        </w:rPr>
      </w:pPr>
      <w:r w:rsidRPr="00BD06A0">
        <w:rPr>
          <w:rFonts w:hint="eastAsia"/>
        </w:rPr>
        <w:t xml:space="preserve">136.  </w:t>
      </w:r>
      <w:r w:rsidRPr="00BD06A0">
        <w:rPr>
          <w:rFonts w:hint="eastAsia"/>
        </w:rPr>
        <w:t>在这一方面，根据《建筑法》发布了条例，规定新的公共建筑对残疾人必须无障碍。很快将举办讲习班，加强所有有关专业人员对这些条例的认识。</w:t>
      </w:r>
    </w:p>
    <w:p w:rsidR="00BD06A0" w:rsidRPr="00BD06A0" w:rsidRDefault="00BD06A0" w:rsidP="00D10C16">
      <w:pPr>
        <w:pStyle w:val="SingleTxtGC"/>
        <w:spacing w:after="60"/>
        <w:rPr>
          <w:rFonts w:hint="eastAsia"/>
        </w:rPr>
      </w:pPr>
      <w:r w:rsidRPr="00BD06A0">
        <w:rPr>
          <w:rFonts w:hint="eastAsia"/>
        </w:rPr>
        <w:t xml:space="preserve">137.  </w:t>
      </w:r>
      <w:r w:rsidRPr="00BD06A0">
        <w:rPr>
          <w:rFonts w:hint="eastAsia"/>
        </w:rPr>
        <w:t>对有关条例将作必要修正，以进一步实现道路和人行道对残疾人的无障碍性。</w:t>
      </w:r>
    </w:p>
    <w:p w:rsidR="00BD06A0" w:rsidRPr="00BD06A0" w:rsidRDefault="00BD06A0" w:rsidP="00D10C16">
      <w:pPr>
        <w:pStyle w:val="SingleTxtGC"/>
        <w:spacing w:after="60"/>
        <w:rPr>
          <w:rFonts w:hint="eastAsia"/>
        </w:rPr>
      </w:pPr>
      <w:r w:rsidRPr="00BD06A0">
        <w:rPr>
          <w:rFonts w:hint="eastAsia"/>
        </w:rPr>
        <w:t xml:space="preserve">138.  </w:t>
      </w:r>
      <w:r w:rsidRPr="00BD06A0">
        <w:rPr>
          <w:rFonts w:hint="eastAsia"/>
        </w:rPr>
        <w:t>无障碍性还意味着获取信息无障碍，为此而在创建一套毛里求斯手语。电视台使用手语为耳聋公民播送新闻。</w:t>
      </w:r>
    </w:p>
    <w:p w:rsidR="00BD06A0" w:rsidRPr="00BD06A0" w:rsidRDefault="008B3CBC" w:rsidP="00D10C16">
      <w:pPr>
        <w:pStyle w:val="H4GC"/>
        <w:spacing w:after="60"/>
        <w:rPr>
          <w:rFonts w:hint="eastAsia"/>
        </w:rPr>
      </w:pPr>
      <w:r>
        <w:rPr>
          <w:rFonts w:hint="eastAsia"/>
        </w:rPr>
        <w:tab/>
      </w:r>
      <w:r>
        <w:rPr>
          <w:rFonts w:hint="eastAsia"/>
        </w:rPr>
        <w:tab/>
      </w:r>
      <w:r w:rsidR="00BD06A0" w:rsidRPr="00BD06A0">
        <w:rPr>
          <w:rFonts w:hint="eastAsia"/>
        </w:rPr>
        <w:t>体育、文化和休闲</w:t>
      </w:r>
    </w:p>
    <w:p w:rsidR="00BD06A0" w:rsidRPr="00BD06A0" w:rsidRDefault="00BD06A0" w:rsidP="00D10C16">
      <w:pPr>
        <w:pStyle w:val="SingleTxtGC"/>
        <w:spacing w:after="60"/>
        <w:rPr>
          <w:rFonts w:hint="eastAsia"/>
        </w:rPr>
      </w:pPr>
      <w:r w:rsidRPr="00BD06A0">
        <w:rPr>
          <w:rFonts w:hint="eastAsia"/>
        </w:rPr>
        <w:t xml:space="preserve">139.  </w:t>
      </w:r>
      <w:r w:rsidRPr="00BD06A0">
        <w:rPr>
          <w:rFonts w:hint="eastAsia"/>
        </w:rPr>
        <w:t>残疾人的才能必须开发，因此已建议建立国家残疾人艺术团。</w:t>
      </w:r>
    </w:p>
    <w:p w:rsidR="00BD06A0" w:rsidRPr="00BD06A0" w:rsidRDefault="00BD06A0" w:rsidP="00D10C16">
      <w:pPr>
        <w:pStyle w:val="SingleTxtGC"/>
        <w:spacing w:after="60"/>
        <w:rPr>
          <w:rFonts w:hint="eastAsia"/>
        </w:rPr>
      </w:pPr>
      <w:r w:rsidRPr="00BD06A0">
        <w:rPr>
          <w:rFonts w:hint="eastAsia"/>
        </w:rPr>
        <w:t xml:space="preserve">140.  </w:t>
      </w:r>
      <w:r w:rsidRPr="00BD06A0">
        <w:rPr>
          <w:rFonts w:hint="eastAsia"/>
        </w:rPr>
        <w:t>残疾人还应有机会参加休闲活动。在这一方面，除了休假营地外，旅馆、公园、商业中心也将推行针对残疾人的专门方案。还将与旅游和休闲部合作开展活动。</w:t>
      </w:r>
    </w:p>
    <w:p w:rsidR="00AC0986" w:rsidRPr="002D6A9C" w:rsidRDefault="00AC098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AC0986" w:rsidRPr="002D6A9C">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949" w:rsidRPr="00E017BC" w:rsidRDefault="00BE2949" w:rsidP="00E017BC">
      <w:pPr>
        <w:spacing w:after="240"/>
        <w:ind w:left="907"/>
        <w:rPr>
          <w:rFonts w:eastAsia="KaiTi_GB2312" w:hint="eastAsia"/>
          <w:szCs w:val="21"/>
        </w:rPr>
      </w:pPr>
      <w:r>
        <w:rPr>
          <w:rFonts w:eastAsia="KaiTi_GB2312" w:hint="eastAsia"/>
          <w:szCs w:val="21"/>
        </w:rPr>
        <w:t>注</w:t>
      </w:r>
    </w:p>
  </w:endnote>
  <w:endnote w:type="continuationSeparator" w:id="0">
    <w:p w:rsidR="00BE2949" w:rsidRPr="00E017BC" w:rsidRDefault="00BE2949" w:rsidP="00E01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长城粗隶书">
    <w:altName w:val="黑体"/>
    <w:charset w:val="86"/>
    <w:family w:val="modern"/>
    <w:pitch w:val="fixed"/>
    <w:sig w:usb0="00000001" w:usb1="080E0000" w:usb2="00000010" w:usb3="00000000" w:csb0="00040000" w:csb1="00000000"/>
  </w:font>
  <w:font w:name="长城楷体">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949" w:rsidRPr="00BD06A0" w:rsidRDefault="00BE2949">
    <w:pPr>
      <w:tabs>
        <w:tab w:val="right" w:pos="9639"/>
      </w:tabs>
      <w:rPr>
        <w:rStyle w:val="FooterChar1"/>
        <w:rFonts w:hint="eastAsia"/>
      </w:rPr>
    </w:pPr>
    <w:r>
      <w:rPr>
        <w:rStyle w:val="PageNumber"/>
      </w:rPr>
      <w:fldChar w:fldCharType="begin"/>
    </w:r>
    <w:r>
      <w:rPr>
        <w:rStyle w:val="PageNumber"/>
      </w:rPr>
      <w:instrText xml:space="preserve"> PAGE </w:instrText>
    </w:r>
    <w:r>
      <w:rPr>
        <w:rStyle w:val="PageNumber"/>
      </w:rPr>
      <w:fldChar w:fldCharType="separate"/>
    </w:r>
    <w:r w:rsidR="00846692">
      <w:rPr>
        <w:rStyle w:val="PageNumber"/>
        <w:noProof/>
      </w:rPr>
      <w:t>2</w:t>
    </w:r>
    <w:r>
      <w:rPr>
        <w:rStyle w:val="PageNumber"/>
      </w:rPr>
      <w:fldChar w:fldCharType="end"/>
    </w:r>
    <w:r>
      <w:rPr>
        <w:rStyle w:val="PageNumber"/>
        <w:rFonts w:hint="eastAsia"/>
      </w:rPr>
      <w:tab/>
    </w:r>
    <w:r>
      <w:rPr>
        <w:rStyle w:val="PageNumber"/>
        <w:rFonts w:hint="eastAsia"/>
      </w:rPr>
      <w:tab/>
    </w:r>
    <w:r w:rsidRPr="00BD06A0">
      <w:rPr>
        <w:rStyle w:val="FooterChar1"/>
      </w:rPr>
      <w:t>GE.10-41328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949" w:rsidRDefault="00BE2949">
    <w:pPr>
      <w:tabs>
        <w:tab w:val="right" w:pos="9639"/>
      </w:tabs>
    </w:pPr>
    <w:r w:rsidRPr="00BD06A0">
      <w:rPr>
        <w:rStyle w:val="FooterChar1"/>
      </w:rPr>
      <w:t>GE.10-41328</w:t>
    </w:r>
    <w:r>
      <w:tab/>
    </w:r>
    <w:r>
      <w:rPr>
        <w:rStyle w:val="PageNumber"/>
      </w:rPr>
      <w:fldChar w:fldCharType="begin"/>
    </w:r>
    <w:r>
      <w:rPr>
        <w:rStyle w:val="PageNumber"/>
      </w:rPr>
      <w:instrText xml:space="preserve"> PAGE </w:instrText>
    </w:r>
    <w:r>
      <w:rPr>
        <w:rStyle w:val="PageNumber"/>
      </w:rPr>
      <w:fldChar w:fldCharType="separate"/>
    </w:r>
    <w:r w:rsidR="00846692">
      <w:rPr>
        <w:rStyle w:val="PageNumber"/>
        <w:noProof/>
      </w:rPr>
      <w:t>19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949" w:rsidRPr="003B1317" w:rsidRDefault="00BE2949" w:rsidP="003B131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41328</w:t>
    </w:r>
    <w:r w:rsidRPr="00EE277A">
      <w:rPr>
        <w:rFonts w:eastAsia="SimSun"/>
        <w:sz w:val="20"/>
        <w:lang w:eastAsia="zh-CN"/>
      </w:rPr>
      <w:t xml:space="preserve"> (C)</w:t>
    </w:r>
    <w:r>
      <w:rPr>
        <w:rFonts w:eastAsia="SimSun"/>
        <w:sz w:val="20"/>
        <w:lang w:eastAsia="zh-CN"/>
      </w:rPr>
      <w:tab/>
    </w:r>
    <w:r w:rsidRPr="00EE277A">
      <w:rPr>
        <w:rFonts w:eastAsia="SimSun"/>
        <w:sz w:val="20"/>
        <w:lang w:eastAsia="zh-CN"/>
      </w:rPr>
      <w:t>0</w:t>
    </w:r>
    <w:r>
      <w:rPr>
        <w:rFonts w:eastAsia="SimSun" w:hint="eastAsia"/>
        <w:sz w:val="20"/>
        <w:lang w:eastAsia="zh-CN"/>
      </w:rPr>
      <w:t>3</w:t>
    </w:r>
    <w:r w:rsidRPr="00EE277A">
      <w:rPr>
        <w:rFonts w:eastAsia="SimSun"/>
        <w:sz w:val="20"/>
        <w:lang w:eastAsia="zh-CN"/>
      </w:rPr>
      <w:t>0</w:t>
    </w:r>
    <w:r>
      <w:rPr>
        <w:rFonts w:eastAsia="SimSun" w:hint="eastAsia"/>
        <w:sz w:val="20"/>
        <w:lang w:eastAsia="zh-CN"/>
      </w:rPr>
      <w:t>510</w:t>
    </w:r>
    <w:r>
      <w:rPr>
        <w:rFonts w:eastAsia="SimSun"/>
        <w:sz w:val="20"/>
        <w:lang w:eastAsia="zh-CN"/>
      </w:rPr>
      <w:tab/>
      <w:t>0</w:t>
    </w:r>
    <w:r>
      <w:rPr>
        <w:rFonts w:eastAsia="SimSun" w:hint="eastAsia"/>
        <w:sz w:val="20"/>
        <w:lang w:eastAsia="zh-CN"/>
      </w:rPr>
      <w:t>6</w:t>
    </w:r>
    <w:r>
      <w:rPr>
        <w:rFonts w:eastAsia="SimSun"/>
        <w:sz w:val="20"/>
        <w:lang w:eastAsia="zh-CN"/>
      </w:rPr>
      <w:t>0</w:t>
    </w:r>
    <w:r>
      <w:rPr>
        <w:rFonts w:eastAsia="SimSun" w:hint="eastAsia"/>
        <w:sz w:val="20"/>
        <w:lang w:eastAsia="zh-CN"/>
      </w:rPr>
      <w:t>510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949" w:rsidRDefault="00BE2949" w:rsidP="00641D07">
      <w:pPr>
        <w:tabs>
          <w:tab w:val="clear" w:pos="431"/>
          <w:tab w:val="right" w:pos="2155"/>
        </w:tabs>
        <w:spacing w:after="80" w:line="240" w:lineRule="atLeast"/>
        <w:ind w:left="680"/>
        <w:rPr>
          <w:rFonts w:hint="eastAsia"/>
          <w:u w:val="single"/>
        </w:rPr>
      </w:pPr>
      <w:r>
        <w:rPr>
          <w:rFonts w:hint="eastAsia"/>
          <w:u w:val="single"/>
        </w:rPr>
        <w:tab/>
      </w:r>
    </w:p>
  </w:footnote>
  <w:footnote w:type="continuationSeparator" w:id="0">
    <w:p w:rsidR="00BE2949" w:rsidRDefault="00BE2949" w:rsidP="00641D07">
      <w:pPr>
        <w:tabs>
          <w:tab w:val="clear" w:pos="431"/>
          <w:tab w:val="right" w:pos="2155"/>
        </w:tabs>
        <w:spacing w:after="80" w:line="240" w:lineRule="atLeast"/>
        <w:ind w:left="680"/>
        <w:rPr>
          <w:rFonts w:hint="eastAsia"/>
          <w:u w:val="single"/>
        </w:rPr>
      </w:pPr>
      <w:r>
        <w:rPr>
          <w:rFonts w:hint="eastAsia"/>
          <w:u w:val="single"/>
        </w:rPr>
        <w:tab/>
      </w:r>
    </w:p>
  </w:footnote>
  <w:footnote w:id="1">
    <w:p w:rsidR="00BE2949" w:rsidRPr="00B723D0" w:rsidRDefault="00BE2949" w:rsidP="00B723D0">
      <w:pPr>
        <w:pStyle w:val="EndnoteText"/>
        <w:rPr>
          <w:rFonts w:hint="eastAsia"/>
        </w:rPr>
      </w:pPr>
      <w:r>
        <w:rPr>
          <w:rFonts w:hint="eastAsia"/>
        </w:rPr>
        <w:tab/>
      </w:r>
      <w:r w:rsidRPr="00B723D0">
        <w:rPr>
          <w:rStyle w:val="FootnoteReference"/>
          <w:vertAlign w:val="baseline"/>
        </w:rPr>
        <w:t>*</w:t>
      </w:r>
      <w:r>
        <w:rPr>
          <w:rFonts w:hint="eastAsia"/>
        </w:rPr>
        <w:tab/>
      </w:r>
      <w:r w:rsidRPr="00B967CA">
        <w:rPr>
          <w:rFonts w:hint="eastAsia"/>
        </w:rPr>
        <w:t>根据向缔约国传递的其报告处理情况，本文件寄送联合国翻译处前未经编辑。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949" w:rsidRPr="00BD06A0" w:rsidRDefault="00BE2949">
    <w:pPr>
      <w:pStyle w:val="Header"/>
    </w:pPr>
    <w:r w:rsidRPr="00BD06A0">
      <w:t>HRI/CORE/MUS/2008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949" w:rsidRPr="00BD06A0" w:rsidRDefault="00BE2949">
    <w:pPr>
      <w:pStyle w:val="Header"/>
      <w:jc w:val="right"/>
    </w:pPr>
    <w:r w:rsidRPr="00BD06A0">
      <w:t>HRI/CORE/MUS/2008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949" w:rsidRDefault="00BE2949">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1493"/>
    <w:multiLevelType w:val="hybridMultilevel"/>
    <w:tmpl w:val="DB90E322"/>
    <w:lvl w:ilvl="0" w:tplc="568A487A">
      <w:start w:val="1"/>
      <w:numFmt w:val="decimal"/>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C4B4CC5"/>
    <w:multiLevelType w:val="hybridMultilevel"/>
    <w:tmpl w:val="BDDE63AC"/>
    <w:lvl w:ilvl="0" w:tplc="89FE3ED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EAB7A62"/>
    <w:multiLevelType w:val="hybridMultilevel"/>
    <w:tmpl w:val="2C4243FC"/>
    <w:lvl w:ilvl="0" w:tplc="CC3CCAFE">
      <w:start w:val="1"/>
      <w:numFmt w:val="decimal"/>
      <w:lvlRestart w:val="0"/>
      <w:lvlText w:val="(%1)"/>
      <w:lvlJc w:val="left"/>
      <w:pPr>
        <w:tabs>
          <w:tab w:val="num" w:pos="1292"/>
        </w:tabs>
        <w:ind w:left="0"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294"/>
        </w:tabs>
        <w:ind w:left="-294" w:hanging="420"/>
      </w:pPr>
    </w:lvl>
    <w:lvl w:ilvl="2" w:tplc="0409001B" w:tentative="1">
      <w:start w:val="1"/>
      <w:numFmt w:val="lowerRoman"/>
      <w:lvlText w:val="%3."/>
      <w:lvlJc w:val="right"/>
      <w:pPr>
        <w:tabs>
          <w:tab w:val="num" w:pos="126"/>
        </w:tabs>
        <w:ind w:left="126" w:hanging="420"/>
      </w:pPr>
    </w:lvl>
    <w:lvl w:ilvl="3" w:tplc="0409000F" w:tentative="1">
      <w:start w:val="1"/>
      <w:numFmt w:val="decimal"/>
      <w:lvlText w:val="%4."/>
      <w:lvlJc w:val="left"/>
      <w:pPr>
        <w:tabs>
          <w:tab w:val="num" w:pos="546"/>
        </w:tabs>
        <w:ind w:left="546" w:hanging="420"/>
      </w:pPr>
    </w:lvl>
    <w:lvl w:ilvl="4" w:tplc="04090019" w:tentative="1">
      <w:start w:val="1"/>
      <w:numFmt w:val="lowerLetter"/>
      <w:lvlText w:val="%5)"/>
      <w:lvlJc w:val="left"/>
      <w:pPr>
        <w:tabs>
          <w:tab w:val="num" w:pos="966"/>
        </w:tabs>
        <w:ind w:left="966" w:hanging="420"/>
      </w:pPr>
    </w:lvl>
    <w:lvl w:ilvl="5" w:tplc="69D0BAFE">
      <w:start w:val="1"/>
      <w:numFmt w:val="chineseCountingThousand"/>
      <w:lvlRestart w:val="0"/>
      <w:lvlText w:val="(%6)"/>
      <w:lvlJc w:val="left"/>
      <w:pPr>
        <w:tabs>
          <w:tab w:val="num" w:pos="1827"/>
        </w:tabs>
        <w:ind w:left="535" w:firstLine="431"/>
      </w:pPr>
      <w:rPr>
        <w:rFonts w:ascii="Times New Roman" w:hAnsi="Times New Roman" w:cs="Times New Roman" w:hint="eastAsia"/>
        <w:color w:val="auto"/>
        <w:sz w:val="21"/>
      </w:rPr>
    </w:lvl>
    <w:lvl w:ilvl="6" w:tplc="0409000F" w:tentative="1">
      <w:start w:val="1"/>
      <w:numFmt w:val="decimal"/>
      <w:lvlText w:val="%7."/>
      <w:lvlJc w:val="left"/>
      <w:pPr>
        <w:tabs>
          <w:tab w:val="num" w:pos="1806"/>
        </w:tabs>
        <w:ind w:left="1806" w:hanging="420"/>
      </w:pPr>
    </w:lvl>
    <w:lvl w:ilvl="7" w:tplc="04090019" w:tentative="1">
      <w:start w:val="1"/>
      <w:numFmt w:val="lowerLetter"/>
      <w:lvlText w:val="%8)"/>
      <w:lvlJc w:val="left"/>
      <w:pPr>
        <w:tabs>
          <w:tab w:val="num" w:pos="2226"/>
        </w:tabs>
        <w:ind w:left="2226" w:hanging="420"/>
      </w:pPr>
    </w:lvl>
    <w:lvl w:ilvl="8" w:tplc="0409001B" w:tentative="1">
      <w:start w:val="1"/>
      <w:numFmt w:val="lowerRoman"/>
      <w:lvlText w:val="%9."/>
      <w:lvlJc w:val="right"/>
      <w:pPr>
        <w:tabs>
          <w:tab w:val="num" w:pos="2646"/>
        </w:tabs>
        <w:ind w:left="2646" w:hanging="420"/>
      </w:pPr>
    </w:lvl>
  </w:abstractNum>
  <w:abstractNum w:abstractNumId="3">
    <w:nsid w:val="130B5329"/>
    <w:multiLevelType w:val="hybridMultilevel"/>
    <w:tmpl w:val="1DD86A96"/>
    <w:lvl w:ilvl="0" w:tplc="337228EA">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3D86AAA"/>
    <w:multiLevelType w:val="hybridMultilevel"/>
    <w:tmpl w:val="065C6134"/>
    <w:lvl w:ilvl="0" w:tplc="00C6E7CC">
      <w:start w:val="1"/>
      <w:numFmt w:val="bullet"/>
      <w:pStyle w:val="Bullet1GC"/>
      <w:lvlText w:val=""/>
      <w:lvlJc w:val="left"/>
      <w:pPr>
        <w:tabs>
          <w:tab w:val="num" w:pos="1996"/>
        </w:tabs>
        <w:ind w:left="1996" w:hanging="380"/>
      </w:pPr>
      <w:rPr>
        <w:rFonts w:ascii="Symbol" w:hAnsi="Symbol" w:hint="default"/>
      </w:rPr>
    </w:lvl>
    <w:lvl w:ilvl="1" w:tplc="04090019" w:tentative="1">
      <w:start w:val="1"/>
      <w:numFmt w:val="bullet"/>
      <w:lvlText w:val=""/>
      <w:lvlJc w:val="left"/>
      <w:pPr>
        <w:tabs>
          <w:tab w:val="num" w:pos="999"/>
        </w:tabs>
        <w:ind w:left="999" w:hanging="420"/>
      </w:pPr>
      <w:rPr>
        <w:rFonts w:ascii="Wingdings" w:hAnsi="Wingdings" w:hint="default"/>
      </w:rPr>
    </w:lvl>
    <w:lvl w:ilvl="2" w:tplc="0409001B" w:tentative="1">
      <w:start w:val="1"/>
      <w:numFmt w:val="bullet"/>
      <w:lvlText w:val=""/>
      <w:lvlJc w:val="left"/>
      <w:pPr>
        <w:tabs>
          <w:tab w:val="num" w:pos="1419"/>
        </w:tabs>
        <w:ind w:left="1419" w:hanging="420"/>
      </w:pPr>
      <w:rPr>
        <w:rFonts w:ascii="Wingdings" w:hAnsi="Wingdings" w:hint="default"/>
      </w:rPr>
    </w:lvl>
    <w:lvl w:ilvl="3" w:tplc="0409000F" w:tentative="1">
      <w:start w:val="1"/>
      <w:numFmt w:val="bullet"/>
      <w:lvlText w:val=""/>
      <w:lvlJc w:val="left"/>
      <w:pPr>
        <w:tabs>
          <w:tab w:val="num" w:pos="1839"/>
        </w:tabs>
        <w:ind w:left="1839" w:hanging="420"/>
      </w:pPr>
      <w:rPr>
        <w:rFonts w:ascii="Wingdings" w:hAnsi="Wingdings" w:hint="default"/>
      </w:rPr>
    </w:lvl>
    <w:lvl w:ilvl="4" w:tplc="04090019" w:tentative="1">
      <w:start w:val="1"/>
      <w:numFmt w:val="bullet"/>
      <w:lvlText w:val=""/>
      <w:lvlJc w:val="left"/>
      <w:pPr>
        <w:tabs>
          <w:tab w:val="num" w:pos="2259"/>
        </w:tabs>
        <w:ind w:left="2259" w:hanging="420"/>
      </w:pPr>
      <w:rPr>
        <w:rFonts w:ascii="Wingdings" w:hAnsi="Wingdings" w:hint="default"/>
      </w:rPr>
    </w:lvl>
    <w:lvl w:ilvl="5" w:tplc="0409001B" w:tentative="1">
      <w:start w:val="1"/>
      <w:numFmt w:val="bullet"/>
      <w:lvlText w:val=""/>
      <w:lvlJc w:val="left"/>
      <w:pPr>
        <w:tabs>
          <w:tab w:val="num" w:pos="2679"/>
        </w:tabs>
        <w:ind w:left="2679" w:hanging="420"/>
      </w:pPr>
      <w:rPr>
        <w:rFonts w:ascii="Wingdings" w:hAnsi="Wingdings" w:hint="default"/>
      </w:rPr>
    </w:lvl>
    <w:lvl w:ilvl="6" w:tplc="0409000F" w:tentative="1">
      <w:start w:val="1"/>
      <w:numFmt w:val="bullet"/>
      <w:lvlText w:val=""/>
      <w:lvlJc w:val="left"/>
      <w:pPr>
        <w:tabs>
          <w:tab w:val="num" w:pos="3099"/>
        </w:tabs>
        <w:ind w:left="3099" w:hanging="420"/>
      </w:pPr>
      <w:rPr>
        <w:rFonts w:ascii="Wingdings" w:hAnsi="Wingdings" w:hint="default"/>
      </w:rPr>
    </w:lvl>
    <w:lvl w:ilvl="7" w:tplc="04090019" w:tentative="1">
      <w:start w:val="1"/>
      <w:numFmt w:val="bullet"/>
      <w:lvlText w:val=""/>
      <w:lvlJc w:val="left"/>
      <w:pPr>
        <w:tabs>
          <w:tab w:val="num" w:pos="3519"/>
        </w:tabs>
        <w:ind w:left="3519" w:hanging="420"/>
      </w:pPr>
      <w:rPr>
        <w:rFonts w:ascii="Wingdings" w:hAnsi="Wingdings" w:hint="default"/>
      </w:rPr>
    </w:lvl>
    <w:lvl w:ilvl="8" w:tplc="0409001B" w:tentative="1">
      <w:start w:val="1"/>
      <w:numFmt w:val="bullet"/>
      <w:lvlText w:val=""/>
      <w:lvlJc w:val="left"/>
      <w:pPr>
        <w:tabs>
          <w:tab w:val="num" w:pos="3939"/>
        </w:tabs>
        <w:ind w:left="3939" w:hanging="420"/>
      </w:pPr>
      <w:rPr>
        <w:rFonts w:ascii="Wingdings" w:hAnsi="Wingdings" w:hint="default"/>
      </w:rPr>
    </w:lvl>
  </w:abstractNum>
  <w:abstractNum w:abstractNumId="5">
    <w:nsid w:val="15662C53"/>
    <w:multiLevelType w:val="hybridMultilevel"/>
    <w:tmpl w:val="2A10FF4C"/>
    <w:lvl w:ilvl="0" w:tplc="D9B0BDC6">
      <w:start w:val="1"/>
      <w:numFmt w:val="bullet"/>
      <w:pStyle w:val="FooterChar1"/>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D214252"/>
    <w:multiLevelType w:val="multilevel"/>
    <w:tmpl w:val="6C44FD2C"/>
    <w:lvl w:ilvl="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1D2D00A4"/>
    <w:multiLevelType w:val="hybridMultilevel"/>
    <w:tmpl w:val="DDAC895C"/>
    <w:lvl w:ilvl="0" w:tplc="D660D1A2">
      <w:start w:val="1"/>
      <w:numFmt w:val="chineseCountingThousand"/>
      <w:lvlRestart w:val="0"/>
      <w:lvlText w:val="(%1)"/>
      <w:lvlJc w:val="left"/>
      <w:pPr>
        <w:tabs>
          <w:tab w:val="num" w:pos="1780"/>
        </w:tabs>
        <w:ind w:left="1780" w:hanging="646"/>
      </w:pPr>
      <w:rPr>
        <w:rFonts w:ascii="Times New Roman" w:hAnsi="Times New Roman" w:cs="Times New Roman" w:hint="eastAsia"/>
        <w:color w:val="auto"/>
        <w:sz w:val="21"/>
      </w:rPr>
    </w:lvl>
    <w:lvl w:ilvl="1" w:tplc="04090019" w:tentative="1">
      <w:start w:val="1"/>
      <w:numFmt w:val="lowerLetter"/>
      <w:lvlText w:val="%2)"/>
      <w:lvlJc w:val="left"/>
      <w:pPr>
        <w:tabs>
          <w:tab w:val="num" w:pos="409"/>
        </w:tabs>
        <w:ind w:left="409" w:hanging="420"/>
      </w:pPr>
    </w:lvl>
    <w:lvl w:ilvl="2" w:tplc="0409001B" w:tentative="1">
      <w:start w:val="1"/>
      <w:numFmt w:val="lowerRoman"/>
      <w:lvlText w:val="%3."/>
      <w:lvlJc w:val="right"/>
      <w:pPr>
        <w:tabs>
          <w:tab w:val="num" w:pos="829"/>
        </w:tabs>
        <w:ind w:left="829" w:hanging="420"/>
      </w:pPr>
    </w:lvl>
    <w:lvl w:ilvl="3" w:tplc="0409000F" w:tentative="1">
      <w:start w:val="1"/>
      <w:numFmt w:val="decimal"/>
      <w:lvlText w:val="%4."/>
      <w:lvlJc w:val="left"/>
      <w:pPr>
        <w:tabs>
          <w:tab w:val="num" w:pos="1249"/>
        </w:tabs>
        <w:ind w:left="1249" w:hanging="420"/>
      </w:pPr>
    </w:lvl>
    <w:lvl w:ilvl="4" w:tplc="04090019" w:tentative="1">
      <w:start w:val="1"/>
      <w:numFmt w:val="lowerLetter"/>
      <w:lvlText w:val="%5)"/>
      <w:lvlJc w:val="left"/>
      <w:pPr>
        <w:tabs>
          <w:tab w:val="num" w:pos="1669"/>
        </w:tabs>
        <w:ind w:left="1669" w:hanging="420"/>
      </w:pPr>
    </w:lvl>
    <w:lvl w:ilvl="5" w:tplc="0409001B" w:tentative="1">
      <w:start w:val="1"/>
      <w:numFmt w:val="lowerRoman"/>
      <w:lvlText w:val="%6."/>
      <w:lvlJc w:val="right"/>
      <w:pPr>
        <w:tabs>
          <w:tab w:val="num" w:pos="2089"/>
        </w:tabs>
        <w:ind w:left="2089" w:hanging="420"/>
      </w:pPr>
    </w:lvl>
    <w:lvl w:ilvl="6" w:tplc="0409000F" w:tentative="1">
      <w:start w:val="1"/>
      <w:numFmt w:val="decimal"/>
      <w:lvlText w:val="%7."/>
      <w:lvlJc w:val="left"/>
      <w:pPr>
        <w:tabs>
          <w:tab w:val="num" w:pos="2509"/>
        </w:tabs>
        <w:ind w:left="2509" w:hanging="420"/>
      </w:pPr>
    </w:lvl>
    <w:lvl w:ilvl="7" w:tplc="04090019" w:tentative="1">
      <w:start w:val="1"/>
      <w:numFmt w:val="lowerLetter"/>
      <w:lvlText w:val="%8)"/>
      <w:lvlJc w:val="left"/>
      <w:pPr>
        <w:tabs>
          <w:tab w:val="num" w:pos="2929"/>
        </w:tabs>
        <w:ind w:left="2929" w:hanging="420"/>
      </w:pPr>
    </w:lvl>
    <w:lvl w:ilvl="8" w:tplc="0409001B" w:tentative="1">
      <w:start w:val="1"/>
      <w:numFmt w:val="lowerRoman"/>
      <w:lvlText w:val="%9."/>
      <w:lvlJc w:val="right"/>
      <w:pPr>
        <w:tabs>
          <w:tab w:val="num" w:pos="3349"/>
        </w:tabs>
        <w:ind w:left="3349" w:hanging="420"/>
      </w:pPr>
    </w:lvl>
  </w:abstractNum>
  <w:abstractNum w:abstractNumId="8">
    <w:nsid w:val="241A45A4"/>
    <w:multiLevelType w:val="hybridMultilevel"/>
    <w:tmpl w:val="9F702036"/>
    <w:lvl w:ilvl="0" w:tplc="69D0BAFE">
      <w:start w:val="1"/>
      <w:numFmt w:val="chineseCountingThousand"/>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7A478DF"/>
    <w:multiLevelType w:val="hybridMultilevel"/>
    <w:tmpl w:val="2B782434"/>
    <w:lvl w:ilvl="0" w:tplc="0B4A509E">
      <w:start w:val="1"/>
      <w:numFmt w:val="chineseCountingThousand"/>
      <w:lvlRestart w:val="0"/>
      <w:lvlText w:val="(%1)"/>
      <w:lvlJc w:val="left"/>
      <w:pPr>
        <w:tabs>
          <w:tab w:val="num" w:pos="2211"/>
        </w:tabs>
        <w:ind w:left="2211" w:hanging="646"/>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D137DD7"/>
    <w:multiLevelType w:val="hybridMultilevel"/>
    <w:tmpl w:val="4E2C6F2A"/>
    <w:lvl w:ilvl="0" w:tplc="89FE3ED2">
      <w:start w:val="1"/>
      <w:numFmt w:val="lowerLetter"/>
      <w:lvlRestart w:val="0"/>
      <w:lvlText w:val="(%1)"/>
      <w:lvlJc w:val="left"/>
      <w:pPr>
        <w:tabs>
          <w:tab w:val="num" w:pos="3071"/>
        </w:tabs>
        <w:ind w:left="1779" w:firstLine="431"/>
      </w:pPr>
      <w:rPr>
        <w:rFonts w:ascii="Times New Roman" w:hAnsi="Times New Roman" w:cs="Times New Roman" w:hint="eastAsia"/>
        <w:color w:val="auto"/>
        <w:sz w:val="21"/>
      </w:rPr>
    </w:lvl>
    <w:lvl w:ilvl="1" w:tplc="04090019">
      <w:start w:val="1"/>
      <w:numFmt w:val="lowerLetter"/>
      <w:lvlText w:val="%2)"/>
      <w:lvlJc w:val="left"/>
      <w:pPr>
        <w:tabs>
          <w:tab w:val="num" w:pos="1689"/>
        </w:tabs>
        <w:ind w:left="1689" w:hanging="420"/>
      </w:pPr>
    </w:lvl>
    <w:lvl w:ilvl="2" w:tplc="0409001B" w:tentative="1">
      <w:start w:val="1"/>
      <w:numFmt w:val="lowerRoman"/>
      <w:lvlText w:val="%3."/>
      <w:lvlJc w:val="right"/>
      <w:pPr>
        <w:tabs>
          <w:tab w:val="num" w:pos="2109"/>
        </w:tabs>
        <w:ind w:left="2109" w:hanging="420"/>
      </w:pPr>
    </w:lvl>
    <w:lvl w:ilvl="3" w:tplc="0409000F" w:tentative="1">
      <w:start w:val="1"/>
      <w:numFmt w:val="decimal"/>
      <w:lvlText w:val="%4."/>
      <w:lvlJc w:val="left"/>
      <w:pPr>
        <w:tabs>
          <w:tab w:val="num" w:pos="2529"/>
        </w:tabs>
        <w:ind w:left="2529" w:hanging="420"/>
      </w:pPr>
    </w:lvl>
    <w:lvl w:ilvl="4" w:tplc="04090019" w:tentative="1">
      <w:start w:val="1"/>
      <w:numFmt w:val="lowerLetter"/>
      <w:lvlText w:val="%5)"/>
      <w:lvlJc w:val="left"/>
      <w:pPr>
        <w:tabs>
          <w:tab w:val="num" w:pos="2949"/>
        </w:tabs>
        <w:ind w:left="2949" w:hanging="420"/>
      </w:pPr>
    </w:lvl>
    <w:lvl w:ilvl="5" w:tplc="0409001B" w:tentative="1">
      <w:start w:val="1"/>
      <w:numFmt w:val="lowerRoman"/>
      <w:lvlText w:val="%6."/>
      <w:lvlJc w:val="right"/>
      <w:pPr>
        <w:tabs>
          <w:tab w:val="num" w:pos="3369"/>
        </w:tabs>
        <w:ind w:left="3369" w:hanging="420"/>
      </w:pPr>
    </w:lvl>
    <w:lvl w:ilvl="6" w:tplc="0409000F" w:tentative="1">
      <w:start w:val="1"/>
      <w:numFmt w:val="decimal"/>
      <w:lvlText w:val="%7."/>
      <w:lvlJc w:val="left"/>
      <w:pPr>
        <w:tabs>
          <w:tab w:val="num" w:pos="3789"/>
        </w:tabs>
        <w:ind w:left="3789" w:hanging="420"/>
      </w:pPr>
    </w:lvl>
    <w:lvl w:ilvl="7" w:tplc="04090019" w:tentative="1">
      <w:start w:val="1"/>
      <w:numFmt w:val="lowerLetter"/>
      <w:lvlText w:val="%8)"/>
      <w:lvlJc w:val="left"/>
      <w:pPr>
        <w:tabs>
          <w:tab w:val="num" w:pos="4209"/>
        </w:tabs>
        <w:ind w:left="4209" w:hanging="420"/>
      </w:pPr>
    </w:lvl>
    <w:lvl w:ilvl="8" w:tplc="0409001B" w:tentative="1">
      <w:start w:val="1"/>
      <w:numFmt w:val="lowerRoman"/>
      <w:lvlText w:val="%9."/>
      <w:lvlJc w:val="right"/>
      <w:pPr>
        <w:tabs>
          <w:tab w:val="num" w:pos="4629"/>
        </w:tabs>
        <w:ind w:left="4629" w:hanging="420"/>
      </w:pPr>
    </w:lvl>
  </w:abstractNum>
  <w:abstractNum w:abstractNumId="11">
    <w:nsid w:val="37F622F3"/>
    <w:multiLevelType w:val="multilevel"/>
    <w:tmpl w:val="065C6134"/>
    <w:lvl w:ilvl="0">
      <w:start w:val="1"/>
      <w:numFmt w:val="bullet"/>
      <w:lvlText w:val=""/>
      <w:lvlJc w:val="left"/>
      <w:pPr>
        <w:tabs>
          <w:tab w:val="num" w:pos="1996"/>
        </w:tabs>
        <w:ind w:left="1996" w:hanging="380"/>
      </w:pPr>
      <w:rPr>
        <w:rFonts w:ascii="Symbol" w:hAnsi="Symbol" w:hint="default"/>
      </w:rPr>
    </w:lvl>
    <w:lvl w:ilvl="1">
      <w:start w:val="1"/>
      <w:numFmt w:val="bullet"/>
      <w:lvlText w:val=""/>
      <w:lvlJc w:val="left"/>
      <w:pPr>
        <w:tabs>
          <w:tab w:val="num" w:pos="999"/>
        </w:tabs>
        <w:ind w:left="999" w:hanging="420"/>
      </w:pPr>
      <w:rPr>
        <w:rFonts w:ascii="Wingdings" w:hAnsi="Wingdings" w:hint="default"/>
      </w:rPr>
    </w:lvl>
    <w:lvl w:ilvl="2">
      <w:start w:val="1"/>
      <w:numFmt w:val="bullet"/>
      <w:lvlText w:val=""/>
      <w:lvlJc w:val="left"/>
      <w:pPr>
        <w:tabs>
          <w:tab w:val="num" w:pos="1419"/>
        </w:tabs>
        <w:ind w:left="1419" w:hanging="420"/>
      </w:pPr>
      <w:rPr>
        <w:rFonts w:ascii="Wingdings" w:hAnsi="Wingdings" w:hint="default"/>
      </w:rPr>
    </w:lvl>
    <w:lvl w:ilvl="3">
      <w:start w:val="1"/>
      <w:numFmt w:val="bullet"/>
      <w:lvlText w:val=""/>
      <w:lvlJc w:val="left"/>
      <w:pPr>
        <w:tabs>
          <w:tab w:val="num" w:pos="1839"/>
        </w:tabs>
        <w:ind w:left="1839" w:hanging="420"/>
      </w:pPr>
      <w:rPr>
        <w:rFonts w:ascii="Wingdings" w:hAnsi="Wingdings" w:hint="default"/>
      </w:rPr>
    </w:lvl>
    <w:lvl w:ilvl="4">
      <w:start w:val="1"/>
      <w:numFmt w:val="bullet"/>
      <w:lvlText w:val=""/>
      <w:lvlJc w:val="left"/>
      <w:pPr>
        <w:tabs>
          <w:tab w:val="num" w:pos="2259"/>
        </w:tabs>
        <w:ind w:left="2259" w:hanging="420"/>
      </w:pPr>
      <w:rPr>
        <w:rFonts w:ascii="Wingdings" w:hAnsi="Wingdings" w:hint="default"/>
      </w:rPr>
    </w:lvl>
    <w:lvl w:ilvl="5">
      <w:start w:val="1"/>
      <w:numFmt w:val="bullet"/>
      <w:lvlText w:val=""/>
      <w:lvlJc w:val="left"/>
      <w:pPr>
        <w:tabs>
          <w:tab w:val="num" w:pos="2679"/>
        </w:tabs>
        <w:ind w:left="2679" w:hanging="420"/>
      </w:pPr>
      <w:rPr>
        <w:rFonts w:ascii="Wingdings" w:hAnsi="Wingdings" w:hint="default"/>
      </w:rPr>
    </w:lvl>
    <w:lvl w:ilvl="6">
      <w:start w:val="1"/>
      <w:numFmt w:val="bullet"/>
      <w:lvlText w:val=""/>
      <w:lvlJc w:val="left"/>
      <w:pPr>
        <w:tabs>
          <w:tab w:val="num" w:pos="3099"/>
        </w:tabs>
        <w:ind w:left="3099" w:hanging="420"/>
      </w:pPr>
      <w:rPr>
        <w:rFonts w:ascii="Wingdings" w:hAnsi="Wingdings" w:hint="default"/>
      </w:rPr>
    </w:lvl>
    <w:lvl w:ilvl="7">
      <w:start w:val="1"/>
      <w:numFmt w:val="bullet"/>
      <w:lvlText w:val=""/>
      <w:lvlJc w:val="left"/>
      <w:pPr>
        <w:tabs>
          <w:tab w:val="num" w:pos="3519"/>
        </w:tabs>
        <w:ind w:left="3519" w:hanging="420"/>
      </w:pPr>
      <w:rPr>
        <w:rFonts w:ascii="Wingdings" w:hAnsi="Wingdings" w:hint="default"/>
      </w:rPr>
    </w:lvl>
    <w:lvl w:ilvl="8">
      <w:start w:val="1"/>
      <w:numFmt w:val="bullet"/>
      <w:lvlText w:val=""/>
      <w:lvlJc w:val="left"/>
      <w:pPr>
        <w:tabs>
          <w:tab w:val="num" w:pos="3939"/>
        </w:tabs>
        <w:ind w:left="3939" w:hanging="420"/>
      </w:pPr>
      <w:rPr>
        <w:rFonts w:ascii="Wingdings" w:hAnsi="Wingdings" w:hint="default"/>
      </w:rPr>
    </w:lvl>
  </w:abstractNum>
  <w:abstractNum w:abstractNumId="12">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13">
    <w:nsid w:val="3ABE3F09"/>
    <w:multiLevelType w:val="hybridMultilevel"/>
    <w:tmpl w:val="E52A2770"/>
    <w:lvl w:ilvl="0" w:tplc="F722893A">
      <w:start w:val="1"/>
      <w:numFmt w:val="chineseCountingThousand"/>
      <w:lvlRestart w:val="0"/>
      <w:lvlText w:val="(%1)"/>
      <w:lvlJc w:val="right"/>
      <w:pPr>
        <w:tabs>
          <w:tab w:val="num" w:pos="1531"/>
        </w:tabs>
        <w:ind w:left="1531" w:hanging="170"/>
      </w:pPr>
      <w:rPr>
        <w:rFonts w:ascii="Times New Roman" w:hAnsi="Times New Roman" w:cs="Times New Roman"/>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15">
    <w:nsid w:val="43C516A6"/>
    <w:multiLevelType w:val="hybridMultilevel"/>
    <w:tmpl w:val="9D22B8C4"/>
    <w:lvl w:ilvl="0" w:tplc="1262B3FE">
      <w:start w:val="1"/>
      <w:numFmt w:val="lowerLetter"/>
      <w:lvlRestart w:val="0"/>
      <w:lvlText w:val="(%1)"/>
      <w:lvlJc w:val="left"/>
      <w:pPr>
        <w:tabs>
          <w:tab w:val="num" w:pos="2477"/>
        </w:tabs>
        <w:ind w:left="1185" w:firstLine="431"/>
      </w:pPr>
      <w:rPr>
        <w:rFonts w:ascii="Times New Roman" w:hAnsi="Times New Roman" w:cs="Times New Roman" w:hint="eastAsia"/>
        <w:color w:val="auto"/>
        <w:sz w:val="21"/>
      </w:rPr>
    </w:lvl>
    <w:lvl w:ilvl="1" w:tplc="04090019" w:tentative="1">
      <w:start w:val="1"/>
      <w:numFmt w:val="bullet"/>
      <w:lvlText w:val=""/>
      <w:lvlJc w:val="left"/>
      <w:pPr>
        <w:tabs>
          <w:tab w:val="num" w:pos="999"/>
        </w:tabs>
        <w:ind w:left="999" w:hanging="420"/>
      </w:pPr>
      <w:rPr>
        <w:rFonts w:ascii="Wingdings" w:hAnsi="Wingdings" w:hint="default"/>
      </w:rPr>
    </w:lvl>
    <w:lvl w:ilvl="2" w:tplc="0409001B" w:tentative="1">
      <w:start w:val="1"/>
      <w:numFmt w:val="bullet"/>
      <w:lvlText w:val=""/>
      <w:lvlJc w:val="left"/>
      <w:pPr>
        <w:tabs>
          <w:tab w:val="num" w:pos="1419"/>
        </w:tabs>
        <w:ind w:left="1419" w:hanging="420"/>
      </w:pPr>
      <w:rPr>
        <w:rFonts w:ascii="Wingdings" w:hAnsi="Wingdings" w:hint="default"/>
      </w:rPr>
    </w:lvl>
    <w:lvl w:ilvl="3" w:tplc="0409000F" w:tentative="1">
      <w:start w:val="1"/>
      <w:numFmt w:val="bullet"/>
      <w:lvlText w:val=""/>
      <w:lvlJc w:val="left"/>
      <w:pPr>
        <w:tabs>
          <w:tab w:val="num" w:pos="1839"/>
        </w:tabs>
        <w:ind w:left="1839" w:hanging="420"/>
      </w:pPr>
      <w:rPr>
        <w:rFonts w:ascii="Wingdings" w:hAnsi="Wingdings" w:hint="default"/>
      </w:rPr>
    </w:lvl>
    <w:lvl w:ilvl="4" w:tplc="04090019" w:tentative="1">
      <w:start w:val="1"/>
      <w:numFmt w:val="bullet"/>
      <w:lvlText w:val=""/>
      <w:lvlJc w:val="left"/>
      <w:pPr>
        <w:tabs>
          <w:tab w:val="num" w:pos="2259"/>
        </w:tabs>
        <w:ind w:left="2259" w:hanging="420"/>
      </w:pPr>
      <w:rPr>
        <w:rFonts w:ascii="Wingdings" w:hAnsi="Wingdings" w:hint="default"/>
      </w:rPr>
    </w:lvl>
    <w:lvl w:ilvl="5" w:tplc="0409001B" w:tentative="1">
      <w:start w:val="1"/>
      <w:numFmt w:val="bullet"/>
      <w:lvlText w:val=""/>
      <w:lvlJc w:val="left"/>
      <w:pPr>
        <w:tabs>
          <w:tab w:val="num" w:pos="2679"/>
        </w:tabs>
        <w:ind w:left="2679" w:hanging="420"/>
      </w:pPr>
      <w:rPr>
        <w:rFonts w:ascii="Wingdings" w:hAnsi="Wingdings" w:hint="default"/>
      </w:rPr>
    </w:lvl>
    <w:lvl w:ilvl="6" w:tplc="0409000F" w:tentative="1">
      <w:start w:val="1"/>
      <w:numFmt w:val="bullet"/>
      <w:lvlText w:val=""/>
      <w:lvlJc w:val="left"/>
      <w:pPr>
        <w:tabs>
          <w:tab w:val="num" w:pos="3099"/>
        </w:tabs>
        <w:ind w:left="3099" w:hanging="420"/>
      </w:pPr>
      <w:rPr>
        <w:rFonts w:ascii="Wingdings" w:hAnsi="Wingdings" w:hint="default"/>
      </w:rPr>
    </w:lvl>
    <w:lvl w:ilvl="7" w:tplc="04090019" w:tentative="1">
      <w:start w:val="1"/>
      <w:numFmt w:val="bullet"/>
      <w:lvlText w:val=""/>
      <w:lvlJc w:val="left"/>
      <w:pPr>
        <w:tabs>
          <w:tab w:val="num" w:pos="3519"/>
        </w:tabs>
        <w:ind w:left="3519" w:hanging="420"/>
      </w:pPr>
      <w:rPr>
        <w:rFonts w:ascii="Wingdings" w:hAnsi="Wingdings" w:hint="default"/>
      </w:rPr>
    </w:lvl>
    <w:lvl w:ilvl="8" w:tplc="0409001B" w:tentative="1">
      <w:start w:val="1"/>
      <w:numFmt w:val="bullet"/>
      <w:lvlText w:val=""/>
      <w:lvlJc w:val="left"/>
      <w:pPr>
        <w:tabs>
          <w:tab w:val="num" w:pos="3939"/>
        </w:tabs>
        <w:ind w:left="3939" w:hanging="420"/>
      </w:pPr>
      <w:rPr>
        <w:rFonts w:ascii="Wingdings" w:hAnsi="Wingdings" w:hint="default"/>
      </w:rPr>
    </w:lvl>
  </w:abstractNum>
  <w:abstractNum w:abstractNumId="16">
    <w:nsid w:val="44B87A52"/>
    <w:multiLevelType w:val="hybridMultilevel"/>
    <w:tmpl w:val="0EC296B0"/>
    <w:lvl w:ilvl="0" w:tplc="69D0BAFE">
      <w:start w:val="1"/>
      <w:numFmt w:val="chineseCountingThousand"/>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7CD4140"/>
    <w:multiLevelType w:val="hybridMultilevel"/>
    <w:tmpl w:val="8D9C3854"/>
    <w:lvl w:ilvl="0" w:tplc="F722893A">
      <w:start w:val="1"/>
      <w:numFmt w:val="decimal"/>
      <w:lvlRestart w:val="0"/>
      <w:lvlText w:val="(%1)"/>
      <w:lvlJc w:val="right"/>
      <w:pPr>
        <w:tabs>
          <w:tab w:val="num" w:pos="1870"/>
        </w:tabs>
        <w:ind w:left="1870" w:hanging="170"/>
      </w:pPr>
      <w:rPr>
        <w:rFonts w:hint="eastAsia"/>
      </w:rPr>
    </w:lvl>
    <w:lvl w:ilvl="1" w:tplc="04090019">
      <w:start w:val="1"/>
      <w:numFmt w:val="lowerLetter"/>
      <w:lvlRestart w:val="0"/>
      <w:lvlText w:val="(%2)"/>
      <w:lvlJc w:val="right"/>
      <w:pPr>
        <w:tabs>
          <w:tab w:val="num" w:pos="929"/>
        </w:tabs>
        <w:ind w:left="929" w:hanging="170"/>
      </w:pPr>
      <w:rPr>
        <w:rFonts w:hint="eastAsia"/>
      </w:rPr>
    </w:lvl>
    <w:lvl w:ilvl="2" w:tplc="0409001B">
      <w:start w:val="1"/>
      <w:numFmt w:val="lowerRoman"/>
      <w:lvlText w:val="%3."/>
      <w:lvlJc w:val="right"/>
      <w:pPr>
        <w:tabs>
          <w:tab w:val="num" w:pos="1599"/>
        </w:tabs>
        <w:ind w:left="1599" w:hanging="420"/>
      </w:pPr>
    </w:lvl>
    <w:lvl w:ilvl="3" w:tplc="0409000F">
      <w:start w:val="1"/>
      <w:numFmt w:val="decimal"/>
      <w:lvlText w:val="%4."/>
      <w:lvlJc w:val="left"/>
      <w:pPr>
        <w:tabs>
          <w:tab w:val="num" w:pos="2019"/>
        </w:tabs>
        <w:ind w:left="2019" w:hanging="420"/>
      </w:pPr>
    </w:lvl>
    <w:lvl w:ilvl="4" w:tplc="04090019">
      <w:start w:val="1"/>
      <w:numFmt w:val="lowerLetter"/>
      <w:lvlText w:val="%5)"/>
      <w:lvlJc w:val="left"/>
      <w:pPr>
        <w:tabs>
          <w:tab w:val="num" w:pos="2439"/>
        </w:tabs>
        <w:ind w:left="2439" w:hanging="420"/>
      </w:pPr>
    </w:lvl>
    <w:lvl w:ilvl="5" w:tplc="0409001B">
      <w:start w:val="1"/>
      <w:numFmt w:val="lowerRoman"/>
      <w:lvlText w:val="%6."/>
      <w:lvlJc w:val="right"/>
      <w:pPr>
        <w:tabs>
          <w:tab w:val="num" w:pos="2859"/>
        </w:tabs>
        <w:ind w:left="2859" w:hanging="420"/>
      </w:pPr>
    </w:lvl>
    <w:lvl w:ilvl="6" w:tplc="0409000F" w:tentative="1">
      <w:start w:val="1"/>
      <w:numFmt w:val="decimal"/>
      <w:lvlText w:val="%7."/>
      <w:lvlJc w:val="left"/>
      <w:pPr>
        <w:tabs>
          <w:tab w:val="num" w:pos="3279"/>
        </w:tabs>
        <w:ind w:left="3279" w:hanging="420"/>
      </w:pPr>
    </w:lvl>
    <w:lvl w:ilvl="7" w:tplc="04090019" w:tentative="1">
      <w:start w:val="1"/>
      <w:numFmt w:val="lowerLetter"/>
      <w:lvlText w:val="%8)"/>
      <w:lvlJc w:val="left"/>
      <w:pPr>
        <w:tabs>
          <w:tab w:val="num" w:pos="3699"/>
        </w:tabs>
        <w:ind w:left="3699" w:hanging="420"/>
      </w:pPr>
    </w:lvl>
    <w:lvl w:ilvl="8" w:tplc="0409001B" w:tentative="1">
      <w:start w:val="1"/>
      <w:numFmt w:val="lowerRoman"/>
      <w:lvlText w:val="%9."/>
      <w:lvlJc w:val="right"/>
      <w:pPr>
        <w:tabs>
          <w:tab w:val="num" w:pos="4119"/>
        </w:tabs>
        <w:ind w:left="4119" w:hanging="420"/>
      </w:pPr>
    </w:lvl>
  </w:abstractNum>
  <w:abstractNum w:abstractNumId="18">
    <w:nsid w:val="506B60DF"/>
    <w:multiLevelType w:val="hybridMultilevel"/>
    <w:tmpl w:val="FCA4AD66"/>
    <w:lvl w:ilvl="0" w:tplc="AA68FA24">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abstractNum w:abstractNumId="20">
    <w:nsid w:val="531E77DA"/>
    <w:multiLevelType w:val="multilevel"/>
    <w:tmpl w:val="065C6134"/>
    <w:lvl w:ilvl="0">
      <w:start w:val="1"/>
      <w:numFmt w:val="bullet"/>
      <w:lvlText w:val=""/>
      <w:lvlJc w:val="left"/>
      <w:pPr>
        <w:tabs>
          <w:tab w:val="num" w:pos="1996"/>
        </w:tabs>
        <w:ind w:left="1996" w:hanging="380"/>
      </w:pPr>
      <w:rPr>
        <w:rFonts w:ascii="Symbol" w:hAnsi="Symbol" w:hint="default"/>
      </w:rPr>
    </w:lvl>
    <w:lvl w:ilvl="1">
      <w:start w:val="1"/>
      <w:numFmt w:val="bullet"/>
      <w:lvlText w:val=""/>
      <w:lvlJc w:val="left"/>
      <w:pPr>
        <w:tabs>
          <w:tab w:val="num" w:pos="999"/>
        </w:tabs>
        <w:ind w:left="999" w:hanging="420"/>
      </w:pPr>
      <w:rPr>
        <w:rFonts w:ascii="Wingdings" w:hAnsi="Wingdings" w:hint="default"/>
      </w:rPr>
    </w:lvl>
    <w:lvl w:ilvl="2">
      <w:start w:val="1"/>
      <w:numFmt w:val="bullet"/>
      <w:lvlText w:val=""/>
      <w:lvlJc w:val="left"/>
      <w:pPr>
        <w:tabs>
          <w:tab w:val="num" w:pos="1419"/>
        </w:tabs>
        <w:ind w:left="1419" w:hanging="420"/>
      </w:pPr>
      <w:rPr>
        <w:rFonts w:ascii="Wingdings" w:hAnsi="Wingdings" w:hint="default"/>
      </w:rPr>
    </w:lvl>
    <w:lvl w:ilvl="3">
      <w:start w:val="1"/>
      <w:numFmt w:val="bullet"/>
      <w:lvlText w:val=""/>
      <w:lvlJc w:val="left"/>
      <w:pPr>
        <w:tabs>
          <w:tab w:val="num" w:pos="1839"/>
        </w:tabs>
        <w:ind w:left="1839" w:hanging="420"/>
      </w:pPr>
      <w:rPr>
        <w:rFonts w:ascii="Wingdings" w:hAnsi="Wingdings" w:hint="default"/>
      </w:rPr>
    </w:lvl>
    <w:lvl w:ilvl="4">
      <w:start w:val="1"/>
      <w:numFmt w:val="bullet"/>
      <w:lvlText w:val=""/>
      <w:lvlJc w:val="left"/>
      <w:pPr>
        <w:tabs>
          <w:tab w:val="num" w:pos="2259"/>
        </w:tabs>
        <w:ind w:left="2259" w:hanging="420"/>
      </w:pPr>
      <w:rPr>
        <w:rFonts w:ascii="Wingdings" w:hAnsi="Wingdings" w:hint="default"/>
      </w:rPr>
    </w:lvl>
    <w:lvl w:ilvl="5">
      <w:start w:val="1"/>
      <w:numFmt w:val="bullet"/>
      <w:lvlText w:val=""/>
      <w:lvlJc w:val="left"/>
      <w:pPr>
        <w:tabs>
          <w:tab w:val="num" w:pos="2679"/>
        </w:tabs>
        <w:ind w:left="2679" w:hanging="420"/>
      </w:pPr>
      <w:rPr>
        <w:rFonts w:ascii="Wingdings" w:hAnsi="Wingdings" w:hint="default"/>
      </w:rPr>
    </w:lvl>
    <w:lvl w:ilvl="6">
      <w:start w:val="1"/>
      <w:numFmt w:val="bullet"/>
      <w:lvlText w:val=""/>
      <w:lvlJc w:val="left"/>
      <w:pPr>
        <w:tabs>
          <w:tab w:val="num" w:pos="3099"/>
        </w:tabs>
        <w:ind w:left="3099" w:hanging="420"/>
      </w:pPr>
      <w:rPr>
        <w:rFonts w:ascii="Wingdings" w:hAnsi="Wingdings" w:hint="default"/>
      </w:rPr>
    </w:lvl>
    <w:lvl w:ilvl="7">
      <w:start w:val="1"/>
      <w:numFmt w:val="bullet"/>
      <w:lvlText w:val=""/>
      <w:lvlJc w:val="left"/>
      <w:pPr>
        <w:tabs>
          <w:tab w:val="num" w:pos="3519"/>
        </w:tabs>
        <w:ind w:left="3519" w:hanging="420"/>
      </w:pPr>
      <w:rPr>
        <w:rFonts w:ascii="Wingdings" w:hAnsi="Wingdings" w:hint="default"/>
      </w:rPr>
    </w:lvl>
    <w:lvl w:ilvl="8">
      <w:start w:val="1"/>
      <w:numFmt w:val="bullet"/>
      <w:lvlText w:val=""/>
      <w:lvlJc w:val="left"/>
      <w:pPr>
        <w:tabs>
          <w:tab w:val="num" w:pos="3939"/>
        </w:tabs>
        <w:ind w:left="3939" w:hanging="420"/>
      </w:pPr>
      <w:rPr>
        <w:rFonts w:ascii="Wingdings" w:hAnsi="Wingdings" w:hint="default"/>
      </w:rPr>
    </w:lvl>
  </w:abstractNum>
  <w:abstractNum w:abstractNumId="21">
    <w:nsid w:val="5D5E2A06"/>
    <w:multiLevelType w:val="hybridMultilevel"/>
    <w:tmpl w:val="D8A26A38"/>
    <w:lvl w:ilvl="0" w:tplc="5E682A80">
      <w:start w:val="1"/>
      <w:numFmt w:val="decimal"/>
      <w:lvlRestart w:val="0"/>
      <w:lvlText w:val="%1."/>
      <w:lvlJc w:val="left"/>
      <w:pPr>
        <w:tabs>
          <w:tab w:val="num" w:pos="2262"/>
        </w:tabs>
        <w:ind w:left="2262" w:hanging="646"/>
      </w:pPr>
      <w:rPr>
        <w:rFonts w:ascii="Times New Roman" w:hAnsi="Times New Roman" w:cs="Times New Roman" w:hint="eastAsia"/>
        <w:color w:val="auto"/>
        <w:sz w:val="21"/>
      </w:rPr>
    </w:lvl>
    <w:lvl w:ilvl="1" w:tplc="04090019" w:tentative="1">
      <w:start w:val="1"/>
      <w:numFmt w:val="lowerLetter"/>
      <w:lvlText w:val="%2)"/>
      <w:lvlJc w:val="left"/>
      <w:pPr>
        <w:tabs>
          <w:tab w:val="num" w:pos="891"/>
        </w:tabs>
        <w:ind w:left="891" w:hanging="420"/>
      </w:pPr>
    </w:lvl>
    <w:lvl w:ilvl="2" w:tplc="0409001B" w:tentative="1">
      <w:start w:val="1"/>
      <w:numFmt w:val="lowerRoman"/>
      <w:lvlText w:val="%3."/>
      <w:lvlJc w:val="righ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9" w:tentative="1">
      <w:start w:val="1"/>
      <w:numFmt w:val="lowerLetter"/>
      <w:lvlText w:val="%5)"/>
      <w:lvlJc w:val="left"/>
      <w:pPr>
        <w:tabs>
          <w:tab w:val="num" w:pos="2151"/>
        </w:tabs>
        <w:ind w:left="2151" w:hanging="420"/>
      </w:pPr>
    </w:lvl>
    <w:lvl w:ilvl="5" w:tplc="0409001B" w:tentative="1">
      <w:start w:val="1"/>
      <w:numFmt w:val="lowerRoman"/>
      <w:lvlText w:val="%6."/>
      <w:lvlJc w:val="righ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9" w:tentative="1">
      <w:start w:val="1"/>
      <w:numFmt w:val="lowerLetter"/>
      <w:lvlText w:val="%8)"/>
      <w:lvlJc w:val="left"/>
      <w:pPr>
        <w:tabs>
          <w:tab w:val="num" w:pos="3411"/>
        </w:tabs>
        <w:ind w:left="3411" w:hanging="420"/>
      </w:pPr>
    </w:lvl>
    <w:lvl w:ilvl="8" w:tplc="0409001B" w:tentative="1">
      <w:start w:val="1"/>
      <w:numFmt w:val="lowerRoman"/>
      <w:lvlText w:val="%9."/>
      <w:lvlJc w:val="right"/>
      <w:pPr>
        <w:tabs>
          <w:tab w:val="num" w:pos="3831"/>
        </w:tabs>
        <w:ind w:left="3831" w:hanging="420"/>
      </w:pPr>
    </w:lvl>
  </w:abstractNum>
  <w:abstractNum w:abstractNumId="22">
    <w:nsid w:val="6542669F"/>
    <w:multiLevelType w:val="hybridMultilevel"/>
    <w:tmpl w:val="4EA0B194"/>
    <w:lvl w:ilvl="0" w:tplc="0D8AA4D6">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71861DB"/>
    <w:multiLevelType w:val="hybridMultilevel"/>
    <w:tmpl w:val="A9B633D4"/>
    <w:lvl w:ilvl="0" w:tplc="F722893A">
      <w:start w:val="1"/>
      <w:numFmt w:val="bullet"/>
      <w:pStyle w:val="Bullet2GC"/>
      <w:lvlText w:val=""/>
      <w:lvlJc w:val="left"/>
      <w:pPr>
        <w:tabs>
          <w:tab w:val="num" w:pos="2427"/>
        </w:tabs>
        <w:ind w:left="2427" w:hanging="380"/>
      </w:pPr>
      <w:rPr>
        <w:rFonts w:ascii="Symbol" w:hAnsi="Symbol" w:hint="default"/>
      </w:rPr>
    </w:lvl>
    <w:lvl w:ilvl="1" w:tplc="F37C9610" w:tentative="1">
      <w:start w:val="1"/>
      <w:numFmt w:val="bullet"/>
      <w:lvlText w:val=""/>
      <w:lvlJc w:val="left"/>
      <w:pPr>
        <w:tabs>
          <w:tab w:val="num" w:pos="840"/>
        </w:tabs>
        <w:ind w:left="840" w:hanging="420"/>
      </w:pPr>
      <w:rPr>
        <w:rFonts w:ascii="Wingdings" w:hAnsi="Wingdings" w:hint="default"/>
      </w:rPr>
    </w:lvl>
    <w:lvl w:ilvl="2" w:tplc="7C8A48B8"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24">
    <w:nsid w:val="70EB2807"/>
    <w:multiLevelType w:val="multilevel"/>
    <w:tmpl w:val="2DB62DEC"/>
    <w:lvl w:ilvl="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78F10C45"/>
    <w:multiLevelType w:val="hybridMultilevel"/>
    <w:tmpl w:val="66E6F8A8"/>
    <w:lvl w:ilvl="0" w:tplc="A9025902">
      <w:start w:val="1"/>
      <w:numFmt w:val="decimal"/>
      <w:lvlRestart w:val="0"/>
      <w:lvlText w:val="(%1)"/>
      <w:lvlJc w:val="left"/>
      <w:pPr>
        <w:tabs>
          <w:tab w:val="num" w:pos="2426"/>
        </w:tabs>
        <w:ind w:left="1134" w:firstLine="431"/>
      </w:pPr>
      <w:rPr>
        <w:rFonts w:ascii="Times New Roman" w:hAnsi="Times New Roman" w:cs="Times New Roman" w:hint="eastAsia"/>
        <w:color w:val="auto"/>
        <w:sz w:val="21"/>
      </w:rPr>
    </w:lvl>
    <w:lvl w:ilvl="1" w:tplc="3DD0B76A">
      <w:start w:val="1"/>
      <w:numFmt w:val="lowerLetter"/>
      <w:lvlRestart w:val="0"/>
      <w:lvlText w:val="(%2)"/>
      <w:lvlJc w:val="left"/>
      <w:pPr>
        <w:tabs>
          <w:tab w:val="num" w:pos="1281"/>
        </w:tabs>
        <w:ind w:left="-11" w:firstLine="431"/>
      </w:pPr>
      <w:rPr>
        <w:rFonts w:ascii="Times New Roman" w:hAnsi="Times New Roman" w:cs="Times New Roman" w:hint="eastAsia"/>
        <w:color w:val="auto"/>
        <w:sz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B72177C"/>
    <w:multiLevelType w:val="hybridMultilevel"/>
    <w:tmpl w:val="6C44FD2C"/>
    <w:lvl w:ilvl="0" w:tplc="89FE3ED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23"/>
  </w:num>
  <w:num w:numId="3">
    <w:abstractNumId w:val="5"/>
  </w:num>
  <w:num w:numId="4">
    <w:abstractNumId w:val="19"/>
  </w:num>
  <w:num w:numId="5">
    <w:abstractNumId w:val="12"/>
  </w:num>
  <w:num w:numId="6">
    <w:abstractNumId w:val="14"/>
  </w:num>
  <w:num w:numId="7">
    <w:abstractNumId w:val="10"/>
  </w:num>
  <w:num w:numId="8">
    <w:abstractNumId w:val="17"/>
  </w:num>
  <w:num w:numId="9">
    <w:abstractNumId w:val="13"/>
  </w:num>
  <w:num w:numId="10">
    <w:abstractNumId w:val="22"/>
  </w:num>
  <w:num w:numId="11">
    <w:abstractNumId w:val="3"/>
  </w:num>
  <w:num w:numId="12">
    <w:abstractNumId w:val="8"/>
  </w:num>
  <w:num w:numId="13">
    <w:abstractNumId w:val="18"/>
  </w:num>
  <w:num w:numId="14">
    <w:abstractNumId w:val="0"/>
  </w:num>
  <w:num w:numId="15">
    <w:abstractNumId w:val="9"/>
  </w:num>
  <w:num w:numId="16">
    <w:abstractNumId w:val="11"/>
  </w:num>
  <w:num w:numId="17">
    <w:abstractNumId w:val="20"/>
  </w:num>
  <w:num w:numId="18">
    <w:abstractNumId w:val="15"/>
  </w:num>
  <w:num w:numId="19">
    <w:abstractNumId w:val="2"/>
  </w:num>
  <w:num w:numId="20">
    <w:abstractNumId w:val="16"/>
  </w:num>
  <w:num w:numId="21">
    <w:abstractNumId w:val="24"/>
  </w:num>
  <w:num w:numId="22">
    <w:abstractNumId w:val="7"/>
  </w:num>
  <w:num w:numId="23">
    <w:abstractNumId w:val="21"/>
  </w:num>
  <w:num w:numId="24">
    <w:abstractNumId w:val="1"/>
  </w:num>
  <w:num w:numId="25">
    <w:abstractNumId w:val="26"/>
  </w:num>
  <w:num w:numId="26">
    <w:abstractNumId w:val="6"/>
  </w:num>
  <w:num w:numId="27">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H" w:vendorID="64" w:dllVersion="131078" w:nlCheck="1" w:checkStyle="1"/>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06A0"/>
    <w:rsid w:val="0000592D"/>
    <w:rsid w:val="0000793F"/>
    <w:rsid w:val="00013074"/>
    <w:rsid w:val="0001535A"/>
    <w:rsid w:val="00016ACA"/>
    <w:rsid w:val="000233D2"/>
    <w:rsid w:val="00025ECC"/>
    <w:rsid w:val="000309D3"/>
    <w:rsid w:val="00030A9D"/>
    <w:rsid w:val="0003294C"/>
    <w:rsid w:val="00056D72"/>
    <w:rsid w:val="000577A1"/>
    <w:rsid w:val="0007721A"/>
    <w:rsid w:val="00080D06"/>
    <w:rsid w:val="00082304"/>
    <w:rsid w:val="0008568C"/>
    <w:rsid w:val="00086380"/>
    <w:rsid w:val="000951DE"/>
    <w:rsid w:val="000977B5"/>
    <w:rsid w:val="000A401A"/>
    <w:rsid w:val="000A52A3"/>
    <w:rsid w:val="000A659E"/>
    <w:rsid w:val="000A6D5F"/>
    <w:rsid w:val="000B54E1"/>
    <w:rsid w:val="000D4217"/>
    <w:rsid w:val="000E1685"/>
    <w:rsid w:val="000F0534"/>
    <w:rsid w:val="000F3009"/>
    <w:rsid w:val="0010076F"/>
    <w:rsid w:val="001011B7"/>
    <w:rsid w:val="0011419D"/>
    <w:rsid w:val="00123CD3"/>
    <w:rsid w:val="00126F9B"/>
    <w:rsid w:val="00150139"/>
    <w:rsid w:val="001504BD"/>
    <w:rsid w:val="0015578B"/>
    <w:rsid w:val="00161A50"/>
    <w:rsid w:val="00161CD4"/>
    <w:rsid w:val="00165069"/>
    <w:rsid w:val="00165E0A"/>
    <w:rsid w:val="001732E9"/>
    <w:rsid w:val="00173775"/>
    <w:rsid w:val="00176C86"/>
    <w:rsid w:val="00180508"/>
    <w:rsid w:val="001930C5"/>
    <w:rsid w:val="001A4331"/>
    <w:rsid w:val="001B1F98"/>
    <w:rsid w:val="001B2C52"/>
    <w:rsid w:val="001C16B9"/>
    <w:rsid w:val="001D0ED5"/>
    <w:rsid w:val="001E381F"/>
    <w:rsid w:val="001E4959"/>
    <w:rsid w:val="001F3596"/>
    <w:rsid w:val="001F43FB"/>
    <w:rsid w:val="00204F20"/>
    <w:rsid w:val="002066E4"/>
    <w:rsid w:val="00213ACB"/>
    <w:rsid w:val="00215753"/>
    <w:rsid w:val="00216AD2"/>
    <w:rsid w:val="002176FC"/>
    <w:rsid w:val="00222709"/>
    <w:rsid w:val="00222A1E"/>
    <w:rsid w:val="0022364A"/>
    <w:rsid w:val="00230130"/>
    <w:rsid w:val="00235962"/>
    <w:rsid w:val="00240EF4"/>
    <w:rsid w:val="002435BC"/>
    <w:rsid w:val="00254F47"/>
    <w:rsid w:val="00255E55"/>
    <w:rsid w:val="0027299B"/>
    <w:rsid w:val="00272C19"/>
    <w:rsid w:val="0029243A"/>
    <w:rsid w:val="00296453"/>
    <w:rsid w:val="002A1C80"/>
    <w:rsid w:val="002A2EB8"/>
    <w:rsid w:val="002A637B"/>
    <w:rsid w:val="002A6797"/>
    <w:rsid w:val="002A701F"/>
    <w:rsid w:val="002C06D2"/>
    <w:rsid w:val="002C121B"/>
    <w:rsid w:val="002E2A2D"/>
    <w:rsid w:val="002E620E"/>
    <w:rsid w:val="002E6524"/>
    <w:rsid w:val="002F6A7A"/>
    <w:rsid w:val="002F6D41"/>
    <w:rsid w:val="00312475"/>
    <w:rsid w:val="0031298D"/>
    <w:rsid w:val="003133C3"/>
    <w:rsid w:val="00313492"/>
    <w:rsid w:val="00314018"/>
    <w:rsid w:val="00327AF2"/>
    <w:rsid w:val="00337245"/>
    <w:rsid w:val="00337C11"/>
    <w:rsid w:val="003520D3"/>
    <w:rsid w:val="00355B6C"/>
    <w:rsid w:val="00356217"/>
    <w:rsid w:val="00356F8F"/>
    <w:rsid w:val="003628EA"/>
    <w:rsid w:val="00373D46"/>
    <w:rsid w:val="00374361"/>
    <w:rsid w:val="00377671"/>
    <w:rsid w:val="00380A40"/>
    <w:rsid w:val="00386011"/>
    <w:rsid w:val="00386269"/>
    <w:rsid w:val="00396EF2"/>
    <w:rsid w:val="003A142D"/>
    <w:rsid w:val="003A7EA4"/>
    <w:rsid w:val="003B04F9"/>
    <w:rsid w:val="003B1317"/>
    <w:rsid w:val="003B26F0"/>
    <w:rsid w:val="003B2DE8"/>
    <w:rsid w:val="003B45AA"/>
    <w:rsid w:val="003B544B"/>
    <w:rsid w:val="003B6ACA"/>
    <w:rsid w:val="003C00D0"/>
    <w:rsid w:val="003E1C2B"/>
    <w:rsid w:val="003E65A1"/>
    <w:rsid w:val="003F018D"/>
    <w:rsid w:val="003F5478"/>
    <w:rsid w:val="00400221"/>
    <w:rsid w:val="004008A0"/>
    <w:rsid w:val="00403084"/>
    <w:rsid w:val="00410B79"/>
    <w:rsid w:val="00410D06"/>
    <w:rsid w:val="00411998"/>
    <w:rsid w:val="00416BBE"/>
    <w:rsid w:val="00440189"/>
    <w:rsid w:val="00446865"/>
    <w:rsid w:val="00451914"/>
    <w:rsid w:val="00453FE5"/>
    <w:rsid w:val="004542AB"/>
    <w:rsid w:val="00471816"/>
    <w:rsid w:val="00475D4E"/>
    <w:rsid w:val="00486A67"/>
    <w:rsid w:val="00492639"/>
    <w:rsid w:val="004A1EE6"/>
    <w:rsid w:val="004A3A20"/>
    <w:rsid w:val="004A5CE5"/>
    <w:rsid w:val="004C040A"/>
    <w:rsid w:val="004C104D"/>
    <w:rsid w:val="004C49D7"/>
    <w:rsid w:val="004D4168"/>
    <w:rsid w:val="004D4189"/>
    <w:rsid w:val="004E2DD8"/>
    <w:rsid w:val="004E6074"/>
    <w:rsid w:val="004E6100"/>
    <w:rsid w:val="004F1431"/>
    <w:rsid w:val="00503751"/>
    <w:rsid w:val="0050477E"/>
    <w:rsid w:val="0050700F"/>
    <w:rsid w:val="00521F51"/>
    <w:rsid w:val="00522052"/>
    <w:rsid w:val="00522B05"/>
    <w:rsid w:val="005308D6"/>
    <w:rsid w:val="00541A34"/>
    <w:rsid w:val="005446CD"/>
    <w:rsid w:val="00551BEE"/>
    <w:rsid w:val="00552C01"/>
    <w:rsid w:val="0055326E"/>
    <w:rsid w:val="00581405"/>
    <w:rsid w:val="00596608"/>
    <w:rsid w:val="00597541"/>
    <w:rsid w:val="005A2261"/>
    <w:rsid w:val="005A3A77"/>
    <w:rsid w:val="005A5C27"/>
    <w:rsid w:val="005B20E0"/>
    <w:rsid w:val="005B284E"/>
    <w:rsid w:val="005B78AA"/>
    <w:rsid w:val="005C3315"/>
    <w:rsid w:val="005C586B"/>
    <w:rsid w:val="005C5B4E"/>
    <w:rsid w:val="005C5F58"/>
    <w:rsid w:val="005C6D3D"/>
    <w:rsid w:val="005D4DF5"/>
    <w:rsid w:val="005E2AC9"/>
    <w:rsid w:val="005F001F"/>
    <w:rsid w:val="00602829"/>
    <w:rsid w:val="00613B4A"/>
    <w:rsid w:val="00625E20"/>
    <w:rsid w:val="00641D07"/>
    <w:rsid w:val="00650980"/>
    <w:rsid w:val="00652500"/>
    <w:rsid w:val="00652C15"/>
    <w:rsid w:val="00660694"/>
    <w:rsid w:val="00663215"/>
    <w:rsid w:val="00672D3B"/>
    <w:rsid w:val="00676D5E"/>
    <w:rsid w:val="006857F5"/>
    <w:rsid w:val="0069494F"/>
    <w:rsid w:val="006A1F1A"/>
    <w:rsid w:val="006B06DA"/>
    <w:rsid w:val="006B215E"/>
    <w:rsid w:val="006B3B73"/>
    <w:rsid w:val="006B6C01"/>
    <w:rsid w:val="006C21EA"/>
    <w:rsid w:val="006C2801"/>
    <w:rsid w:val="006D17E4"/>
    <w:rsid w:val="006F30DE"/>
    <w:rsid w:val="0071559B"/>
    <w:rsid w:val="007502A2"/>
    <w:rsid w:val="00751BC7"/>
    <w:rsid w:val="00753570"/>
    <w:rsid w:val="007556B1"/>
    <w:rsid w:val="00755B7C"/>
    <w:rsid w:val="007600AF"/>
    <w:rsid w:val="00772B28"/>
    <w:rsid w:val="007731B7"/>
    <w:rsid w:val="00773508"/>
    <w:rsid w:val="00774CC3"/>
    <w:rsid w:val="00780CC0"/>
    <w:rsid w:val="00781B14"/>
    <w:rsid w:val="00791FD4"/>
    <w:rsid w:val="007B20A5"/>
    <w:rsid w:val="007C56B3"/>
    <w:rsid w:val="007D483F"/>
    <w:rsid w:val="007D7B33"/>
    <w:rsid w:val="007E264D"/>
    <w:rsid w:val="007E3468"/>
    <w:rsid w:val="007E48A1"/>
    <w:rsid w:val="007E60A8"/>
    <w:rsid w:val="007F0819"/>
    <w:rsid w:val="007F3AB7"/>
    <w:rsid w:val="007F3C31"/>
    <w:rsid w:val="00801460"/>
    <w:rsid w:val="008032D6"/>
    <w:rsid w:val="00817CED"/>
    <w:rsid w:val="0082328C"/>
    <w:rsid w:val="00823D76"/>
    <w:rsid w:val="008267B2"/>
    <w:rsid w:val="00830FEC"/>
    <w:rsid w:val="00842514"/>
    <w:rsid w:val="00844F6D"/>
    <w:rsid w:val="00846692"/>
    <w:rsid w:val="008517BE"/>
    <w:rsid w:val="00862744"/>
    <w:rsid w:val="00863488"/>
    <w:rsid w:val="00874A0A"/>
    <w:rsid w:val="008752E2"/>
    <w:rsid w:val="00875F60"/>
    <w:rsid w:val="008910C5"/>
    <w:rsid w:val="00891152"/>
    <w:rsid w:val="00895E67"/>
    <w:rsid w:val="008A3A01"/>
    <w:rsid w:val="008A7C35"/>
    <w:rsid w:val="008B3CBC"/>
    <w:rsid w:val="008E17A4"/>
    <w:rsid w:val="008F383B"/>
    <w:rsid w:val="008F53FB"/>
    <w:rsid w:val="008F6E2A"/>
    <w:rsid w:val="008F7A43"/>
    <w:rsid w:val="00901B67"/>
    <w:rsid w:val="00903FBE"/>
    <w:rsid w:val="00907169"/>
    <w:rsid w:val="00922BCA"/>
    <w:rsid w:val="00926402"/>
    <w:rsid w:val="00930159"/>
    <w:rsid w:val="00954FEE"/>
    <w:rsid w:val="00957FB1"/>
    <w:rsid w:val="00965C90"/>
    <w:rsid w:val="009678FE"/>
    <w:rsid w:val="00975AB9"/>
    <w:rsid w:val="00976F8F"/>
    <w:rsid w:val="00980D6E"/>
    <w:rsid w:val="009857C1"/>
    <w:rsid w:val="00994F95"/>
    <w:rsid w:val="009A29D8"/>
    <w:rsid w:val="009B350E"/>
    <w:rsid w:val="009D1553"/>
    <w:rsid w:val="009D76E3"/>
    <w:rsid w:val="009E4BAE"/>
    <w:rsid w:val="009F08F4"/>
    <w:rsid w:val="009F18F5"/>
    <w:rsid w:val="009F3254"/>
    <w:rsid w:val="009F3C00"/>
    <w:rsid w:val="009F4756"/>
    <w:rsid w:val="009F76EA"/>
    <w:rsid w:val="00A03D9C"/>
    <w:rsid w:val="00A12E56"/>
    <w:rsid w:val="00A21A8D"/>
    <w:rsid w:val="00A24C0E"/>
    <w:rsid w:val="00A25040"/>
    <w:rsid w:val="00A32004"/>
    <w:rsid w:val="00A44D0B"/>
    <w:rsid w:val="00A50392"/>
    <w:rsid w:val="00A52512"/>
    <w:rsid w:val="00A55D85"/>
    <w:rsid w:val="00A611EC"/>
    <w:rsid w:val="00A7061F"/>
    <w:rsid w:val="00A725F5"/>
    <w:rsid w:val="00A84320"/>
    <w:rsid w:val="00A90099"/>
    <w:rsid w:val="00A91BDE"/>
    <w:rsid w:val="00A955FB"/>
    <w:rsid w:val="00A9741A"/>
    <w:rsid w:val="00AA5442"/>
    <w:rsid w:val="00AB1AFD"/>
    <w:rsid w:val="00AB62EF"/>
    <w:rsid w:val="00AB7390"/>
    <w:rsid w:val="00AC0986"/>
    <w:rsid w:val="00AC56BE"/>
    <w:rsid w:val="00AE2A65"/>
    <w:rsid w:val="00AF1EF1"/>
    <w:rsid w:val="00AF3D48"/>
    <w:rsid w:val="00AF4AF8"/>
    <w:rsid w:val="00AF57FF"/>
    <w:rsid w:val="00B0090E"/>
    <w:rsid w:val="00B10691"/>
    <w:rsid w:val="00B10D87"/>
    <w:rsid w:val="00B130A3"/>
    <w:rsid w:val="00B4146A"/>
    <w:rsid w:val="00B43848"/>
    <w:rsid w:val="00B461E3"/>
    <w:rsid w:val="00B64AE3"/>
    <w:rsid w:val="00B6578D"/>
    <w:rsid w:val="00B723D0"/>
    <w:rsid w:val="00B741F6"/>
    <w:rsid w:val="00B75C5F"/>
    <w:rsid w:val="00B83457"/>
    <w:rsid w:val="00B94F4C"/>
    <w:rsid w:val="00B955F9"/>
    <w:rsid w:val="00B967CA"/>
    <w:rsid w:val="00BA09E6"/>
    <w:rsid w:val="00BA5860"/>
    <w:rsid w:val="00BA7D8F"/>
    <w:rsid w:val="00BB1F9E"/>
    <w:rsid w:val="00BC111C"/>
    <w:rsid w:val="00BC3D9D"/>
    <w:rsid w:val="00BC4C6A"/>
    <w:rsid w:val="00BC5C60"/>
    <w:rsid w:val="00BC65F7"/>
    <w:rsid w:val="00BD06A0"/>
    <w:rsid w:val="00BD7AE0"/>
    <w:rsid w:val="00BE2363"/>
    <w:rsid w:val="00BE28D7"/>
    <w:rsid w:val="00BE2949"/>
    <w:rsid w:val="00BF04C2"/>
    <w:rsid w:val="00BF44A1"/>
    <w:rsid w:val="00BF543C"/>
    <w:rsid w:val="00C007DD"/>
    <w:rsid w:val="00C01BF3"/>
    <w:rsid w:val="00C15EA3"/>
    <w:rsid w:val="00C166AA"/>
    <w:rsid w:val="00C22F4A"/>
    <w:rsid w:val="00C27A7F"/>
    <w:rsid w:val="00C3032D"/>
    <w:rsid w:val="00C3056D"/>
    <w:rsid w:val="00C32206"/>
    <w:rsid w:val="00C4352F"/>
    <w:rsid w:val="00C45442"/>
    <w:rsid w:val="00C535D4"/>
    <w:rsid w:val="00C55D94"/>
    <w:rsid w:val="00C568AA"/>
    <w:rsid w:val="00C61989"/>
    <w:rsid w:val="00C66D33"/>
    <w:rsid w:val="00C741EF"/>
    <w:rsid w:val="00C94DB1"/>
    <w:rsid w:val="00C95370"/>
    <w:rsid w:val="00C968CB"/>
    <w:rsid w:val="00CB6F11"/>
    <w:rsid w:val="00CD4228"/>
    <w:rsid w:val="00CD4EEC"/>
    <w:rsid w:val="00CD5FA8"/>
    <w:rsid w:val="00CE0B7C"/>
    <w:rsid w:val="00CF5974"/>
    <w:rsid w:val="00CF7116"/>
    <w:rsid w:val="00D0721D"/>
    <w:rsid w:val="00D10C16"/>
    <w:rsid w:val="00D202D3"/>
    <w:rsid w:val="00D23450"/>
    <w:rsid w:val="00D26B41"/>
    <w:rsid w:val="00D307C7"/>
    <w:rsid w:val="00D3456F"/>
    <w:rsid w:val="00D35943"/>
    <w:rsid w:val="00D361CB"/>
    <w:rsid w:val="00D376D6"/>
    <w:rsid w:val="00D429A6"/>
    <w:rsid w:val="00D446C7"/>
    <w:rsid w:val="00D44C12"/>
    <w:rsid w:val="00D50050"/>
    <w:rsid w:val="00D51AC0"/>
    <w:rsid w:val="00D52D92"/>
    <w:rsid w:val="00D5421D"/>
    <w:rsid w:val="00D5635F"/>
    <w:rsid w:val="00D61799"/>
    <w:rsid w:val="00D66DD2"/>
    <w:rsid w:val="00D71FDC"/>
    <w:rsid w:val="00D757FE"/>
    <w:rsid w:val="00D9162B"/>
    <w:rsid w:val="00DA2530"/>
    <w:rsid w:val="00DB2158"/>
    <w:rsid w:val="00DB48AD"/>
    <w:rsid w:val="00DD0604"/>
    <w:rsid w:val="00DD31FE"/>
    <w:rsid w:val="00DF3774"/>
    <w:rsid w:val="00DF50F2"/>
    <w:rsid w:val="00E00C56"/>
    <w:rsid w:val="00E01009"/>
    <w:rsid w:val="00E017BC"/>
    <w:rsid w:val="00E11AC2"/>
    <w:rsid w:val="00E13646"/>
    <w:rsid w:val="00E352D1"/>
    <w:rsid w:val="00E37E26"/>
    <w:rsid w:val="00E42C70"/>
    <w:rsid w:val="00E45D4A"/>
    <w:rsid w:val="00E5368F"/>
    <w:rsid w:val="00E56418"/>
    <w:rsid w:val="00E57279"/>
    <w:rsid w:val="00E573F0"/>
    <w:rsid w:val="00E66BD3"/>
    <w:rsid w:val="00E71CC0"/>
    <w:rsid w:val="00E74811"/>
    <w:rsid w:val="00E83173"/>
    <w:rsid w:val="00EB52B9"/>
    <w:rsid w:val="00EB590C"/>
    <w:rsid w:val="00EB5E89"/>
    <w:rsid w:val="00EB64E8"/>
    <w:rsid w:val="00EB6E05"/>
    <w:rsid w:val="00ED4F66"/>
    <w:rsid w:val="00EE17B5"/>
    <w:rsid w:val="00EF3199"/>
    <w:rsid w:val="00EF7E8A"/>
    <w:rsid w:val="00F14175"/>
    <w:rsid w:val="00F16A3D"/>
    <w:rsid w:val="00F16C1D"/>
    <w:rsid w:val="00F17D3E"/>
    <w:rsid w:val="00F2135D"/>
    <w:rsid w:val="00F253E0"/>
    <w:rsid w:val="00F31106"/>
    <w:rsid w:val="00F36C57"/>
    <w:rsid w:val="00F45E02"/>
    <w:rsid w:val="00F57CC0"/>
    <w:rsid w:val="00F64BF7"/>
    <w:rsid w:val="00F67BDA"/>
    <w:rsid w:val="00F85E77"/>
    <w:rsid w:val="00F95B46"/>
    <w:rsid w:val="00FA2D27"/>
    <w:rsid w:val="00FA4DAD"/>
    <w:rsid w:val="00FA70C9"/>
    <w:rsid w:val="00FC158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ACB"/>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1"/>
    <w:rsid w:val="00C3032D"/>
    <w:pPr>
      <w:spacing w:line="240" w:lineRule="auto"/>
    </w:pPr>
    <w:rPr>
      <w:rFonts w:eastAsia="Times New Roman"/>
      <w:sz w:val="16"/>
      <w:lang w:val="en-GB" w:eastAsia="en-US"/>
    </w:rPr>
  </w:style>
  <w:style w:type="character" w:customStyle="1" w:styleId="FooterChar1">
    <w:name w:val="Footer Char1"/>
    <w:link w:val="Footer"/>
    <w:rsid w:val="00C3032D"/>
    <w:rPr>
      <w:snapToGrid w:val="0"/>
      <w:sz w:val="16"/>
      <w:lang w:val="en-GB" w:eastAsia="en-US" w:bidi="ar-SA"/>
    </w:rPr>
  </w:style>
  <w:style w:type="paragraph" w:customStyle="1" w:styleId="DashGC">
    <w:name w:val="_Dash_GC"/>
    <w:basedOn w:val="Normal"/>
    <w:rsid w:val="009D1553"/>
    <w:pPr>
      <w:numPr>
        <w:numId w:val="3"/>
      </w:numPr>
    </w:pPr>
    <w:rPr>
      <w:lang w:val="fr-CH"/>
    </w:rPr>
  </w:style>
  <w:style w:type="paragraph" w:styleId="FootnoteText">
    <w:name w:val="footnote text"/>
    <w:basedOn w:val="Normal"/>
    <w:rsid w:val="009D1553"/>
    <w:pPr>
      <w:tabs>
        <w:tab w:val="clear" w:pos="431"/>
        <w:tab w:val="right" w:pos="1021"/>
      </w:tabs>
      <w:spacing w:after="120" w:line="240" w:lineRule="exact"/>
      <w:ind w:left="1134" w:right="1134" w:hanging="1134"/>
    </w:pPr>
    <w:rPr>
      <w:sz w:val="18"/>
    </w:rPr>
  </w:style>
  <w:style w:type="character" w:styleId="FootnoteReference">
    <w:name w:val="footnote reference"/>
    <w:rsid w:val="00C007DD"/>
    <w:rPr>
      <w:rFonts w:ascii="Times New Roman" w:hAnsi="Times New Roman"/>
      <w:dstrike w:val="0"/>
      <w:color w:val="0000FF"/>
      <w:spacing w:val="0"/>
      <w:w w:val="100"/>
      <w:kern w:val="0"/>
      <w:position w:val="0"/>
      <w:sz w:val="21"/>
      <w:vertAlign w:val="superscript"/>
    </w:rPr>
  </w:style>
  <w:style w:type="paragraph" w:customStyle="1" w:styleId="a1">
    <w:name w:val="缩进正文"/>
    <w:basedOn w:val="SingleTxtGC"/>
    <w:rsid w:val="008A7C35"/>
    <w:pPr>
      <w:ind w:left="1565"/>
    </w:pPr>
  </w:style>
  <w:style w:type="paragraph" w:styleId="EndnoteText">
    <w:name w:val="endnote text"/>
    <w:basedOn w:val="FootnoteText"/>
    <w:rsid w:val="009D1553"/>
    <w:pPr>
      <w:tabs>
        <w:tab w:val="right" w:pos="1021"/>
      </w:tabs>
    </w:pPr>
  </w:style>
  <w:style w:type="character" w:styleId="EndnoteReference">
    <w:name w:val="endnote reference"/>
    <w:basedOn w:val="FootnoteReference"/>
    <w:rsid w:val="00C007DD"/>
    <w:rPr>
      <w:rFonts w:ascii="Times New Roman" w:hAnsi="Times New Roman"/>
      <w:dstrike w:val="0"/>
      <w:color w:val="0000FF"/>
      <w:spacing w:val="0"/>
      <w:w w:val="100"/>
      <w:kern w:val="0"/>
      <w:position w:val="0"/>
      <w:sz w:val="21"/>
      <w:vertAlign w:val="superscript"/>
    </w:rPr>
  </w:style>
  <w:style w:type="paragraph" w:customStyle="1" w:styleId="a2">
    <w:name w:val="表中标题"/>
    <w:basedOn w:val="SingleTxtGC"/>
    <w:rsid w:val="00BA5860"/>
    <w:pPr>
      <w:spacing w:before="80" w:after="80" w:line="200" w:lineRule="exact"/>
      <w:ind w:left="0" w:right="113"/>
    </w:pPr>
    <w:rPr>
      <w:rFonts w:eastAsia="KaiTi_GB2312"/>
      <w:sz w:val="18"/>
    </w:rPr>
  </w:style>
  <w:style w:type="paragraph" w:customStyle="1" w:styleId="a3">
    <w:name w:val="目录段页次"/>
    <w:basedOn w:val="Normal"/>
    <w:rsid w:val="00895E67"/>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4">
    <w:name w:val="目录页次"/>
    <w:basedOn w:val="Normal"/>
    <w:rsid w:val="00895E67"/>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9D1553"/>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character" w:styleId="PageNumber">
    <w:name w:val="page number"/>
    <w:rsid w:val="00213ACB"/>
    <w:rPr>
      <w:rFonts w:ascii="Times New Roman" w:hAnsi="Times New Roman"/>
      <w:b/>
      <w:spacing w:val="0"/>
      <w:kern w:val="0"/>
      <w:sz w:val="18"/>
    </w:rPr>
  </w:style>
  <w:style w:type="paragraph" w:styleId="Header">
    <w:name w:val="header"/>
    <w:basedOn w:val="Normal"/>
    <w:rsid w:val="00213AC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213ACB"/>
    <w:pPr>
      <w:numPr>
        <w:numId w:val="1"/>
      </w:numPr>
      <w:spacing w:after="120"/>
      <w:ind w:right="1134"/>
    </w:pPr>
  </w:style>
  <w:style w:type="paragraph" w:customStyle="1" w:styleId="Bullet2GC">
    <w:name w:val="_Bullet 2_GC"/>
    <w:basedOn w:val="Normal"/>
    <w:rsid w:val="009D1553"/>
    <w:pPr>
      <w:numPr>
        <w:numId w:val="2"/>
      </w:numPr>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96EF2"/>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96EF2"/>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96EF2"/>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96EF2"/>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96EF2"/>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96EF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A7EA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00592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00592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00592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00592D"/>
    <w:pPr>
      <w:keepNext/>
      <w:keepLines/>
      <w:spacing w:before="240" w:after="240" w:line="420" w:lineRule="exact"/>
      <w:ind w:left="1134" w:right="1134"/>
      <w:jc w:val="left"/>
    </w:pPr>
    <w:rPr>
      <w:rFonts w:eastAsia="SimHei"/>
      <w:sz w:val="40"/>
    </w:rPr>
  </w:style>
  <w:style w:type="paragraph" w:customStyle="1" w:styleId="a5">
    <w:name w:val="悬挂"/>
    <w:basedOn w:val="SingleTxtGC"/>
    <w:rsid w:val="00652C15"/>
    <w:pPr>
      <w:ind w:left="1565" w:hanging="431"/>
    </w:pPr>
  </w:style>
  <w:style w:type="paragraph" w:customStyle="1" w:styleId="a6">
    <w:name w:val="表中文字"/>
    <w:basedOn w:val="SingleTxtGC"/>
    <w:rsid w:val="00830FEC"/>
    <w:pPr>
      <w:spacing w:before="40" w:line="240" w:lineRule="atLeast"/>
      <w:ind w:left="0" w:right="113"/>
    </w:pPr>
    <w:rPr>
      <w:sz w:val="18"/>
    </w:rPr>
  </w:style>
  <w:style w:type="paragraph" w:customStyle="1" w:styleId="a7">
    <w:name w:val="表数文字"/>
    <w:basedOn w:val="SingleTxtGC"/>
    <w:rsid w:val="00165069"/>
    <w:pPr>
      <w:spacing w:before="40" w:after="40" w:line="240" w:lineRule="atLeast"/>
      <w:ind w:left="0" w:right="113"/>
    </w:pPr>
    <w:rPr>
      <w:sz w:val="18"/>
    </w:rPr>
  </w:style>
  <w:style w:type="paragraph" w:customStyle="1" w:styleId="12cm">
    <w:name w:val="12cm落款"/>
    <w:basedOn w:val="Normal"/>
    <w:rsid w:val="00BD06A0"/>
    <w:pPr>
      <w:keepLines/>
      <w:widowControl w:val="0"/>
      <w:tabs>
        <w:tab w:val="clear" w:pos="431"/>
        <w:tab w:val="left" w:pos="510"/>
      </w:tabs>
      <w:spacing w:before="160" w:after="280" w:line="288" w:lineRule="auto"/>
      <w:ind w:left="6804"/>
      <w:jc w:val="left"/>
    </w:pPr>
    <w:rPr>
      <w:spacing w:val="10"/>
      <w:sz w:val="24"/>
    </w:rPr>
  </w:style>
  <w:style w:type="paragraph" w:customStyle="1" w:styleId="9cm">
    <w:name w:val="9cm落款"/>
    <w:basedOn w:val="Normal"/>
    <w:rsid w:val="00BD06A0"/>
    <w:pPr>
      <w:keepLines/>
      <w:widowControl w:val="0"/>
      <w:tabs>
        <w:tab w:val="clear" w:pos="431"/>
        <w:tab w:val="left" w:pos="510"/>
      </w:tabs>
      <w:spacing w:before="160" w:after="280" w:line="288" w:lineRule="auto"/>
      <w:ind w:left="5103"/>
      <w:jc w:val="left"/>
    </w:pPr>
    <w:rPr>
      <w:spacing w:val="10"/>
      <w:sz w:val="24"/>
    </w:rPr>
  </w:style>
  <w:style w:type="paragraph" w:styleId="NormalIndent">
    <w:name w:val="Normal Indent"/>
    <w:basedOn w:val="Normal"/>
    <w:rsid w:val="00BD06A0"/>
    <w:pPr>
      <w:widowControl w:val="0"/>
      <w:tabs>
        <w:tab w:val="clear" w:pos="431"/>
      </w:tabs>
      <w:spacing w:line="336" w:lineRule="auto"/>
      <w:ind w:firstLine="510"/>
    </w:pPr>
    <w:rPr>
      <w:spacing w:val="10"/>
      <w:sz w:val="24"/>
    </w:rPr>
  </w:style>
  <w:style w:type="paragraph" w:customStyle="1" w:styleId="a8">
    <w:name w:val="黑体标题"/>
    <w:next w:val="Normal"/>
    <w:rsid w:val="00BD06A0"/>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9">
    <w:name w:val="横眉"/>
    <w:basedOn w:val="Header"/>
    <w:autoRedefine/>
    <w:rsid w:val="00BD06A0"/>
    <w:pPr>
      <w:widowControl w:val="0"/>
      <w:pBdr>
        <w:bottom w:val="none" w:sz="0" w:space="0" w:color="auto"/>
      </w:pBdr>
      <w:tabs>
        <w:tab w:val="clear" w:pos="431"/>
        <w:tab w:val="left" w:pos="1202"/>
        <w:tab w:val="left" w:pos="7144"/>
      </w:tabs>
      <w:overflowPunct/>
      <w:snapToGrid/>
      <w:spacing w:line="160" w:lineRule="exact"/>
      <w:jc w:val="left"/>
    </w:pPr>
    <w:rPr>
      <w:rFonts w:ascii="Courier New" w:eastAsia="KaiTi_GB2312" w:hAnsi="Courier New"/>
      <w:b w:val="0"/>
      <w:snapToGrid/>
      <w:sz w:val="20"/>
    </w:rPr>
  </w:style>
  <w:style w:type="paragraph" w:customStyle="1" w:styleId="aa">
    <w:name w:val="居中页眉"/>
    <w:basedOn w:val="Header"/>
    <w:rsid w:val="00BD06A0"/>
    <w:pPr>
      <w:widowControl w:val="0"/>
      <w:pBdr>
        <w:bottom w:val="none" w:sz="0" w:space="0" w:color="auto"/>
      </w:pBdr>
      <w:tabs>
        <w:tab w:val="clear" w:pos="431"/>
        <w:tab w:val="left" w:pos="1202"/>
        <w:tab w:val="left" w:pos="7144"/>
      </w:tabs>
      <w:overflowPunct/>
      <w:snapToGrid/>
      <w:spacing w:line="288" w:lineRule="auto"/>
      <w:jc w:val="left"/>
    </w:pPr>
    <w:rPr>
      <w:rFonts w:eastAsia="KaiTi_GB2312" w:hAnsi="Courier New"/>
      <w:b w:val="0"/>
      <w:snapToGrid/>
      <w:sz w:val="20"/>
    </w:rPr>
  </w:style>
  <w:style w:type="paragraph" w:customStyle="1" w:styleId="ab">
    <w:name w:val="楷体"/>
    <w:basedOn w:val="Normal"/>
    <w:rsid w:val="00BD06A0"/>
    <w:pPr>
      <w:widowControl w:val="0"/>
      <w:tabs>
        <w:tab w:val="clear" w:pos="431"/>
      </w:tabs>
      <w:spacing w:line="336" w:lineRule="auto"/>
    </w:pPr>
    <w:rPr>
      <w:rFonts w:eastAsia="KaiTi_GB2312"/>
      <w:snapToGrid/>
      <w:sz w:val="24"/>
    </w:rPr>
  </w:style>
  <w:style w:type="paragraph" w:customStyle="1" w:styleId="ac">
    <w:name w:val="目录"/>
    <w:basedOn w:val="Normal"/>
    <w:rsid w:val="00BD06A0"/>
    <w:pPr>
      <w:widowControl w:val="0"/>
      <w:tabs>
        <w:tab w:val="clear" w:pos="431"/>
        <w:tab w:val="left" w:pos="510"/>
        <w:tab w:val="left" w:pos="7201"/>
        <w:tab w:val="left" w:pos="7711"/>
        <w:tab w:val="left" w:pos="8618"/>
        <w:tab w:val="right" w:pos="9356"/>
      </w:tabs>
      <w:spacing w:line="360" w:lineRule="auto"/>
      <w:jc w:val="left"/>
    </w:pPr>
    <w:rPr>
      <w:rFonts w:eastAsia="KaiTi_GB2312"/>
      <w:noProof/>
      <w:snapToGrid/>
      <w:sz w:val="24"/>
    </w:rPr>
  </w:style>
  <w:style w:type="paragraph" w:customStyle="1" w:styleId="ad">
    <w:name w:val="目录段次"/>
    <w:basedOn w:val="Normal"/>
    <w:rsid w:val="00BD06A0"/>
    <w:pPr>
      <w:widowControl w:val="0"/>
      <w:tabs>
        <w:tab w:val="clear" w:pos="431"/>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rPr>
      <w:spacing w:val="10"/>
      <w:sz w:val="24"/>
    </w:rPr>
  </w:style>
  <w:style w:type="paragraph" w:customStyle="1" w:styleId="ae">
    <w:name w:val="首页页眉"/>
    <w:basedOn w:val="Normal"/>
    <w:rsid w:val="00BD06A0"/>
    <w:pPr>
      <w:widowControl w:val="0"/>
      <w:tabs>
        <w:tab w:val="clear" w:pos="431"/>
        <w:tab w:val="left" w:pos="510"/>
      </w:tabs>
      <w:suppressAutoHyphens/>
      <w:spacing w:line="288" w:lineRule="auto"/>
      <w:jc w:val="left"/>
    </w:pPr>
    <w:rPr>
      <w:rFonts w:ascii="Univers Bold" w:hAnsi="Univers Bold"/>
      <w:snapToGrid/>
      <w:sz w:val="24"/>
    </w:rPr>
  </w:style>
  <w:style w:type="paragraph" w:customStyle="1" w:styleId="af">
    <w:name w:val="表决"/>
    <w:basedOn w:val="Normal"/>
    <w:rsid w:val="00BD06A0"/>
    <w:pPr>
      <w:tabs>
        <w:tab w:val="clear" w:pos="431"/>
      </w:tabs>
      <w:spacing w:line="336" w:lineRule="auto"/>
      <w:ind w:left="2042" w:hanging="1021"/>
    </w:pPr>
    <w:rPr>
      <w:spacing w:val="10"/>
      <w:sz w:val="24"/>
    </w:rPr>
  </w:style>
  <w:style w:type="paragraph" w:customStyle="1" w:styleId="x">
    <w:name w:val="悬挂[(x)"/>
    <w:basedOn w:val="Normal"/>
    <w:rsid w:val="00BD06A0"/>
    <w:pPr>
      <w:tabs>
        <w:tab w:val="clear" w:pos="431"/>
      </w:tabs>
      <w:spacing w:line="336" w:lineRule="auto"/>
      <w:ind w:left="1531" w:hanging="595"/>
    </w:pPr>
    <w:rPr>
      <w:spacing w:val="10"/>
      <w:sz w:val="24"/>
    </w:rPr>
  </w:style>
  <w:style w:type="paragraph" w:customStyle="1" w:styleId="x0">
    <w:name w:val="悬挂“(x)"/>
    <w:basedOn w:val="Normal"/>
    <w:rsid w:val="00BD06A0"/>
    <w:pPr>
      <w:tabs>
        <w:tab w:val="clear" w:pos="431"/>
      </w:tabs>
      <w:adjustRightInd/>
      <w:spacing w:line="336" w:lineRule="auto"/>
      <w:ind w:left="1531" w:hanging="794"/>
    </w:pPr>
    <w:rPr>
      <w:spacing w:val="10"/>
      <w:sz w:val="24"/>
    </w:rPr>
  </w:style>
  <w:style w:type="paragraph" w:customStyle="1" w:styleId="a0">
    <w:name w:val="悬挂符号－"/>
    <w:basedOn w:val="a5"/>
    <w:rsid w:val="00BD06A0"/>
    <w:pPr>
      <w:numPr>
        <w:numId w:val="4"/>
      </w:numPr>
      <w:tabs>
        <w:tab w:val="clear" w:pos="431"/>
        <w:tab w:val="clear" w:pos="510"/>
        <w:tab w:val="clear" w:pos="1134"/>
        <w:tab w:val="clear" w:pos="1565"/>
        <w:tab w:val="clear" w:pos="1996"/>
        <w:tab w:val="clear" w:pos="2427"/>
      </w:tabs>
      <w:spacing w:after="0" w:line="336" w:lineRule="auto"/>
      <w:ind w:right="0"/>
    </w:pPr>
    <w:rPr>
      <w:spacing w:val="10"/>
      <w:sz w:val="24"/>
    </w:rPr>
  </w:style>
  <w:style w:type="paragraph" w:customStyle="1" w:styleId="a">
    <w:name w:val="悬挂符号●"/>
    <w:basedOn w:val="Normal"/>
    <w:rsid w:val="00BD06A0"/>
    <w:pPr>
      <w:numPr>
        <w:numId w:val="5"/>
      </w:numPr>
      <w:tabs>
        <w:tab w:val="clear" w:pos="431"/>
      </w:tabs>
      <w:spacing w:line="336" w:lineRule="auto"/>
    </w:pPr>
    <w:rPr>
      <w:spacing w:val="10"/>
      <w:sz w:val="24"/>
    </w:rPr>
  </w:style>
  <w:style w:type="paragraph" w:customStyle="1" w:styleId="1L">
    <w:name w:val="页眉1L"/>
    <w:basedOn w:val="Normal"/>
    <w:autoRedefine/>
    <w:rsid w:val="00BD06A0"/>
    <w:pPr>
      <w:framePr w:w="1542" w:h="627" w:hSpace="210" w:wrap="around" w:vAnchor="page" w:hAnchor="margin" w:y="1135"/>
      <w:widowControl w:val="0"/>
      <w:tabs>
        <w:tab w:val="clear" w:pos="431"/>
      </w:tabs>
      <w:spacing w:line="240" w:lineRule="auto"/>
      <w:ind w:left="193"/>
    </w:pPr>
    <w:rPr>
      <w:rFonts w:ascii="SimHei" w:eastAsia="SimHei"/>
      <w:snapToGrid/>
      <w:spacing w:val="50"/>
      <w:sz w:val="32"/>
    </w:rPr>
  </w:style>
  <w:style w:type="paragraph" w:customStyle="1" w:styleId="1m1">
    <w:name w:val="页眉1m1"/>
    <w:basedOn w:val="Normal"/>
    <w:rsid w:val="00BD06A0"/>
    <w:pPr>
      <w:widowControl w:val="0"/>
      <w:tabs>
        <w:tab w:val="clear" w:pos="431"/>
      </w:tabs>
      <w:suppressAutoHyphens/>
      <w:spacing w:line="360" w:lineRule="auto"/>
    </w:pPr>
    <w:rPr>
      <w:rFonts w:ascii="SimHei" w:eastAsia="SimHei"/>
      <w:snapToGrid/>
      <w:spacing w:val="40"/>
      <w:sz w:val="40"/>
    </w:rPr>
  </w:style>
  <w:style w:type="paragraph" w:customStyle="1" w:styleId="1m2">
    <w:name w:val="页眉1m2"/>
    <w:basedOn w:val="Normal"/>
    <w:rsid w:val="00BD06A0"/>
    <w:pPr>
      <w:widowControl w:val="0"/>
      <w:tabs>
        <w:tab w:val="clear" w:pos="431"/>
      </w:tabs>
      <w:suppressAutoHyphens/>
      <w:spacing w:line="360" w:lineRule="auto"/>
    </w:pPr>
    <w:rPr>
      <w:rFonts w:ascii="SimHei" w:eastAsia="SimHei"/>
      <w:snapToGrid/>
      <w:spacing w:val="60"/>
      <w:sz w:val="40"/>
    </w:rPr>
  </w:style>
  <w:style w:type="paragraph" w:customStyle="1" w:styleId="1R1">
    <w:name w:val="页眉1R1"/>
    <w:basedOn w:val="Normal"/>
    <w:rsid w:val="00BD06A0"/>
    <w:pPr>
      <w:widowControl w:val="0"/>
      <w:tabs>
        <w:tab w:val="clear" w:pos="431"/>
      </w:tabs>
      <w:suppressAutoHyphens/>
      <w:spacing w:line="240" w:lineRule="auto"/>
    </w:pPr>
    <w:rPr>
      <w:rFonts w:ascii="Univers (WN)" w:hAnsi="Univers (WN)"/>
      <w:b/>
      <w:snapToGrid/>
      <w:sz w:val="60"/>
    </w:rPr>
  </w:style>
  <w:style w:type="paragraph" w:styleId="BodyText">
    <w:name w:val="Body Text"/>
    <w:basedOn w:val="Normal"/>
    <w:rsid w:val="00BD06A0"/>
    <w:pPr>
      <w:widowControl w:val="0"/>
      <w:tabs>
        <w:tab w:val="clear" w:pos="431"/>
      </w:tabs>
      <w:spacing w:line="336" w:lineRule="auto"/>
    </w:pPr>
    <w:rPr>
      <w:snapToGrid/>
      <w:spacing w:val="10"/>
      <w:sz w:val="24"/>
    </w:rPr>
  </w:style>
  <w:style w:type="paragraph" w:customStyle="1" w:styleId="af0">
    <w:name w:val="英文本"/>
    <w:basedOn w:val="EndnoteText"/>
    <w:rsid w:val="00BD06A0"/>
    <w:pPr>
      <w:tabs>
        <w:tab w:val="clear" w:pos="1021"/>
      </w:tabs>
      <w:overflowPunct/>
      <w:spacing w:line="240" w:lineRule="auto"/>
      <w:ind w:left="0" w:right="0" w:firstLine="0"/>
      <w:jc w:val="left"/>
    </w:pPr>
    <w:rPr>
      <w:rFonts w:eastAsia="KaiTi_GB2312"/>
      <w:sz w:val="22"/>
      <w:lang w:val="en-GB" w:eastAsia="en-US"/>
    </w:rPr>
  </w:style>
  <w:style w:type="paragraph" w:customStyle="1" w:styleId="1">
    <w:name w:val="题1"/>
    <w:basedOn w:val="Normal"/>
    <w:next w:val="Normal"/>
    <w:rsid w:val="00BD06A0"/>
    <w:pPr>
      <w:keepNext/>
      <w:keepLines/>
      <w:widowControl w:val="0"/>
      <w:tabs>
        <w:tab w:val="clear" w:pos="431"/>
        <w:tab w:val="left" w:pos="510"/>
        <w:tab w:val="left" w:pos="1021"/>
        <w:tab w:val="left" w:pos="1531"/>
      </w:tabs>
      <w:overflowPunct/>
      <w:spacing w:after="320" w:line="288" w:lineRule="auto"/>
      <w:jc w:val="center"/>
      <w:outlineLvl w:val="0"/>
    </w:pPr>
    <w:rPr>
      <w:b/>
      <w:spacing w:val="10"/>
      <w:sz w:val="30"/>
    </w:rPr>
  </w:style>
  <w:style w:type="paragraph" w:customStyle="1" w:styleId="2">
    <w:name w:val="题2"/>
    <w:basedOn w:val="Normal"/>
    <w:next w:val="Normal"/>
    <w:rsid w:val="00BD06A0"/>
    <w:pPr>
      <w:keepNext/>
      <w:keepLines/>
      <w:widowControl w:val="0"/>
      <w:tabs>
        <w:tab w:val="clear" w:pos="431"/>
      </w:tabs>
      <w:overflowPunct/>
      <w:spacing w:before="320" w:after="240" w:line="288" w:lineRule="auto"/>
      <w:jc w:val="center"/>
      <w:outlineLvl w:val="1"/>
    </w:pPr>
    <w:rPr>
      <w:spacing w:val="10"/>
      <w:sz w:val="28"/>
    </w:rPr>
  </w:style>
  <w:style w:type="paragraph" w:customStyle="1" w:styleId="3">
    <w:name w:val="题3"/>
    <w:basedOn w:val="Normal"/>
    <w:next w:val="Normal"/>
    <w:rsid w:val="00BD06A0"/>
    <w:pPr>
      <w:keepNext/>
      <w:keepLines/>
      <w:widowControl w:val="0"/>
      <w:tabs>
        <w:tab w:val="clear" w:pos="431"/>
        <w:tab w:val="left" w:pos="510"/>
        <w:tab w:val="left" w:pos="1021"/>
        <w:tab w:val="left" w:pos="1531"/>
      </w:tabs>
      <w:overflowPunct/>
      <w:spacing w:before="320" w:after="320" w:line="336" w:lineRule="auto"/>
      <w:jc w:val="center"/>
      <w:outlineLvl w:val="2"/>
    </w:pPr>
    <w:rPr>
      <w:spacing w:val="10"/>
      <w:sz w:val="24"/>
      <w:u w:val="single"/>
    </w:rPr>
  </w:style>
  <w:style w:type="paragraph" w:customStyle="1" w:styleId="4">
    <w:name w:val="题4"/>
    <w:basedOn w:val="Normal"/>
    <w:next w:val="Normal"/>
    <w:rsid w:val="00BD06A0"/>
    <w:pPr>
      <w:keepNext/>
      <w:keepLines/>
      <w:widowControl w:val="0"/>
      <w:tabs>
        <w:tab w:val="clear" w:pos="431"/>
        <w:tab w:val="left" w:pos="510"/>
        <w:tab w:val="left" w:pos="1021"/>
        <w:tab w:val="left" w:pos="1531"/>
      </w:tabs>
      <w:overflowPunct/>
      <w:spacing w:before="320" w:after="320" w:line="336" w:lineRule="auto"/>
      <w:jc w:val="left"/>
      <w:outlineLvl w:val="3"/>
    </w:pPr>
    <w:rPr>
      <w:spacing w:val="10"/>
      <w:sz w:val="24"/>
      <w:u w:val="single"/>
    </w:rPr>
  </w:style>
  <w:style w:type="paragraph" w:customStyle="1" w:styleId="af1">
    <w:name w:val="文"/>
    <w:rsid w:val="00BD06A0"/>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rsid w:val="00BD06A0"/>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PMingLiU"/>
      <w:b/>
      <w:snapToGrid/>
      <w:sz w:val="34"/>
      <w:lang w:val="en-GB" w:eastAsia="en-US"/>
    </w:rPr>
  </w:style>
  <w:style w:type="paragraph" w:customStyle="1" w:styleId="HChG">
    <w:name w:val="_ H _Ch_G"/>
    <w:basedOn w:val="Normal"/>
    <w:next w:val="Normal"/>
    <w:rsid w:val="00BD06A0"/>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PMingLiU"/>
      <w:b/>
      <w:snapToGrid/>
      <w:sz w:val="28"/>
      <w:lang w:val="en-GB" w:eastAsia="en-US"/>
    </w:rPr>
  </w:style>
  <w:style w:type="paragraph" w:customStyle="1" w:styleId="H1G">
    <w:name w:val="_ H_1_G"/>
    <w:basedOn w:val="Normal"/>
    <w:next w:val="Normal"/>
    <w:rsid w:val="00BD06A0"/>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PMingLiU"/>
      <w:b/>
      <w:snapToGrid/>
      <w:sz w:val="24"/>
      <w:lang w:val="en-GB" w:eastAsia="en-US"/>
    </w:rPr>
  </w:style>
  <w:style w:type="paragraph" w:customStyle="1" w:styleId="H23G">
    <w:name w:val="_ H_2/3_G"/>
    <w:basedOn w:val="Normal"/>
    <w:next w:val="Normal"/>
    <w:rsid w:val="00BD06A0"/>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PMingLiU"/>
      <w:b/>
      <w:snapToGrid/>
      <w:sz w:val="20"/>
      <w:lang w:val="en-GB" w:eastAsia="en-US"/>
    </w:rPr>
  </w:style>
  <w:style w:type="paragraph" w:customStyle="1" w:styleId="H4G">
    <w:name w:val="_ H_4_G"/>
    <w:basedOn w:val="Normal"/>
    <w:next w:val="Normal"/>
    <w:rsid w:val="00BD06A0"/>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PMingLiU"/>
      <w:i/>
      <w:snapToGrid/>
      <w:sz w:val="20"/>
      <w:lang w:val="en-GB" w:eastAsia="en-US"/>
    </w:rPr>
  </w:style>
  <w:style w:type="paragraph" w:customStyle="1" w:styleId="H56G">
    <w:name w:val="_ H_5/6_G"/>
    <w:basedOn w:val="Normal"/>
    <w:next w:val="Normal"/>
    <w:rsid w:val="00BD06A0"/>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PMingLiU"/>
      <w:snapToGrid/>
      <w:sz w:val="20"/>
      <w:lang w:val="en-GB" w:eastAsia="en-US"/>
    </w:rPr>
  </w:style>
  <w:style w:type="paragraph" w:customStyle="1" w:styleId="NormalGc">
    <w:name w:val="中_ Normal_Gc"/>
    <w:basedOn w:val="Normal"/>
    <w:rsid w:val="00BD06A0"/>
    <w:pPr>
      <w:tabs>
        <w:tab w:val="clear" w:pos="431"/>
      </w:tabs>
      <w:suppressAutoHyphens/>
      <w:overflowPunct/>
      <w:adjustRightInd/>
      <w:snapToGrid/>
      <w:spacing w:line="240" w:lineRule="auto"/>
      <w:jc w:val="left"/>
    </w:pPr>
    <w:rPr>
      <w:rFonts w:eastAsia="PMingLiU"/>
      <w:snapToGrid/>
      <w:sz w:val="20"/>
      <w:lang w:val="en-GB" w:eastAsia="en-US"/>
    </w:rPr>
  </w:style>
  <w:style w:type="paragraph" w:customStyle="1" w:styleId="SingleTxtG">
    <w:name w:val="__ Single Txt_G"/>
    <w:basedOn w:val="Normal"/>
    <w:rsid w:val="00BD06A0"/>
    <w:pPr>
      <w:tabs>
        <w:tab w:val="clear" w:pos="431"/>
      </w:tabs>
      <w:suppressAutoHyphens/>
      <w:overflowPunct/>
      <w:adjustRightInd/>
      <w:snapToGrid/>
      <w:spacing w:after="120" w:line="240" w:lineRule="atLeast"/>
      <w:ind w:left="1134" w:right="1134"/>
    </w:pPr>
    <w:rPr>
      <w:rFonts w:eastAsia="PMingLiU"/>
      <w:snapToGrid/>
      <w:sz w:val="20"/>
      <w:lang w:val="en-GB" w:eastAsia="en-US"/>
    </w:rPr>
  </w:style>
  <w:style w:type="paragraph" w:customStyle="1" w:styleId="SmallGc">
    <w:name w:val="中__Small_Gc"/>
    <w:basedOn w:val="Normal"/>
    <w:next w:val="Normal"/>
    <w:rsid w:val="00BD06A0"/>
    <w:pPr>
      <w:tabs>
        <w:tab w:val="clear" w:pos="431"/>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rsid w:val="00BD06A0"/>
    <w:pPr>
      <w:spacing w:line="180" w:lineRule="exact"/>
      <w:jc w:val="right"/>
    </w:pPr>
    <w:rPr>
      <w:spacing w:val="6"/>
      <w:w w:val="106"/>
      <w:sz w:val="14"/>
    </w:rPr>
  </w:style>
  <w:style w:type="paragraph" w:customStyle="1" w:styleId="XLargeGc0">
    <w:name w:val="中__XLarge_Gc"/>
    <w:basedOn w:val="HMG"/>
    <w:rsid w:val="00BD06A0"/>
    <w:pPr>
      <w:tabs>
        <w:tab w:val="right" w:leader="dot" w:pos="360"/>
      </w:tabs>
      <w:spacing w:line="390" w:lineRule="exact"/>
    </w:pPr>
    <w:rPr>
      <w:spacing w:val="-4"/>
      <w:w w:val="98"/>
      <w:sz w:val="40"/>
    </w:rPr>
  </w:style>
  <w:style w:type="paragraph" w:customStyle="1" w:styleId="FootnoteReferenceGc">
    <w:name w:val="中_Footnote Reference_Gc"/>
    <w:basedOn w:val="NormalGc"/>
    <w:rsid w:val="00BD06A0"/>
    <w:rPr>
      <w:b/>
      <w:sz w:val="18"/>
      <w:vertAlign w:val="superscript"/>
    </w:rPr>
  </w:style>
  <w:style w:type="paragraph" w:customStyle="1" w:styleId="EndnoteReferenceGc">
    <w:name w:val="中_Endnote Reference_Gc"/>
    <w:basedOn w:val="FootnoteReferenceGc"/>
    <w:rsid w:val="00BD06A0"/>
  </w:style>
  <w:style w:type="paragraph" w:customStyle="1" w:styleId="EndnoteTextGc">
    <w:name w:val="中_Endnote Text_Gc"/>
    <w:basedOn w:val="FootnoteReferenceGc"/>
    <w:rsid w:val="00BD06A0"/>
  </w:style>
  <w:style w:type="paragraph" w:customStyle="1" w:styleId="FooterGc">
    <w:name w:val="中_Footer_Gc"/>
    <w:basedOn w:val="NormalGc"/>
    <w:rsid w:val="00BD06A0"/>
    <w:pPr>
      <w:widowControl w:val="0"/>
    </w:pPr>
  </w:style>
  <w:style w:type="paragraph" w:customStyle="1" w:styleId="FootnoteTextGc">
    <w:name w:val="中_Footnote Text_Gc"/>
    <w:basedOn w:val="NormalGc"/>
    <w:rsid w:val="00BD06A0"/>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rsid w:val="00BD06A0"/>
    <w:pPr>
      <w:widowControl w:val="0"/>
      <w:tabs>
        <w:tab w:val="clear" w:pos="431"/>
      </w:tabs>
      <w:suppressAutoHyphens/>
      <w:overflowPunct/>
      <w:adjustRightInd/>
      <w:snapToGrid/>
      <w:spacing w:line="240" w:lineRule="auto"/>
      <w:jc w:val="left"/>
    </w:pPr>
    <w:rPr>
      <w:rFonts w:eastAsia="PMingLiU"/>
      <w:b/>
      <w:snapToGrid/>
      <w:sz w:val="18"/>
      <w:lang w:val="en-GB" w:eastAsia="en-US"/>
    </w:rPr>
  </w:style>
  <w:style w:type="paragraph" w:customStyle="1" w:styleId="ParaNoGc">
    <w:name w:val="中_ParaNo._Gc"/>
    <w:basedOn w:val="SingleTxtG"/>
    <w:rsid w:val="00BD06A0"/>
  </w:style>
  <w:style w:type="paragraph" w:customStyle="1" w:styleId="SmallG">
    <w:name w:val="__Small_G"/>
    <w:basedOn w:val="Normal"/>
    <w:next w:val="Normal"/>
    <w:rsid w:val="00BD06A0"/>
    <w:pPr>
      <w:tabs>
        <w:tab w:val="clear" w:pos="431"/>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rsid w:val="00BD06A0"/>
    <w:pPr>
      <w:spacing w:line="180" w:lineRule="exact"/>
      <w:jc w:val="right"/>
    </w:pPr>
    <w:rPr>
      <w:spacing w:val="6"/>
      <w:w w:val="106"/>
      <w:sz w:val="14"/>
    </w:rPr>
  </w:style>
  <w:style w:type="paragraph" w:customStyle="1" w:styleId="XLargeG">
    <w:name w:val="__XLarge_G"/>
    <w:basedOn w:val="HMG"/>
    <w:rsid w:val="00BD06A0"/>
    <w:pPr>
      <w:tabs>
        <w:tab w:val="right" w:leader="dot" w:pos="360"/>
      </w:tabs>
      <w:spacing w:line="390" w:lineRule="exact"/>
    </w:pPr>
    <w:rPr>
      <w:spacing w:val="-4"/>
      <w:w w:val="98"/>
      <w:sz w:val="40"/>
    </w:rPr>
  </w:style>
  <w:style w:type="paragraph" w:customStyle="1" w:styleId="FootnoteReferenceG">
    <w:name w:val="_Footnote Reference_G"/>
    <w:basedOn w:val="Normal"/>
    <w:rsid w:val="00BD06A0"/>
    <w:pPr>
      <w:tabs>
        <w:tab w:val="clear" w:pos="431"/>
      </w:tabs>
      <w:suppressAutoHyphens/>
      <w:overflowPunct/>
      <w:adjustRightInd/>
      <w:snapToGrid/>
      <w:spacing w:line="240" w:lineRule="auto"/>
      <w:jc w:val="left"/>
    </w:pPr>
    <w:rPr>
      <w:rFonts w:eastAsia="PMingLiU"/>
      <w:b/>
      <w:snapToGrid/>
      <w:sz w:val="18"/>
      <w:vertAlign w:val="superscript"/>
      <w:lang w:val="en-GB" w:eastAsia="en-US"/>
    </w:rPr>
  </w:style>
  <w:style w:type="paragraph" w:customStyle="1" w:styleId="EndnoteReferenceG">
    <w:name w:val="_Endnote Reference_G"/>
    <w:basedOn w:val="FootnoteReferenceG"/>
    <w:rsid w:val="00BD06A0"/>
  </w:style>
  <w:style w:type="paragraph" w:customStyle="1" w:styleId="EndnoteTextG">
    <w:name w:val="_Endnote Text_G"/>
    <w:basedOn w:val="FootnoteReferenceG"/>
    <w:rsid w:val="00BD06A0"/>
  </w:style>
  <w:style w:type="paragraph" w:customStyle="1" w:styleId="FooterG">
    <w:name w:val="_Footer_G"/>
    <w:basedOn w:val="Normal"/>
    <w:rsid w:val="00BD06A0"/>
    <w:pPr>
      <w:widowControl w:val="0"/>
      <w:tabs>
        <w:tab w:val="clear" w:pos="431"/>
      </w:tabs>
      <w:suppressAutoHyphens/>
      <w:overflowPunct/>
      <w:adjustRightInd/>
      <w:snapToGrid/>
      <w:spacing w:line="240" w:lineRule="auto"/>
      <w:jc w:val="left"/>
    </w:pPr>
    <w:rPr>
      <w:rFonts w:eastAsia="PMingLiU"/>
      <w:snapToGrid/>
      <w:sz w:val="20"/>
      <w:lang w:val="en-GB" w:eastAsia="en-US"/>
    </w:rPr>
  </w:style>
  <w:style w:type="paragraph" w:customStyle="1" w:styleId="FootnoteTextG">
    <w:name w:val="_Footnote Text_G"/>
    <w:basedOn w:val="Normal"/>
    <w:rsid w:val="00BD06A0"/>
    <w:pPr>
      <w:tabs>
        <w:tab w:val="clear" w:pos="431"/>
        <w:tab w:val="right" w:pos="1021"/>
        <w:tab w:val="left" w:pos="1134"/>
      </w:tabs>
      <w:suppressAutoHyphens/>
      <w:overflowPunct/>
      <w:adjustRightInd/>
      <w:snapToGrid/>
      <w:spacing w:after="120" w:line="220" w:lineRule="atLeast"/>
      <w:ind w:left="1134" w:right="1134" w:hanging="1134"/>
      <w:jc w:val="left"/>
    </w:pPr>
    <w:rPr>
      <w:rFonts w:eastAsia="PMingLiU"/>
      <w:snapToGrid/>
      <w:sz w:val="18"/>
      <w:lang w:val="en-GB" w:eastAsia="en-US"/>
    </w:rPr>
  </w:style>
  <w:style w:type="paragraph" w:customStyle="1" w:styleId="HeaderG">
    <w:name w:val="_Header_G"/>
    <w:basedOn w:val="Normal"/>
    <w:rsid w:val="00BD06A0"/>
    <w:pPr>
      <w:widowControl w:val="0"/>
      <w:tabs>
        <w:tab w:val="clear" w:pos="431"/>
      </w:tabs>
      <w:suppressAutoHyphens/>
      <w:overflowPunct/>
      <w:adjustRightInd/>
      <w:snapToGrid/>
      <w:spacing w:line="240" w:lineRule="auto"/>
      <w:jc w:val="left"/>
    </w:pPr>
    <w:rPr>
      <w:rFonts w:eastAsia="PMingLiU"/>
      <w:b/>
      <w:snapToGrid/>
      <w:sz w:val="18"/>
      <w:lang w:val="en-GB" w:eastAsia="en-US"/>
    </w:rPr>
  </w:style>
  <w:style w:type="paragraph" w:customStyle="1" w:styleId="ParaNoG">
    <w:name w:val="_ParaNo._G"/>
    <w:basedOn w:val="SingleTxtG"/>
    <w:rsid w:val="00BD06A0"/>
  </w:style>
  <w:style w:type="paragraph" w:customStyle="1" w:styleId="ParaNo">
    <w:name w:val="ParaNo."/>
    <w:basedOn w:val="Normal"/>
    <w:rsid w:val="00BD06A0"/>
    <w:pPr>
      <w:numPr>
        <w:numId w:val="6"/>
      </w:numPr>
      <w:tabs>
        <w:tab w:val="clear" w:pos="360"/>
        <w:tab w:val="clear" w:pos="431"/>
        <w:tab w:val="left" w:pos="737"/>
      </w:tabs>
      <w:overflowPunct/>
      <w:adjustRightInd/>
      <w:snapToGrid/>
      <w:spacing w:after="240" w:line="240" w:lineRule="auto"/>
      <w:jc w:val="left"/>
    </w:pPr>
    <w:rPr>
      <w:rFonts w:eastAsia="PMingLiU"/>
      <w:snapToGrid/>
      <w:sz w:val="24"/>
      <w:lang w:val="fr-CH" w:eastAsia="en-US"/>
    </w:rPr>
  </w:style>
  <w:style w:type="paragraph" w:customStyle="1" w:styleId="draft">
    <w:name w:val="draft"/>
    <w:basedOn w:val="Normal"/>
    <w:rsid w:val="00BD06A0"/>
    <w:pPr>
      <w:framePr w:w="1257" w:h="629" w:hSpace="180" w:wrap="around" w:vAnchor="page" w:hAnchor="page" w:x="1698" w:y="501"/>
      <w:widowControl w:val="0"/>
      <w:tabs>
        <w:tab w:val="clear" w:pos="431"/>
      </w:tabs>
      <w:spacing w:line="480" w:lineRule="auto"/>
      <w:textAlignment w:val="baseline"/>
    </w:pPr>
    <w:rPr>
      <w:rFonts w:eastAsia="长城粗隶书"/>
      <w:snapToGrid/>
      <w:spacing w:val="10"/>
      <w:kern w:val="24"/>
      <w:sz w:val="44"/>
    </w:rPr>
  </w:style>
  <w:style w:type="paragraph" w:customStyle="1" w:styleId="draft0">
    <w:name w:val="页眉draft"/>
    <w:basedOn w:val="Header"/>
    <w:rsid w:val="00BD06A0"/>
    <w:pPr>
      <w:widowControl w:val="0"/>
      <w:pBdr>
        <w:bottom w:val="none" w:sz="0" w:space="0" w:color="auto"/>
      </w:pBdr>
      <w:tabs>
        <w:tab w:val="clear" w:pos="431"/>
        <w:tab w:val="clear" w:pos="992"/>
        <w:tab w:val="clear" w:pos="5772"/>
        <w:tab w:val="left" w:pos="6124"/>
        <w:tab w:val="left" w:pos="6634"/>
        <w:tab w:val="left" w:pos="7144"/>
        <w:tab w:val="left" w:pos="7655"/>
        <w:tab w:val="left" w:pos="8165"/>
      </w:tabs>
      <w:textAlignment w:val="baseline"/>
    </w:pPr>
    <w:rPr>
      <w:rFonts w:eastAsia="长城楷体"/>
      <w:snapToGrid/>
      <w:spacing w:val="10"/>
      <w:kern w:val="24"/>
      <w:sz w:val="24"/>
      <w:lang w:val="en-US" w:eastAsia="zh-CN"/>
    </w:rPr>
  </w:style>
  <w:style w:type="paragraph" w:styleId="BalloonText">
    <w:name w:val="Balloon Text"/>
    <w:basedOn w:val="Normal"/>
    <w:semiHidden/>
    <w:rsid w:val="00BD06A0"/>
    <w:pPr>
      <w:tabs>
        <w:tab w:val="clear" w:pos="431"/>
      </w:tabs>
      <w:spacing w:line="336" w:lineRule="auto"/>
    </w:pPr>
    <w:rPr>
      <w:spacing w:val="10"/>
      <w:sz w:val="18"/>
      <w:szCs w:val="18"/>
    </w:rPr>
  </w:style>
  <w:style w:type="character" w:customStyle="1" w:styleId="Heading1Char">
    <w:name w:val="Heading 1 Char"/>
    <w:rsid w:val="00BD06A0"/>
    <w:rPr>
      <w:rFonts w:ascii="Cambria" w:hAnsi="Cambria"/>
      <w:b/>
      <w:bCs/>
      <w:kern w:val="32"/>
      <w:sz w:val="32"/>
      <w:szCs w:val="32"/>
      <w:lang w:val="en-GB" w:eastAsia="en-US" w:bidi="ar-SA"/>
    </w:rPr>
  </w:style>
  <w:style w:type="character" w:customStyle="1" w:styleId="Heading4Char">
    <w:name w:val="Heading 4 Char"/>
    <w:rsid w:val="00BD06A0"/>
    <w:rPr>
      <w:rFonts w:ascii="Arial" w:hAnsi="Arial"/>
      <w:bCs/>
      <w:sz w:val="28"/>
      <w:szCs w:val="22"/>
      <w:lang w:val="en-US" w:eastAsia="en-US" w:bidi="ar-SA"/>
    </w:rPr>
  </w:style>
  <w:style w:type="character" w:customStyle="1" w:styleId="Heading7Char">
    <w:name w:val="Heading 7 Char"/>
    <w:rsid w:val="00BD06A0"/>
    <w:rPr>
      <w:sz w:val="24"/>
      <w:szCs w:val="24"/>
      <w:lang w:val="en-US" w:eastAsia="en-US" w:bidi="ar-SA"/>
    </w:rPr>
  </w:style>
  <w:style w:type="paragraph" w:styleId="PlainText">
    <w:name w:val="Plain Text"/>
    <w:basedOn w:val="Normal"/>
    <w:rsid w:val="00BD06A0"/>
    <w:pPr>
      <w:tabs>
        <w:tab w:val="clear" w:pos="431"/>
      </w:tabs>
      <w:overflowPunct/>
      <w:adjustRightInd/>
      <w:snapToGrid/>
      <w:spacing w:line="240" w:lineRule="auto"/>
      <w:jc w:val="left"/>
    </w:pPr>
    <w:rPr>
      <w:rFonts w:ascii="Courier New" w:hAnsi="Courier New" w:cs="Courier New"/>
      <w:snapToGrid/>
      <w:sz w:val="20"/>
      <w:lang w:val="en-GB" w:eastAsia="en-US"/>
    </w:rPr>
  </w:style>
  <w:style w:type="character" w:customStyle="1" w:styleId="PlainTextChar">
    <w:name w:val="Plain Text Char"/>
    <w:rsid w:val="00BD06A0"/>
    <w:rPr>
      <w:rFonts w:ascii="Courier New" w:hAnsi="Courier New" w:cs="Courier New"/>
      <w:lang w:val="en-GB" w:eastAsia="en-US" w:bidi="ar-SA"/>
    </w:rPr>
  </w:style>
  <w:style w:type="paragraph" w:styleId="NormalWeb">
    <w:name w:val="Normal (Web)"/>
    <w:basedOn w:val="Normal"/>
    <w:rsid w:val="00BD06A0"/>
    <w:pPr>
      <w:tabs>
        <w:tab w:val="clear" w:pos="431"/>
      </w:tabs>
      <w:overflowPunct/>
      <w:adjustRightInd/>
      <w:snapToGrid/>
      <w:spacing w:before="100" w:beforeAutospacing="1" w:after="100" w:afterAutospacing="1" w:line="240" w:lineRule="auto"/>
      <w:jc w:val="left"/>
    </w:pPr>
    <w:rPr>
      <w:rFonts w:ascii="Arial" w:hAnsi="Arial" w:cs="Arial"/>
      <w:snapToGrid/>
      <w:color w:val="000000"/>
      <w:sz w:val="18"/>
      <w:szCs w:val="18"/>
      <w:lang w:val="en-GB" w:eastAsia="en-US"/>
    </w:rPr>
  </w:style>
  <w:style w:type="paragraph" w:styleId="ListParagraph">
    <w:name w:val="List Paragraph"/>
    <w:basedOn w:val="Normal"/>
    <w:qFormat/>
    <w:rsid w:val="00BD06A0"/>
    <w:pPr>
      <w:tabs>
        <w:tab w:val="clear" w:pos="431"/>
      </w:tabs>
      <w:overflowPunct/>
      <w:adjustRightInd/>
      <w:snapToGrid/>
      <w:spacing w:after="200" w:line="276" w:lineRule="auto"/>
      <w:ind w:left="720"/>
      <w:contextualSpacing/>
      <w:jc w:val="left"/>
    </w:pPr>
    <w:rPr>
      <w:rFonts w:ascii="Calibri" w:hAnsi="Calibri"/>
      <w:snapToGrid/>
      <w:sz w:val="22"/>
      <w:szCs w:val="22"/>
      <w:lang w:val="en-GB" w:eastAsia="en-US"/>
    </w:rPr>
  </w:style>
  <w:style w:type="character" w:customStyle="1" w:styleId="FooterChar">
    <w:name w:val="Footer Char"/>
    <w:rsid w:val="00BD06A0"/>
    <w:rPr>
      <w:rFonts w:ascii="Calibri" w:hAnsi="Calibri"/>
      <w:sz w:val="22"/>
      <w:szCs w:val="22"/>
      <w:lang w:val="en-GB" w:eastAsia="en-US" w:bidi="ar-SA"/>
    </w:rPr>
  </w:style>
  <w:style w:type="paragraph" w:customStyle="1" w:styleId="body">
    <w:name w:val="body&quot;&quot;"/>
    <w:basedOn w:val="Normal"/>
    <w:rsid w:val="00BD06A0"/>
    <w:pPr>
      <w:tabs>
        <w:tab w:val="clear" w:pos="431"/>
        <w:tab w:val="left" w:pos="964"/>
      </w:tabs>
      <w:overflowPunct/>
      <w:adjustRightInd/>
      <w:snapToGrid/>
      <w:spacing w:before="57" w:line="240" w:lineRule="atLeast"/>
      <w:ind w:left="964" w:hanging="397"/>
    </w:pPr>
    <w:rPr>
      <w:rFonts w:ascii="Univers" w:hAnsi="Univers"/>
      <w:sz w:val="20"/>
      <w:lang w:eastAsia="en-US"/>
    </w:rPr>
  </w:style>
  <w:style w:type="paragraph" w:styleId="BodyTextIndent">
    <w:name w:val="Body Text Indent"/>
    <w:basedOn w:val="Normal"/>
    <w:unhideWhenUsed/>
    <w:rsid w:val="00BD06A0"/>
    <w:pPr>
      <w:tabs>
        <w:tab w:val="clear" w:pos="431"/>
      </w:tabs>
      <w:overflowPunct/>
      <w:adjustRightInd/>
      <w:snapToGrid/>
      <w:spacing w:after="120" w:line="276" w:lineRule="auto"/>
      <w:ind w:left="360"/>
      <w:jc w:val="left"/>
    </w:pPr>
    <w:rPr>
      <w:rFonts w:ascii="Calibri" w:hAnsi="Calibri"/>
      <w:snapToGrid/>
      <w:sz w:val="22"/>
      <w:szCs w:val="22"/>
      <w:lang w:val="en-GB" w:eastAsia="en-US"/>
    </w:rPr>
  </w:style>
  <w:style w:type="character" w:customStyle="1" w:styleId="BodyTextIndentChar">
    <w:name w:val="Body Text Indent Char"/>
    <w:rsid w:val="00BD06A0"/>
    <w:rPr>
      <w:rFonts w:ascii="Calibri" w:hAnsi="Calibri"/>
      <w:sz w:val="22"/>
      <w:szCs w:val="22"/>
      <w:lang w:val="en-GB" w:eastAsia="en-US" w:bidi="ar-SA"/>
    </w:rPr>
  </w:style>
  <w:style w:type="paragraph" w:styleId="BodyText2">
    <w:name w:val="Body Text 2"/>
    <w:basedOn w:val="Normal"/>
    <w:unhideWhenUsed/>
    <w:rsid w:val="00BD06A0"/>
    <w:pPr>
      <w:tabs>
        <w:tab w:val="clear" w:pos="431"/>
      </w:tabs>
      <w:overflowPunct/>
      <w:adjustRightInd/>
      <w:snapToGrid/>
      <w:spacing w:after="120" w:line="480" w:lineRule="auto"/>
      <w:jc w:val="left"/>
    </w:pPr>
    <w:rPr>
      <w:rFonts w:ascii="Calibri" w:hAnsi="Calibri"/>
      <w:snapToGrid/>
      <w:sz w:val="22"/>
      <w:szCs w:val="22"/>
      <w:lang w:val="en-GB" w:eastAsia="en-US"/>
    </w:rPr>
  </w:style>
  <w:style w:type="character" w:customStyle="1" w:styleId="BodyText2Char">
    <w:name w:val="Body Text 2 Char"/>
    <w:rsid w:val="00BD06A0"/>
    <w:rPr>
      <w:rFonts w:ascii="Calibri" w:hAnsi="Calibri"/>
      <w:sz w:val="22"/>
      <w:szCs w:val="22"/>
      <w:lang w:val="en-GB" w:eastAsia="en-US" w:bidi="ar-SA"/>
    </w:rPr>
  </w:style>
  <w:style w:type="character" w:styleId="Emphasis">
    <w:name w:val="Emphasis"/>
    <w:qFormat/>
    <w:rsid w:val="00BD06A0"/>
    <w:rPr>
      <w:i/>
      <w:iCs/>
    </w:rPr>
  </w:style>
  <w:style w:type="paragraph" w:customStyle="1" w:styleId="heading10">
    <w:name w:val="heading(1)"/>
    <w:basedOn w:val="Normal"/>
    <w:rsid w:val="00BD06A0"/>
    <w:pPr>
      <w:tabs>
        <w:tab w:val="clear" w:pos="431"/>
        <w:tab w:val="left" w:pos="567"/>
        <w:tab w:val="left" w:pos="964"/>
      </w:tabs>
      <w:overflowPunct/>
      <w:adjustRightInd/>
      <w:snapToGrid/>
      <w:spacing w:before="170" w:line="260" w:lineRule="atLeast"/>
    </w:pPr>
    <w:rPr>
      <w:rFonts w:ascii="Univers" w:hAnsi="Univers"/>
      <w:b/>
      <w:lang w:eastAsia="en-US"/>
    </w:rPr>
  </w:style>
  <w:style w:type="paragraph" w:customStyle="1" w:styleId="list10">
    <w:name w:val="list(1)(0)"/>
    <w:basedOn w:val="list1"/>
    <w:rsid w:val="00BD06A0"/>
    <w:pPr>
      <w:spacing w:before="0"/>
    </w:pPr>
    <w:rPr>
      <w:color w:val="FF0000"/>
    </w:rPr>
  </w:style>
  <w:style w:type="paragraph" w:customStyle="1" w:styleId="list1">
    <w:name w:val="list(1)"/>
    <w:basedOn w:val="body"/>
    <w:rsid w:val="00BD06A0"/>
    <w:pPr>
      <w:tabs>
        <w:tab w:val="clear" w:pos="964"/>
        <w:tab w:val="left" w:pos="1020"/>
        <w:tab w:val="left" w:pos="1417"/>
      </w:tabs>
      <w:spacing w:before="113" w:line="260" w:lineRule="atLeast"/>
      <w:ind w:left="0" w:firstLine="567"/>
    </w:pPr>
    <w:rPr>
      <w:sz w:val="21"/>
    </w:rPr>
  </w:style>
  <w:style w:type="paragraph" w:customStyle="1" w:styleId="bodyamend">
    <w:name w:val="bodyamend"/>
    <w:basedOn w:val="Normal"/>
    <w:rsid w:val="00BD06A0"/>
    <w:pPr>
      <w:tabs>
        <w:tab w:val="clear" w:pos="431"/>
        <w:tab w:val="left" w:pos="567"/>
        <w:tab w:val="left" w:pos="964"/>
      </w:tabs>
      <w:overflowPunct/>
      <w:adjustRightInd/>
      <w:snapToGrid/>
      <w:spacing w:before="113" w:line="260" w:lineRule="atLeast"/>
      <w:ind w:firstLine="567"/>
    </w:pPr>
    <w:rPr>
      <w:rFonts w:ascii="Univers" w:hAnsi="Univers"/>
      <w:lang w:eastAsia="en-US"/>
    </w:rPr>
  </w:style>
  <w:style w:type="paragraph" w:customStyle="1" w:styleId="lista">
    <w:name w:val="list(a)"/>
    <w:rsid w:val="00BD06A0"/>
    <w:pPr>
      <w:tabs>
        <w:tab w:val="left" w:pos="1417"/>
        <w:tab w:val="left" w:pos="1814"/>
      </w:tabs>
      <w:spacing w:line="260" w:lineRule="atLeast"/>
      <w:ind w:left="1417" w:hanging="397"/>
      <w:jc w:val="both"/>
    </w:pPr>
    <w:rPr>
      <w:rFonts w:ascii="Univers" w:hAnsi="Univers"/>
      <w:snapToGrid w:val="0"/>
      <w:sz w:val="21"/>
      <w:lang w:val="en-US" w:eastAsia="en-US"/>
    </w:rPr>
  </w:style>
  <w:style w:type="paragraph" w:customStyle="1" w:styleId="arrange">
    <w:name w:val="arrange"/>
    <w:rsid w:val="00BD06A0"/>
    <w:pPr>
      <w:tabs>
        <w:tab w:val="left" w:pos="397"/>
        <w:tab w:val="left" w:pos="3969"/>
        <w:tab w:val="left" w:pos="4365"/>
      </w:tabs>
      <w:spacing w:line="220" w:lineRule="atLeast"/>
      <w:jc w:val="both"/>
    </w:pPr>
    <w:rPr>
      <w:rFonts w:ascii="Univers" w:hAnsi="Univers"/>
      <w:snapToGrid w:val="0"/>
      <w:color w:val="0000FF"/>
      <w:sz w:val="18"/>
      <w:lang w:val="en-US" w:eastAsia="en-US"/>
    </w:rPr>
  </w:style>
  <w:style w:type="paragraph" w:customStyle="1" w:styleId="para">
    <w:name w:val="para"/>
    <w:basedOn w:val="Normal"/>
    <w:rsid w:val="00BD06A0"/>
    <w:pPr>
      <w:tabs>
        <w:tab w:val="clear" w:pos="431"/>
      </w:tabs>
      <w:overflowPunct/>
      <w:adjustRightInd/>
      <w:snapToGrid/>
      <w:spacing w:before="180" w:line="480" w:lineRule="auto"/>
      <w:ind w:firstLine="720"/>
    </w:pPr>
    <w:rPr>
      <w:rFonts w:ascii="Courier" w:hAnsi="Courier"/>
      <w:snapToGrid/>
      <w:sz w:val="26"/>
      <w:szCs w:val="26"/>
      <w:lang w:val="en-GB" w:eastAsia="en-US"/>
    </w:rPr>
  </w:style>
  <w:style w:type="paragraph" w:customStyle="1" w:styleId="paraleft">
    <w:name w:val="paraleft"/>
    <w:rsid w:val="00BD06A0"/>
    <w:pPr>
      <w:spacing w:line="480" w:lineRule="auto"/>
      <w:jc w:val="both"/>
    </w:pPr>
    <w:rPr>
      <w:rFonts w:ascii="Courier" w:hAnsi="Courier"/>
      <w:sz w:val="26"/>
      <w:szCs w:val="26"/>
      <w:lang w:val="en-GB" w:eastAsia="en-US"/>
    </w:rPr>
  </w:style>
  <w:style w:type="character" w:customStyle="1" w:styleId="case">
    <w:name w:val="case"/>
    <w:rsid w:val="00BD06A0"/>
    <w:rPr>
      <w:i/>
      <w:iCs/>
    </w:rPr>
  </w:style>
  <w:style w:type="character" w:customStyle="1" w:styleId="case0">
    <w:name w:val="/case"/>
    <w:basedOn w:val="DefaultParagraphFont"/>
    <w:rsid w:val="00BD06A0"/>
  </w:style>
  <w:style w:type="character" w:customStyle="1" w:styleId="dtref">
    <w:name w:val="dtref"/>
    <w:rsid w:val="00BD06A0"/>
    <w:rPr>
      <w:rFonts w:ascii="Times New Roman" w:hAnsi="Times New Roman" w:cs="Times New Roman"/>
    </w:rPr>
  </w:style>
  <w:style w:type="character" w:customStyle="1" w:styleId="ref">
    <w:name w:val="ref"/>
    <w:rsid w:val="00BD06A0"/>
    <w:rPr>
      <w:rFonts w:ascii="Times New Roman" w:hAnsi="Times New Roman" w:cs="Times New Roman"/>
    </w:rPr>
  </w:style>
  <w:style w:type="character" w:customStyle="1" w:styleId="ref0">
    <w:name w:val="/ref"/>
    <w:rsid w:val="00BD06A0"/>
  </w:style>
  <w:style w:type="paragraph" w:customStyle="1" w:styleId="bodyful0">
    <w:name w:val="bodyful0"/>
    <w:basedOn w:val="Normal"/>
    <w:rsid w:val="00BD06A0"/>
    <w:pPr>
      <w:tabs>
        <w:tab w:val="clear" w:pos="431"/>
        <w:tab w:val="left" w:pos="454"/>
        <w:tab w:val="left" w:pos="964"/>
      </w:tabs>
      <w:overflowPunct/>
      <w:adjustRightInd/>
      <w:snapToGrid/>
      <w:spacing w:line="240" w:lineRule="atLeast"/>
    </w:pPr>
    <w:rPr>
      <w:rFonts w:ascii="Univers" w:hAnsi="Univers"/>
      <w:sz w:val="20"/>
      <w:lang w:eastAsia="en-US"/>
    </w:rPr>
  </w:style>
  <w:style w:type="paragraph" w:customStyle="1" w:styleId="bodytext0">
    <w:name w:val="bodytext"/>
    <w:basedOn w:val="Normal"/>
    <w:rsid w:val="00BD06A0"/>
    <w:pPr>
      <w:tabs>
        <w:tab w:val="clear" w:pos="431"/>
        <w:tab w:val="left" w:pos="567"/>
        <w:tab w:val="left" w:pos="964"/>
      </w:tabs>
      <w:overflowPunct/>
      <w:adjustRightInd/>
      <w:snapToGrid/>
      <w:spacing w:line="260" w:lineRule="atLeast"/>
      <w:ind w:firstLine="567"/>
    </w:pPr>
    <w:rPr>
      <w:rFonts w:ascii="Univers" w:hAnsi="Univers"/>
      <w:lang w:eastAsia="en-US"/>
    </w:rPr>
  </w:style>
  <w:style w:type="paragraph" w:customStyle="1" w:styleId="Default">
    <w:name w:val="Default"/>
    <w:rsid w:val="00BD06A0"/>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unhideWhenUsed/>
    <w:rsid w:val="00BD06A0"/>
    <w:pPr>
      <w:tabs>
        <w:tab w:val="clear" w:pos="431"/>
      </w:tabs>
      <w:overflowPunct/>
      <w:adjustRightInd/>
      <w:snapToGrid/>
      <w:spacing w:after="120" w:line="276" w:lineRule="auto"/>
      <w:ind w:left="360"/>
      <w:jc w:val="left"/>
    </w:pPr>
    <w:rPr>
      <w:rFonts w:ascii="Calibri" w:hAnsi="Calibri"/>
      <w:snapToGrid/>
      <w:sz w:val="16"/>
      <w:szCs w:val="16"/>
      <w:lang w:val="en-GB" w:eastAsia="en-US"/>
    </w:rPr>
  </w:style>
  <w:style w:type="paragraph" w:styleId="BodyText3">
    <w:name w:val="Body Text 3"/>
    <w:basedOn w:val="Normal"/>
    <w:unhideWhenUsed/>
    <w:rsid w:val="00BD06A0"/>
    <w:pPr>
      <w:tabs>
        <w:tab w:val="clear" w:pos="431"/>
      </w:tabs>
      <w:overflowPunct/>
      <w:adjustRightInd/>
      <w:snapToGrid/>
      <w:spacing w:after="120" w:line="276" w:lineRule="auto"/>
      <w:jc w:val="left"/>
    </w:pPr>
    <w:rPr>
      <w:rFonts w:ascii="Calibri" w:hAnsi="Calibri"/>
      <w:snapToGrid/>
      <w:sz w:val="16"/>
      <w:szCs w:val="16"/>
      <w:lang w:val="en-GB" w:eastAsia="en-US"/>
    </w:rPr>
  </w:style>
  <w:style w:type="character" w:customStyle="1" w:styleId="BodyText3Char">
    <w:name w:val="Body Text 3 Char"/>
    <w:rsid w:val="00BD06A0"/>
    <w:rPr>
      <w:rFonts w:ascii="Calibri" w:hAnsi="Calibri"/>
      <w:sz w:val="16"/>
      <w:szCs w:val="16"/>
      <w:lang w:val="en-GB" w:eastAsia="en-US" w:bidi="ar-SA"/>
    </w:rPr>
  </w:style>
  <w:style w:type="paragraph" w:styleId="BodyTextIndent2">
    <w:name w:val="Body Text Indent 2"/>
    <w:basedOn w:val="Normal"/>
    <w:unhideWhenUsed/>
    <w:rsid w:val="00BD06A0"/>
    <w:pPr>
      <w:tabs>
        <w:tab w:val="clear" w:pos="431"/>
      </w:tabs>
      <w:overflowPunct/>
      <w:adjustRightInd/>
      <w:snapToGrid/>
      <w:spacing w:after="120" w:line="480" w:lineRule="auto"/>
      <w:ind w:left="360"/>
      <w:jc w:val="left"/>
    </w:pPr>
    <w:rPr>
      <w:rFonts w:ascii="Calibri" w:hAnsi="Calibri"/>
      <w:snapToGrid/>
      <w:sz w:val="22"/>
      <w:szCs w:val="22"/>
      <w:lang w:val="en-GB" w:eastAsia="en-US"/>
    </w:rPr>
  </w:style>
  <w:style w:type="character" w:customStyle="1" w:styleId="BodyTextIndent2Char">
    <w:name w:val="Body Text Indent 2 Char"/>
    <w:rsid w:val="00BD06A0"/>
    <w:rPr>
      <w:rFonts w:ascii="Calibri" w:hAnsi="Calibri"/>
      <w:sz w:val="22"/>
      <w:szCs w:val="22"/>
      <w:lang w:val="en-GB" w:eastAsia="en-US" w:bidi="ar-SA"/>
    </w:rPr>
  </w:style>
  <w:style w:type="paragraph" w:styleId="Subtitle">
    <w:name w:val="Subtitle"/>
    <w:basedOn w:val="Normal"/>
    <w:qFormat/>
    <w:rsid w:val="00BD06A0"/>
    <w:pPr>
      <w:tabs>
        <w:tab w:val="clear" w:pos="431"/>
      </w:tabs>
      <w:overflowPunct/>
      <w:adjustRightInd/>
      <w:snapToGrid/>
      <w:spacing w:line="240" w:lineRule="auto"/>
    </w:pPr>
    <w:rPr>
      <w:rFonts w:ascii="Tahoma" w:hAnsi="Tahoma" w:cs="Tahoma"/>
      <w:b/>
      <w:bCs/>
      <w:snapToGrid/>
      <w:sz w:val="22"/>
      <w:szCs w:val="24"/>
      <w:lang w:val="en-GB" w:eastAsia="en-US"/>
    </w:rPr>
  </w:style>
  <w:style w:type="character" w:customStyle="1" w:styleId="SubtitleChar">
    <w:name w:val="Subtitle Char"/>
    <w:rsid w:val="00BD06A0"/>
    <w:rPr>
      <w:rFonts w:ascii="Tahoma" w:hAnsi="Tahoma" w:cs="Tahoma"/>
      <w:b/>
      <w:bCs/>
      <w:sz w:val="22"/>
      <w:szCs w:val="24"/>
      <w:lang w:val="en-GB" w:eastAsia="en-US" w:bidi="ar-SA"/>
    </w:rPr>
  </w:style>
  <w:style w:type="character" w:customStyle="1" w:styleId="TitleChar">
    <w:name w:val="Title Char"/>
    <w:rsid w:val="00BD06A0"/>
    <w:rPr>
      <w:rFonts w:ascii="Arial" w:hAnsi="Arial" w:cs="Arial"/>
      <w:b/>
      <w:bCs/>
      <w:sz w:val="24"/>
      <w:szCs w:val="24"/>
      <w:u w:val="single"/>
      <w:lang w:val="fr-FR" w:eastAsia="en-US" w:bidi="ar-SA"/>
    </w:rPr>
  </w:style>
  <w:style w:type="character" w:styleId="Strong">
    <w:name w:val="Strong"/>
    <w:qFormat/>
    <w:rsid w:val="00BD06A0"/>
    <w:rPr>
      <w:b/>
      <w:bCs/>
    </w:rPr>
  </w:style>
  <w:style w:type="paragraph" w:customStyle="1" w:styleId="text1">
    <w:name w:val="text1"/>
    <w:basedOn w:val="Normal"/>
    <w:rsid w:val="00BD06A0"/>
    <w:pPr>
      <w:tabs>
        <w:tab w:val="clear" w:pos="431"/>
      </w:tabs>
      <w:overflowPunct/>
      <w:adjustRightInd/>
      <w:snapToGrid/>
      <w:spacing w:before="100" w:beforeAutospacing="1" w:after="100" w:afterAutospacing="1" w:line="240" w:lineRule="auto"/>
      <w:jc w:val="left"/>
    </w:pPr>
    <w:rPr>
      <w:snapToGrid/>
      <w:sz w:val="24"/>
      <w:szCs w:val="24"/>
      <w:lang w:eastAsia="en-US"/>
    </w:rPr>
  </w:style>
  <w:style w:type="character" w:customStyle="1" w:styleId="text11">
    <w:name w:val="text11"/>
    <w:basedOn w:val="DefaultParagraphFont"/>
    <w:rsid w:val="00BD06A0"/>
  </w:style>
  <w:style w:type="character" w:customStyle="1" w:styleId="h5">
    <w:name w:val="h5"/>
    <w:rsid w:val="00BD06A0"/>
    <w:rPr>
      <w:i/>
      <w:iCs/>
    </w:rPr>
  </w:style>
  <w:style w:type="character" w:customStyle="1" w:styleId="ecmean">
    <w:name w:val="ec_mean"/>
    <w:basedOn w:val="DefaultParagraphFont"/>
    <w:rsid w:val="00BD0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upremecourt.intnet.mu/Main/GetDoc.asp?Doc_Title=1997+MR+123&amp;Mode=Html&amp;Search=N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19</Pages>
  <Words>2223</Words>
  <Characters>12672</Characters>
  <Application>Microsoft Office Word</Application>
  <DocSecurity>4</DocSecurity>
  <Lines>105</Lines>
  <Paragraphs>29</Paragraphs>
  <ScaleCrop>false</ScaleCrop>
  <Company>CSD</Company>
  <LinksUpToDate>false</LinksUpToDate>
  <CharactersWithSpaces>14866</CharactersWithSpaces>
  <SharedDoc>false</SharedDoc>
  <HLinks>
    <vt:vector size="6" baseType="variant">
      <vt:variant>
        <vt:i4>5242923</vt:i4>
      </vt:variant>
      <vt:variant>
        <vt:i4>0</vt:i4>
      </vt:variant>
      <vt:variant>
        <vt:i4>0</vt:i4>
      </vt:variant>
      <vt:variant>
        <vt:i4>5</vt:i4>
      </vt:variant>
      <vt:variant>
        <vt:lpwstr>http://supremecourt.intnet.mu/Main/GetDoc.asp?Doc_Title=1997+MR+123&amp;Mode=Html&amp;Search=No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HE</dc:creator>
  <cp:keywords/>
  <dc:description/>
  <cp:lastModifiedBy>TIAN</cp:lastModifiedBy>
  <cp:revision>2</cp:revision>
  <cp:lastPrinted>2010-05-06T12:33:00Z</cp:lastPrinted>
  <dcterms:created xsi:type="dcterms:W3CDTF">2010-05-06T12:34:00Z</dcterms:created>
  <dcterms:modified xsi:type="dcterms:W3CDTF">2010-05-06T12:34:00Z</dcterms:modified>
</cp:coreProperties>
</file>