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E4AAC" w:rsidRPr="00DB58B5" w:rsidTr="00D321A4">
        <w:trPr>
          <w:trHeight w:hRule="exact" w:val="851"/>
        </w:trPr>
        <w:tc>
          <w:tcPr>
            <w:tcW w:w="1277" w:type="dxa"/>
            <w:tcBorders>
              <w:bottom w:val="single" w:sz="4" w:space="0" w:color="auto"/>
            </w:tcBorders>
          </w:tcPr>
          <w:p w:rsidR="008E4AAC" w:rsidRPr="00DB58B5" w:rsidRDefault="008E4AAC" w:rsidP="00D321A4"/>
        </w:tc>
        <w:tc>
          <w:tcPr>
            <w:tcW w:w="2268" w:type="dxa"/>
            <w:tcBorders>
              <w:bottom w:val="single" w:sz="4" w:space="0" w:color="auto"/>
            </w:tcBorders>
            <w:vAlign w:val="bottom"/>
          </w:tcPr>
          <w:p w:rsidR="008E4AAC" w:rsidRPr="00DB58B5" w:rsidRDefault="008E4AAC" w:rsidP="00D321A4">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8E4AAC" w:rsidRPr="00DB58B5" w:rsidRDefault="004B3322" w:rsidP="004B3322">
            <w:pPr>
              <w:jc w:val="right"/>
            </w:pPr>
            <w:r w:rsidRPr="004B3322">
              <w:rPr>
                <w:sz w:val="40"/>
              </w:rPr>
              <w:t>HRI</w:t>
            </w:r>
            <w:r>
              <w:t>/CORE/BIH/2011</w:t>
            </w:r>
          </w:p>
        </w:tc>
      </w:tr>
      <w:tr w:rsidR="008E4AAC" w:rsidRPr="00DB58B5" w:rsidTr="00D321A4">
        <w:trPr>
          <w:trHeight w:hRule="exact" w:val="2835"/>
        </w:trPr>
        <w:tc>
          <w:tcPr>
            <w:tcW w:w="1276" w:type="dxa"/>
            <w:tcBorders>
              <w:top w:val="single" w:sz="4" w:space="0" w:color="auto"/>
              <w:bottom w:val="single" w:sz="12" w:space="0" w:color="auto"/>
            </w:tcBorders>
          </w:tcPr>
          <w:p w:rsidR="008E4AAC" w:rsidRPr="00DB58B5" w:rsidRDefault="008E4AAC" w:rsidP="00D321A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8E4AAC" w:rsidRPr="00740562" w:rsidRDefault="008E4AAC" w:rsidP="00D321A4">
            <w:pPr>
              <w:spacing w:before="120" w:line="380" w:lineRule="exact"/>
              <w:rPr>
                <w:b/>
                <w:sz w:val="40"/>
                <w:szCs w:val="40"/>
              </w:rPr>
            </w:pPr>
            <w:r>
              <w:rPr>
                <w:b/>
                <w:sz w:val="34"/>
                <w:szCs w:val="34"/>
              </w:rPr>
              <w:t>Instruments internationaux</w:t>
            </w:r>
            <w:r>
              <w:rPr>
                <w:b/>
                <w:sz w:val="34"/>
                <w:szCs w:val="34"/>
              </w:rPr>
              <w:br/>
              <w:t>relatifs aux droits de l</w:t>
            </w:r>
            <w:r w:rsidR="00CA473A">
              <w:rPr>
                <w:b/>
                <w:sz w:val="34"/>
                <w:szCs w:val="34"/>
              </w:rPr>
              <w:t>’</w:t>
            </w:r>
            <w:r>
              <w:rPr>
                <w:b/>
                <w:sz w:val="34"/>
                <w:szCs w:val="34"/>
              </w:rPr>
              <w:t>homme</w:t>
            </w:r>
          </w:p>
        </w:tc>
        <w:tc>
          <w:tcPr>
            <w:tcW w:w="2835" w:type="dxa"/>
            <w:tcBorders>
              <w:top w:val="single" w:sz="4" w:space="0" w:color="auto"/>
              <w:bottom w:val="single" w:sz="12" w:space="0" w:color="auto"/>
            </w:tcBorders>
          </w:tcPr>
          <w:p w:rsidR="004B3322" w:rsidRDefault="004B3322" w:rsidP="00D321A4">
            <w:pPr>
              <w:spacing w:before="240"/>
            </w:pPr>
            <w:r>
              <w:t>Distr. générale</w:t>
            </w:r>
          </w:p>
          <w:p w:rsidR="004B3322" w:rsidRDefault="004B3322" w:rsidP="004B3322">
            <w:pPr>
              <w:spacing w:line="240" w:lineRule="exact"/>
            </w:pPr>
            <w:r>
              <w:t>25 novembre 2011</w:t>
            </w:r>
          </w:p>
          <w:p w:rsidR="004B3322" w:rsidRDefault="004B3322" w:rsidP="004B3322">
            <w:pPr>
              <w:spacing w:line="240" w:lineRule="exact"/>
            </w:pPr>
            <w:r>
              <w:t>Français</w:t>
            </w:r>
          </w:p>
          <w:p w:rsidR="008E4AAC" w:rsidRPr="00DB58B5" w:rsidRDefault="004B3322" w:rsidP="004B3322">
            <w:pPr>
              <w:spacing w:line="240" w:lineRule="exact"/>
            </w:pPr>
            <w:r>
              <w:t>Original: anglais</w:t>
            </w:r>
          </w:p>
        </w:tc>
      </w:tr>
    </w:tbl>
    <w:p w:rsidR="004B3322" w:rsidRDefault="004B3322" w:rsidP="004B3322">
      <w:pPr>
        <w:pStyle w:val="HMG"/>
        <w:spacing w:before="480"/>
      </w:pPr>
      <w:r>
        <w:tab/>
      </w:r>
      <w:r>
        <w:tab/>
        <w:t>Document de base faisant partie intégrante des rapports présentés par les États parties</w:t>
      </w:r>
    </w:p>
    <w:p w:rsidR="004B3322" w:rsidRDefault="004B3322" w:rsidP="004B3322">
      <w:pPr>
        <w:pStyle w:val="HMG"/>
      </w:pPr>
      <w:r>
        <w:tab/>
      </w:r>
      <w:r>
        <w:tab/>
        <w:t>Bosnie-Herzégovine</w:t>
      </w:r>
      <w:r w:rsidR="00706545" w:rsidRPr="00706545">
        <w:rPr>
          <w:rStyle w:val="FootnoteReference"/>
          <w:b w:val="0"/>
          <w:sz w:val="20"/>
          <w:vertAlign w:val="baseline"/>
        </w:rPr>
        <w:footnoteReference w:customMarkFollows="1" w:id="2"/>
        <w:t>*</w:t>
      </w:r>
    </w:p>
    <w:p w:rsidR="004B3322" w:rsidRDefault="004B3322" w:rsidP="00E444F6">
      <w:pPr>
        <w:pStyle w:val="SingleTxtG"/>
        <w:jc w:val="right"/>
      </w:pPr>
      <w:r>
        <w:t>[22 février 2011]</w:t>
      </w:r>
    </w:p>
    <w:p w:rsidR="004B3322" w:rsidRPr="00EC3D5D" w:rsidRDefault="004B3322" w:rsidP="004B3322">
      <w:pPr>
        <w:spacing w:after="120"/>
        <w:rPr>
          <w:sz w:val="28"/>
        </w:rPr>
      </w:pPr>
      <w:r>
        <w:br w:type="page"/>
      </w:r>
      <w:r w:rsidRPr="00EC3D5D">
        <w:rPr>
          <w:sz w:val="28"/>
        </w:rPr>
        <w:t>Table des matières</w:t>
      </w:r>
    </w:p>
    <w:p w:rsidR="004B3322" w:rsidRPr="00EC3D5D" w:rsidRDefault="004B3322" w:rsidP="004B3322">
      <w:pPr>
        <w:tabs>
          <w:tab w:val="right" w:pos="8929"/>
          <w:tab w:val="right" w:pos="9638"/>
        </w:tabs>
        <w:spacing w:after="120"/>
        <w:ind w:left="283"/>
        <w:rPr>
          <w:i/>
          <w:sz w:val="18"/>
        </w:rPr>
      </w:pPr>
      <w:r w:rsidRPr="00EC3D5D">
        <w:rPr>
          <w:i/>
          <w:sz w:val="18"/>
        </w:rPr>
        <w:tab/>
        <w:t>Paragraphes</w:t>
      </w:r>
      <w:r w:rsidRPr="00EC3D5D">
        <w:rPr>
          <w:i/>
          <w:sz w:val="18"/>
        </w:rPr>
        <w:tab/>
        <w:t>Page</w:t>
      </w:r>
    </w:p>
    <w:p w:rsidR="004B3322" w:rsidRDefault="004B3322" w:rsidP="004B3322">
      <w:pPr>
        <w:tabs>
          <w:tab w:val="right" w:pos="850"/>
          <w:tab w:val="right" w:leader="dot" w:pos="7654"/>
          <w:tab w:val="right" w:pos="8929"/>
          <w:tab w:val="right" w:pos="9638"/>
        </w:tabs>
        <w:spacing w:after="120"/>
        <w:ind w:left="1134" w:hanging="1134"/>
      </w:pPr>
      <w:r>
        <w:tab/>
        <w:t>I.</w:t>
      </w:r>
      <w:r>
        <w:tab/>
      </w:r>
      <w:r w:rsidR="000A2E68">
        <w:t>Données générales</w:t>
      </w:r>
      <w:r>
        <w:tab/>
      </w:r>
      <w:r>
        <w:tab/>
      </w:r>
      <w:r w:rsidR="000A2E68">
        <w:t>1</w:t>
      </w:r>
      <w:r>
        <w:tab/>
      </w:r>
      <w:r w:rsidR="000A2E68">
        <w:t>3</w:t>
      </w:r>
    </w:p>
    <w:p w:rsidR="000A2E68" w:rsidRDefault="000A2E68" w:rsidP="004B3322">
      <w:pPr>
        <w:tabs>
          <w:tab w:val="right" w:pos="850"/>
          <w:tab w:val="right" w:leader="dot" w:pos="7654"/>
          <w:tab w:val="right" w:pos="8929"/>
          <w:tab w:val="right" w:pos="9638"/>
        </w:tabs>
        <w:spacing w:after="120"/>
        <w:ind w:left="1134" w:hanging="1134"/>
      </w:pPr>
      <w:r>
        <w:tab/>
        <w:t>II.</w:t>
      </w:r>
      <w:r>
        <w:tab/>
        <w:t>Caractéristiques démographiques, économiques, sociales et culturelles</w:t>
      </w:r>
      <w:r>
        <w:tab/>
      </w:r>
      <w:r>
        <w:tab/>
        <w:t>2−</w:t>
      </w:r>
      <w:r w:rsidR="00DD3B9C">
        <w:t>72</w:t>
      </w:r>
      <w:r w:rsidR="00DE5D6F">
        <w:tab/>
        <w:t>3</w:t>
      </w:r>
    </w:p>
    <w:p w:rsidR="00DE0C47" w:rsidRDefault="004B3322" w:rsidP="00DE0C47">
      <w:pPr>
        <w:tabs>
          <w:tab w:val="right" w:leader="dot" w:pos="7654"/>
          <w:tab w:val="right" w:pos="8929"/>
          <w:tab w:val="right" w:pos="9638"/>
        </w:tabs>
        <w:spacing w:after="120"/>
        <w:ind w:left="1559" w:hanging="425"/>
      </w:pPr>
      <w:r>
        <w:t>A.</w:t>
      </w:r>
      <w:r>
        <w:tab/>
      </w:r>
      <w:r w:rsidR="00DE5D6F">
        <w:t>La Bosnie-Herzégovine de 1992 à 1995</w:t>
      </w:r>
      <w:r>
        <w:tab/>
      </w:r>
      <w:r>
        <w:tab/>
      </w:r>
      <w:r w:rsidR="00DD3B9C">
        <w:t>8−16</w:t>
      </w:r>
      <w:r>
        <w:tab/>
      </w:r>
      <w:r w:rsidR="00332879">
        <w:t>5</w:t>
      </w:r>
    </w:p>
    <w:p w:rsidR="00DD3B9C" w:rsidRDefault="00DD3B9C" w:rsidP="00DE0C47">
      <w:pPr>
        <w:tabs>
          <w:tab w:val="right" w:leader="dot" w:pos="7654"/>
          <w:tab w:val="right" w:pos="8929"/>
          <w:tab w:val="right" w:pos="9638"/>
        </w:tabs>
        <w:spacing w:after="120"/>
        <w:ind w:left="1559" w:hanging="425"/>
      </w:pPr>
      <w:r>
        <w:t>B.</w:t>
      </w:r>
      <w:r>
        <w:tab/>
        <w:t>La Bosnie-Herzégovine après 1996</w:t>
      </w:r>
      <w:r>
        <w:tab/>
      </w:r>
      <w:r>
        <w:tab/>
        <w:t>17−18</w:t>
      </w:r>
      <w:r>
        <w:tab/>
      </w:r>
      <w:r w:rsidR="00332879">
        <w:t>6</w:t>
      </w:r>
    </w:p>
    <w:p w:rsidR="00DD3B9C" w:rsidRDefault="00DD3B9C" w:rsidP="00DE0C47">
      <w:pPr>
        <w:tabs>
          <w:tab w:val="right" w:leader="dot" w:pos="7654"/>
          <w:tab w:val="right" w:pos="8929"/>
          <w:tab w:val="right" w:pos="9638"/>
        </w:tabs>
        <w:spacing w:after="120"/>
        <w:ind w:left="1559" w:hanging="425"/>
      </w:pPr>
      <w:r>
        <w:t>C.</w:t>
      </w:r>
      <w:r>
        <w:tab/>
        <w:t>La population de Bosnie-Herzégovine après 1996</w:t>
      </w:r>
      <w:r>
        <w:tab/>
      </w:r>
      <w:r>
        <w:tab/>
        <w:t>19−23</w:t>
      </w:r>
      <w:r>
        <w:tab/>
      </w:r>
      <w:r w:rsidR="00332879">
        <w:t>7</w:t>
      </w:r>
    </w:p>
    <w:p w:rsidR="00DD3B9C" w:rsidRDefault="00DD3B9C" w:rsidP="00DE0C47">
      <w:pPr>
        <w:tabs>
          <w:tab w:val="right" w:leader="dot" w:pos="7654"/>
          <w:tab w:val="right" w:pos="8929"/>
          <w:tab w:val="right" w:pos="9638"/>
        </w:tabs>
        <w:spacing w:after="120"/>
        <w:ind w:left="1559" w:hanging="425"/>
      </w:pPr>
      <w:r>
        <w:t>D.</w:t>
      </w:r>
      <w:r>
        <w:tab/>
        <w:t>Évaluation de la population actuelle en Bosnie-Herzégovine</w:t>
      </w:r>
      <w:r>
        <w:tab/>
      </w:r>
      <w:r>
        <w:tab/>
        <w:t>24−35</w:t>
      </w:r>
      <w:r>
        <w:tab/>
      </w:r>
      <w:r w:rsidR="00332879">
        <w:t>8</w:t>
      </w:r>
    </w:p>
    <w:p w:rsidR="00DD3B9C" w:rsidRDefault="00DD3B9C" w:rsidP="00DE0C47">
      <w:pPr>
        <w:tabs>
          <w:tab w:val="right" w:leader="dot" w:pos="7654"/>
          <w:tab w:val="right" w:pos="8929"/>
          <w:tab w:val="right" w:pos="9638"/>
        </w:tabs>
        <w:spacing w:after="120"/>
        <w:ind w:left="1559" w:hanging="425"/>
      </w:pPr>
      <w:r>
        <w:t>E.</w:t>
      </w:r>
      <w:r>
        <w:tab/>
        <w:t>Retour en Bosnie-Herzégovine</w:t>
      </w:r>
      <w:r>
        <w:tab/>
      </w:r>
      <w:r>
        <w:tab/>
        <w:t>36−42</w:t>
      </w:r>
      <w:r>
        <w:tab/>
      </w:r>
      <w:r w:rsidR="00332879">
        <w:t>10</w:t>
      </w:r>
    </w:p>
    <w:p w:rsidR="00DD3B9C" w:rsidRDefault="00DD3B9C" w:rsidP="00DE0C47">
      <w:pPr>
        <w:tabs>
          <w:tab w:val="right" w:leader="dot" w:pos="7654"/>
          <w:tab w:val="right" w:pos="8929"/>
          <w:tab w:val="right" w:pos="9638"/>
        </w:tabs>
        <w:spacing w:after="120"/>
        <w:ind w:left="1559" w:hanging="425"/>
      </w:pPr>
      <w:r>
        <w:t>F.</w:t>
      </w:r>
      <w:r>
        <w:tab/>
        <w:t>Restitution des droits de propriété et d</w:t>
      </w:r>
      <w:r w:rsidR="00CA473A">
        <w:t>’</w:t>
      </w:r>
      <w:r>
        <w:t>occupation</w:t>
      </w:r>
      <w:r>
        <w:tab/>
      </w:r>
      <w:r>
        <w:tab/>
        <w:t>43−47</w:t>
      </w:r>
      <w:r>
        <w:tab/>
      </w:r>
      <w:r w:rsidR="00332879">
        <w:t>10</w:t>
      </w:r>
    </w:p>
    <w:p w:rsidR="00DD3B9C" w:rsidRDefault="00DD3B9C" w:rsidP="00DE0C47">
      <w:pPr>
        <w:tabs>
          <w:tab w:val="right" w:leader="dot" w:pos="7654"/>
          <w:tab w:val="right" w:pos="8929"/>
          <w:tab w:val="right" w:pos="9638"/>
        </w:tabs>
        <w:spacing w:after="120"/>
        <w:ind w:left="1559" w:hanging="425"/>
      </w:pPr>
      <w:r>
        <w:t>G.</w:t>
      </w:r>
      <w:r>
        <w:tab/>
        <w:t>Situation actuelle des réfugiés de Bosnie-Herzégovine</w:t>
      </w:r>
      <w:r>
        <w:tab/>
      </w:r>
      <w:r>
        <w:tab/>
        <w:t>48−50</w:t>
      </w:r>
      <w:r>
        <w:tab/>
      </w:r>
      <w:r w:rsidR="00332879">
        <w:t>11</w:t>
      </w:r>
    </w:p>
    <w:p w:rsidR="00DD3B9C" w:rsidRDefault="00DD3B9C" w:rsidP="00DE0C47">
      <w:pPr>
        <w:tabs>
          <w:tab w:val="right" w:leader="dot" w:pos="7654"/>
          <w:tab w:val="right" w:pos="8929"/>
          <w:tab w:val="right" w:pos="9638"/>
        </w:tabs>
        <w:spacing w:after="120"/>
        <w:ind w:left="1559" w:hanging="425"/>
      </w:pPr>
      <w:r>
        <w:t>H.</w:t>
      </w:r>
      <w:r>
        <w:tab/>
        <w:t>Personnes déplacées en Bosnie-Herzégovine</w:t>
      </w:r>
      <w:r>
        <w:tab/>
      </w:r>
      <w:r>
        <w:tab/>
      </w:r>
      <w:r w:rsidR="00C014BB">
        <w:t>51−55</w:t>
      </w:r>
      <w:r w:rsidR="00C014BB">
        <w:tab/>
      </w:r>
      <w:r w:rsidR="00332879">
        <w:t>12</w:t>
      </w:r>
    </w:p>
    <w:p w:rsidR="00C014BB" w:rsidRDefault="00C014BB" w:rsidP="00DE0C47">
      <w:pPr>
        <w:tabs>
          <w:tab w:val="right" w:leader="dot" w:pos="7654"/>
          <w:tab w:val="right" w:pos="8929"/>
          <w:tab w:val="right" w:pos="9638"/>
        </w:tabs>
        <w:spacing w:after="120"/>
        <w:ind w:left="1559" w:hanging="425"/>
      </w:pPr>
      <w:r>
        <w:t>I.</w:t>
      </w:r>
      <w:r>
        <w:tab/>
        <w:t>État des logements</w:t>
      </w:r>
      <w:r>
        <w:tab/>
      </w:r>
      <w:r>
        <w:tab/>
        <w:t>56−59</w:t>
      </w:r>
      <w:r>
        <w:tab/>
      </w:r>
      <w:r w:rsidR="00790198">
        <w:t>12</w:t>
      </w:r>
    </w:p>
    <w:p w:rsidR="00C014BB" w:rsidRDefault="00C014BB" w:rsidP="00DE0C47">
      <w:pPr>
        <w:tabs>
          <w:tab w:val="right" w:leader="dot" w:pos="7654"/>
          <w:tab w:val="right" w:pos="8929"/>
          <w:tab w:val="right" w:pos="9638"/>
        </w:tabs>
        <w:spacing w:after="120"/>
        <w:ind w:left="1559" w:hanging="425"/>
      </w:pPr>
      <w:r>
        <w:t>J.</w:t>
      </w:r>
      <w:r>
        <w:tab/>
        <w:t>Emploi en Bosnie-Herzégovine</w:t>
      </w:r>
      <w:r>
        <w:tab/>
      </w:r>
      <w:r>
        <w:tab/>
        <w:t>60−65</w:t>
      </w:r>
      <w:r>
        <w:tab/>
      </w:r>
      <w:r w:rsidR="00790198">
        <w:t>13</w:t>
      </w:r>
    </w:p>
    <w:p w:rsidR="00C014BB" w:rsidRDefault="00C014BB" w:rsidP="00DE0C47">
      <w:pPr>
        <w:tabs>
          <w:tab w:val="right" w:leader="dot" w:pos="7654"/>
          <w:tab w:val="right" w:pos="8929"/>
          <w:tab w:val="right" w:pos="9638"/>
        </w:tabs>
        <w:spacing w:after="120"/>
        <w:ind w:left="1559" w:hanging="425"/>
      </w:pPr>
      <w:r>
        <w:t>K.</w:t>
      </w:r>
      <w:r>
        <w:tab/>
        <w:t>Chômeurs recensés au 31 décembre 2009</w:t>
      </w:r>
      <w:r>
        <w:tab/>
      </w:r>
      <w:r>
        <w:tab/>
        <w:t>66−72</w:t>
      </w:r>
      <w:r>
        <w:tab/>
      </w:r>
      <w:r w:rsidR="00790198">
        <w:t>15</w:t>
      </w:r>
    </w:p>
    <w:p w:rsidR="00C014BB" w:rsidRDefault="00C014BB" w:rsidP="00C014BB">
      <w:pPr>
        <w:tabs>
          <w:tab w:val="right" w:pos="850"/>
          <w:tab w:val="right" w:leader="dot" w:pos="7654"/>
          <w:tab w:val="right" w:pos="8929"/>
          <w:tab w:val="right" w:pos="9638"/>
        </w:tabs>
        <w:spacing w:after="120"/>
        <w:ind w:left="1134" w:hanging="1134"/>
      </w:pPr>
      <w:r>
        <w:tab/>
        <w:t>III.</w:t>
      </w:r>
      <w:r>
        <w:tab/>
        <w:t>Structure constitutionnelle, politique et juridique de la Bosnie-Herzégovine</w:t>
      </w:r>
      <w:r>
        <w:tab/>
      </w:r>
      <w:r>
        <w:tab/>
        <w:t>73-14</w:t>
      </w:r>
      <w:r w:rsidR="00790198">
        <w:t>5</w:t>
      </w:r>
      <w:r>
        <w:tab/>
      </w:r>
      <w:r w:rsidR="00790198">
        <w:t>17</w:t>
      </w:r>
    </w:p>
    <w:p w:rsidR="00DE0C47" w:rsidRDefault="00C014BB" w:rsidP="00DE0C47">
      <w:pPr>
        <w:tabs>
          <w:tab w:val="right" w:leader="dot" w:pos="7654"/>
          <w:tab w:val="right" w:pos="8929"/>
          <w:tab w:val="right" w:pos="9638"/>
        </w:tabs>
        <w:spacing w:after="120"/>
        <w:ind w:left="1559" w:hanging="425"/>
      </w:pPr>
      <w:r>
        <w:t>A.</w:t>
      </w:r>
      <w:r>
        <w:tab/>
        <w:t>Indépendance de la magistrature</w:t>
      </w:r>
      <w:r>
        <w:tab/>
      </w:r>
      <w:r>
        <w:tab/>
        <w:t>94−96</w:t>
      </w:r>
      <w:r>
        <w:tab/>
      </w:r>
      <w:r w:rsidR="00790198">
        <w:t>19</w:t>
      </w:r>
    </w:p>
    <w:p w:rsidR="00C014BB" w:rsidRDefault="00C014BB" w:rsidP="00DE0C47">
      <w:pPr>
        <w:tabs>
          <w:tab w:val="right" w:leader="dot" w:pos="7654"/>
          <w:tab w:val="right" w:pos="8929"/>
          <w:tab w:val="right" w:pos="9638"/>
        </w:tabs>
        <w:spacing w:after="120"/>
        <w:ind w:left="1559" w:hanging="425"/>
      </w:pPr>
      <w:r>
        <w:t>B.</w:t>
      </w:r>
      <w:r>
        <w:tab/>
        <w:t>Bureau du Haut Représentant</w:t>
      </w:r>
      <w:r>
        <w:tab/>
      </w:r>
      <w:r>
        <w:tab/>
        <w:t>97−99</w:t>
      </w:r>
      <w:r>
        <w:tab/>
      </w:r>
      <w:r w:rsidR="00790198">
        <w:t>20</w:t>
      </w:r>
    </w:p>
    <w:p w:rsidR="00C014BB" w:rsidRDefault="00C014BB" w:rsidP="00DE0C47">
      <w:pPr>
        <w:tabs>
          <w:tab w:val="right" w:leader="dot" w:pos="7654"/>
          <w:tab w:val="right" w:pos="8929"/>
          <w:tab w:val="right" w:pos="9638"/>
        </w:tabs>
        <w:spacing w:after="120"/>
        <w:ind w:left="1559" w:hanging="425"/>
      </w:pPr>
      <w:r>
        <w:t>C.</w:t>
      </w:r>
      <w:r>
        <w:tab/>
        <w:t>Droits de l</w:t>
      </w:r>
      <w:r w:rsidR="00CA473A">
        <w:t>’</w:t>
      </w:r>
      <w:r>
        <w:t>homme et libertés</w:t>
      </w:r>
      <w:r>
        <w:tab/>
      </w:r>
      <w:r>
        <w:tab/>
        <w:t>100−142</w:t>
      </w:r>
      <w:r>
        <w:tab/>
      </w:r>
      <w:r w:rsidR="00790198">
        <w:t>20</w:t>
      </w:r>
    </w:p>
    <w:p w:rsidR="00C014BB" w:rsidRDefault="00C014BB" w:rsidP="00DE0C47">
      <w:pPr>
        <w:tabs>
          <w:tab w:val="right" w:leader="dot" w:pos="7654"/>
          <w:tab w:val="right" w:pos="8929"/>
          <w:tab w:val="right" w:pos="9638"/>
        </w:tabs>
        <w:spacing w:after="120"/>
        <w:ind w:left="1559" w:hanging="425"/>
      </w:pPr>
      <w:r>
        <w:t>D.</w:t>
      </w:r>
      <w:r>
        <w:tab/>
        <w:t>Stabilisation et association à l</w:t>
      </w:r>
      <w:r w:rsidR="00CA473A">
        <w:t>’</w:t>
      </w:r>
      <w:r>
        <w:t>Union européenne</w:t>
      </w:r>
      <w:r>
        <w:tab/>
      </w:r>
      <w:r>
        <w:tab/>
        <w:t>143−145</w:t>
      </w:r>
      <w:r>
        <w:tab/>
      </w:r>
      <w:r w:rsidR="00790198">
        <w:t>27</w:t>
      </w:r>
    </w:p>
    <w:p w:rsidR="00C014BB" w:rsidRDefault="00C014BB" w:rsidP="00C014BB">
      <w:pPr>
        <w:tabs>
          <w:tab w:val="right" w:pos="850"/>
          <w:tab w:val="right" w:leader="dot" w:pos="7654"/>
          <w:tab w:val="right" w:pos="8929"/>
          <w:tab w:val="right" w:pos="9638"/>
        </w:tabs>
        <w:spacing w:after="120"/>
        <w:ind w:left="1134" w:hanging="1134"/>
      </w:pPr>
      <w:r>
        <w:tab/>
        <w:t>IV.</w:t>
      </w:r>
      <w:r>
        <w:tab/>
        <w:t>Cadre général de la protection et de la promotion des droits de l</w:t>
      </w:r>
      <w:r w:rsidR="00CA473A">
        <w:t>’</w:t>
      </w:r>
      <w:r>
        <w:t>homme</w:t>
      </w:r>
      <w:r>
        <w:tab/>
      </w:r>
      <w:r>
        <w:tab/>
        <w:t>146−214</w:t>
      </w:r>
      <w:r>
        <w:tab/>
      </w:r>
      <w:r w:rsidR="00790198">
        <w:t>28</w:t>
      </w:r>
    </w:p>
    <w:p w:rsidR="00C014BB" w:rsidRDefault="00C014BB" w:rsidP="00C014BB">
      <w:pPr>
        <w:tabs>
          <w:tab w:val="right" w:leader="dot" w:pos="7654"/>
          <w:tab w:val="right" w:pos="8929"/>
          <w:tab w:val="right" w:pos="9638"/>
        </w:tabs>
        <w:spacing w:after="120"/>
        <w:ind w:left="1559" w:hanging="425"/>
      </w:pPr>
      <w:r>
        <w:t>A.</w:t>
      </w:r>
      <w:r>
        <w:tab/>
        <w:t>Adoption des normes internationales relatives aux droits de l</w:t>
      </w:r>
      <w:r w:rsidR="00CA473A">
        <w:t>’</w:t>
      </w:r>
      <w:r>
        <w:t>homme</w:t>
      </w:r>
      <w:r>
        <w:tab/>
      </w:r>
      <w:r>
        <w:tab/>
        <w:t>146−151</w:t>
      </w:r>
      <w:r>
        <w:tab/>
      </w:r>
      <w:r w:rsidR="00790198">
        <w:t>28</w:t>
      </w:r>
    </w:p>
    <w:p w:rsidR="00C014BB" w:rsidRDefault="00C014BB" w:rsidP="00C014BB">
      <w:pPr>
        <w:tabs>
          <w:tab w:val="right" w:leader="dot" w:pos="7654"/>
          <w:tab w:val="right" w:pos="8929"/>
          <w:tab w:val="right" w:pos="9638"/>
        </w:tabs>
        <w:spacing w:after="120"/>
        <w:ind w:left="1559" w:hanging="425"/>
      </w:pPr>
      <w:r>
        <w:t>B.</w:t>
      </w:r>
      <w:r>
        <w:tab/>
        <w:t>Cadre juridique de la protection des droits de l</w:t>
      </w:r>
      <w:r w:rsidR="00CA473A">
        <w:t>’</w:t>
      </w:r>
      <w:r>
        <w:t xml:space="preserve">homme </w:t>
      </w:r>
      <w:r>
        <w:br/>
        <w:t>au niveau national</w:t>
      </w:r>
      <w:r>
        <w:tab/>
      </w:r>
      <w:r>
        <w:tab/>
        <w:t>152−177</w:t>
      </w:r>
      <w:r>
        <w:tab/>
      </w:r>
      <w:r w:rsidR="00790198">
        <w:t>31</w:t>
      </w:r>
    </w:p>
    <w:p w:rsidR="00C014BB" w:rsidRDefault="00C014BB" w:rsidP="00C014BB">
      <w:pPr>
        <w:tabs>
          <w:tab w:val="right" w:leader="dot" w:pos="7654"/>
          <w:tab w:val="right" w:pos="8929"/>
          <w:tab w:val="right" w:pos="9638"/>
        </w:tabs>
        <w:spacing w:after="120"/>
        <w:ind w:left="1559" w:hanging="425"/>
      </w:pPr>
      <w:r>
        <w:t>C.</w:t>
      </w:r>
      <w:r>
        <w:tab/>
        <w:t>Promotion des droits de l</w:t>
      </w:r>
      <w:r w:rsidR="00CA473A">
        <w:t>’</w:t>
      </w:r>
      <w:r>
        <w:t>homme au niveau de l</w:t>
      </w:r>
      <w:r w:rsidR="00CA473A">
        <w:t>’</w:t>
      </w:r>
      <w:r>
        <w:t>État</w:t>
      </w:r>
      <w:r>
        <w:tab/>
      </w:r>
      <w:r>
        <w:tab/>
        <w:t>178−202</w:t>
      </w:r>
      <w:r>
        <w:tab/>
      </w:r>
      <w:r w:rsidR="00790198">
        <w:t>35</w:t>
      </w:r>
    </w:p>
    <w:p w:rsidR="00CA473A" w:rsidRDefault="00C014BB" w:rsidP="00C014BB">
      <w:pPr>
        <w:tabs>
          <w:tab w:val="right" w:leader="dot" w:pos="7654"/>
          <w:tab w:val="right" w:pos="8929"/>
          <w:tab w:val="right" w:pos="9638"/>
        </w:tabs>
        <w:spacing w:after="120"/>
        <w:ind w:left="1559" w:hanging="425"/>
      </w:pPr>
      <w:r>
        <w:t>D.</w:t>
      </w:r>
      <w:r>
        <w:tab/>
        <w:t>Établissement de rapports au niveau national</w:t>
      </w:r>
      <w:r>
        <w:tab/>
      </w:r>
      <w:r>
        <w:tab/>
        <w:t>203−214</w:t>
      </w:r>
      <w:r>
        <w:tab/>
      </w:r>
      <w:r w:rsidR="00790198">
        <w:t>39</w:t>
      </w:r>
    </w:p>
    <w:p w:rsidR="004B3322" w:rsidRDefault="00DE0C47" w:rsidP="00DE0C47">
      <w:pPr>
        <w:pStyle w:val="HChG"/>
      </w:pPr>
      <w:r>
        <w:br w:type="page"/>
      </w:r>
      <w:r w:rsidR="00DE5D6F">
        <w:tab/>
      </w:r>
      <w:r w:rsidR="004B3322">
        <w:t>I.</w:t>
      </w:r>
      <w:r w:rsidR="004B3322">
        <w:tab/>
        <w:t xml:space="preserve">Données générales </w:t>
      </w:r>
    </w:p>
    <w:p w:rsidR="004B3322" w:rsidRDefault="004B3322" w:rsidP="004B3322">
      <w:pPr>
        <w:pStyle w:val="SingleTxtG"/>
      </w:pPr>
      <w:r>
        <w:t>1.</w:t>
      </w:r>
      <w:r>
        <w:tab/>
        <w:t>Établi dans sa structure actuelle</w:t>
      </w:r>
      <w:r>
        <w:rPr>
          <w:rStyle w:val="FootnoteReference"/>
        </w:rPr>
        <w:footnoteReference w:id="3"/>
      </w:r>
      <w:r>
        <w:t xml:space="preserve"> par l</w:t>
      </w:r>
      <w:r w:rsidR="00CA473A">
        <w:t>’</w:t>
      </w:r>
      <w:r>
        <w:t>Accord de paix de Dayton de 1995, l</w:t>
      </w:r>
      <w:r w:rsidR="00CA473A">
        <w:t>’</w:t>
      </w:r>
      <w:r>
        <w:t>État de Bosnie-Herzégovine est doté d</w:t>
      </w:r>
      <w:r w:rsidR="00CA473A">
        <w:t>’</w:t>
      </w:r>
      <w:r>
        <w:t>un gouvernement central restreint, l</w:t>
      </w:r>
      <w:r w:rsidR="00CA473A">
        <w:t>’</w:t>
      </w:r>
      <w:r>
        <w:t>essentiel des responsabilités</w:t>
      </w:r>
      <w:r w:rsidR="007B6175">
        <w:t xml:space="preserve"> gouvernementales étant partagé</w:t>
      </w:r>
      <w:r>
        <w:t xml:space="preserve"> par deux </w:t>
      </w:r>
      <w:r w:rsidR="00BF0C08">
        <w:t>Entités</w:t>
      </w:r>
      <w:r>
        <w:t xml:space="preserve">: la Fédération de Bosnie-Herzégovine et la Republika Srpska. Les deux </w:t>
      </w:r>
      <w:r w:rsidR="00BF0C08">
        <w:t>Entités</w:t>
      </w:r>
      <w:r>
        <w:t xml:space="preserve"> ont leur propre gouvernement et leurs propres structures civiles. La Fédération de Bosnie-Herzégovine est une entité hautement décentralisée qui comporte 10 cantons. Contrairement à la Fédération de Bosnie-Herzégovine, la Republika Srpska a un gouvernement centralisé. Le district de Brcko, sur le territoire de la Bosnie-Herzégovine, est la troisième unité administrative placée sous administration internationale. En mars 2000 était adopté l</w:t>
      </w:r>
      <w:r w:rsidR="00CA473A">
        <w:t>’</w:t>
      </w:r>
      <w:r>
        <w:t>amendement de la Constitution de la Bosnie-Herzégovine, par lequel le statut du district de Brcko était arrêté selon la décision du Tribunal arbitral. L</w:t>
      </w:r>
      <w:r w:rsidR="00CA473A">
        <w:t>’</w:t>
      </w:r>
      <w:r>
        <w:t xml:space="preserve">ensemble du pays compte 14 </w:t>
      </w:r>
      <w:r w:rsidR="00DE0C47">
        <w:t>juridictions administratives, 5 </w:t>
      </w:r>
      <w:r>
        <w:t>niveaux administratifs et plus de 150 ministères et agences gouvernementales.</w:t>
      </w:r>
    </w:p>
    <w:p w:rsidR="004B3322" w:rsidRDefault="004B3322" w:rsidP="004B3322">
      <w:pPr>
        <w:pStyle w:val="HChG"/>
      </w:pPr>
      <w:r>
        <w:tab/>
        <w:t>II.</w:t>
      </w:r>
      <w:r>
        <w:tab/>
        <w:t>Caractéristiques démographiques, économiques,</w:t>
      </w:r>
      <w:r>
        <w:br/>
        <w:t>sociales et culturelles</w:t>
      </w:r>
    </w:p>
    <w:p w:rsidR="004B3322" w:rsidRDefault="004B3322" w:rsidP="004B3322">
      <w:pPr>
        <w:pStyle w:val="SingleTxtG"/>
      </w:pPr>
      <w:r>
        <w:t>2.</w:t>
      </w:r>
      <w:r>
        <w:tab/>
        <w:t>La Bosnie-Herzégovine est située dans la partie occidentale de la péninsule des Balkans. Elle est bordée à l</w:t>
      </w:r>
      <w:r w:rsidR="00CA473A">
        <w:t>’</w:t>
      </w:r>
      <w:r>
        <w:t xml:space="preserve">est par la République de Serbie et la République du </w:t>
      </w:r>
      <w:r>
        <w:rPr>
          <w:rFonts w:eastAsia="MS Mincho"/>
        </w:rPr>
        <w:t>Monténégro, et au nord, à l</w:t>
      </w:r>
      <w:r w:rsidR="00CA473A">
        <w:rPr>
          <w:rFonts w:eastAsia="MS Mincho"/>
        </w:rPr>
        <w:t>’</w:t>
      </w:r>
      <w:r>
        <w:rPr>
          <w:rFonts w:eastAsia="MS Mincho"/>
        </w:rPr>
        <w:t>ouest et au sud par la République de Croatie. Sa superficie totalise 51</w:t>
      </w:r>
      <w:r w:rsidR="00DE0C47">
        <w:rPr>
          <w:rFonts w:eastAsia="MS Mincho"/>
        </w:rPr>
        <w:t> </w:t>
      </w:r>
      <w:r>
        <w:rPr>
          <w:rFonts w:eastAsia="MS Mincho"/>
        </w:rPr>
        <w:t>209,2 km</w:t>
      </w:r>
      <w:r>
        <w:rPr>
          <w:rFonts w:eastAsia="MS Mincho"/>
          <w:vertAlign w:val="superscript"/>
        </w:rPr>
        <w:t>2</w:t>
      </w:r>
      <w:r w:rsidRPr="004B3322">
        <w:rPr>
          <w:rFonts w:eastAsia="MS Mincho"/>
        </w:rPr>
        <w:t xml:space="preserve"> </w:t>
      </w:r>
      <w:r w:rsidR="00DE0C47">
        <w:rPr>
          <w:rFonts w:eastAsia="MS Mincho"/>
        </w:rPr>
        <w:t>(terre: 51 </w:t>
      </w:r>
      <w:r>
        <w:rPr>
          <w:rFonts w:eastAsia="MS Mincho"/>
        </w:rPr>
        <w:t>197</w:t>
      </w:r>
      <w:r w:rsidR="00DE0C47">
        <w:rPr>
          <w:rFonts w:eastAsia="MS Mincho"/>
        </w:rPr>
        <w:t> </w:t>
      </w:r>
      <w:r>
        <w:rPr>
          <w:rFonts w:eastAsia="MS Mincho"/>
        </w:rPr>
        <w:t>km</w:t>
      </w:r>
      <w:r w:rsidRPr="00C31E44">
        <w:rPr>
          <w:rFonts w:eastAsia="MS Mincho"/>
          <w:vertAlign w:val="superscript"/>
        </w:rPr>
        <w:t>2</w:t>
      </w:r>
      <w:r>
        <w:rPr>
          <w:rFonts w:eastAsia="MS Mincho"/>
        </w:rPr>
        <w:t>, mer: 12,2</w:t>
      </w:r>
      <w:r w:rsidR="00DE0C47">
        <w:rPr>
          <w:rFonts w:eastAsia="MS Mincho"/>
        </w:rPr>
        <w:t> </w:t>
      </w:r>
      <w:r>
        <w:rPr>
          <w:rFonts w:eastAsia="MS Mincho"/>
        </w:rPr>
        <w:t>km</w:t>
      </w:r>
      <w:r w:rsidRPr="00C31E44">
        <w:rPr>
          <w:rFonts w:eastAsia="MS Mincho"/>
          <w:vertAlign w:val="superscript"/>
        </w:rPr>
        <w:t>2</w:t>
      </w:r>
      <w:r>
        <w:rPr>
          <w:rFonts w:eastAsia="MS Mincho"/>
        </w:rPr>
        <w:t>)</w:t>
      </w:r>
      <w:r>
        <w:t>. Le climat est essentiellement continental, mais aussi méditerranéen au sud.</w:t>
      </w:r>
    </w:p>
    <w:p w:rsidR="004B3322" w:rsidRDefault="004B3322" w:rsidP="004B3322">
      <w:pPr>
        <w:pStyle w:val="SingleTxtG"/>
      </w:pPr>
      <w:r>
        <w:t>3.</w:t>
      </w:r>
      <w:r>
        <w:tab/>
        <w:t>Selon le recensement de 1991, le territoire de la Bosnie-Herzégovine, avec ses 1 537 km de frontières, comptait 4</w:t>
      </w:r>
      <w:r w:rsidR="00DE0C47">
        <w:t> </w:t>
      </w:r>
      <w:r>
        <w:t>377</w:t>
      </w:r>
      <w:r w:rsidR="00DE0C47">
        <w:t> </w:t>
      </w:r>
      <w:r>
        <w:t>033 habitants. Les terres arables fertiles couvrent 2 531 000 hectares, soit 49,5</w:t>
      </w:r>
      <w:r w:rsidR="00DE0C47">
        <w:t> </w:t>
      </w:r>
      <w:r>
        <w:t>% de l</w:t>
      </w:r>
      <w:r w:rsidR="00CA473A">
        <w:t>’</w:t>
      </w:r>
      <w:r>
        <w:t>ensemble du territoire, ce qui offre de nombreuses opportunités pour l</w:t>
      </w:r>
      <w:r w:rsidR="00CA473A">
        <w:t>’</w:t>
      </w:r>
      <w:r>
        <w:t>agriculture et la production alimentaire dans des conditions climatiques complexes et diverses (mêlant la rudesse du climat continental à la douceur du climat méditerranéen). La couverture forestière, qui est hétérogène, occupe 46 % du territoire. Le pays est bien connu pour ses capacités hydro- et thermoélectriques, grâce à ses ressources hydriques et à ses réserves en charbon.</w:t>
      </w:r>
    </w:p>
    <w:p w:rsidR="004B3322" w:rsidRDefault="004B3322" w:rsidP="004B3322">
      <w:pPr>
        <w:pStyle w:val="SingleTxtG"/>
      </w:pPr>
      <w:r>
        <w:t>4.</w:t>
      </w:r>
      <w:r>
        <w:tab/>
        <w:t>En 1991, la Bosnie-Herzégovine avait atteint un niveau très favorable en termes de nombre de ménages et de logemen</w:t>
      </w:r>
      <w:r w:rsidR="00DE0C47">
        <w:t>ts. À l</w:t>
      </w:r>
      <w:r w:rsidR="00CA473A">
        <w:t>’</w:t>
      </w:r>
      <w:r w:rsidR="00DE0C47">
        <w:t>époque, on dénombrait 1 </w:t>
      </w:r>
      <w:r>
        <w:t>207</w:t>
      </w:r>
      <w:r w:rsidR="00DE0C47">
        <w:t> </w:t>
      </w:r>
      <w:r>
        <w:t>693 logements répartis sur 6</w:t>
      </w:r>
      <w:r w:rsidR="00DE0C47">
        <w:t> </w:t>
      </w:r>
      <w:r>
        <w:t>823 localités. La surface moyenne des lo</w:t>
      </w:r>
      <w:r w:rsidR="00DE0C47">
        <w:t>gements était de 60,45 </w:t>
      </w:r>
      <w:r>
        <w:t>m</w:t>
      </w:r>
      <w:r w:rsidRPr="00C31E44">
        <w:rPr>
          <w:vertAlign w:val="superscript"/>
        </w:rPr>
        <w:t>2</w:t>
      </w:r>
      <w:r>
        <w:t xml:space="preserve"> par ménage, ou 16,68 m</w:t>
      </w:r>
      <w:r w:rsidRPr="00C31E44">
        <w:rPr>
          <w:vertAlign w:val="superscript"/>
        </w:rPr>
        <w:t>2</w:t>
      </w:r>
      <w:r>
        <w:t xml:space="preserve"> par habitant. </w:t>
      </w:r>
    </w:p>
    <w:p w:rsidR="004B3322" w:rsidRDefault="004B3322" w:rsidP="004B3322">
      <w:pPr>
        <w:pStyle w:val="SingleTxtG"/>
        <w:rPr>
          <w:rFonts w:eastAsia="MS Mincho"/>
        </w:rPr>
      </w:pPr>
      <w:r>
        <w:t>5.</w:t>
      </w:r>
      <w:r>
        <w:tab/>
        <w:t>En 1991, le niveau économique de la Bosnie-Herzégovine était celui d</w:t>
      </w:r>
      <w:r w:rsidR="00CA473A">
        <w:t>’</w:t>
      </w:r>
      <w:r>
        <w:t>un pays industriel moyennement développé, avec un revenu national brut d</w:t>
      </w:r>
      <w:r w:rsidR="00CA473A">
        <w:t>’</w:t>
      </w:r>
      <w:r>
        <w:t>environ 2</w:t>
      </w:r>
      <w:r w:rsidR="00DE0C47">
        <w:t> </w:t>
      </w:r>
      <w:r>
        <w:t xml:space="preserve">000 dollars des </w:t>
      </w:r>
      <w:r w:rsidRPr="005F0918">
        <w:rPr>
          <w:rFonts w:eastAsia="MS Mincho"/>
        </w:rPr>
        <w:t>États</w:t>
      </w:r>
      <w:r>
        <w:rPr>
          <w:rFonts w:eastAsia="MS Mincho"/>
        </w:rPr>
        <w:t>-</w:t>
      </w:r>
      <w:r w:rsidRPr="005F0918">
        <w:rPr>
          <w:rFonts w:eastAsia="MS Mincho"/>
        </w:rPr>
        <w:t xml:space="preserve">Unis </w:t>
      </w:r>
      <w:r>
        <w:rPr>
          <w:rFonts w:eastAsia="MS Mincho"/>
        </w:rPr>
        <w:t>par habitant, et 1,7 million de personnes (soit 39</w:t>
      </w:r>
      <w:r w:rsidR="00DE0C47">
        <w:rPr>
          <w:rFonts w:eastAsia="MS Mincho"/>
        </w:rPr>
        <w:t> </w:t>
      </w:r>
      <w:r>
        <w:rPr>
          <w:rFonts w:eastAsia="MS Mincho"/>
        </w:rPr>
        <w:t>% de la population) vivant en milieu urbain</w:t>
      </w:r>
      <w:r w:rsidR="003A53B4">
        <w:rPr>
          <w:rFonts w:eastAsia="MS Mincho"/>
        </w:rPr>
        <w:t>.</w:t>
      </w:r>
    </w:p>
    <w:p w:rsidR="004B3322" w:rsidRDefault="004B3322" w:rsidP="004B3322">
      <w:pPr>
        <w:pStyle w:val="SingleTxtG"/>
        <w:rPr>
          <w:rFonts w:eastAsia="MS Mincho"/>
        </w:rPr>
      </w:pPr>
      <w:r>
        <w:rPr>
          <w:rFonts w:eastAsia="MS Mincho"/>
        </w:rPr>
        <w:t>6.</w:t>
      </w:r>
      <w:r>
        <w:rPr>
          <w:rFonts w:eastAsia="MS Mincho"/>
        </w:rPr>
        <w:tab/>
        <w:t xml:space="preserve">La </w:t>
      </w:r>
      <w:r w:rsidRPr="00BF711F">
        <w:rPr>
          <w:rFonts w:eastAsia="MS Mincho"/>
        </w:rPr>
        <w:t>Bosnie-Herzégovine</w:t>
      </w:r>
      <w:r>
        <w:rPr>
          <w:rFonts w:eastAsia="MS Mincho"/>
        </w:rPr>
        <w:t xml:space="preserve"> est connue pour la diversité de ses groupes ethniques et minorités nationales. Selon le recensement de 1991, la population était composée de 43,5</w:t>
      </w:r>
      <w:r w:rsidR="00DE0C47">
        <w:rPr>
          <w:rFonts w:eastAsia="MS Mincho"/>
        </w:rPr>
        <w:t> </w:t>
      </w:r>
      <w:r>
        <w:rPr>
          <w:rFonts w:eastAsia="MS Mincho"/>
        </w:rPr>
        <w:t>% de Bosniaques, 31,2</w:t>
      </w:r>
      <w:r w:rsidR="00DE0C47">
        <w:rPr>
          <w:rFonts w:eastAsia="MS Mincho"/>
        </w:rPr>
        <w:t> </w:t>
      </w:r>
      <w:r>
        <w:rPr>
          <w:rFonts w:eastAsia="MS Mincho"/>
        </w:rPr>
        <w:t>% de Serbes, 17,4</w:t>
      </w:r>
      <w:r w:rsidR="00DE0C47">
        <w:rPr>
          <w:rFonts w:eastAsia="MS Mincho"/>
        </w:rPr>
        <w:t> </w:t>
      </w:r>
      <w:r>
        <w:rPr>
          <w:rFonts w:eastAsia="MS Mincho"/>
        </w:rPr>
        <w:t>% de Croates, 5,5</w:t>
      </w:r>
      <w:r w:rsidR="00DE0C47">
        <w:rPr>
          <w:rFonts w:eastAsia="MS Mincho"/>
        </w:rPr>
        <w:t> </w:t>
      </w:r>
      <w:r>
        <w:rPr>
          <w:rFonts w:eastAsia="MS Mincho"/>
        </w:rPr>
        <w:t>% de Yougoslaves et 2,4</w:t>
      </w:r>
      <w:r w:rsidR="00DE0C47">
        <w:rPr>
          <w:rFonts w:eastAsia="MS Mincho"/>
        </w:rPr>
        <w:t> </w:t>
      </w:r>
      <w:r>
        <w:rPr>
          <w:rFonts w:eastAsia="MS Mincho"/>
        </w:rPr>
        <w:t>% d</w:t>
      </w:r>
      <w:r w:rsidR="00CA473A">
        <w:rPr>
          <w:rFonts w:eastAsia="MS Mincho"/>
        </w:rPr>
        <w:t>’</w:t>
      </w:r>
      <w:r>
        <w:rPr>
          <w:rFonts w:eastAsia="MS Mincho"/>
        </w:rPr>
        <w:t xml:space="preserve">autres nationalités. Pendant des siècles, la </w:t>
      </w:r>
      <w:r w:rsidRPr="00F30209">
        <w:rPr>
          <w:rFonts w:eastAsia="MS Mincho"/>
        </w:rPr>
        <w:t>Bosnie-Herzégovine</w:t>
      </w:r>
      <w:r>
        <w:rPr>
          <w:rFonts w:eastAsia="MS Mincho"/>
        </w:rPr>
        <w:t xml:space="preserve"> a en outre accueilli sur son sol des ressortissants d</w:t>
      </w:r>
      <w:r w:rsidR="00CA473A">
        <w:rPr>
          <w:rFonts w:eastAsia="MS Mincho"/>
        </w:rPr>
        <w:t>’</w:t>
      </w:r>
      <w:r>
        <w:rPr>
          <w:rFonts w:eastAsia="MS Mincho"/>
        </w:rPr>
        <w:t>une vingtaine d</w:t>
      </w:r>
      <w:r w:rsidR="00CA473A">
        <w:rPr>
          <w:rFonts w:eastAsia="MS Mincho"/>
        </w:rPr>
        <w:t>’</w:t>
      </w:r>
      <w:r>
        <w:rPr>
          <w:rFonts w:eastAsia="MS Mincho"/>
        </w:rPr>
        <w:t>autres nations et de membres de minorités nationales qui se sont mélangés. Pendant des siècles également, les religions monothéistes dominantes y ont coexisté, parmi lesquelles l</w:t>
      </w:r>
      <w:r w:rsidR="00CA473A">
        <w:rPr>
          <w:rFonts w:eastAsia="MS Mincho"/>
        </w:rPr>
        <w:t>’</w:t>
      </w:r>
      <w:r>
        <w:rPr>
          <w:rFonts w:eastAsia="MS Mincho"/>
        </w:rPr>
        <w:t>islam, le christianisme, le judaïsme et d</w:t>
      </w:r>
      <w:r w:rsidR="00CA473A">
        <w:rPr>
          <w:rFonts w:eastAsia="MS Mincho"/>
        </w:rPr>
        <w:t>’</w:t>
      </w:r>
      <w:r>
        <w:rPr>
          <w:rFonts w:eastAsia="MS Mincho"/>
        </w:rPr>
        <w:t xml:space="preserve">autres confessions et sectes. Selon la Constitution de la </w:t>
      </w:r>
      <w:r w:rsidRPr="006D5F32">
        <w:rPr>
          <w:rFonts w:eastAsia="MS Mincho"/>
        </w:rPr>
        <w:t>Bosnie-Herzégovine</w:t>
      </w:r>
      <w:r>
        <w:rPr>
          <w:rFonts w:eastAsia="MS Mincho"/>
        </w:rPr>
        <w:t>, tous les citoyens jouissent des mêmes droits et libertés en matière d</w:t>
      </w:r>
      <w:r w:rsidR="00CA473A">
        <w:rPr>
          <w:rFonts w:eastAsia="MS Mincho"/>
        </w:rPr>
        <w:t>’</w:t>
      </w:r>
      <w:r>
        <w:rPr>
          <w:rFonts w:eastAsia="MS Mincho"/>
        </w:rPr>
        <w:t xml:space="preserve">expression des convictions religieuses et autres. </w:t>
      </w:r>
    </w:p>
    <w:p w:rsidR="004B3322" w:rsidRDefault="004B3322" w:rsidP="004B3322">
      <w:pPr>
        <w:pStyle w:val="SingleTxtG"/>
        <w:rPr>
          <w:rFonts w:eastAsia="MS Mincho"/>
        </w:rPr>
      </w:pPr>
      <w:r>
        <w:rPr>
          <w:rFonts w:eastAsia="MS Mincho"/>
        </w:rPr>
        <w:t>7.</w:t>
      </w:r>
      <w:r>
        <w:rPr>
          <w:rFonts w:eastAsia="MS Mincho"/>
        </w:rPr>
        <w:tab/>
        <w:t xml:space="preserve">En 1991, la répartition de la </w:t>
      </w:r>
      <w:r w:rsidRPr="004B3322">
        <w:t>population</w:t>
      </w:r>
      <w:r>
        <w:rPr>
          <w:rFonts w:eastAsia="MS Mincho"/>
        </w:rPr>
        <w:t xml:space="preserve"> entre les différentes tran</w:t>
      </w:r>
      <w:r w:rsidR="00325BCC">
        <w:rPr>
          <w:rFonts w:eastAsia="MS Mincho"/>
        </w:rPr>
        <w:t>ches d</w:t>
      </w:r>
      <w:r w:rsidR="00CA473A">
        <w:rPr>
          <w:rFonts w:eastAsia="MS Mincho"/>
        </w:rPr>
        <w:t>’</w:t>
      </w:r>
      <w:r w:rsidR="00325BCC">
        <w:rPr>
          <w:rFonts w:eastAsia="MS Mincho"/>
        </w:rPr>
        <w:t>âge était la suivante: 0-</w:t>
      </w:r>
      <w:r>
        <w:rPr>
          <w:rFonts w:eastAsia="MS Mincho"/>
        </w:rPr>
        <w:t>6 an</w:t>
      </w:r>
      <w:r w:rsidR="00325BCC">
        <w:rPr>
          <w:rFonts w:eastAsia="MS Mincho"/>
        </w:rPr>
        <w:t>s</w:t>
      </w:r>
      <w:r>
        <w:rPr>
          <w:rFonts w:eastAsia="MS Mincho"/>
        </w:rPr>
        <w:t>: 11,1</w:t>
      </w:r>
      <w:r w:rsidR="00DE0C47">
        <w:rPr>
          <w:rFonts w:eastAsia="MS Mincho"/>
        </w:rPr>
        <w:t> </w:t>
      </w:r>
      <w:r>
        <w:rPr>
          <w:rFonts w:eastAsia="MS Mincho"/>
        </w:rPr>
        <w:t>%; 7-17 ans: 13</w:t>
      </w:r>
      <w:r w:rsidR="00DE0C47">
        <w:rPr>
          <w:rFonts w:eastAsia="MS Mincho"/>
        </w:rPr>
        <w:t> </w:t>
      </w:r>
      <w:r>
        <w:rPr>
          <w:rFonts w:eastAsia="MS Mincho"/>
        </w:rPr>
        <w:t>%; 15-19 ans: 8,4</w:t>
      </w:r>
      <w:r w:rsidR="00DE0C47">
        <w:rPr>
          <w:rFonts w:eastAsia="MS Mincho"/>
        </w:rPr>
        <w:t> </w:t>
      </w:r>
      <w:r>
        <w:rPr>
          <w:rFonts w:eastAsia="MS Mincho"/>
        </w:rPr>
        <w:t>%; 20-64 ans: 61,5</w:t>
      </w:r>
      <w:r w:rsidR="00DE0C47">
        <w:rPr>
          <w:rFonts w:eastAsia="MS Mincho"/>
        </w:rPr>
        <w:t> </w:t>
      </w:r>
      <w:r>
        <w:rPr>
          <w:rFonts w:eastAsia="MS Mincho"/>
        </w:rPr>
        <w:t>%; 65 ans et plus: 6 %.</w:t>
      </w:r>
    </w:p>
    <w:p w:rsidR="00706545" w:rsidRPr="00D22B7D" w:rsidRDefault="00706545" w:rsidP="00706545">
      <w:pPr>
        <w:pStyle w:val="Heading1"/>
        <w:spacing w:after="120"/>
        <w:rPr>
          <w:rFonts w:eastAsia="MS Mincho"/>
          <w:b/>
        </w:rPr>
      </w:pPr>
      <w:r>
        <w:rPr>
          <w:rFonts w:eastAsia="MS Mincho"/>
        </w:rPr>
        <w:t>Tableau 1</w:t>
      </w:r>
      <w:r>
        <w:rPr>
          <w:rFonts w:eastAsia="MS Mincho"/>
        </w:rPr>
        <w:br/>
      </w:r>
      <w:r w:rsidRPr="00D22B7D">
        <w:rPr>
          <w:rFonts w:eastAsia="MS Mincho"/>
          <w:b/>
        </w:rPr>
        <w:t>Statistiques démographiques de la Bosnie-Herzégovine selon les données</w:t>
      </w:r>
      <w:r>
        <w:rPr>
          <w:rFonts w:eastAsia="MS Mincho"/>
          <w:b/>
        </w:rPr>
        <w:br/>
      </w:r>
      <w:r w:rsidRPr="00D22B7D">
        <w:rPr>
          <w:rFonts w:eastAsia="MS Mincho"/>
          <w:b/>
        </w:rPr>
        <w:t xml:space="preserve">des </w:t>
      </w:r>
      <w:r w:rsidR="007B6175">
        <w:rPr>
          <w:rFonts w:eastAsia="MS Mincho"/>
          <w:b/>
        </w:rPr>
        <w:t xml:space="preserve">différents </w:t>
      </w:r>
      <w:r w:rsidRPr="00D22B7D">
        <w:rPr>
          <w:rFonts w:eastAsia="MS Mincho"/>
          <w:b/>
        </w:rPr>
        <w:t>recensements</w:t>
      </w:r>
    </w:p>
    <w:tbl>
      <w:tblPr>
        <w:tblW w:w="7370" w:type="dxa"/>
        <w:jc w:val="center"/>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041"/>
        <w:gridCol w:w="751"/>
        <w:gridCol w:w="1040"/>
        <w:gridCol w:w="1070"/>
        <w:gridCol w:w="1070"/>
        <w:gridCol w:w="1070"/>
        <w:gridCol w:w="1328"/>
      </w:tblGrid>
      <w:tr w:rsidR="00706545" w:rsidRPr="00917523" w:rsidTr="00706545">
        <w:trPr>
          <w:tblHeader/>
          <w:jc w:val="center"/>
        </w:trPr>
        <w:tc>
          <w:tcPr>
            <w:tcW w:w="993" w:type="dxa"/>
            <w:vMerge w:val="restart"/>
            <w:tcBorders>
              <w:top w:val="single" w:sz="4" w:space="0" w:color="auto"/>
              <w:bottom w:val="single" w:sz="12" w:space="0" w:color="auto"/>
            </w:tcBorders>
            <w:shd w:val="clear" w:color="auto" w:fill="auto"/>
            <w:vAlign w:val="bottom"/>
          </w:tcPr>
          <w:p w:rsidR="00706545" w:rsidRPr="00917523" w:rsidRDefault="00706545" w:rsidP="001565AC">
            <w:pPr>
              <w:suppressAutoHyphens w:val="0"/>
              <w:spacing w:before="80" w:after="80" w:line="200" w:lineRule="exact"/>
              <w:ind w:right="113"/>
              <w:rPr>
                <w:i/>
                <w:sz w:val="16"/>
              </w:rPr>
            </w:pPr>
            <w:r>
              <w:rPr>
                <w:i/>
                <w:sz w:val="16"/>
              </w:rPr>
              <w:t>Année du recensement</w:t>
            </w:r>
          </w:p>
        </w:tc>
        <w:tc>
          <w:tcPr>
            <w:tcW w:w="717" w:type="dxa"/>
            <w:vMerge w:val="restart"/>
            <w:tcBorders>
              <w:top w:val="single" w:sz="4" w:space="0" w:color="auto"/>
              <w:bottom w:val="single" w:sz="12" w:space="0" w:color="auto"/>
            </w:tcBorders>
            <w:shd w:val="clear" w:color="auto" w:fill="auto"/>
            <w:vAlign w:val="bottom"/>
          </w:tcPr>
          <w:p w:rsidR="00706545" w:rsidRPr="00917523" w:rsidRDefault="00706545" w:rsidP="001565AC">
            <w:pPr>
              <w:suppressAutoHyphens w:val="0"/>
              <w:spacing w:before="80" w:after="80" w:line="200" w:lineRule="exact"/>
              <w:jc w:val="right"/>
              <w:rPr>
                <w:i/>
                <w:sz w:val="16"/>
              </w:rPr>
            </w:pPr>
            <w:r>
              <w:rPr>
                <w:i/>
                <w:sz w:val="16"/>
              </w:rPr>
              <w:t>Superficie</w:t>
            </w:r>
            <w:r w:rsidRPr="00917523">
              <w:rPr>
                <w:i/>
                <w:sz w:val="16"/>
              </w:rPr>
              <w:t xml:space="preserve"> </w:t>
            </w:r>
            <w:r>
              <w:rPr>
                <w:i/>
                <w:sz w:val="16"/>
              </w:rPr>
              <w:t xml:space="preserve">en </w:t>
            </w:r>
            <w:r w:rsidRPr="00917523">
              <w:rPr>
                <w:i/>
                <w:sz w:val="16"/>
              </w:rPr>
              <w:t>km</w:t>
            </w:r>
            <w:r w:rsidRPr="00917523">
              <w:rPr>
                <w:i/>
                <w:sz w:val="16"/>
                <w:vertAlign w:val="superscript"/>
              </w:rPr>
              <w:t>2</w:t>
            </w:r>
          </w:p>
        </w:tc>
        <w:tc>
          <w:tcPr>
            <w:tcW w:w="992" w:type="dxa"/>
            <w:vMerge w:val="restart"/>
            <w:tcBorders>
              <w:top w:val="single" w:sz="4" w:space="0" w:color="auto"/>
              <w:bottom w:val="single" w:sz="12" w:space="0" w:color="auto"/>
              <w:right w:val="single" w:sz="24" w:space="0" w:color="FFFFFF"/>
            </w:tcBorders>
            <w:shd w:val="clear" w:color="auto" w:fill="auto"/>
            <w:vAlign w:val="bottom"/>
          </w:tcPr>
          <w:p w:rsidR="00706545" w:rsidRPr="00917523" w:rsidRDefault="00706545" w:rsidP="001565AC">
            <w:pPr>
              <w:suppressAutoHyphens w:val="0"/>
              <w:spacing w:before="80" w:after="80" w:line="200" w:lineRule="exact"/>
              <w:jc w:val="right"/>
              <w:rPr>
                <w:i/>
                <w:sz w:val="16"/>
              </w:rPr>
            </w:pPr>
            <w:r>
              <w:rPr>
                <w:i/>
                <w:sz w:val="16"/>
              </w:rPr>
              <w:t>Nombre de ménages</w:t>
            </w:r>
          </w:p>
        </w:tc>
        <w:tc>
          <w:tcPr>
            <w:tcW w:w="1021"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706545" w:rsidRPr="00917523" w:rsidRDefault="00706545" w:rsidP="001565AC">
            <w:pPr>
              <w:suppressAutoHyphens w:val="0"/>
              <w:spacing w:before="80" w:after="80" w:line="200" w:lineRule="exact"/>
              <w:ind w:right="113"/>
              <w:jc w:val="center"/>
              <w:rPr>
                <w:i/>
                <w:sz w:val="16"/>
              </w:rPr>
            </w:pPr>
            <w:r w:rsidRPr="00917523">
              <w:rPr>
                <w:i/>
                <w:sz w:val="16"/>
              </w:rPr>
              <w:t>Population</w:t>
            </w:r>
          </w:p>
        </w:tc>
        <w:tc>
          <w:tcPr>
            <w:tcW w:w="1267" w:type="dxa"/>
            <w:vMerge w:val="restart"/>
            <w:tcBorders>
              <w:top w:val="single" w:sz="4" w:space="0" w:color="auto"/>
              <w:left w:val="single" w:sz="24" w:space="0" w:color="FFFFFF"/>
              <w:bottom w:val="single" w:sz="12" w:space="0" w:color="auto"/>
            </w:tcBorders>
            <w:shd w:val="clear" w:color="auto" w:fill="auto"/>
            <w:vAlign w:val="bottom"/>
          </w:tcPr>
          <w:p w:rsidR="00706545" w:rsidRPr="00D22B7D" w:rsidRDefault="00706545" w:rsidP="001565AC">
            <w:pPr>
              <w:suppressAutoHyphens w:val="0"/>
              <w:spacing w:before="80" w:after="80" w:line="200" w:lineRule="exact"/>
              <w:jc w:val="right"/>
              <w:rPr>
                <w:i/>
                <w:sz w:val="16"/>
                <w:vertAlign w:val="superscript"/>
              </w:rPr>
            </w:pPr>
            <w:r>
              <w:rPr>
                <w:i/>
                <w:sz w:val="16"/>
              </w:rPr>
              <w:t>Densité de population − habitants au km</w:t>
            </w:r>
            <w:r>
              <w:rPr>
                <w:i/>
                <w:sz w:val="16"/>
                <w:vertAlign w:val="superscript"/>
              </w:rPr>
              <w:t>2</w:t>
            </w:r>
          </w:p>
        </w:tc>
      </w:tr>
      <w:tr w:rsidR="00706545" w:rsidRPr="00917523" w:rsidTr="00706545">
        <w:trPr>
          <w:tblHeader/>
          <w:jc w:val="center"/>
        </w:trPr>
        <w:tc>
          <w:tcPr>
            <w:tcW w:w="993" w:type="dxa"/>
            <w:vMerge/>
            <w:tcBorders>
              <w:top w:val="nil"/>
              <w:bottom w:val="single" w:sz="12" w:space="0" w:color="auto"/>
            </w:tcBorders>
            <w:shd w:val="clear" w:color="auto" w:fill="auto"/>
            <w:vAlign w:val="bottom"/>
          </w:tcPr>
          <w:p w:rsidR="00706545" w:rsidRPr="00917523" w:rsidRDefault="00706545" w:rsidP="001565AC">
            <w:pPr>
              <w:suppressAutoHyphens w:val="0"/>
              <w:spacing w:before="40" w:after="40" w:line="220" w:lineRule="exact"/>
              <w:ind w:right="113"/>
              <w:rPr>
                <w:i/>
                <w:sz w:val="18"/>
              </w:rPr>
            </w:pPr>
          </w:p>
        </w:tc>
        <w:tc>
          <w:tcPr>
            <w:tcW w:w="717" w:type="dxa"/>
            <w:vMerge/>
            <w:tcBorders>
              <w:top w:val="nil"/>
              <w:bottom w:val="single" w:sz="12" w:space="0" w:color="auto"/>
            </w:tcBorders>
            <w:shd w:val="clear" w:color="auto" w:fill="auto"/>
            <w:vAlign w:val="bottom"/>
          </w:tcPr>
          <w:p w:rsidR="00706545" w:rsidRPr="00917523" w:rsidRDefault="00706545" w:rsidP="001565AC">
            <w:pPr>
              <w:suppressAutoHyphens w:val="0"/>
              <w:spacing w:before="40" w:after="40" w:line="220" w:lineRule="exact"/>
              <w:jc w:val="right"/>
              <w:rPr>
                <w:i/>
                <w:sz w:val="18"/>
              </w:rPr>
            </w:pPr>
          </w:p>
        </w:tc>
        <w:tc>
          <w:tcPr>
            <w:tcW w:w="992" w:type="dxa"/>
            <w:vMerge/>
            <w:tcBorders>
              <w:top w:val="nil"/>
              <w:bottom w:val="single" w:sz="12" w:space="0" w:color="auto"/>
              <w:right w:val="single" w:sz="24" w:space="0" w:color="FFFFFF"/>
            </w:tcBorders>
            <w:shd w:val="clear" w:color="auto" w:fill="auto"/>
            <w:vAlign w:val="bottom"/>
          </w:tcPr>
          <w:p w:rsidR="00706545" w:rsidRPr="00917523" w:rsidRDefault="00706545" w:rsidP="001565AC">
            <w:pPr>
              <w:suppressAutoHyphens w:val="0"/>
              <w:spacing w:before="40" w:after="40" w:line="220" w:lineRule="exact"/>
              <w:jc w:val="right"/>
              <w:rPr>
                <w:i/>
                <w:sz w:val="18"/>
              </w:rPr>
            </w:pPr>
          </w:p>
        </w:tc>
        <w:tc>
          <w:tcPr>
            <w:tcW w:w="1021" w:type="dxa"/>
            <w:tcBorders>
              <w:top w:val="single" w:sz="4" w:space="0" w:color="auto"/>
              <w:left w:val="single" w:sz="24" w:space="0" w:color="FFFFFF"/>
              <w:bottom w:val="single" w:sz="12" w:space="0" w:color="auto"/>
            </w:tcBorders>
            <w:shd w:val="clear" w:color="auto" w:fill="auto"/>
            <w:vAlign w:val="bottom"/>
          </w:tcPr>
          <w:p w:rsidR="00706545" w:rsidRPr="00B734FA" w:rsidRDefault="00706545" w:rsidP="001565AC">
            <w:pPr>
              <w:suppressAutoHyphens w:val="0"/>
              <w:spacing w:before="80" w:after="80" w:line="200" w:lineRule="exact"/>
              <w:jc w:val="right"/>
              <w:rPr>
                <w:b/>
                <w:i/>
                <w:sz w:val="16"/>
              </w:rPr>
            </w:pPr>
            <w:r w:rsidRPr="00B734FA">
              <w:rPr>
                <w:b/>
                <w:i/>
                <w:sz w:val="16"/>
              </w:rPr>
              <w:t>Total</w:t>
            </w:r>
          </w:p>
        </w:tc>
        <w:tc>
          <w:tcPr>
            <w:tcW w:w="1021" w:type="dxa"/>
            <w:tcBorders>
              <w:top w:val="single" w:sz="4" w:space="0" w:color="auto"/>
              <w:bottom w:val="single" w:sz="12" w:space="0" w:color="auto"/>
            </w:tcBorders>
            <w:shd w:val="clear" w:color="auto" w:fill="auto"/>
            <w:vAlign w:val="bottom"/>
          </w:tcPr>
          <w:p w:rsidR="00706545" w:rsidRPr="00B734FA" w:rsidRDefault="00706545" w:rsidP="001565AC">
            <w:pPr>
              <w:suppressAutoHyphens w:val="0"/>
              <w:spacing w:before="80" w:after="80" w:line="200" w:lineRule="exact"/>
              <w:jc w:val="right"/>
              <w:rPr>
                <w:i/>
                <w:sz w:val="16"/>
              </w:rPr>
            </w:pPr>
            <w:r>
              <w:rPr>
                <w:i/>
                <w:sz w:val="16"/>
              </w:rPr>
              <w:t>Hommes</w:t>
            </w:r>
          </w:p>
        </w:tc>
        <w:tc>
          <w:tcPr>
            <w:tcW w:w="1021" w:type="dxa"/>
            <w:tcBorders>
              <w:top w:val="single" w:sz="4" w:space="0" w:color="auto"/>
              <w:bottom w:val="single" w:sz="12" w:space="0" w:color="auto"/>
              <w:right w:val="single" w:sz="24" w:space="0" w:color="FFFFFF"/>
            </w:tcBorders>
            <w:shd w:val="clear" w:color="auto" w:fill="auto"/>
            <w:vAlign w:val="bottom"/>
          </w:tcPr>
          <w:p w:rsidR="00706545" w:rsidRPr="00B734FA" w:rsidRDefault="00706545" w:rsidP="001565AC">
            <w:pPr>
              <w:suppressAutoHyphens w:val="0"/>
              <w:spacing w:before="80" w:after="80" w:line="200" w:lineRule="exact"/>
              <w:jc w:val="right"/>
              <w:rPr>
                <w:i/>
                <w:sz w:val="16"/>
              </w:rPr>
            </w:pPr>
            <w:r>
              <w:rPr>
                <w:i/>
                <w:sz w:val="16"/>
              </w:rPr>
              <w:t>Femmes</w:t>
            </w:r>
          </w:p>
        </w:tc>
        <w:tc>
          <w:tcPr>
            <w:tcW w:w="1267" w:type="dxa"/>
            <w:vMerge/>
            <w:tcBorders>
              <w:top w:val="single" w:sz="12" w:space="0" w:color="auto"/>
              <w:left w:val="single" w:sz="24" w:space="0" w:color="FFFFFF"/>
              <w:bottom w:val="single" w:sz="12" w:space="0" w:color="auto"/>
            </w:tcBorders>
            <w:shd w:val="clear" w:color="auto" w:fill="auto"/>
            <w:vAlign w:val="bottom"/>
          </w:tcPr>
          <w:p w:rsidR="00706545" w:rsidRPr="00917523" w:rsidRDefault="00706545" w:rsidP="001565AC">
            <w:pPr>
              <w:suppressAutoHyphens w:val="0"/>
              <w:spacing w:before="40" w:after="40" w:line="220" w:lineRule="exact"/>
              <w:ind w:right="113"/>
              <w:jc w:val="right"/>
              <w:rPr>
                <w:sz w:val="18"/>
              </w:rPr>
            </w:pPr>
          </w:p>
        </w:tc>
      </w:tr>
      <w:tr w:rsidR="00706545" w:rsidRPr="00917523" w:rsidTr="001565AC">
        <w:trPr>
          <w:jc w:val="center"/>
        </w:trPr>
        <w:tc>
          <w:tcPr>
            <w:tcW w:w="993" w:type="dxa"/>
            <w:tcBorders>
              <w:top w:val="single" w:sz="12" w:space="0" w:color="auto"/>
            </w:tcBorders>
            <w:shd w:val="clear" w:color="auto" w:fill="auto"/>
            <w:vAlign w:val="bottom"/>
          </w:tcPr>
          <w:p w:rsidR="00706545" w:rsidRPr="00917523" w:rsidRDefault="00706545" w:rsidP="001565AC">
            <w:pPr>
              <w:suppressAutoHyphens w:val="0"/>
              <w:spacing w:before="40" w:after="40" w:line="220" w:lineRule="exact"/>
              <w:ind w:right="113"/>
              <w:rPr>
                <w:sz w:val="18"/>
              </w:rPr>
            </w:pPr>
            <w:r w:rsidRPr="00917523">
              <w:rPr>
                <w:sz w:val="18"/>
              </w:rPr>
              <w:t>1879</w:t>
            </w:r>
          </w:p>
        </w:tc>
        <w:tc>
          <w:tcPr>
            <w:tcW w:w="717" w:type="dxa"/>
            <w:tcBorders>
              <w:top w:val="single" w:sz="12" w:space="0" w:color="auto"/>
            </w:tcBorders>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51 246</w:t>
            </w:r>
          </w:p>
        </w:tc>
        <w:tc>
          <w:tcPr>
            <w:tcW w:w="992" w:type="dxa"/>
            <w:tcBorders>
              <w:top w:val="single" w:sz="12" w:space="0" w:color="auto"/>
            </w:tcBorders>
            <w:shd w:val="clear" w:color="auto" w:fill="auto"/>
            <w:vAlign w:val="bottom"/>
          </w:tcPr>
          <w:p w:rsidR="00706545" w:rsidRPr="00917523" w:rsidRDefault="00706545" w:rsidP="001565AC">
            <w:pPr>
              <w:suppressAutoHyphens w:val="0"/>
              <w:spacing w:before="40" w:after="40" w:line="220" w:lineRule="exact"/>
              <w:jc w:val="right"/>
              <w:rPr>
                <w:sz w:val="18"/>
              </w:rPr>
            </w:pPr>
            <w:r>
              <w:rPr>
                <w:sz w:val="18"/>
              </w:rPr>
              <w:t>…</w:t>
            </w:r>
          </w:p>
        </w:tc>
        <w:tc>
          <w:tcPr>
            <w:tcW w:w="1021" w:type="dxa"/>
            <w:tcBorders>
              <w:top w:val="single" w:sz="12" w:space="0" w:color="auto"/>
              <w:bottom w:val="nil"/>
            </w:tcBorders>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1 158 440</w:t>
            </w:r>
          </w:p>
        </w:tc>
        <w:tc>
          <w:tcPr>
            <w:tcW w:w="1021" w:type="dxa"/>
            <w:tcBorders>
              <w:top w:val="single" w:sz="12" w:space="0" w:color="auto"/>
              <w:bottom w:val="nil"/>
            </w:tcBorders>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607 789</w:t>
            </w:r>
          </w:p>
        </w:tc>
        <w:tc>
          <w:tcPr>
            <w:tcW w:w="1021" w:type="dxa"/>
            <w:tcBorders>
              <w:top w:val="single" w:sz="12" w:space="0" w:color="auto"/>
            </w:tcBorders>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550 651</w:t>
            </w:r>
          </w:p>
        </w:tc>
        <w:tc>
          <w:tcPr>
            <w:tcW w:w="1267" w:type="dxa"/>
            <w:tcBorders>
              <w:top w:val="single" w:sz="12" w:space="0" w:color="auto"/>
            </w:tcBorders>
            <w:shd w:val="clear" w:color="auto" w:fill="auto"/>
            <w:vAlign w:val="bottom"/>
          </w:tcPr>
          <w:p w:rsidR="00706545" w:rsidRPr="00917523" w:rsidRDefault="00706545" w:rsidP="00E444F6">
            <w:pPr>
              <w:suppressAutoHyphens w:val="0"/>
              <w:spacing w:before="40" w:after="40" w:line="220" w:lineRule="exact"/>
              <w:jc w:val="right"/>
              <w:rPr>
                <w:sz w:val="18"/>
              </w:rPr>
            </w:pPr>
            <w:r w:rsidRPr="00917523">
              <w:rPr>
                <w:sz w:val="18"/>
              </w:rPr>
              <w:t>22</w:t>
            </w:r>
            <w:r>
              <w:rPr>
                <w:sz w:val="18"/>
              </w:rPr>
              <w:t>,</w:t>
            </w:r>
            <w:r w:rsidRPr="00917523">
              <w:rPr>
                <w:sz w:val="18"/>
              </w:rPr>
              <w:t>6</w:t>
            </w:r>
          </w:p>
        </w:tc>
      </w:tr>
      <w:tr w:rsidR="00706545" w:rsidRPr="00917523" w:rsidTr="001565AC">
        <w:trPr>
          <w:jc w:val="center"/>
        </w:trPr>
        <w:tc>
          <w:tcPr>
            <w:tcW w:w="993" w:type="dxa"/>
            <w:shd w:val="clear" w:color="auto" w:fill="auto"/>
            <w:vAlign w:val="bottom"/>
          </w:tcPr>
          <w:p w:rsidR="00706545" w:rsidRPr="00917523" w:rsidRDefault="00706545" w:rsidP="001565AC">
            <w:pPr>
              <w:suppressAutoHyphens w:val="0"/>
              <w:spacing w:before="40" w:after="40" w:line="220" w:lineRule="exact"/>
              <w:ind w:right="113"/>
              <w:rPr>
                <w:sz w:val="18"/>
              </w:rPr>
            </w:pPr>
            <w:r w:rsidRPr="00917523">
              <w:rPr>
                <w:sz w:val="18"/>
              </w:rPr>
              <w:t>1885</w:t>
            </w:r>
          </w:p>
        </w:tc>
        <w:tc>
          <w:tcPr>
            <w:tcW w:w="717"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51 246</w:t>
            </w:r>
          </w:p>
        </w:tc>
        <w:tc>
          <w:tcPr>
            <w:tcW w:w="992"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226 699</w:t>
            </w:r>
          </w:p>
        </w:tc>
        <w:tc>
          <w:tcPr>
            <w:tcW w:w="1021" w:type="dxa"/>
            <w:tcBorders>
              <w:top w:val="nil"/>
            </w:tcBorders>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1 336 091</w:t>
            </w:r>
          </w:p>
        </w:tc>
        <w:tc>
          <w:tcPr>
            <w:tcW w:w="1021" w:type="dxa"/>
            <w:tcBorders>
              <w:top w:val="nil"/>
            </w:tcBorders>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705 025</w:t>
            </w:r>
          </w:p>
        </w:tc>
        <w:tc>
          <w:tcPr>
            <w:tcW w:w="1021"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631 066</w:t>
            </w:r>
          </w:p>
        </w:tc>
        <w:tc>
          <w:tcPr>
            <w:tcW w:w="1267" w:type="dxa"/>
            <w:shd w:val="clear" w:color="auto" w:fill="auto"/>
            <w:vAlign w:val="bottom"/>
          </w:tcPr>
          <w:p w:rsidR="00706545" w:rsidRPr="00917523" w:rsidRDefault="00706545" w:rsidP="00E444F6">
            <w:pPr>
              <w:suppressAutoHyphens w:val="0"/>
              <w:spacing w:before="40" w:after="40" w:line="220" w:lineRule="exact"/>
              <w:jc w:val="right"/>
              <w:rPr>
                <w:sz w:val="18"/>
              </w:rPr>
            </w:pPr>
            <w:r w:rsidRPr="00917523">
              <w:rPr>
                <w:sz w:val="18"/>
              </w:rPr>
              <w:t>26</w:t>
            </w:r>
            <w:r>
              <w:rPr>
                <w:sz w:val="18"/>
              </w:rPr>
              <w:t>,</w:t>
            </w:r>
            <w:r w:rsidRPr="00917523">
              <w:rPr>
                <w:sz w:val="18"/>
              </w:rPr>
              <w:t>1</w:t>
            </w:r>
          </w:p>
        </w:tc>
      </w:tr>
      <w:tr w:rsidR="00706545" w:rsidRPr="00917523" w:rsidTr="001565AC">
        <w:trPr>
          <w:jc w:val="center"/>
        </w:trPr>
        <w:tc>
          <w:tcPr>
            <w:tcW w:w="993" w:type="dxa"/>
            <w:shd w:val="clear" w:color="auto" w:fill="auto"/>
            <w:vAlign w:val="bottom"/>
          </w:tcPr>
          <w:p w:rsidR="00706545" w:rsidRPr="00917523" w:rsidRDefault="00706545" w:rsidP="001565AC">
            <w:pPr>
              <w:suppressAutoHyphens w:val="0"/>
              <w:spacing w:before="40" w:after="40" w:line="220" w:lineRule="exact"/>
              <w:ind w:right="113"/>
              <w:rPr>
                <w:sz w:val="18"/>
              </w:rPr>
            </w:pPr>
            <w:r w:rsidRPr="00917523">
              <w:rPr>
                <w:sz w:val="18"/>
              </w:rPr>
              <w:t>1895</w:t>
            </w:r>
          </w:p>
        </w:tc>
        <w:tc>
          <w:tcPr>
            <w:tcW w:w="717"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51 246</w:t>
            </w:r>
          </w:p>
        </w:tc>
        <w:tc>
          <w:tcPr>
            <w:tcW w:w="992"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257 493</w:t>
            </w:r>
          </w:p>
        </w:tc>
        <w:tc>
          <w:tcPr>
            <w:tcW w:w="1021" w:type="dxa"/>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1 568 092</w:t>
            </w:r>
          </w:p>
        </w:tc>
        <w:tc>
          <w:tcPr>
            <w:tcW w:w="1021"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828 190</w:t>
            </w:r>
          </w:p>
        </w:tc>
        <w:tc>
          <w:tcPr>
            <w:tcW w:w="1021"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739 902</w:t>
            </w:r>
          </w:p>
        </w:tc>
        <w:tc>
          <w:tcPr>
            <w:tcW w:w="1267" w:type="dxa"/>
            <w:shd w:val="clear" w:color="auto" w:fill="auto"/>
            <w:vAlign w:val="bottom"/>
          </w:tcPr>
          <w:p w:rsidR="00706545" w:rsidRPr="00917523" w:rsidRDefault="00706545" w:rsidP="00E444F6">
            <w:pPr>
              <w:suppressAutoHyphens w:val="0"/>
              <w:spacing w:before="40" w:after="40" w:line="220" w:lineRule="exact"/>
              <w:jc w:val="right"/>
              <w:rPr>
                <w:sz w:val="18"/>
              </w:rPr>
            </w:pPr>
            <w:r w:rsidRPr="00917523">
              <w:rPr>
                <w:sz w:val="18"/>
              </w:rPr>
              <w:t>30</w:t>
            </w:r>
            <w:r>
              <w:rPr>
                <w:sz w:val="18"/>
              </w:rPr>
              <w:t>,</w:t>
            </w:r>
            <w:r w:rsidRPr="00917523">
              <w:rPr>
                <w:sz w:val="18"/>
              </w:rPr>
              <w:t>6</w:t>
            </w:r>
          </w:p>
        </w:tc>
      </w:tr>
      <w:tr w:rsidR="00706545" w:rsidRPr="00917523" w:rsidTr="001565AC">
        <w:trPr>
          <w:jc w:val="center"/>
        </w:trPr>
        <w:tc>
          <w:tcPr>
            <w:tcW w:w="993" w:type="dxa"/>
            <w:shd w:val="clear" w:color="auto" w:fill="auto"/>
            <w:vAlign w:val="bottom"/>
          </w:tcPr>
          <w:p w:rsidR="00706545" w:rsidRPr="00917523" w:rsidRDefault="00706545" w:rsidP="001565AC">
            <w:pPr>
              <w:suppressAutoHyphens w:val="0"/>
              <w:spacing w:before="40" w:after="40" w:line="220" w:lineRule="exact"/>
              <w:ind w:right="113"/>
              <w:rPr>
                <w:sz w:val="18"/>
              </w:rPr>
            </w:pPr>
            <w:r w:rsidRPr="00917523">
              <w:rPr>
                <w:sz w:val="18"/>
              </w:rPr>
              <w:t>1910</w:t>
            </w:r>
          </w:p>
        </w:tc>
        <w:tc>
          <w:tcPr>
            <w:tcW w:w="717"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51 200</w:t>
            </w:r>
          </w:p>
        </w:tc>
        <w:tc>
          <w:tcPr>
            <w:tcW w:w="992"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310 339</w:t>
            </w:r>
          </w:p>
        </w:tc>
        <w:tc>
          <w:tcPr>
            <w:tcW w:w="1021" w:type="dxa"/>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1 898 044</w:t>
            </w:r>
          </w:p>
        </w:tc>
        <w:tc>
          <w:tcPr>
            <w:tcW w:w="1021"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994 852</w:t>
            </w:r>
          </w:p>
        </w:tc>
        <w:tc>
          <w:tcPr>
            <w:tcW w:w="1021"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903 192</w:t>
            </w:r>
          </w:p>
        </w:tc>
        <w:tc>
          <w:tcPr>
            <w:tcW w:w="1267" w:type="dxa"/>
            <w:shd w:val="clear" w:color="auto" w:fill="auto"/>
            <w:vAlign w:val="bottom"/>
          </w:tcPr>
          <w:p w:rsidR="00706545" w:rsidRPr="00917523" w:rsidRDefault="00706545" w:rsidP="00E444F6">
            <w:pPr>
              <w:suppressAutoHyphens w:val="0"/>
              <w:spacing w:before="40" w:after="40" w:line="220" w:lineRule="exact"/>
              <w:jc w:val="right"/>
              <w:rPr>
                <w:sz w:val="18"/>
              </w:rPr>
            </w:pPr>
            <w:r w:rsidRPr="00917523">
              <w:rPr>
                <w:sz w:val="18"/>
              </w:rPr>
              <w:t>37</w:t>
            </w:r>
            <w:r>
              <w:rPr>
                <w:sz w:val="18"/>
              </w:rPr>
              <w:t>,</w:t>
            </w:r>
            <w:r w:rsidRPr="00917523">
              <w:rPr>
                <w:sz w:val="18"/>
              </w:rPr>
              <w:t>1</w:t>
            </w:r>
          </w:p>
        </w:tc>
      </w:tr>
      <w:tr w:rsidR="00706545" w:rsidRPr="00917523" w:rsidTr="001565AC">
        <w:trPr>
          <w:jc w:val="center"/>
        </w:trPr>
        <w:tc>
          <w:tcPr>
            <w:tcW w:w="993" w:type="dxa"/>
            <w:shd w:val="clear" w:color="auto" w:fill="auto"/>
            <w:vAlign w:val="bottom"/>
          </w:tcPr>
          <w:p w:rsidR="00706545" w:rsidRPr="00917523" w:rsidRDefault="00706545" w:rsidP="001565AC">
            <w:pPr>
              <w:suppressAutoHyphens w:val="0"/>
              <w:spacing w:before="40" w:after="40" w:line="220" w:lineRule="exact"/>
              <w:ind w:right="113"/>
              <w:rPr>
                <w:sz w:val="18"/>
              </w:rPr>
            </w:pPr>
            <w:r w:rsidRPr="00917523">
              <w:rPr>
                <w:sz w:val="18"/>
              </w:rPr>
              <w:t>1921</w:t>
            </w:r>
          </w:p>
        </w:tc>
        <w:tc>
          <w:tcPr>
            <w:tcW w:w="717"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51 200</w:t>
            </w:r>
          </w:p>
        </w:tc>
        <w:tc>
          <w:tcPr>
            <w:tcW w:w="992" w:type="dxa"/>
            <w:shd w:val="clear" w:color="auto" w:fill="auto"/>
            <w:vAlign w:val="bottom"/>
          </w:tcPr>
          <w:p w:rsidR="00706545" w:rsidRPr="00917523" w:rsidRDefault="00706545" w:rsidP="001565AC">
            <w:pPr>
              <w:suppressAutoHyphens w:val="0"/>
              <w:spacing w:before="40" w:after="40" w:line="220" w:lineRule="exact"/>
              <w:jc w:val="right"/>
              <w:rPr>
                <w:sz w:val="18"/>
              </w:rPr>
            </w:pPr>
            <w:r>
              <w:rPr>
                <w:sz w:val="18"/>
              </w:rPr>
              <w:t>…</w:t>
            </w:r>
          </w:p>
        </w:tc>
        <w:tc>
          <w:tcPr>
            <w:tcW w:w="1021" w:type="dxa"/>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1 890 440</w:t>
            </w:r>
          </w:p>
        </w:tc>
        <w:tc>
          <w:tcPr>
            <w:tcW w:w="1021"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966 209</w:t>
            </w:r>
          </w:p>
        </w:tc>
        <w:tc>
          <w:tcPr>
            <w:tcW w:w="1021"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924 231</w:t>
            </w:r>
          </w:p>
        </w:tc>
        <w:tc>
          <w:tcPr>
            <w:tcW w:w="1267" w:type="dxa"/>
            <w:shd w:val="clear" w:color="auto" w:fill="auto"/>
            <w:vAlign w:val="bottom"/>
          </w:tcPr>
          <w:p w:rsidR="00706545" w:rsidRPr="00917523" w:rsidRDefault="00706545" w:rsidP="00E444F6">
            <w:pPr>
              <w:suppressAutoHyphens w:val="0"/>
              <w:spacing w:before="40" w:after="40" w:line="220" w:lineRule="exact"/>
              <w:jc w:val="right"/>
              <w:rPr>
                <w:sz w:val="18"/>
              </w:rPr>
            </w:pPr>
            <w:r w:rsidRPr="00917523">
              <w:rPr>
                <w:sz w:val="18"/>
              </w:rPr>
              <w:t>36</w:t>
            </w:r>
            <w:r>
              <w:rPr>
                <w:sz w:val="18"/>
              </w:rPr>
              <w:t>,</w:t>
            </w:r>
            <w:r w:rsidRPr="00917523">
              <w:rPr>
                <w:sz w:val="18"/>
              </w:rPr>
              <w:t>9</w:t>
            </w:r>
          </w:p>
        </w:tc>
      </w:tr>
      <w:tr w:rsidR="00706545" w:rsidRPr="00917523" w:rsidTr="001565AC">
        <w:trPr>
          <w:jc w:val="center"/>
        </w:trPr>
        <w:tc>
          <w:tcPr>
            <w:tcW w:w="993" w:type="dxa"/>
            <w:shd w:val="clear" w:color="auto" w:fill="auto"/>
            <w:vAlign w:val="bottom"/>
          </w:tcPr>
          <w:p w:rsidR="00706545" w:rsidRPr="00917523" w:rsidRDefault="00706545" w:rsidP="001565AC">
            <w:pPr>
              <w:suppressAutoHyphens w:val="0"/>
              <w:spacing w:before="40" w:after="40" w:line="220" w:lineRule="exact"/>
              <w:ind w:right="113"/>
              <w:rPr>
                <w:sz w:val="18"/>
              </w:rPr>
            </w:pPr>
            <w:r w:rsidRPr="00917523">
              <w:rPr>
                <w:sz w:val="18"/>
              </w:rPr>
              <w:t>1931</w:t>
            </w:r>
          </w:p>
        </w:tc>
        <w:tc>
          <w:tcPr>
            <w:tcW w:w="717"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51 564</w:t>
            </w:r>
          </w:p>
        </w:tc>
        <w:tc>
          <w:tcPr>
            <w:tcW w:w="992"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398 238</w:t>
            </w:r>
          </w:p>
        </w:tc>
        <w:tc>
          <w:tcPr>
            <w:tcW w:w="1021" w:type="dxa"/>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2 323 555</w:t>
            </w:r>
          </w:p>
        </w:tc>
        <w:tc>
          <w:tcPr>
            <w:tcW w:w="1021"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1 185 040</w:t>
            </w:r>
          </w:p>
        </w:tc>
        <w:tc>
          <w:tcPr>
            <w:tcW w:w="1021"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1 138 515</w:t>
            </w:r>
          </w:p>
        </w:tc>
        <w:tc>
          <w:tcPr>
            <w:tcW w:w="1267" w:type="dxa"/>
            <w:shd w:val="clear" w:color="auto" w:fill="auto"/>
            <w:vAlign w:val="bottom"/>
          </w:tcPr>
          <w:p w:rsidR="00706545" w:rsidRPr="00917523" w:rsidRDefault="00706545" w:rsidP="00E444F6">
            <w:pPr>
              <w:suppressAutoHyphens w:val="0"/>
              <w:spacing w:before="40" w:after="40" w:line="220" w:lineRule="exact"/>
              <w:jc w:val="right"/>
              <w:rPr>
                <w:sz w:val="18"/>
              </w:rPr>
            </w:pPr>
            <w:r w:rsidRPr="00917523">
              <w:rPr>
                <w:sz w:val="18"/>
              </w:rPr>
              <w:t>45</w:t>
            </w:r>
            <w:r>
              <w:rPr>
                <w:sz w:val="18"/>
              </w:rPr>
              <w:t>,</w:t>
            </w:r>
            <w:r w:rsidRPr="00917523">
              <w:rPr>
                <w:sz w:val="18"/>
              </w:rPr>
              <w:t>1</w:t>
            </w:r>
          </w:p>
        </w:tc>
      </w:tr>
      <w:tr w:rsidR="00706545" w:rsidRPr="00917523" w:rsidTr="001565AC">
        <w:trPr>
          <w:jc w:val="center"/>
        </w:trPr>
        <w:tc>
          <w:tcPr>
            <w:tcW w:w="993" w:type="dxa"/>
            <w:shd w:val="clear" w:color="auto" w:fill="auto"/>
            <w:vAlign w:val="bottom"/>
          </w:tcPr>
          <w:p w:rsidR="00706545" w:rsidRPr="00917523" w:rsidRDefault="00706545" w:rsidP="001565AC">
            <w:pPr>
              <w:suppressAutoHyphens w:val="0"/>
              <w:spacing w:before="40" w:after="40" w:line="220" w:lineRule="exact"/>
              <w:ind w:right="113"/>
              <w:rPr>
                <w:sz w:val="18"/>
              </w:rPr>
            </w:pPr>
            <w:r w:rsidRPr="00917523">
              <w:rPr>
                <w:sz w:val="18"/>
              </w:rPr>
              <w:t>1948</w:t>
            </w:r>
          </w:p>
        </w:tc>
        <w:tc>
          <w:tcPr>
            <w:tcW w:w="717"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51 189</w:t>
            </w:r>
          </w:p>
        </w:tc>
        <w:tc>
          <w:tcPr>
            <w:tcW w:w="992"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498 116</w:t>
            </w:r>
          </w:p>
        </w:tc>
        <w:tc>
          <w:tcPr>
            <w:tcW w:w="1021" w:type="dxa"/>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2 564 308</w:t>
            </w:r>
          </w:p>
        </w:tc>
        <w:tc>
          <w:tcPr>
            <w:tcW w:w="1021"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1 236 932</w:t>
            </w:r>
          </w:p>
        </w:tc>
        <w:tc>
          <w:tcPr>
            <w:tcW w:w="1021"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1 327 376</w:t>
            </w:r>
          </w:p>
        </w:tc>
        <w:tc>
          <w:tcPr>
            <w:tcW w:w="1267" w:type="dxa"/>
            <w:shd w:val="clear" w:color="auto" w:fill="auto"/>
            <w:vAlign w:val="bottom"/>
          </w:tcPr>
          <w:p w:rsidR="00706545" w:rsidRPr="00917523" w:rsidRDefault="00706545" w:rsidP="00E444F6">
            <w:pPr>
              <w:suppressAutoHyphens w:val="0"/>
              <w:spacing w:before="40" w:after="40" w:line="220" w:lineRule="exact"/>
              <w:jc w:val="right"/>
              <w:rPr>
                <w:sz w:val="18"/>
              </w:rPr>
            </w:pPr>
            <w:r w:rsidRPr="00917523">
              <w:rPr>
                <w:sz w:val="18"/>
              </w:rPr>
              <w:t>50</w:t>
            </w:r>
            <w:r>
              <w:rPr>
                <w:sz w:val="18"/>
              </w:rPr>
              <w:t>,</w:t>
            </w:r>
            <w:r w:rsidRPr="00917523">
              <w:rPr>
                <w:sz w:val="18"/>
              </w:rPr>
              <w:t>1</w:t>
            </w:r>
          </w:p>
        </w:tc>
      </w:tr>
      <w:tr w:rsidR="00706545" w:rsidRPr="00917523" w:rsidTr="001565AC">
        <w:trPr>
          <w:jc w:val="center"/>
        </w:trPr>
        <w:tc>
          <w:tcPr>
            <w:tcW w:w="993" w:type="dxa"/>
            <w:shd w:val="clear" w:color="auto" w:fill="auto"/>
            <w:vAlign w:val="bottom"/>
          </w:tcPr>
          <w:p w:rsidR="00706545" w:rsidRPr="00917523" w:rsidRDefault="00706545" w:rsidP="001565AC">
            <w:pPr>
              <w:suppressAutoHyphens w:val="0"/>
              <w:spacing w:before="40" w:after="40" w:line="220" w:lineRule="exact"/>
              <w:ind w:right="113"/>
              <w:rPr>
                <w:sz w:val="18"/>
              </w:rPr>
            </w:pPr>
            <w:r w:rsidRPr="00917523">
              <w:rPr>
                <w:sz w:val="18"/>
              </w:rPr>
              <w:t>1953</w:t>
            </w:r>
          </w:p>
        </w:tc>
        <w:tc>
          <w:tcPr>
            <w:tcW w:w="717"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51 221</w:t>
            </w:r>
          </w:p>
        </w:tc>
        <w:tc>
          <w:tcPr>
            <w:tcW w:w="992"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565 212</w:t>
            </w:r>
          </w:p>
        </w:tc>
        <w:tc>
          <w:tcPr>
            <w:tcW w:w="1021" w:type="dxa"/>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2 847 459</w:t>
            </w:r>
          </w:p>
        </w:tc>
        <w:tc>
          <w:tcPr>
            <w:tcW w:w="1021"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1 385 559</w:t>
            </w:r>
          </w:p>
        </w:tc>
        <w:tc>
          <w:tcPr>
            <w:tcW w:w="1021"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1 461 900</w:t>
            </w:r>
          </w:p>
        </w:tc>
        <w:tc>
          <w:tcPr>
            <w:tcW w:w="1267" w:type="dxa"/>
            <w:shd w:val="clear" w:color="auto" w:fill="auto"/>
            <w:vAlign w:val="bottom"/>
          </w:tcPr>
          <w:p w:rsidR="00706545" w:rsidRPr="00917523" w:rsidRDefault="00706545" w:rsidP="00E444F6">
            <w:pPr>
              <w:suppressAutoHyphens w:val="0"/>
              <w:spacing w:before="40" w:after="40" w:line="220" w:lineRule="exact"/>
              <w:jc w:val="right"/>
              <w:rPr>
                <w:sz w:val="18"/>
              </w:rPr>
            </w:pPr>
            <w:r w:rsidRPr="00917523">
              <w:rPr>
                <w:sz w:val="18"/>
              </w:rPr>
              <w:t>55</w:t>
            </w:r>
            <w:r>
              <w:rPr>
                <w:sz w:val="18"/>
              </w:rPr>
              <w:t>,</w:t>
            </w:r>
            <w:r w:rsidRPr="00917523">
              <w:rPr>
                <w:sz w:val="18"/>
              </w:rPr>
              <w:t>6</w:t>
            </w:r>
          </w:p>
        </w:tc>
      </w:tr>
      <w:tr w:rsidR="00706545" w:rsidRPr="00917523" w:rsidTr="001565AC">
        <w:trPr>
          <w:jc w:val="center"/>
        </w:trPr>
        <w:tc>
          <w:tcPr>
            <w:tcW w:w="993" w:type="dxa"/>
            <w:shd w:val="clear" w:color="auto" w:fill="auto"/>
            <w:vAlign w:val="bottom"/>
          </w:tcPr>
          <w:p w:rsidR="00706545" w:rsidRPr="00917523" w:rsidRDefault="00706545" w:rsidP="001565AC">
            <w:pPr>
              <w:suppressAutoHyphens w:val="0"/>
              <w:spacing w:before="40" w:after="40" w:line="220" w:lineRule="exact"/>
              <w:ind w:right="113"/>
              <w:rPr>
                <w:sz w:val="18"/>
              </w:rPr>
            </w:pPr>
            <w:r w:rsidRPr="00917523">
              <w:rPr>
                <w:sz w:val="18"/>
              </w:rPr>
              <w:t>1961</w:t>
            </w:r>
          </w:p>
        </w:tc>
        <w:tc>
          <w:tcPr>
            <w:tcW w:w="717"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51 197</w:t>
            </w:r>
          </w:p>
        </w:tc>
        <w:tc>
          <w:tcPr>
            <w:tcW w:w="992"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706 107</w:t>
            </w:r>
          </w:p>
        </w:tc>
        <w:tc>
          <w:tcPr>
            <w:tcW w:w="1021" w:type="dxa"/>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3 277 948</w:t>
            </w:r>
          </w:p>
        </w:tc>
        <w:tc>
          <w:tcPr>
            <w:tcW w:w="1021"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1 599 665</w:t>
            </w:r>
          </w:p>
        </w:tc>
        <w:tc>
          <w:tcPr>
            <w:tcW w:w="1021"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1 678 283</w:t>
            </w:r>
          </w:p>
        </w:tc>
        <w:tc>
          <w:tcPr>
            <w:tcW w:w="1267" w:type="dxa"/>
            <w:shd w:val="clear" w:color="auto" w:fill="auto"/>
            <w:vAlign w:val="bottom"/>
          </w:tcPr>
          <w:p w:rsidR="00706545" w:rsidRPr="00917523" w:rsidRDefault="00706545" w:rsidP="00E444F6">
            <w:pPr>
              <w:suppressAutoHyphens w:val="0"/>
              <w:spacing w:before="40" w:after="40" w:line="220" w:lineRule="exact"/>
              <w:jc w:val="right"/>
              <w:rPr>
                <w:sz w:val="18"/>
              </w:rPr>
            </w:pPr>
            <w:r w:rsidRPr="00917523">
              <w:rPr>
                <w:sz w:val="18"/>
              </w:rPr>
              <w:t>64</w:t>
            </w:r>
            <w:r>
              <w:rPr>
                <w:sz w:val="18"/>
              </w:rPr>
              <w:t>,</w:t>
            </w:r>
            <w:r w:rsidRPr="00917523">
              <w:rPr>
                <w:sz w:val="18"/>
              </w:rPr>
              <w:t>0</w:t>
            </w:r>
          </w:p>
        </w:tc>
      </w:tr>
      <w:tr w:rsidR="00706545" w:rsidRPr="00917523" w:rsidTr="001565AC">
        <w:trPr>
          <w:jc w:val="center"/>
        </w:trPr>
        <w:tc>
          <w:tcPr>
            <w:tcW w:w="993" w:type="dxa"/>
            <w:shd w:val="clear" w:color="auto" w:fill="auto"/>
            <w:vAlign w:val="bottom"/>
          </w:tcPr>
          <w:p w:rsidR="00706545" w:rsidRPr="00917523" w:rsidRDefault="00706545" w:rsidP="001565AC">
            <w:pPr>
              <w:suppressAutoHyphens w:val="0"/>
              <w:spacing w:before="40" w:after="40" w:line="220" w:lineRule="exact"/>
              <w:ind w:right="113"/>
              <w:rPr>
                <w:sz w:val="18"/>
              </w:rPr>
            </w:pPr>
            <w:r w:rsidRPr="00917523">
              <w:rPr>
                <w:sz w:val="18"/>
              </w:rPr>
              <w:t>1971</w:t>
            </w:r>
          </w:p>
        </w:tc>
        <w:tc>
          <w:tcPr>
            <w:tcW w:w="717"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51 197</w:t>
            </w:r>
          </w:p>
        </w:tc>
        <w:tc>
          <w:tcPr>
            <w:tcW w:w="992"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848 545</w:t>
            </w:r>
          </w:p>
        </w:tc>
        <w:tc>
          <w:tcPr>
            <w:tcW w:w="1021" w:type="dxa"/>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3 746 111</w:t>
            </w:r>
          </w:p>
        </w:tc>
        <w:tc>
          <w:tcPr>
            <w:tcW w:w="1021"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1 834 600</w:t>
            </w:r>
          </w:p>
        </w:tc>
        <w:tc>
          <w:tcPr>
            <w:tcW w:w="1021"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1 911 511</w:t>
            </w:r>
          </w:p>
        </w:tc>
        <w:tc>
          <w:tcPr>
            <w:tcW w:w="1267" w:type="dxa"/>
            <w:shd w:val="clear" w:color="auto" w:fill="auto"/>
            <w:vAlign w:val="bottom"/>
          </w:tcPr>
          <w:p w:rsidR="00706545" w:rsidRPr="00917523" w:rsidRDefault="00706545" w:rsidP="00E444F6">
            <w:pPr>
              <w:suppressAutoHyphens w:val="0"/>
              <w:spacing w:before="40" w:after="40" w:line="220" w:lineRule="exact"/>
              <w:jc w:val="right"/>
              <w:rPr>
                <w:sz w:val="18"/>
              </w:rPr>
            </w:pPr>
            <w:r w:rsidRPr="00917523">
              <w:rPr>
                <w:sz w:val="18"/>
              </w:rPr>
              <w:t>73</w:t>
            </w:r>
            <w:r>
              <w:rPr>
                <w:sz w:val="18"/>
              </w:rPr>
              <w:t>,</w:t>
            </w:r>
            <w:r w:rsidRPr="00917523">
              <w:rPr>
                <w:sz w:val="18"/>
              </w:rPr>
              <w:t>2</w:t>
            </w:r>
          </w:p>
        </w:tc>
      </w:tr>
      <w:tr w:rsidR="00706545" w:rsidRPr="00917523" w:rsidTr="001565AC">
        <w:trPr>
          <w:jc w:val="center"/>
        </w:trPr>
        <w:tc>
          <w:tcPr>
            <w:tcW w:w="993" w:type="dxa"/>
            <w:shd w:val="clear" w:color="auto" w:fill="auto"/>
            <w:vAlign w:val="bottom"/>
          </w:tcPr>
          <w:p w:rsidR="00706545" w:rsidRPr="00917523" w:rsidRDefault="00706545" w:rsidP="001565AC">
            <w:pPr>
              <w:suppressAutoHyphens w:val="0"/>
              <w:spacing w:before="40" w:after="40" w:line="220" w:lineRule="exact"/>
              <w:ind w:right="113"/>
              <w:rPr>
                <w:sz w:val="18"/>
              </w:rPr>
            </w:pPr>
            <w:r w:rsidRPr="00917523">
              <w:rPr>
                <w:sz w:val="18"/>
              </w:rPr>
              <w:t>1981</w:t>
            </w:r>
          </w:p>
        </w:tc>
        <w:tc>
          <w:tcPr>
            <w:tcW w:w="717"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51 197</w:t>
            </w:r>
          </w:p>
        </w:tc>
        <w:tc>
          <w:tcPr>
            <w:tcW w:w="992"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1 030 689</w:t>
            </w:r>
          </w:p>
        </w:tc>
        <w:tc>
          <w:tcPr>
            <w:tcW w:w="1021" w:type="dxa"/>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4 124 256</w:t>
            </w:r>
          </w:p>
        </w:tc>
        <w:tc>
          <w:tcPr>
            <w:tcW w:w="1021"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2 050 913</w:t>
            </w:r>
          </w:p>
        </w:tc>
        <w:tc>
          <w:tcPr>
            <w:tcW w:w="1021" w:type="dxa"/>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2 073 343</w:t>
            </w:r>
          </w:p>
        </w:tc>
        <w:tc>
          <w:tcPr>
            <w:tcW w:w="1267" w:type="dxa"/>
            <w:shd w:val="clear" w:color="auto" w:fill="auto"/>
            <w:vAlign w:val="bottom"/>
          </w:tcPr>
          <w:p w:rsidR="00706545" w:rsidRPr="00917523" w:rsidRDefault="00706545" w:rsidP="00E444F6">
            <w:pPr>
              <w:suppressAutoHyphens w:val="0"/>
              <w:spacing w:before="40" w:after="40" w:line="220" w:lineRule="exact"/>
              <w:jc w:val="right"/>
              <w:rPr>
                <w:sz w:val="18"/>
              </w:rPr>
            </w:pPr>
            <w:r w:rsidRPr="00917523">
              <w:rPr>
                <w:sz w:val="18"/>
              </w:rPr>
              <w:t>80</w:t>
            </w:r>
            <w:r>
              <w:rPr>
                <w:sz w:val="18"/>
              </w:rPr>
              <w:t>,</w:t>
            </w:r>
            <w:r w:rsidRPr="00917523">
              <w:rPr>
                <w:sz w:val="18"/>
              </w:rPr>
              <w:t>6</w:t>
            </w:r>
          </w:p>
        </w:tc>
      </w:tr>
    </w:tbl>
    <w:p w:rsidR="00706545" w:rsidRDefault="00706545" w:rsidP="00706545">
      <w:pPr>
        <w:pStyle w:val="Heading1"/>
        <w:spacing w:before="240" w:after="120"/>
      </w:pPr>
      <w:r w:rsidRPr="00D22B7D">
        <w:rPr>
          <w:rFonts w:eastAsia="MS Mincho"/>
        </w:rPr>
        <w:t>Tableau</w:t>
      </w:r>
      <w:r>
        <w:t xml:space="preserve"> 2</w:t>
      </w:r>
      <w:r>
        <w:br/>
      </w:r>
      <w:r w:rsidRPr="00156980">
        <w:rPr>
          <w:b/>
        </w:rPr>
        <w:t>Statistiques démographiques selon le recensement de 1991</w:t>
      </w:r>
    </w:p>
    <w:tbl>
      <w:tblPr>
        <w:tblW w:w="7370" w:type="dxa"/>
        <w:tblInd w:w="1134" w:type="dxa"/>
        <w:tblBorders>
          <w:top w:val="single" w:sz="4" w:space="0" w:color="FFFFFF"/>
          <w:bottom w:val="single" w:sz="12" w:space="0" w:color="FFFFFF"/>
        </w:tblBorders>
        <w:tblLayout w:type="fixed"/>
        <w:tblCellMar>
          <w:left w:w="0" w:type="dxa"/>
          <w:right w:w="0" w:type="dxa"/>
        </w:tblCellMar>
        <w:tblLook w:val="0000" w:firstRow="0" w:lastRow="0" w:firstColumn="0" w:lastColumn="0" w:noHBand="0" w:noVBand="0"/>
      </w:tblPr>
      <w:tblGrid>
        <w:gridCol w:w="777"/>
        <w:gridCol w:w="782"/>
        <w:gridCol w:w="828"/>
        <w:gridCol w:w="822"/>
        <w:gridCol w:w="828"/>
        <w:gridCol w:w="1236"/>
        <w:gridCol w:w="1003"/>
        <w:gridCol w:w="1094"/>
      </w:tblGrid>
      <w:tr w:rsidR="00706545" w:rsidRPr="00917523" w:rsidTr="00706545">
        <w:trPr>
          <w:tblHeader/>
        </w:trPr>
        <w:tc>
          <w:tcPr>
            <w:tcW w:w="964" w:type="dxa"/>
            <w:vMerge w:val="restart"/>
            <w:tcBorders>
              <w:top w:val="single" w:sz="4" w:space="0" w:color="auto"/>
              <w:bottom w:val="single" w:sz="4" w:space="0" w:color="auto"/>
            </w:tcBorders>
            <w:shd w:val="clear" w:color="auto" w:fill="auto"/>
            <w:vAlign w:val="bottom"/>
          </w:tcPr>
          <w:p w:rsidR="00706545" w:rsidRPr="00917523" w:rsidRDefault="00706545" w:rsidP="001565AC">
            <w:pPr>
              <w:suppressAutoHyphens w:val="0"/>
              <w:spacing w:before="80" w:after="80" w:line="200" w:lineRule="exact"/>
              <w:rPr>
                <w:i/>
                <w:sz w:val="16"/>
              </w:rPr>
            </w:pPr>
            <w:r>
              <w:rPr>
                <w:i/>
                <w:sz w:val="16"/>
              </w:rPr>
              <w:t>Superficie</w:t>
            </w:r>
            <w:r w:rsidR="00E444F6">
              <w:rPr>
                <w:i/>
                <w:sz w:val="16"/>
              </w:rPr>
              <w:t xml:space="preserve"> </w:t>
            </w:r>
            <w:r>
              <w:rPr>
                <w:i/>
                <w:sz w:val="16"/>
              </w:rPr>
              <w:t xml:space="preserve">en </w:t>
            </w:r>
            <w:r w:rsidRPr="00917523">
              <w:rPr>
                <w:i/>
                <w:sz w:val="16"/>
              </w:rPr>
              <w:t>km</w:t>
            </w:r>
            <w:r w:rsidRPr="007B6175">
              <w:rPr>
                <w:i/>
                <w:sz w:val="16"/>
                <w:vertAlign w:val="superscript"/>
              </w:rPr>
              <w:t>2</w:t>
            </w:r>
          </w:p>
        </w:tc>
        <w:tc>
          <w:tcPr>
            <w:tcW w:w="964" w:type="dxa"/>
            <w:vMerge w:val="restart"/>
            <w:tcBorders>
              <w:top w:val="single" w:sz="4" w:space="0" w:color="auto"/>
              <w:bottom w:val="single" w:sz="4" w:space="0" w:color="auto"/>
              <w:right w:val="single" w:sz="24" w:space="0" w:color="FFFFFF"/>
            </w:tcBorders>
            <w:shd w:val="clear" w:color="auto" w:fill="auto"/>
            <w:vAlign w:val="bottom"/>
          </w:tcPr>
          <w:p w:rsidR="00706545" w:rsidRPr="00917523" w:rsidRDefault="00706545" w:rsidP="001565AC">
            <w:pPr>
              <w:suppressAutoHyphens w:val="0"/>
              <w:spacing w:before="80" w:after="80" w:line="200" w:lineRule="exact"/>
              <w:jc w:val="right"/>
              <w:rPr>
                <w:i/>
                <w:sz w:val="16"/>
              </w:rPr>
            </w:pPr>
            <w:r>
              <w:rPr>
                <w:i/>
                <w:sz w:val="16"/>
              </w:rPr>
              <w:t>Nombre de ménages</w:t>
            </w:r>
          </w:p>
        </w:tc>
        <w:tc>
          <w:tcPr>
            <w:tcW w:w="2892"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706545" w:rsidRPr="00917523" w:rsidRDefault="00706545" w:rsidP="001565AC">
            <w:pPr>
              <w:suppressAutoHyphens w:val="0"/>
              <w:spacing w:before="80" w:after="80" w:line="200" w:lineRule="exact"/>
              <w:jc w:val="center"/>
              <w:rPr>
                <w:i/>
                <w:sz w:val="16"/>
              </w:rPr>
            </w:pPr>
            <w:r w:rsidRPr="00917523">
              <w:rPr>
                <w:i/>
                <w:sz w:val="16"/>
              </w:rPr>
              <w:t>Population</w:t>
            </w:r>
          </w:p>
        </w:tc>
        <w:tc>
          <w:tcPr>
            <w:tcW w:w="1531" w:type="dxa"/>
            <w:vMerge w:val="restart"/>
            <w:tcBorders>
              <w:top w:val="single" w:sz="4" w:space="0" w:color="auto"/>
              <w:left w:val="single" w:sz="24" w:space="0" w:color="FFFFFF"/>
              <w:bottom w:val="single" w:sz="4" w:space="0" w:color="auto"/>
            </w:tcBorders>
            <w:shd w:val="clear" w:color="auto" w:fill="auto"/>
            <w:vAlign w:val="bottom"/>
          </w:tcPr>
          <w:p w:rsidR="00706545" w:rsidRPr="00917523" w:rsidRDefault="00706545" w:rsidP="001565AC">
            <w:pPr>
              <w:suppressAutoHyphens w:val="0"/>
              <w:spacing w:before="80" w:after="80" w:line="200" w:lineRule="exact"/>
              <w:jc w:val="right"/>
              <w:rPr>
                <w:i/>
                <w:sz w:val="16"/>
              </w:rPr>
            </w:pPr>
            <w:r>
              <w:rPr>
                <w:i/>
                <w:sz w:val="16"/>
              </w:rPr>
              <w:t>Densité de p</w:t>
            </w:r>
            <w:r w:rsidRPr="00917523">
              <w:rPr>
                <w:i/>
                <w:sz w:val="16"/>
              </w:rPr>
              <w:t xml:space="preserve">opulation </w:t>
            </w:r>
            <w:r>
              <w:rPr>
                <w:i/>
                <w:sz w:val="16"/>
              </w:rPr>
              <w:t>− habitants</w:t>
            </w:r>
            <w:r w:rsidR="00E444F6">
              <w:rPr>
                <w:i/>
                <w:sz w:val="16"/>
              </w:rPr>
              <w:t xml:space="preserve"> </w:t>
            </w:r>
            <w:r>
              <w:rPr>
                <w:i/>
                <w:sz w:val="16"/>
              </w:rPr>
              <w:t xml:space="preserve">au </w:t>
            </w:r>
            <w:r w:rsidRPr="00917523">
              <w:rPr>
                <w:i/>
                <w:sz w:val="16"/>
              </w:rPr>
              <w:t>km</w:t>
            </w:r>
            <w:r w:rsidRPr="00156980">
              <w:rPr>
                <w:i/>
                <w:sz w:val="16"/>
                <w:vertAlign w:val="superscript"/>
              </w:rPr>
              <w:t>2</w:t>
            </w:r>
          </w:p>
        </w:tc>
        <w:tc>
          <w:tcPr>
            <w:tcW w:w="1247" w:type="dxa"/>
            <w:vMerge w:val="restart"/>
            <w:tcBorders>
              <w:top w:val="single" w:sz="4" w:space="0" w:color="auto"/>
              <w:bottom w:val="single" w:sz="4" w:space="0" w:color="auto"/>
            </w:tcBorders>
            <w:shd w:val="clear" w:color="auto" w:fill="auto"/>
            <w:vAlign w:val="bottom"/>
          </w:tcPr>
          <w:p w:rsidR="00706545" w:rsidRPr="00917523" w:rsidRDefault="00706545" w:rsidP="001565AC">
            <w:pPr>
              <w:suppressAutoHyphens w:val="0"/>
              <w:spacing w:before="80" w:after="80" w:line="200" w:lineRule="exact"/>
              <w:jc w:val="right"/>
              <w:rPr>
                <w:i/>
                <w:sz w:val="16"/>
              </w:rPr>
            </w:pPr>
            <w:r>
              <w:rPr>
                <w:i/>
                <w:sz w:val="16"/>
              </w:rPr>
              <w:t>Nombre de personnes</w:t>
            </w:r>
            <w:r>
              <w:rPr>
                <w:i/>
                <w:sz w:val="16"/>
              </w:rPr>
              <w:br/>
              <w:t>par ménage</w:t>
            </w:r>
          </w:p>
        </w:tc>
        <w:tc>
          <w:tcPr>
            <w:tcW w:w="1361" w:type="dxa"/>
            <w:vMerge w:val="restart"/>
            <w:tcBorders>
              <w:top w:val="single" w:sz="4" w:space="0" w:color="auto"/>
              <w:bottom w:val="single" w:sz="4" w:space="0" w:color="auto"/>
            </w:tcBorders>
            <w:shd w:val="clear" w:color="auto" w:fill="auto"/>
            <w:vAlign w:val="bottom"/>
          </w:tcPr>
          <w:p w:rsidR="00706545" w:rsidRPr="00917523" w:rsidRDefault="00706545" w:rsidP="001565AC">
            <w:pPr>
              <w:suppressAutoHyphens w:val="0"/>
              <w:spacing w:before="80" w:after="80" w:line="200" w:lineRule="exact"/>
              <w:jc w:val="right"/>
              <w:rPr>
                <w:i/>
                <w:sz w:val="16"/>
              </w:rPr>
            </w:pPr>
            <w:r>
              <w:rPr>
                <w:i/>
                <w:sz w:val="16"/>
              </w:rPr>
              <w:t>Nombre de femmes pour  1 000</w:t>
            </w:r>
            <w:r w:rsidRPr="00917523">
              <w:rPr>
                <w:i/>
                <w:sz w:val="16"/>
              </w:rPr>
              <w:t xml:space="preserve"> </w:t>
            </w:r>
            <w:r>
              <w:rPr>
                <w:i/>
                <w:sz w:val="16"/>
              </w:rPr>
              <w:t>hommes</w:t>
            </w:r>
          </w:p>
        </w:tc>
      </w:tr>
      <w:tr w:rsidR="00706545" w:rsidRPr="00917523" w:rsidTr="00560689">
        <w:trPr>
          <w:tblHeader/>
        </w:trPr>
        <w:tc>
          <w:tcPr>
            <w:tcW w:w="964" w:type="dxa"/>
            <w:vMerge/>
            <w:tcBorders>
              <w:top w:val="single" w:sz="4" w:space="0" w:color="auto"/>
              <w:bottom w:val="single" w:sz="12" w:space="0" w:color="auto"/>
            </w:tcBorders>
            <w:shd w:val="clear" w:color="auto" w:fill="auto"/>
            <w:vAlign w:val="bottom"/>
          </w:tcPr>
          <w:p w:rsidR="00706545" w:rsidRPr="00917523" w:rsidRDefault="00706545" w:rsidP="001565AC">
            <w:pPr>
              <w:suppressAutoHyphens w:val="0"/>
              <w:spacing w:before="40" w:after="40" w:line="220" w:lineRule="exact"/>
              <w:rPr>
                <w:sz w:val="18"/>
              </w:rPr>
            </w:pPr>
          </w:p>
        </w:tc>
        <w:tc>
          <w:tcPr>
            <w:tcW w:w="964" w:type="dxa"/>
            <w:vMerge/>
            <w:tcBorders>
              <w:top w:val="single" w:sz="4" w:space="0" w:color="auto"/>
              <w:bottom w:val="single" w:sz="12" w:space="0" w:color="auto"/>
              <w:right w:val="single" w:sz="24" w:space="0" w:color="FFFFFF"/>
            </w:tcBorders>
            <w:shd w:val="clear" w:color="auto" w:fill="auto"/>
            <w:vAlign w:val="bottom"/>
          </w:tcPr>
          <w:p w:rsidR="00706545" w:rsidRPr="00917523" w:rsidRDefault="00706545" w:rsidP="001565AC">
            <w:pPr>
              <w:suppressAutoHyphens w:val="0"/>
              <w:spacing w:before="40" w:after="40" w:line="220" w:lineRule="exact"/>
              <w:jc w:val="right"/>
              <w:rPr>
                <w:sz w:val="18"/>
              </w:rPr>
            </w:pPr>
          </w:p>
        </w:tc>
        <w:tc>
          <w:tcPr>
            <w:tcW w:w="1021" w:type="dxa"/>
            <w:tcBorders>
              <w:top w:val="single" w:sz="4" w:space="0" w:color="auto"/>
              <w:left w:val="single" w:sz="24" w:space="0" w:color="FFFFFF"/>
              <w:bottom w:val="single" w:sz="12" w:space="0" w:color="auto"/>
            </w:tcBorders>
            <w:shd w:val="clear" w:color="auto" w:fill="auto"/>
            <w:vAlign w:val="bottom"/>
          </w:tcPr>
          <w:p w:rsidR="00706545" w:rsidRPr="00BA1CBF" w:rsidRDefault="00706545" w:rsidP="001565AC">
            <w:pPr>
              <w:suppressAutoHyphens w:val="0"/>
              <w:spacing w:before="80" w:after="80" w:line="200" w:lineRule="exact"/>
              <w:jc w:val="right"/>
              <w:rPr>
                <w:b/>
                <w:i/>
                <w:sz w:val="16"/>
              </w:rPr>
            </w:pPr>
            <w:r w:rsidRPr="00BA1CBF">
              <w:rPr>
                <w:b/>
                <w:i/>
                <w:sz w:val="16"/>
              </w:rPr>
              <w:t>Total</w:t>
            </w:r>
          </w:p>
        </w:tc>
        <w:tc>
          <w:tcPr>
            <w:tcW w:w="1021" w:type="dxa"/>
            <w:tcBorders>
              <w:top w:val="single" w:sz="4" w:space="0" w:color="auto"/>
              <w:bottom w:val="single" w:sz="12" w:space="0" w:color="auto"/>
            </w:tcBorders>
            <w:shd w:val="clear" w:color="auto" w:fill="auto"/>
            <w:vAlign w:val="bottom"/>
          </w:tcPr>
          <w:p w:rsidR="00706545" w:rsidRPr="00BA1CBF" w:rsidRDefault="00706545" w:rsidP="001565AC">
            <w:pPr>
              <w:suppressAutoHyphens w:val="0"/>
              <w:spacing w:before="80" w:after="80" w:line="200" w:lineRule="exact"/>
              <w:jc w:val="right"/>
              <w:rPr>
                <w:i/>
                <w:sz w:val="16"/>
              </w:rPr>
            </w:pPr>
            <w:r>
              <w:rPr>
                <w:i/>
                <w:sz w:val="16"/>
              </w:rPr>
              <w:t>Hommes</w:t>
            </w:r>
          </w:p>
        </w:tc>
        <w:tc>
          <w:tcPr>
            <w:tcW w:w="1021" w:type="dxa"/>
            <w:tcBorders>
              <w:top w:val="single" w:sz="4" w:space="0" w:color="auto"/>
              <w:bottom w:val="single" w:sz="12" w:space="0" w:color="auto"/>
              <w:right w:val="single" w:sz="24" w:space="0" w:color="FFFFFF"/>
            </w:tcBorders>
            <w:shd w:val="clear" w:color="auto" w:fill="auto"/>
            <w:vAlign w:val="bottom"/>
          </w:tcPr>
          <w:p w:rsidR="00706545" w:rsidRPr="00BA1CBF" w:rsidRDefault="00706545" w:rsidP="001565AC">
            <w:pPr>
              <w:suppressAutoHyphens w:val="0"/>
              <w:spacing w:before="80" w:after="80" w:line="200" w:lineRule="exact"/>
              <w:jc w:val="right"/>
              <w:rPr>
                <w:i/>
                <w:sz w:val="16"/>
              </w:rPr>
            </w:pPr>
            <w:r>
              <w:rPr>
                <w:i/>
                <w:sz w:val="16"/>
              </w:rPr>
              <w:t>Femmes</w:t>
            </w:r>
          </w:p>
        </w:tc>
        <w:tc>
          <w:tcPr>
            <w:tcW w:w="1531" w:type="dxa"/>
            <w:vMerge/>
            <w:tcBorders>
              <w:top w:val="single" w:sz="4" w:space="0" w:color="auto"/>
              <w:left w:val="single" w:sz="24" w:space="0" w:color="FFFFFF"/>
              <w:bottom w:val="single" w:sz="12" w:space="0" w:color="auto"/>
            </w:tcBorders>
            <w:shd w:val="clear" w:color="auto" w:fill="auto"/>
            <w:vAlign w:val="bottom"/>
          </w:tcPr>
          <w:p w:rsidR="00706545" w:rsidRPr="00917523" w:rsidRDefault="00706545" w:rsidP="001565AC">
            <w:pPr>
              <w:suppressAutoHyphens w:val="0"/>
              <w:spacing w:before="40" w:after="40" w:line="220" w:lineRule="exact"/>
              <w:jc w:val="right"/>
              <w:rPr>
                <w:sz w:val="18"/>
              </w:rPr>
            </w:pPr>
          </w:p>
        </w:tc>
        <w:tc>
          <w:tcPr>
            <w:tcW w:w="1247" w:type="dxa"/>
            <w:vMerge/>
            <w:tcBorders>
              <w:top w:val="single" w:sz="4" w:space="0" w:color="auto"/>
              <w:bottom w:val="single" w:sz="12" w:space="0" w:color="auto"/>
            </w:tcBorders>
            <w:shd w:val="clear" w:color="auto" w:fill="auto"/>
            <w:vAlign w:val="bottom"/>
          </w:tcPr>
          <w:p w:rsidR="00706545" w:rsidRPr="00917523" w:rsidRDefault="00706545" w:rsidP="001565AC">
            <w:pPr>
              <w:suppressAutoHyphens w:val="0"/>
              <w:spacing w:before="40" w:after="40" w:line="220" w:lineRule="exact"/>
              <w:jc w:val="right"/>
              <w:rPr>
                <w:sz w:val="18"/>
              </w:rPr>
            </w:pPr>
          </w:p>
        </w:tc>
        <w:tc>
          <w:tcPr>
            <w:tcW w:w="1361" w:type="dxa"/>
            <w:vMerge/>
            <w:tcBorders>
              <w:top w:val="single" w:sz="4" w:space="0" w:color="auto"/>
              <w:bottom w:val="single" w:sz="12" w:space="0" w:color="auto"/>
            </w:tcBorders>
            <w:shd w:val="clear" w:color="auto" w:fill="auto"/>
            <w:vAlign w:val="bottom"/>
          </w:tcPr>
          <w:p w:rsidR="00706545" w:rsidRPr="00917523" w:rsidRDefault="00706545" w:rsidP="001565AC">
            <w:pPr>
              <w:suppressAutoHyphens w:val="0"/>
              <w:spacing w:before="40" w:after="40" w:line="220" w:lineRule="exact"/>
              <w:jc w:val="right"/>
              <w:rPr>
                <w:sz w:val="18"/>
              </w:rPr>
            </w:pPr>
          </w:p>
        </w:tc>
      </w:tr>
      <w:tr w:rsidR="00706545" w:rsidRPr="00917523" w:rsidTr="00560689">
        <w:tc>
          <w:tcPr>
            <w:tcW w:w="964" w:type="dxa"/>
            <w:tcBorders>
              <w:top w:val="single" w:sz="12" w:space="0" w:color="auto"/>
              <w:bottom w:val="single" w:sz="12" w:space="0" w:color="auto"/>
            </w:tcBorders>
            <w:shd w:val="clear" w:color="auto" w:fill="auto"/>
            <w:vAlign w:val="bottom"/>
          </w:tcPr>
          <w:p w:rsidR="00706545" w:rsidRPr="00917523" w:rsidRDefault="00706545" w:rsidP="001565AC">
            <w:pPr>
              <w:suppressAutoHyphens w:val="0"/>
              <w:spacing w:before="40" w:after="40" w:line="220" w:lineRule="exact"/>
              <w:rPr>
                <w:sz w:val="18"/>
              </w:rPr>
            </w:pPr>
            <w:r w:rsidRPr="00917523">
              <w:rPr>
                <w:sz w:val="18"/>
              </w:rPr>
              <w:t>51 129</w:t>
            </w:r>
          </w:p>
        </w:tc>
        <w:tc>
          <w:tcPr>
            <w:tcW w:w="964" w:type="dxa"/>
            <w:tcBorders>
              <w:top w:val="single" w:sz="12" w:space="0" w:color="auto"/>
              <w:bottom w:val="single" w:sz="12" w:space="0" w:color="auto"/>
              <w:right w:val="nil"/>
            </w:tcBorders>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1 207 693</w:t>
            </w:r>
          </w:p>
        </w:tc>
        <w:tc>
          <w:tcPr>
            <w:tcW w:w="1021" w:type="dxa"/>
            <w:tcBorders>
              <w:top w:val="single" w:sz="12" w:space="0" w:color="auto"/>
              <w:left w:val="nil"/>
              <w:bottom w:val="single" w:sz="12" w:space="0" w:color="auto"/>
            </w:tcBorders>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4 377 033</w:t>
            </w:r>
          </w:p>
        </w:tc>
        <w:tc>
          <w:tcPr>
            <w:tcW w:w="1021" w:type="dxa"/>
            <w:tcBorders>
              <w:top w:val="single" w:sz="12" w:space="0" w:color="auto"/>
              <w:bottom w:val="single" w:sz="12" w:space="0" w:color="auto"/>
            </w:tcBorders>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2 183 795</w:t>
            </w:r>
          </w:p>
        </w:tc>
        <w:tc>
          <w:tcPr>
            <w:tcW w:w="1021" w:type="dxa"/>
            <w:tcBorders>
              <w:top w:val="single" w:sz="12" w:space="0" w:color="auto"/>
              <w:bottom w:val="single" w:sz="12" w:space="0" w:color="auto"/>
              <w:right w:val="nil"/>
            </w:tcBorders>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2 193 238</w:t>
            </w:r>
          </w:p>
        </w:tc>
        <w:tc>
          <w:tcPr>
            <w:tcW w:w="1531" w:type="dxa"/>
            <w:tcBorders>
              <w:top w:val="single" w:sz="12" w:space="0" w:color="auto"/>
              <w:left w:val="nil"/>
              <w:bottom w:val="single" w:sz="12" w:space="0" w:color="auto"/>
            </w:tcBorders>
            <w:shd w:val="clear" w:color="auto" w:fill="auto"/>
            <w:vAlign w:val="bottom"/>
          </w:tcPr>
          <w:p w:rsidR="00706545" w:rsidRPr="00917523" w:rsidRDefault="00706545" w:rsidP="001565AC">
            <w:pPr>
              <w:suppressAutoHyphens w:val="0"/>
              <w:spacing w:before="40" w:after="40" w:line="220" w:lineRule="exact"/>
              <w:jc w:val="right"/>
              <w:rPr>
                <w:sz w:val="18"/>
              </w:rPr>
            </w:pPr>
            <w:r>
              <w:rPr>
                <w:sz w:val="18"/>
              </w:rPr>
              <w:t>85,</w:t>
            </w:r>
            <w:r w:rsidRPr="00917523">
              <w:rPr>
                <w:sz w:val="18"/>
              </w:rPr>
              <w:t>6</w:t>
            </w:r>
          </w:p>
        </w:tc>
        <w:tc>
          <w:tcPr>
            <w:tcW w:w="1247" w:type="dxa"/>
            <w:tcBorders>
              <w:top w:val="single" w:sz="12" w:space="0" w:color="auto"/>
              <w:bottom w:val="single" w:sz="12" w:space="0" w:color="auto"/>
            </w:tcBorders>
            <w:shd w:val="clear" w:color="auto" w:fill="auto"/>
            <w:vAlign w:val="bottom"/>
          </w:tcPr>
          <w:p w:rsidR="00706545" w:rsidRPr="00917523" w:rsidRDefault="00706545" w:rsidP="001565AC">
            <w:pPr>
              <w:suppressAutoHyphens w:val="0"/>
              <w:spacing w:before="40" w:after="40" w:line="220" w:lineRule="exact"/>
              <w:jc w:val="right"/>
              <w:rPr>
                <w:sz w:val="18"/>
              </w:rPr>
            </w:pPr>
            <w:r>
              <w:rPr>
                <w:sz w:val="18"/>
              </w:rPr>
              <w:t>3,</w:t>
            </w:r>
            <w:r w:rsidRPr="00917523">
              <w:rPr>
                <w:sz w:val="18"/>
              </w:rPr>
              <w:t>63</w:t>
            </w:r>
          </w:p>
        </w:tc>
        <w:tc>
          <w:tcPr>
            <w:tcW w:w="1361" w:type="dxa"/>
            <w:tcBorders>
              <w:top w:val="single" w:sz="12" w:space="0" w:color="auto"/>
              <w:bottom w:val="single" w:sz="12" w:space="0" w:color="auto"/>
            </w:tcBorders>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1 004</w:t>
            </w:r>
          </w:p>
        </w:tc>
      </w:tr>
    </w:tbl>
    <w:p w:rsidR="00706545" w:rsidRPr="00156980" w:rsidRDefault="00706545" w:rsidP="00DE0C47">
      <w:pPr>
        <w:pStyle w:val="Heading1"/>
        <w:spacing w:before="240" w:after="120"/>
        <w:ind w:left="0"/>
        <w:rPr>
          <w:b/>
        </w:rPr>
      </w:pPr>
      <w:r w:rsidRPr="00156980">
        <w:rPr>
          <w:rFonts w:eastAsia="MS Mincho"/>
        </w:rPr>
        <w:t>Tableau</w:t>
      </w:r>
      <w:r>
        <w:t xml:space="preserve"> 3</w:t>
      </w:r>
      <w:r>
        <w:br/>
      </w:r>
      <w:r w:rsidRPr="00156980">
        <w:rPr>
          <w:b/>
        </w:rPr>
        <w:t>Population de la Bosnie-Herzégovine par tranche d</w:t>
      </w:r>
      <w:r w:rsidR="00CA473A">
        <w:rPr>
          <w:b/>
        </w:rPr>
        <w:t>’</w:t>
      </w:r>
      <w:r w:rsidRPr="00156980">
        <w:rPr>
          <w:b/>
        </w:rPr>
        <w:t>âge et par sexe 1971, 1981, 1991</w:t>
      </w:r>
    </w:p>
    <w:tbl>
      <w:tblPr>
        <w:tblW w:w="5000" w:type="pct"/>
        <w:tblCellMar>
          <w:left w:w="0" w:type="dxa"/>
          <w:right w:w="0" w:type="dxa"/>
        </w:tblCellMar>
        <w:tblLook w:val="0000" w:firstRow="0" w:lastRow="0" w:firstColumn="0" w:lastColumn="0" w:noHBand="0" w:noVBand="0"/>
      </w:tblPr>
      <w:tblGrid>
        <w:gridCol w:w="963"/>
        <w:gridCol w:w="962"/>
        <w:gridCol w:w="962"/>
        <w:gridCol w:w="962"/>
        <w:gridCol w:w="968"/>
        <w:gridCol w:w="968"/>
        <w:gridCol w:w="970"/>
        <w:gridCol w:w="962"/>
        <w:gridCol w:w="962"/>
        <w:gridCol w:w="960"/>
      </w:tblGrid>
      <w:tr w:rsidR="00706545" w:rsidRPr="00917523" w:rsidTr="00560689">
        <w:trPr>
          <w:tblHeader/>
        </w:trPr>
        <w:tc>
          <w:tcPr>
            <w:tcW w:w="500" w:type="pct"/>
            <w:vMerge w:val="restart"/>
            <w:tcBorders>
              <w:top w:val="single" w:sz="4" w:space="0" w:color="auto"/>
              <w:right w:val="single" w:sz="24" w:space="0" w:color="FFFFFF"/>
            </w:tcBorders>
            <w:shd w:val="clear" w:color="auto" w:fill="auto"/>
            <w:vAlign w:val="bottom"/>
          </w:tcPr>
          <w:p w:rsidR="00706545" w:rsidRPr="00917523" w:rsidRDefault="00706545" w:rsidP="00DE0C47">
            <w:pPr>
              <w:keepNext/>
              <w:spacing w:before="80" w:after="80" w:line="200" w:lineRule="exact"/>
              <w:rPr>
                <w:i/>
                <w:sz w:val="16"/>
                <w:szCs w:val="16"/>
              </w:rPr>
            </w:pPr>
            <w:r>
              <w:rPr>
                <w:i/>
                <w:sz w:val="16"/>
                <w:szCs w:val="16"/>
              </w:rPr>
              <w:t>Année</w:t>
            </w:r>
          </w:p>
        </w:tc>
        <w:tc>
          <w:tcPr>
            <w:tcW w:w="1497" w:type="pct"/>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706545" w:rsidRPr="00917523" w:rsidRDefault="00706545" w:rsidP="00DE0C47">
            <w:pPr>
              <w:keepNext/>
              <w:suppressAutoHyphens w:val="0"/>
              <w:spacing w:before="80" w:after="80" w:line="200" w:lineRule="exact"/>
              <w:jc w:val="center"/>
              <w:rPr>
                <w:i/>
                <w:sz w:val="16"/>
              </w:rPr>
            </w:pPr>
            <w:r w:rsidRPr="00917523">
              <w:rPr>
                <w:i/>
                <w:sz w:val="16"/>
              </w:rPr>
              <w:t>1971</w:t>
            </w:r>
          </w:p>
        </w:tc>
        <w:tc>
          <w:tcPr>
            <w:tcW w:w="1507" w:type="pct"/>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706545" w:rsidRPr="00917523" w:rsidRDefault="00706545" w:rsidP="00DE0C47">
            <w:pPr>
              <w:keepNext/>
              <w:suppressAutoHyphens w:val="0"/>
              <w:spacing w:before="80" w:after="80" w:line="200" w:lineRule="exact"/>
              <w:jc w:val="center"/>
              <w:rPr>
                <w:i/>
                <w:sz w:val="16"/>
              </w:rPr>
            </w:pPr>
            <w:r w:rsidRPr="00917523">
              <w:rPr>
                <w:i/>
                <w:sz w:val="16"/>
              </w:rPr>
              <w:t>1981</w:t>
            </w:r>
          </w:p>
        </w:tc>
        <w:tc>
          <w:tcPr>
            <w:tcW w:w="1496" w:type="pct"/>
            <w:gridSpan w:val="3"/>
            <w:tcBorders>
              <w:top w:val="single" w:sz="4" w:space="0" w:color="auto"/>
              <w:left w:val="single" w:sz="24" w:space="0" w:color="FFFFFF"/>
              <w:bottom w:val="single" w:sz="4" w:space="0" w:color="auto"/>
            </w:tcBorders>
            <w:shd w:val="clear" w:color="auto" w:fill="auto"/>
            <w:vAlign w:val="bottom"/>
          </w:tcPr>
          <w:p w:rsidR="00706545" w:rsidRPr="00917523" w:rsidRDefault="00706545" w:rsidP="00DE0C47">
            <w:pPr>
              <w:keepNext/>
              <w:suppressAutoHyphens w:val="0"/>
              <w:spacing w:before="80" w:after="80" w:line="200" w:lineRule="exact"/>
              <w:jc w:val="center"/>
              <w:rPr>
                <w:i/>
                <w:sz w:val="16"/>
              </w:rPr>
            </w:pPr>
            <w:r w:rsidRPr="00917523">
              <w:rPr>
                <w:i/>
                <w:sz w:val="16"/>
              </w:rPr>
              <w:t>1991</w:t>
            </w:r>
          </w:p>
        </w:tc>
      </w:tr>
      <w:tr w:rsidR="00706545" w:rsidRPr="00917523" w:rsidTr="00560689">
        <w:trPr>
          <w:tblHeader/>
        </w:trPr>
        <w:tc>
          <w:tcPr>
            <w:tcW w:w="500" w:type="pct"/>
            <w:vMerge/>
            <w:tcBorders>
              <w:bottom w:val="single" w:sz="12" w:space="0" w:color="auto"/>
              <w:right w:val="single" w:sz="24" w:space="0" w:color="FFFFFF"/>
            </w:tcBorders>
            <w:shd w:val="clear" w:color="auto" w:fill="auto"/>
            <w:vAlign w:val="bottom"/>
          </w:tcPr>
          <w:p w:rsidR="00706545" w:rsidRPr="00917523" w:rsidRDefault="00706545" w:rsidP="00DE0C47">
            <w:pPr>
              <w:keepNext/>
              <w:suppressAutoHyphens w:val="0"/>
              <w:spacing w:before="80" w:after="80" w:line="200" w:lineRule="exact"/>
              <w:jc w:val="center"/>
              <w:rPr>
                <w:sz w:val="18"/>
              </w:rPr>
            </w:pPr>
          </w:p>
        </w:tc>
        <w:tc>
          <w:tcPr>
            <w:tcW w:w="499" w:type="pct"/>
            <w:tcBorders>
              <w:top w:val="single" w:sz="4" w:space="0" w:color="auto"/>
              <w:left w:val="single" w:sz="24" w:space="0" w:color="FFFFFF"/>
              <w:bottom w:val="single" w:sz="12" w:space="0" w:color="auto"/>
            </w:tcBorders>
            <w:shd w:val="clear" w:color="auto" w:fill="auto"/>
            <w:vAlign w:val="bottom"/>
          </w:tcPr>
          <w:p w:rsidR="00706545" w:rsidRPr="00917523" w:rsidRDefault="00706545" w:rsidP="00DE0C47">
            <w:pPr>
              <w:keepNext/>
              <w:suppressAutoHyphens w:val="0"/>
              <w:spacing w:before="80" w:after="80" w:line="200" w:lineRule="exact"/>
              <w:jc w:val="right"/>
              <w:rPr>
                <w:b/>
                <w:i/>
                <w:sz w:val="16"/>
                <w:szCs w:val="16"/>
              </w:rPr>
            </w:pPr>
            <w:r w:rsidRPr="00917523">
              <w:rPr>
                <w:b/>
                <w:i/>
                <w:sz w:val="16"/>
                <w:szCs w:val="16"/>
              </w:rPr>
              <w:t>Total</w:t>
            </w:r>
          </w:p>
        </w:tc>
        <w:tc>
          <w:tcPr>
            <w:tcW w:w="499" w:type="pct"/>
            <w:tcBorders>
              <w:top w:val="single" w:sz="4" w:space="0" w:color="auto"/>
              <w:bottom w:val="single" w:sz="12" w:space="0" w:color="auto"/>
            </w:tcBorders>
            <w:shd w:val="clear" w:color="auto" w:fill="auto"/>
            <w:vAlign w:val="bottom"/>
          </w:tcPr>
          <w:p w:rsidR="00706545" w:rsidRPr="00917523" w:rsidRDefault="00706545" w:rsidP="00DE0C47">
            <w:pPr>
              <w:keepNext/>
              <w:suppressAutoHyphens w:val="0"/>
              <w:spacing w:before="80" w:after="80" w:line="200" w:lineRule="exact"/>
              <w:jc w:val="right"/>
              <w:rPr>
                <w:i/>
                <w:sz w:val="16"/>
                <w:szCs w:val="16"/>
              </w:rPr>
            </w:pPr>
            <w:r>
              <w:rPr>
                <w:i/>
                <w:sz w:val="16"/>
                <w:szCs w:val="16"/>
              </w:rPr>
              <w:t>Hommes</w:t>
            </w:r>
          </w:p>
        </w:tc>
        <w:tc>
          <w:tcPr>
            <w:tcW w:w="499" w:type="pct"/>
            <w:tcBorders>
              <w:top w:val="single" w:sz="4" w:space="0" w:color="auto"/>
              <w:bottom w:val="single" w:sz="12" w:space="0" w:color="auto"/>
              <w:right w:val="single" w:sz="24" w:space="0" w:color="FFFFFF"/>
            </w:tcBorders>
            <w:shd w:val="clear" w:color="auto" w:fill="auto"/>
            <w:vAlign w:val="bottom"/>
          </w:tcPr>
          <w:p w:rsidR="00706545" w:rsidRPr="00917523" w:rsidRDefault="00706545" w:rsidP="00DE0C47">
            <w:pPr>
              <w:keepNext/>
              <w:suppressAutoHyphens w:val="0"/>
              <w:spacing w:before="80" w:after="80" w:line="200" w:lineRule="exact"/>
              <w:jc w:val="right"/>
              <w:rPr>
                <w:i/>
                <w:sz w:val="16"/>
                <w:szCs w:val="16"/>
              </w:rPr>
            </w:pPr>
            <w:r>
              <w:rPr>
                <w:i/>
                <w:sz w:val="16"/>
                <w:szCs w:val="16"/>
              </w:rPr>
              <w:t>Femmes</w:t>
            </w:r>
          </w:p>
        </w:tc>
        <w:tc>
          <w:tcPr>
            <w:tcW w:w="502" w:type="pct"/>
            <w:tcBorders>
              <w:top w:val="single" w:sz="4" w:space="0" w:color="auto"/>
              <w:left w:val="single" w:sz="24" w:space="0" w:color="FFFFFF"/>
              <w:bottom w:val="single" w:sz="12" w:space="0" w:color="auto"/>
            </w:tcBorders>
            <w:shd w:val="clear" w:color="auto" w:fill="auto"/>
            <w:vAlign w:val="bottom"/>
          </w:tcPr>
          <w:p w:rsidR="00706545" w:rsidRPr="00917523" w:rsidRDefault="00706545" w:rsidP="00DE0C47">
            <w:pPr>
              <w:keepNext/>
              <w:suppressAutoHyphens w:val="0"/>
              <w:spacing w:before="80" w:after="80" w:line="200" w:lineRule="exact"/>
              <w:jc w:val="right"/>
              <w:rPr>
                <w:b/>
                <w:i/>
                <w:sz w:val="16"/>
                <w:szCs w:val="16"/>
              </w:rPr>
            </w:pPr>
            <w:r w:rsidRPr="00917523">
              <w:rPr>
                <w:b/>
                <w:i/>
                <w:sz w:val="16"/>
                <w:szCs w:val="16"/>
              </w:rPr>
              <w:t>Total</w:t>
            </w:r>
          </w:p>
        </w:tc>
        <w:tc>
          <w:tcPr>
            <w:tcW w:w="502" w:type="pct"/>
            <w:tcBorders>
              <w:top w:val="single" w:sz="4" w:space="0" w:color="auto"/>
              <w:bottom w:val="single" w:sz="12" w:space="0" w:color="auto"/>
            </w:tcBorders>
            <w:shd w:val="clear" w:color="auto" w:fill="auto"/>
            <w:vAlign w:val="bottom"/>
          </w:tcPr>
          <w:p w:rsidR="00706545" w:rsidRPr="00917523" w:rsidRDefault="00706545" w:rsidP="00DE0C47">
            <w:pPr>
              <w:keepNext/>
              <w:suppressAutoHyphens w:val="0"/>
              <w:spacing w:before="80" w:after="80" w:line="200" w:lineRule="exact"/>
              <w:jc w:val="right"/>
              <w:rPr>
                <w:i/>
                <w:sz w:val="16"/>
                <w:szCs w:val="16"/>
              </w:rPr>
            </w:pPr>
            <w:r>
              <w:rPr>
                <w:i/>
                <w:sz w:val="16"/>
                <w:szCs w:val="16"/>
              </w:rPr>
              <w:t>Hommes</w:t>
            </w:r>
          </w:p>
        </w:tc>
        <w:tc>
          <w:tcPr>
            <w:tcW w:w="503" w:type="pct"/>
            <w:tcBorders>
              <w:top w:val="single" w:sz="4" w:space="0" w:color="auto"/>
              <w:bottom w:val="single" w:sz="12" w:space="0" w:color="auto"/>
              <w:right w:val="single" w:sz="24" w:space="0" w:color="FFFFFF"/>
            </w:tcBorders>
            <w:shd w:val="clear" w:color="auto" w:fill="auto"/>
            <w:vAlign w:val="bottom"/>
          </w:tcPr>
          <w:p w:rsidR="00706545" w:rsidRPr="00917523" w:rsidRDefault="00706545" w:rsidP="00DE0C47">
            <w:pPr>
              <w:keepNext/>
              <w:suppressAutoHyphens w:val="0"/>
              <w:spacing w:before="80" w:after="80" w:line="200" w:lineRule="exact"/>
              <w:jc w:val="right"/>
              <w:rPr>
                <w:i/>
                <w:sz w:val="16"/>
                <w:szCs w:val="16"/>
              </w:rPr>
            </w:pPr>
            <w:r w:rsidRPr="00917523">
              <w:rPr>
                <w:i/>
                <w:sz w:val="16"/>
                <w:szCs w:val="16"/>
              </w:rPr>
              <w:t>Fem</w:t>
            </w:r>
            <w:r>
              <w:rPr>
                <w:i/>
                <w:sz w:val="16"/>
                <w:szCs w:val="16"/>
              </w:rPr>
              <w:t>mes</w:t>
            </w:r>
          </w:p>
        </w:tc>
        <w:tc>
          <w:tcPr>
            <w:tcW w:w="499" w:type="pct"/>
            <w:tcBorders>
              <w:top w:val="single" w:sz="4" w:space="0" w:color="auto"/>
              <w:left w:val="single" w:sz="24" w:space="0" w:color="FFFFFF"/>
              <w:bottom w:val="single" w:sz="12" w:space="0" w:color="auto"/>
            </w:tcBorders>
            <w:shd w:val="clear" w:color="auto" w:fill="auto"/>
            <w:vAlign w:val="bottom"/>
          </w:tcPr>
          <w:p w:rsidR="00706545" w:rsidRPr="00917523" w:rsidRDefault="00706545" w:rsidP="00DE0C47">
            <w:pPr>
              <w:keepNext/>
              <w:suppressAutoHyphens w:val="0"/>
              <w:spacing w:before="80" w:after="80" w:line="200" w:lineRule="exact"/>
              <w:jc w:val="right"/>
              <w:rPr>
                <w:b/>
                <w:i/>
                <w:sz w:val="16"/>
                <w:szCs w:val="16"/>
              </w:rPr>
            </w:pPr>
            <w:r w:rsidRPr="00917523">
              <w:rPr>
                <w:b/>
                <w:i/>
                <w:sz w:val="16"/>
                <w:szCs w:val="16"/>
              </w:rPr>
              <w:t>Total</w:t>
            </w:r>
          </w:p>
        </w:tc>
        <w:tc>
          <w:tcPr>
            <w:tcW w:w="499" w:type="pct"/>
            <w:tcBorders>
              <w:top w:val="single" w:sz="4" w:space="0" w:color="auto"/>
              <w:bottom w:val="single" w:sz="12" w:space="0" w:color="auto"/>
            </w:tcBorders>
            <w:shd w:val="clear" w:color="auto" w:fill="auto"/>
            <w:vAlign w:val="bottom"/>
          </w:tcPr>
          <w:p w:rsidR="00706545" w:rsidRPr="00917523" w:rsidRDefault="00706545" w:rsidP="00DE0C47">
            <w:pPr>
              <w:keepNext/>
              <w:suppressAutoHyphens w:val="0"/>
              <w:spacing w:before="80" w:after="80" w:line="200" w:lineRule="exact"/>
              <w:jc w:val="right"/>
              <w:rPr>
                <w:i/>
                <w:sz w:val="16"/>
                <w:szCs w:val="16"/>
              </w:rPr>
            </w:pPr>
            <w:r>
              <w:rPr>
                <w:i/>
                <w:sz w:val="16"/>
                <w:szCs w:val="16"/>
              </w:rPr>
              <w:t>Hommes</w:t>
            </w:r>
          </w:p>
        </w:tc>
        <w:tc>
          <w:tcPr>
            <w:tcW w:w="498" w:type="pct"/>
            <w:tcBorders>
              <w:top w:val="single" w:sz="4" w:space="0" w:color="auto"/>
              <w:bottom w:val="single" w:sz="12" w:space="0" w:color="auto"/>
            </w:tcBorders>
            <w:shd w:val="clear" w:color="auto" w:fill="auto"/>
            <w:vAlign w:val="bottom"/>
          </w:tcPr>
          <w:p w:rsidR="00706545" w:rsidRPr="00917523" w:rsidRDefault="00706545" w:rsidP="00DE0C47">
            <w:pPr>
              <w:keepNext/>
              <w:suppressAutoHyphens w:val="0"/>
              <w:spacing w:before="80" w:after="80" w:line="200" w:lineRule="exact"/>
              <w:jc w:val="right"/>
              <w:rPr>
                <w:i/>
                <w:sz w:val="16"/>
                <w:szCs w:val="16"/>
              </w:rPr>
            </w:pPr>
            <w:r w:rsidRPr="00917523">
              <w:rPr>
                <w:i/>
                <w:sz w:val="16"/>
                <w:szCs w:val="16"/>
              </w:rPr>
              <w:t>Fem</w:t>
            </w:r>
            <w:r>
              <w:rPr>
                <w:i/>
                <w:sz w:val="16"/>
                <w:szCs w:val="16"/>
              </w:rPr>
              <w:t>mes</w:t>
            </w:r>
          </w:p>
        </w:tc>
      </w:tr>
      <w:tr w:rsidR="00706545" w:rsidRPr="00917523" w:rsidTr="001565AC">
        <w:tc>
          <w:tcPr>
            <w:tcW w:w="500" w:type="pct"/>
            <w:tcBorders>
              <w:top w:val="single" w:sz="12" w:space="0" w:color="auto"/>
              <w:bottom w:val="single" w:sz="4" w:space="0" w:color="auto"/>
            </w:tcBorders>
            <w:shd w:val="clear" w:color="auto" w:fill="auto"/>
            <w:vAlign w:val="bottom"/>
          </w:tcPr>
          <w:p w:rsidR="00706545" w:rsidRPr="00917523" w:rsidRDefault="00706545" w:rsidP="00DE0C47">
            <w:pPr>
              <w:keepNext/>
              <w:suppressAutoHyphens w:val="0"/>
              <w:spacing w:before="80" w:after="80" w:line="200" w:lineRule="exact"/>
              <w:ind w:left="284" w:right="113"/>
              <w:rPr>
                <w:b/>
                <w:sz w:val="18"/>
              </w:rPr>
            </w:pPr>
            <w:r w:rsidRPr="00917523">
              <w:rPr>
                <w:b/>
                <w:sz w:val="18"/>
              </w:rPr>
              <w:t>Total</w:t>
            </w:r>
          </w:p>
        </w:tc>
        <w:tc>
          <w:tcPr>
            <w:tcW w:w="499" w:type="pct"/>
            <w:tcBorders>
              <w:top w:val="single" w:sz="12" w:space="0" w:color="auto"/>
              <w:bottom w:val="single" w:sz="4" w:space="0" w:color="auto"/>
            </w:tcBorders>
            <w:shd w:val="clear" w:color="auto" w:fill="auto"/>
            <w:vAlign w:val="bottom"/>
          </w:tcPr>
          <w:p w:rsidR="00706545" w:rsidRPr="00917523" w:rsidRDefault="00706545" w:rsidP="00DE0C47">
            <w:pPr>
              <w:keepNext/>
              <w:suppressAutoHyphens w:val="0"/>
              <w:spacing w:before="80" w:after="80" w:line="200" w:lineRule="exact"/>
              <w:jc w:val="right"/>
              <w:rPr>
                <w:b/>
                <w:sz w:val="18"/>
              </w:rPr>
            </w:pPr>
            <w:r w:rsidRPr="00917523">
              <w:rPr>
                <w:b/>
                <w:sz w:val="18"/>
              </w:rPr>
              <w:t>3 746 111</w:t>
            </w:r>
          </w:p>
        </w:tc>
        <w:tc>
          <w:tcPr>
            <w:tcW w:w="499" w:type="pct"/>
            <w:tcBorders>
              <w:top w:val="single" w:sz="12" w:space="0" w:color="auto"/>
              <w:bottom w:val="single" w:sz="4" w:space="0" w:color="auto"/>
            </w:tcBorders>
            <w:shd w:val="clear" w:color="auto" w:fill="auto"/>
            <w:vAlign w:val="bottom"/>
          </w:tcPr>
          <w:p w:rsidR="00706545" w:rsidRPr="00917523" w:rsidRDefault="00706545" w:rsidP="00DE0C47">
            <w:pPr>
              <w:keepNext/>
              <w:suppressAutoHyphens w:val="0"/>
              <w:spacing w:before="80" w:after="80" w:line="200" w:lineRule="exact"/>
              <w:jc w:val="right"/>
              <w:rPr>
                <w:b/>
                <w:sz w:val="18"/>
              </w:rPr>
            </w:pPr>
            <w:r w:rsidRPr="00917523">
              <w:rPr>
                <w:b/>
                <w:sz w:val="18"/>
              </w:rPr>
              <w:t>1 834 600</w:t>
            </w:r>
          </w:p>
        </w:tc>
        <w:tc>
          <w:tcPr>
            <w:tcW w:w="499" w:type="pct"/>
            <w:tcBorders>
              <w:top w:val="single" w:sz="12" w:space="0" w:color="auto"/>
              <w:bottom w:val="single" w:sz="4" w:space="0" w:color="auto"/>
            </w:tcBorders>
            <w:shd w:val="clear" w:color="auto" w:fill="auto"/>
            <w:vAlign w:val="bottom"/>
          </w:tcPr>
          <w:p w:rsidR="00706545" w:rsidRPr="00917523" w:rsidRDefault="00706545" w:rsidP="00DE0C47">
            <w:pPr>
              <w:keepNext/>
              <w:suppressAutoHyphens w:val="0"/>
              <w:spacing w:before="80" w:after="80" w:line="200" w:lineRule="exact"/>
              <w:jc w:val="right"/>
              <w:rPr>
                <w:b/>
                <w:sz w:val="18"/>
              </w:rPr>
            </w:pPr>
            <w:r w:rsidRPr="00917523">
              <w:rPr>
                <w:b/>
                <w:sz w:val="18"/>
              </w:rPr>
              <w:t>1 911 511</w:t>
            </w:r>
          </w:p>
        </w:tc>
        <w:tc>
          <w:tcPr>
            <w:tcW w:w="502" w:type="pct"/>
            <w:tcBorders>
              <w:top w:val="single" w:sz="12" w:space="0" w:color="auto"/>
              <w:bottom w:val="single" w:sz="4" w:space="0" w:color="auto"/>
            </w:tcBorders>
            <w:shd w:val="clear" w:color="auto" w:fill="auto"/>
            <w:vAlign w:val="bottom"/>
          </w:tcPr>
          <w:p w:rsidR="00706545" w:rsidRPr="00917523" w:rsidRDefault="00706545" w:rsidP="00DE0C47">
            <w:pPr>
              <w:keepNext/>
              <w:suppressAutoHyphens w:val="0"/>
              <w:spacing w:before="80" w:after="80" w:line="200" w:lineRule="exact"/>
              <w:jc w:val="right"/>
              <w:rPr>
                <w:b/>
                <w:sz w:val="18"/>
              </w:rPr>
            </w:pPr>
            <w:r w:rsidRPr="00917523">
              <w:rPr>
                <w:b/>
                <w:sz w:val="18"/>
              </w:rPr>
              <w:t>4 124 256</w:t>
            </w:r>
          </w:p>
        </w:tc>
        <w:tc>
          <w:tcPr>
            <w:tcW w:w="502" w:type="pct"/>
            <w:tcBorders>
              <w:top w:val="single" w:sz="12" w:space="0" w:color="auto"/>
              <w:bottom w:val="single" w:sz="4" w:space="0" w:color="auto"/>
            </w:tcBorders>
            <w:shd w:val="clear" w:color="auto" w:fill="auto"/>
            <w:vAlign w:val="bottom"/>
          </w:tcPr>
          <w:p w:rsidR="00706545" w:rsidRPr="00917523" w:rsidRDefault="00706545" w:rsidP="00DE0C47">
            <w:pPr>
              <w:keepNext/>
              <w:suppressAutoHyphens w:val="0"/>
              <w:spacing w:before="80" w:after="80" w:line="200" w:lineRule="exact"/>
              <w:jc w:val="right"/>
              <w:rPr>
                <w:b/>
                <w:sz w:val="18"/>
              </w:rPr>
            </w:pPr>
            <w:r w:rsidRPr="00917523">
              <w:rPr>
                <w:b/>
                <w:sz w:val="18"/>
              </w:rPr>
              <w:t>2 050 913</w:t>
            </w:r>
          </w:p>
        </w:tc>
        <w:tc>
          <w:tcPr>
            <w:tcW w:w="503" w:type="pct"/>
            <w:tcBorders>
              <w:top w:val="single" w:sz="12" w:space="0" w:color="auto"/>
              <w:bottom w:val="single" w:sz="4" w:space="0" w:color="auto"/>
            </w:tcBorders>
            <w:shd w:val="clear" w:color="auto" w:fill="auto"/>
            <w:vAlign w:val="bottom"/>
          </w:tcPr>
          <w:p w:rsidR="00706545" w:rsidRPr="00917523" w:rsidRDefault="00706545" w:rsidP="00DE0C47">
            <w:pPr>
              <w:keepNext/>
              <w:suppressAutoHyphens w:val="0"/>
              <w:spacing w:before="80" w:after="80" w:line="200" w:lineRule="exact"/>
              <w:jc w:val="right"/>
              <w:rPr>
                <w:b/>
                <w:sz w:val="18"/>
              </w:rPr>
            </w:pPr>
            <w:r w:rsidRPr="00917523">
              <w:rPr>
                <w:b/>
                <w:sz w:val="18"/>
              </w:rPr>
              <w:t>2 073 343</w:t>
            </w:r>
          </w:p>
        </w:tc>
        <w:tc>
          <w:tcPr>
            <w:tcW w:w="499" w:type="pct"/>
            <w:tcBorders>
              <w:top w:val="single" w:sz="12" w:space="0" w:color="auto"/>
              <w:bottom w:val="single" w:sz="4" w:space="0" w:color="auto"/>
            </w:tcBorders>
            <w:shd w:val="clear" w:color="auto" w:fill="auto"/>
            <w:vAlign w:val="bottom"/>
          </w:tcPr>
          <w:p w:rsidR="00706545" w:rsidRPr="00917523" w:rsidRDefault="00706545" w:rsidP="00DE0C47">
            <w:pPr>
              <w:keepNext/>
              <w:suppressAutoHyphens w:val="0"/>
              <w:spacing w:before="80" w:after="80" w:line="200" w:lineRule="exact"/>
              <w:jc w:val="right"/>
              <w:rPr>
                <w:b/>
                <w:sz w:val="18"/>
              </w:rPr>
            </w:pPr>
            <w:r w:rsidRPr="00917523">
              <w:rPr>
                <w:b/>
                <w:sz w:val="18"/>
              </w:rPr>
              <w:t>4 377 033</w:t>
            </w:r>
          </w:p>
        </w:tc>
        <w:tc>
          <w:tcPr>
            <w:tcW w:w="499" w:type="pct"/>
            <w:tcBorders>
              <w:top w:val="single" w:sz="12" w:space="0" w:color="auto"/>
              <w:bottom w:val="single" w:sz="4" w:space="0" w:color="auto"/>
            </w:tcBorders>
            <w:shd w:val="clear" w:color="auto" w:fill="auto"/>
            <w:vAlign w:val="bottom"/>
          </w:tcPr>
          <w:p w:rsidR="00706545" w:rsidRPr="00917523" w:rsidRDefault="00706545" w:rsidP="00DE0C47">
            <w:pPr>
              <w:keepNext/>
              <w:suppressAutoHyphens w:val="0"/>
              <w:spacing w:before="80" w:after="80" w:line="200" w:lineRule="exact"/>
              <w:jc w:val="right"/>
              <w:rPr>
                <w:b/>
                <w:sz w:val="18"/>
              </w:rPr>
            </w:pPr>
            <w:r w:rsidRPr="00917523">
              <w:rPr>
                <w:b/>
                <w:sz w:val="18"/>
              </w:rPr>
              <w:t>2 183 795</w:t>
            </w:r>
          </w:p>
        </w:tc>
        <w:tc>
          <w:tcPr>
            <w:tcW w:w="498" w:type="pct"/>
            <w:tcBorders>
              <w:top w:val="single" w:sz="12" w:space="0" w:color="auto"/>
              <w:bottom w:val="single" w:sz="4" w:space="0" w:color="auto"/>
            </w:tcBorders>
            <w:shd w:val="clear" w:color="auto" w:fill="auto"/>
            <w:vAlign w:val="bottom"/>
          </w:tcPr>
          <w:p w:rsidR="00706545" w:rsidRPr="00917523" w:rsidRDefault="00706545" w:rsidP="00DE0C47">
            <w:pPr>
              <w:keepNext/>
              <w:suppressAutoHyphens w:val="0"/>
              <w:spacing w:before="80" w:after="80" w:line="200" w:lineRule="exact"/>
              <w:jc w:val="right"/>
              <w:rPr>
                <w:b/>
                <w:sz w:val="18"/>
              </w:rPr>
            </w:pPr>
            <w:r w:rsidRPr="00917523">
              <w:rPr>
                <w:b/>
                <w:sz w:val="18"/>
              </w:rPr>
              <w:t>219 328</w:t>
            </w:r>
          </w:p>
        </w:tc>
      </w:tr>
      <w:tr w:rsidR="00706545" w:rsidRPr="00917523" w:rsidTr="001565AC">
        <w:tc>
          <w:tcPr>
            <w:tcW w:w="500" w:type="pct"/>
            <w:tcBorders>
              <w:top w:val="single" w:sz="4" w:space="0" w:color="auto"/>
            </w:tcBorders>
            <w:shd w:val="clear" w:color="auto" w:fill="auto"/>
            <w:vAlign w:val="bottom"/>
          </w:tcPr>
          <w:p w:rsidR="00706545" w:rsidRPr="00917523" w:rsidRDefault="00706545" w:rsidP="00DE0C47">
            <w:pPr>
              <w:keepNext/>
              <w:suppressAutoHyphens w:val="0"/>
              <w:spacing w:before="40" w:after="40" w:line="220" w:lineRule="exact"/>
              <w:ind w:right="113"/>
              <w:rPr>
                <w:sz w:val="18"/>
              </w:rPr>
            </w:pPr>
            <w:r w:rsidRPr="00917523">
              <w:rPr>
                <w:sz w:val="18"/>
              </w:rPr>
              <w:t>0</w:t>
            </w:r>
            <w:r>
              <w:rPr>
                <w:sz w:val="18"/>
              </w:rPr>
              <w:t>-</w:t>
            </w:r>
            <w:r w:rsidRPr="00917523">
              <w:rPr>
                <w:sz w:val="18"/>
              </w:rPr>
              <w:t>4</w:t>
            </w:r>
          </w:p>
        </w:tc>
        <w:tc>
          <w:tcPr>
            <w:tcW w:w="499" w:type="pct"/>
            <w:tcBorders>
              <w:top w:val="single" w:sz="4" w:space="0" w:color="auto"/>
            </w:tcBorders>
            <w:shd w:val="clear" w:color="auto" w:fill="auto"/>
            <w:vAlign w:val="bottom"/>
          </w:tcPr>
          <w:p w:rsidR="00706545" w:rsidRPr="00917523" w:rsidRDefault="00706545" w:rsidP="00DE0C47">
            <w:pPr>
              <w:keepNext/>
              <w:suppressAutoHyphens w:val="0"/>
              <w:spacing w:before="40" w:after="40" w:line="220" w:lineRule="exact"/>
              <w:jc w:val="right"/>
              <w:rPr>
                <w:b/>
                <w:sz w:val="18"/>
              </w:rPr>
            </w:pPr>
            <w:r w:rsidRPr="00917523">
              <w:rPr>
                <w:b/>
                <w:sz w:val="18"/>
              </w:rPr>
              <w:t>405 505</w:t>
            </w:r>
          </w:p>
        </w:tc>
        <w:tc>
          <w:tcPr>
            <w:tcW w:w="499" w:type="pct"/>
            <w:tcBorders>
              <w:top w:val="single" w:sz="4" w:space="0" w:color="auto"/>
            </w:tcBorders>
            <w:shd w:val="clear" w:color="auto" w:fill="auto"/>
            <w:vAlign w:val="bottom"/>
          </w:tcPr>
          <w:p w:rsidR="00706545" w:rsidRPr="00917523" w:rsidRDefault="00706545" w:rsidP="00DE0C47">
            <w:pPr>
              <w:keepNext/>
              <w:suppressAutoHyphens w:val="0"/>
              <w:spacing w:before="40" w:after="40" w:line="220" w:lineRule="exact"/>
              <w:jc w:val="right"/>
              <w:rPr>
                <w:sz w:val="18"/>
              </w:rPr>
            </w:pPr>
            <w:r w:rsidRPr="00917523">
              <w:rPr>
                <w:sz w:val="18"/>
              </w:rPr>
              <w:t>207 129</w:t>
            </w:r>
          </w:p>
        </w:tc>
        <w:tc>
          <w:tcPr>
            <w:tcW w:w="499" w:type="pct"/>
            <w:tcBorders>
              <w:top w:val="single" w:sz="4" w:space="0" w:color="auto"/>
            </w:tcBorders>
            <w:shd w:val="clear" w:color="auto" w:fill="auto"/>
            <w:vAlign w:val="bottom"/>
          </w:tcPr>
          <w:p w:rsidR="00706545" w:rsidRPr="00917523" w:rsidRDefault="00706545" w:rsidP="00DE0C47">
            <w:pPr>
              <w:keepNext/>
              <w:suppressAutoHyphens w:val="0"/>
              <w:spacing w:before="40" w:after="40" w:line="220" w:lineRule="exact"/>
              <w:jc w:val="right"/>
              <w:rPr>
                <w:sz w:val="18"/>
              </w:rPr>
            </w:pPr>
            <w:r w:rsidRPr="00917523">
              <w:rPr>
                <w:sz w:val="18"/>
              </w:rPr>
              <w:t>198 376</w:t>
            </w:r>
          </w:p>
        </w:tc>
        <w:tc>
          <w:tcPr>
            <w:tcW w:w="502" w:type="pct"/>
            <w:tcBorders>
              <w:top w:val="single" w:sz="4" w:space="0" w:color="auto"/>
            </w:tcBorders>
            <w:shd w:val="clear" w:color="auto" w:fill="auto"/>
            <w:vAlign w:val="bottom"/>
          </w:tcPr>
          <w:p w:rsidR="00706545" w:rsidRPr="00917523" w:rsidRDefault="00706545" w:rsidP="00DE0C47">
            <w:pPr>
              <w:keepNext/>
              <w:suppressAutoHyphens w:val="0"/>
              <w:spacing w:before="40" w:after="40" w:line="220" w:lineRule="exact"/>
              <w:jc w:val="right"/>
              <w:rPr>
                <w:b/>
                <w:sz w:val="18"/>
              </w:rPr>
            </w:pPr>
            <w:r w:rsidRPr="00917523">
              <w:rPr>
                <w:b/>
                <w:sz w:val="18"/>
              </w:rPr>
              <w:t>365 332</w:t>
            </w:r>
          </w:p>
        </w:tc>
        <w:tc>
          <w:tcPr>
            <w:tcW w:w="502" w:type="pct"/>
            <w:tcBorders>
              <w:top w:val="single" w:sz="4" w:space="0" w:color="auto"/>
            </w:tcBorders>
            <w:shd w:val="clear" w:color="auto" w:fill="auto"/>
            <w:vAlign w:val="bottom"/>
          </w:tcPr>
          <w:p w:rsidR="00706545" w:rsidRPr="00917523" w:rsidRDefault="00706545" w:rsidP="00DE0C47">
            <w:pPr>
              <w:keepNext/>
              <w:suppressAutoHyphens w:val="0"/>
              <w:spacing w:before="40" w:after="40" w:line="220" w:lineRule="exact"/>
              <w:jc w:val="right"/>
              <w:rPr>
                <w:sz w:val="18"/>
              </w:rPr>
            </w:pPr>
            <w:r w:rsidRPr="00917523">
              <w:rPr>
                <w:sz w:val="18"/>
              </w:rPr>
              <w:t>186 494</w:t>
            </w:r>
          </w:p>
        </w:tc>
        <w:tc>
          <w:tcPr>
            <w:tcW w:w="503" w:type="pct"/>
            <w:tcBorders>
              <w:top w:val="single" w:sz="4" w:space="0" w:color="auto"/>
            </w:tcBorders>
            <w:shd w:val="clear" w:color="auto" w:fill="auto"/>
            <w:vAlign w:val="bottom"/>
          </w:tcPr>
          <w:p w:rsidR="00706545" w:rsidRPr="00917523" w:rsidRDefault="00706545" w:rsidP="00DE0C47">
            <w:pPr>
              <w:keepNext/>
              <w:suppressAutoHyphens w:val="0"/>
              <w:spacing w:before="40" w:after="40" w:line="220" w:lineRule="exact"/>
              <w:jc w:val="right"/>
              <w:rPr>
                <w:sz w:val="18"/>
              </w:rPr>
            </w:pPr>
            <w:r w:rsidRPr="00917523">
              <w:rPr>
                <w:sz w:val="18"/>
              </w:rPr>
              <w:t>178 838</w:t>
            </w:r>
          </w:p>
        </w:tc>
        <w:tc>
          <w:tcPr>
            <w:tcW w:w="499" w:type="pct"/>
            <w:tcBorders>
              <w:top w:val="single" w:sz="4" w:space="0" w:color="auto"/>
            </w:tcBorders>
            <w:shd w:val="clear" w:color="auto" w:fill="auto"/>
            <w:vAlign w:val="bottom"/>
          </w:tcPr>
          <w:p w:rsidR="00706545" w:rsidRPr="00917523" w:rsidRDefault="00706545" w:rsidP="00DE0C47">
            <w:pPr>
              <w:keepNext/>
              <w:suppressAutoHyphens w:val="0"/>
              <w:spacing w:before="40" w:after="40" w:line="220" w:lineRule="exact"/>
              <w:jc w:val="right"/>
              <w:rPr>
                <w:b/>
                <w:sz w:val="18"/>
              </w:rPr>
            </w:pPr>
            <w:r w:rsidRPr="00917523">
              <w:rPr>
                <w:b/>
                <w:sz w:val="18"/>
              </w:rPr>
              <w:t>332 422</w:t>
            </w:r>
          </w:p>
        </w:tc>
        <w:tc>
          <w:tcPr>
            <w:tcW w:w="499" w:type="pct"/>
            <w:tcBorders>
              <w:top w:val="single" w:sz="4" w:space="0" w:color="auto"/>
            </w:tcBorders>
            <w:shd w:val="clear" w:color="auto" w:fill="auto"/>
            <w:vAlign w:val="bottom"/>
          </w:tcPr>
          <w:p w:rsidR="00706545" w:rsidRPr="00917523" w:rsidRDefault="00706545" w:rsidP="00DE0C47">
            <w:pPr>
              <w:keepNext/>
              <w:suppressAutoHyphens w:val="0"/>
              <w:spacing w:before="40" w:after="40" w:line="220" w:lineRule="exact"/>
              <w:jc w:val="right"/>
              <w:rPr>
                <w:sz w:val="18"/>
              </w:rPr>
            </w:pPr>
            <w:r w:rsidRPr="00917523">
              <w:rPr>
                <w:sz w:val="18"/>
              </w:rPr>
              <w:t>170 535</w:t>
            </w:r>
          </w:p>
        </w:tc>
        <w:tc>
          <w:tcPr>
            <w:tcW w:w="498" w:type="pct"/>
            <w:tcBorders>
              <w:top w:val="single" w:sz="4" w:space="0" w:color="auto"/>
            </w:tcBorders>
            <w:shd w:val="clear" w:color="auto" w:fill="auto"/>
            <w:vAlign w:val="bottom"/>
          </w:tcPr>
          <w:p w:rsidR="00706545" w:rsidRPr="00917523" w:rsidRDefault="00706545" w:rsidP="00DE0C47">
            <w:pPr>
              <w:keepNext/>
              <w:suppressAutoHyphens w:val="0"/>
              <w:spacing w:before="40" w:after="40" w:line="220" w:lineRule="exact"/>
              <w:jc w:val="right"/>
              <w:rPr>
                <w:sz w:val="18"/>
              </w:rPr>
            </w:pPr>
            <w:r w:rsidRPr="00917523">
              <w:rPr>
                <w:sz w:val="18"/>
              </w:rPr>
              <w:t>161 887</w:t>
            </w:r>
          </w:p>
        </w:tc>
      </w:tr>
      <w:tr w:rsidR="00706545" w:rsidRPr="00917523" w:rsidTr="001565AC">
        <w:tc>
          <w:tcPr>
            <w:tcW w:w="500" w:type="pct"/>
            <w:shd w:val="clear" w:color="auto" w:fill="auto"/>
            <w:vAlign w:val="bottom"/>
          </w:tcPr>
          <w:p w:rsidR="00706545" w:rsidRPr="00917523" w:rsidRDefault="00706545" w:rsidP="00DE0C47">
            <w:pPr>
              <w:keepNext/>
              <w:suppressAutoHyphens w:val="0"/>
              <w:spacing w:before="40" w:after="40" w:line="220" w:lineRule="exact"/>
              <w:ind w:right="113"/>
              <w:rPr>
                <w:sz w:val="18"/>
              </w:rPr>
            </w:pPr>
            <w:r w:rsidRPr="00917523">
              <w:rPr>
                <w:sz w:val="18"/>
              </w:rPr>
              <w:t>5</w:t>
            </w:r>
            <w:r>
              <w:rPr>
                <w:sz w:val="18"/>
              </w:rPr>
              <w:t>-</w:t>
            </w:r>
            <w:r w:rsidRPr="00917523">
              <w:rPr>
                <w:sz w:val="18"/>
              </w:rPr>
              <w:t>9</w:t>
            </w:r>
          </w:p>
        </w:tc>
        <w:tc>
          <w:tcPr>
            <w:tcW w:w="499" w:type="pct"/>
            <w:shd w:val="clear" w:color="auto" w:fill="auto"/>
            <w:vAlign w:val="bottom"/>
          </w:tcPr>
          <w:p w:rsidR="00706545" w:rsidRPr="00917523" w:rsidRDefault="00706545" w:rsidP="00DE0C47">
            <w:pPr>
              <w:keepNext/>
              <w:suppressAutoHyphens w:val="0"/>
              <w:spacing w:before="40" w:after="40" w:line="220" w:lineRule="exact"/>
              <w:jc w:val="right"/>
              <w:rPr>
                <w:b/>
                <w:sz w:val="18"/>
              </w:rPr>
            </w:pPr>
            <w:r w:rsidRPr="00917523">
              <w:rPr>
                <w:b/>
                <w:sz w:val="18"/>
              </w:rPr>
              <w:t>442 665</w:t>
            </w:r>
          </w:p>
        </w:tc>
        <w:tc>
          <w:tcPr>
            <w:tcW w:w="499" w:type="pct"/>
            <w:shd w:val="clear" w:color="auto" w:fill="auto"/>
            <w:vAlign w:val="bottom"/>
          </w:tcPr>
          <w:p w:rsidR="00706545" w:rsidRPr="00917523" w:rsidRDefault="00706545" w:rsidP="00DE0C47">
            <w:pPr>
              <w:keepNext/>
              <w:suppressAutoHyphens w:val="0"/>
              <w:spacing w:before="40" w:after="40" w:line="220" w:lineRule="exact"/>
              <w:jc w:val="right"/>
              <w:rPr>
                <w:sz w:val="18"/>
              </w:rPr>
            </w:pPr>
            <w:r w:rsidRPr="00917523">
              <w:rPr>
                <w:sz w:val="18"/>
              </w:rPr>
              <w:t>225 726</w:t>
            </w:r>
          </w:p>
        </w:tc>
        <w:tc>
          <w:tcPr>
            <w:tcW w:w="499" w:type="pct"/>
            <w:shd w:val="clear" w:color="auto" w:fill="auto"/>
            <w:vAlign w:val="bottom"/>
          </w:tcPr>
          <w:p w:rsidR="00706545" w:rsidRPr="00917523" w:rsidRDefault="00706545" w:rsidP="00DE0C47">
            <w:pPr>
              <w:keepNext/>
              <w:suppressAutoHyphens w:val="0"/>
              <w:spacing w:before="40" w:after="40" w:line="220" w:lineRule="exact"/>
              <w:jc w:val="right"/>
              <w:rPr>
                <w:sz w:val="18"/>
              </w:rPr>
            </w:pPr>
            <w:r w:rsidRPr="00917523">
              <w:rPr>
                <w:sz w:val="18"/>
              </w:rPr>
              <w:t>216 939</w:t>
            </w:r>
          </w:p>
        </w:tc>
        <w:tc>
          <w:tcPr>
            <w:tcW w:w="502" w:type="pct"/>
            <w:shd w:val="clear" w:color="auto" w:fill="auto"/>
            <w:vAlign w:val="bottom"/>
          </w:tcPr>
          <w:p w:rsidR="00706545" w:rsidRPr="00917523" w:rsidRDefault="00706545" w:rsidP="00DE0C47">
            <w:pPr>
              <w:keepNext/>
              <w:suppressAutoHyphens w:val="0"/>
              <w:spacing w:before="40" w:after="40" w:line="220" w:lineRule="exact"/>
              <w:jc w:val="right"/>
              <w:rPr>
                <w:b/>
                <w:sz w:val="18"/>
              </w:rPr>
            </w:pPr>
            <w:r w:rsidRPr="00917523">
              <w:rPr>
                <w:b/>
                <w:sz w:val="18"/>
              </w:rPr>
              <w:t>375 765</w:t>
            </w:r>
          </w:p>
        </w:tc>
        <w:tc>
          <w:tcPr>
            <w:tcW w:w="502" w:type="pct"/>
            <w:shd w:val="clear" w:color="auto" w:fill="auto"/>
            <w:vAlign w:val="bottom"/>
          </w:tcPr>
          <w:p w:rsidR="00706545" w:rsidRPr="00917523" w:rsidRDefault="00706545" w:rsidP="00DE0C47">
            <w:pPr>
              <w:keepNext/>
              <w:suppressAutoHyphens w:val="0"/>
              <w:spacing w:before="40" w:after="40" w:line="220" w:lineRule="exact"/>
              <w:jc w:val="right"/>
              <w:rPr>
                <w:sz w:val="18"/>
              </w:rPr>
            </w:pPr>
            <w:r w:rsidRPr="00917523">
              <w:rPr>
                <w:sz w:val="18"/>
              </w:rPr>
              <w:t>192 284</w:t>
            </w:r>
          </w:p>
        </w:tc>
        <w:tc>
          <w:tcPr>
            <w:tcW w:w="503" w:type="pct"/>
            <w:shd w:val="clear" w:color="auto" w:fill="auto"/>
            <w:vAlign w:val="bottom"/>
          </w:tcPr>
          <w:p w:rsidR="00706545" w:rsidRPr="00917523" w:rsidRDefault="00706545" w:rsidP="00DE0C47">
            <w:pPr>
              <w:keepNext/>
              <w:suppressAutoHyphens w:val="0"/>
              <w:spacing w:before="40" w:after="40" w:line="220" w:lineRule="exact"/>
              <w:jc w:val="right"/>
              <w:rPr>
                <w:sz w:val="18"/>
              </w:rPr>
            </w:pPr>
            <w:r w:rsidRPr="00917523">
              <w:rPr>
                <w:sz w:val="18"/>
              </w:rPr>
              <w:t>183 481</w:t>
            </w:r>
          </w:p>
        </w:tc>
        <w:tc>
          <w:tcPr>
            <w:tcW w:w="499" w:type="pct"/>
            <w:shd w:val="clear" w:color="auto" w:fill="auto"/>
            <w:vAlign w:val="bottom"/>
          </w:tcPr>
          <w:p w:rsidR="00706545" w:rsidRPr="00917523" w:rsidRDefault="00706545" w:rsidP="00DE0C47">
            <w:pPr>
              <w:keepNext/>
              <w:suppressAutoHyphens w:val="0"/>
              <w:spacing w:before="40" w:after="40" w:line="220" w:lineRule="exact"/>
              <w:jc w:val="right"/>
              <w:rPr>
                <w:b/>
                <w:sz w:val="18"/>
              </w:rPr>
            </w:pPr>
            <w:r w:rsidRPr="00917523">
              <w:rPr>
                <w:b/>
                <w:sz w:val="18"/>
              </w:rPr>
              <w:t>347 379</w:t>
            </w:r>
          </w:p>
        </w:tc>
        <w:tc>
          <w:tcPr>
            <w:tcW w:w="499" w:type="pct"/>
            <w:shd w:val="clear" w:color="auto" w:fill="auto"/>
            <w:vAlign w:val="bottom"/>
          </w:tcPr>
          <w:p w:rsidR="00706545" w:rsidRPr="00917523" w:rsidRDefault="00706545" w:rsidP="00DE0C47">
            <w:pPr>
              <w:keepNext/>
              <w:suppressAutoHyphens w:val="0"/>
              <w:spacing w:before="40" w:after="40" w:line="220" w:lineRule="exact"/>
              <w:jc w:val="right"/>
              <w:rPr>
                <w:sz w:val="18"/>
              </w:rPr>
            </w:pPr>
            <w:r w:rsidRPr="00917523">
              <w:rPr>
                <w:sz w:val="18"/>
              </w:rPr>
              <w:t>177 988</w:t>
            </w:r>
          </w:p>
        </w:tc>
        <w:tc>
          <w:tcPr>
            <w:tcW w:w="498" w:type="pct"/>
            <w:shd w:val="clear" w:color="auto" w:fill="auto"/>
            <w:vAlign w:val="bottom"/>
          </w:tcPr>
          <w:p w:rsidR="00706545" w:rsidRPr="00917523" w:rsidRDefault="00706545" w:rsidP="00DE0C47">
            <w:pPr>
              <w:keepNext/>
              <w:suppressAutoHyphens w:val="0"/>
              <w:spacing w:before="40" w:after="40" w:line="220" w:lineRule="exact"/>
              <w:jc w:val="right"/>
              <w:rPr>
                <w:sz w:val="18"/>
              </w:rPr>
            </w:pPr>
            <w:r w:rsidRPr="00917523">
              <w:rPr>
                <w:sz w:val="18"/>
              </w:rPr>
              <w:t>169 391</w:t>
            </w:r>
          </w:p>
        </w:tc>
      </w:tr>
      <w:tr w:rsidR="00706545" w:rsidRPr="00917523" w:rsidTr="001565AC">
        <w:tc>
          <w:tcPr>
            <w:tcW w:w="500" w:type="pct"/>
            <w:shd w:val="clear" w:color="auto" w:fill="auto"/>
            <w:vAlign w:val="bottom"/>
          </w:tcPr>
          <w:p w:rsidR="00706545" w:rsidRPr="00917523" w:rsidRDefault="00706545" w:rsidP="001565AC">
            <w:pPr>
              <w:suppressAutoHyphens w:val="0"/>
              <w:spacing w:before="40" w:after="40" w:line="220" w:lineRule="exact"/>
              <w:ind w:right="113"/>
              <w:rPr>
                <w:sz w:val="18"/>
              </w:rPr>
            </w:pPr>
            <w:r w:rsidRPr="00917523">
              <w:rPr>
                <w:sz w:val="18"/>
              </w:rPr>
              <w:t>10</w:t>
            </w:r>
            <w:r>
              <w:rPr>
                <w:sz w:val="18"/>
              </w:rPr>
              <w:t>-</w:t>
            </w:r>
            <w:r w:rsidRPr="00917523">
              <w:rPr>
                <w:sz w:val="18"/>
              </w:rPr>
              <w:t>14</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442 199</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225 066</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217 133</w:t>
            </w:r>
          </w:p>
        </w:tc>
        <w:tc>
          <w:tcPr>
            <w:tcW w:w="502"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393 024</w:t>
            </w:r>
          </w:p>
        </w:tc>
        <w:tc>
          <w:tcPr>
            <w:tcW w:w="502"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201 313</w:t>
            </w:r>
          </w:p>
        </w:tc>
        <w:tc>
          <w:tcPr>
            <w:tcW w:w="503"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191 711</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347 590</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177 932</w:t>
            </w:r>
          </w:p>
        </w:tc>
        <w:tc>
          <w:tcPr>
            <w:tcW w:w="498"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169 658</w:t>
            </w:r>
          </w:p>
        </w:tc>
      </w:tr>
      <w:tr w:rsidR="00706545" w:rsidRPr="00917523" w:rsidTr="001565AC">
        <w:tc>
          <w:tcPr>
            <w:tcW w:w="500" w:type="pct"/>
            <w:shd w:val="clear" w:color="auto" w:fill="auto"/>
            <w:vAlign w:val="bottom"/>
          </w:tcPr>
          <w:p w:rsidR="00706545" w:rsidRPr="00917523" w:rsidRDefault="00706545" w:rsidP="001565AC">
            <w:pPr>
              <w:suppressAutoHyphens w:val="0"/>
              <w:spacing w:before="40" w:after="40" w:line="220" w:lineRule="exact"/>
              <w:ind w:right="113"/>
              <w:rPr>
                <w:sz w:val="18"/>
              </w:rPr>
            </w:pPr>
            <w:r w:rsidRPr="00917523">
              <w:rPr>
                <w:sz w:val="18"/>
              </w:rPr>
              <w:t>15</w:t>
            </w:r>
            <w:r>
              <w:rPr>
                <w:sz w:val="18"/>
              </w:rPr>
              <w:t>-</w:t>
            </w:r>
            <w:r w:rsidRPr="00917523">
              <w:rPr>
                <w:sz w:val="18"/>
              </w:rPr>
              <w:t>19</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411 387</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209 215</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202 172</w:t>
            </w:r>
          </w:p>
        </w:tc>
        <w:tc>
          <w:tcPr>
            <w:tcW w:w="502"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433 304</w:t>
            </w:r>
          </w:p>
        </w:tc>
        <w:tc>
          <w:tcPr>
            <w:tcW w:w="502"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222 406</w:t>
            </w:r>
          </w:p>
        </w:tc>
        <w:tc>
          <w:tcPr>
            <w:tcW w:w="503"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210 898</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360 008</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185 292</w:t>
            </w:r>
          </w:p>
        </w:tc>
        <w:tc>
          <w:tcPr>
            <w:tcW w:w="498"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174 716</w:t>
            </w:r>
          </w:p>
        </w:tc>
      </w:tr>
      <w:tr w:rsidR="00706545" w:rsidRPr="00917523" w:rsidTr="001565AC">
        <w:tc>
          <w:tcPr>
            <w:tcW w:w="500" w:type="pct"/>
            <w:shd w:val="clear" w:color="auto" w:fill="auto"/>
            <w:vAlign w:val="bottom"/>
          </w:tcPr>
          <w:p w:rsidR="00706545" w:rsidRPr="00917523" w:rsidRDefault="00706545" w:rsidP="001565AC">
            <w:pPr>
              <w:suppressAutoHyphens w:val="0"/>
              <w:spacing w:before="40" w:after="40" w:line="220" w:lineRule="exact"/>
              <w:ind w:right="113"/>
              <w:rPr>
                <w:sz w:val="18"/>
              </w:rPr>
            </w:pPr>
            <w:r w:rsidRPr="00917523">
              <w:rPr>
                <w:sz w:val="18"/>
              </w:rPr>
              <w:t>20</w:t>
            </w:r>
            <w:r>
              <w:rPr>
                <w:sz w:val="18"/>
              </w:rPr>
              <w:t>-</w:t>
            </w:r>
            <w:r w:rsidRPr="00917523">
              <w:rPr>
                <w:sz w:val="18"/>
              </w:rPr>
              <w:t>24</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319 317</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162 073</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157 244</w:t>
            </w:r>
          </w:p>
        </w:tc>
        <w:tc>
          <w:tcPr>
            <w:tcW w:w="502"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404 751</w:t>
            </w:r>
          </w:p>
        </w:tc>
        <w:tc>
          <w:tcPr>
            <w:tcW w:w="502"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211 100</w:t>
            </w:r>
          </w:p>
        </w:tc>
        <w:tc>
          <w:tcPr>
            <w:tcW w:w="503"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193 651</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359 991</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188 724</w:t>
            </w:r>
          </w:p>
        </w:tc>
        <w:tc>
          <w:tcPr>
            <w:tcW w:w="498"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171 267</w:t>
            </w:r>
          </w:p>
        </w:tc>
      </w:tr>
      <w:tr w:rsidR="00706545" w:rsidRPr="00917523" w:rsidTr="001565AC">
        <w:tc>
          <w:tcPr>
            <w:tcW w:w="500" w:type="pct"/>
            <w:shd w:val="clear" w:color="auto" w:fill="auto"/>
            <w:vAlign w:val="bottom"/>
          </w:tcPr>
          <w:p w:rsidR="00706545" w:rsidRPr="00917523" w:rsidRDefault="00706545" w:rsidP="001565AC">
            <w:pPr>
              <w:suppressAutoHyphens w:val="0"/>
              <w:spacing w:before="40" w:after="40" w:line="220" w:lineRule="exact"/>
              <w:ind w:right="113"/>
              <w:rPr>
                <w:sz w:val="18"/>
              </w:rPr>
            </w:pPr>
            <w:r w:rsidRPr="00917523">
              <w:rPr>
                <w:sz w:val="18"/>
              </w:rPr>
              <w:t>25</w:t>
            </w:r>
            <w:r>
              <w:rPr>
                <w:sz w:val="18"/>
              </w:rPr>
              <w:t>-</w:t>
            </w:r>
            <w:r w:rsidRPr="00917523">
              <w:rPr>
                <w:sz w:val="18"/>
              </w:rPr>
              <w:t>29</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225 727</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109 724</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116 003</w:t>
            </w:r>
          </w:p>
        </w:tc>
        <w:tc>
          <w:tcPr>
            <w:tcW w:w="502"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357 773</w:t>
            </w:r>
          </w:p>
        </w:tc>
        <w:tc>
          <w:tcPr>
            <w:tcW w:w="502"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184 730</w:t>
            </w:r>
          </w:p>
        </w:tc>
        <w:tc>
          <w:tcPr>
            <w:tcW w:w="503"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173 043</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371 776</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194 041</w:t>
            </w:r>
          </w:p>
        </w:tc>
        <w:tc>
          <w:tcPr>
            <w:tcW w:w="498"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177 735</w:t>
            </w:r>
          </w:p>
        </w:tc>
      </w:tr>
      <w:tr w:rsidR="00706545" w:rsidRPr="00917523" w:rsidTr="001565AC">
        <w:tc>
          <w:tcPr>
            <w:tcW w:w="500" w:type="pct"/>
            <w:shd w:val="clear" w:color="auto" w:fill="auto"/>
            <w:vAlign w:val="bottom"/>
          </w:tcPr>
          <w:p w:rsidR="00706545" w:rsidRPr="00917523" w:rsidRDefault="00706545" w:rsidP="001565AC">
            <w:pPr>
              <w:suppressAutoHyphens w:val="0"/>
              <w:spacing w:before="40" w:after="40" w:line="220" w:lineRule="exact"/>
              <w:ind w:right="113"/>
              <w:rPr>
                <w:sz w:val="18"/>
              </w:rPr>
            </w:pPr>
            <w:r w:rsidRPr="00917523">
              <w:rPr>
                <w:sz w:val="18"/>
              </w:rPr>
              <w:t>30</w:t>
            </w:r>
            <w:r>
              <w:rPr>
                <w:sz w:val="18"/>
              </w:rPr>
              <w:t>-</w:t>
            </w:r>
            <w:r w:rsidRPr="00917523">
              <w:rPr>
                <w:sz w:val="18"/>
              </w:rPr>
              <w:t>34</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289 810</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140 952</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148 858</w:t>
            </w:r>
          </w:p>
        </w:tc>
        <w:tc>
          <w:tcPr>
            <w:tcW w:w="502"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294 502</w:t>
            </w:r>
          </w:p>
        </w:tc>
        <w:tc>
          <w:tcPr>
            <w:tcW w:w="502"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150 178</w:t>
            </w:r>
          </w:p>
        </w:tc>
        <w:tc>
          <w:tcPr>
            <w:tcW w:w="503"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144 324</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361 854</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186 643</w:t>
            </w:r>
          </w:p>
        </w:tc>
        <w:tc>
          <w:tcPr>
            <w:tcW w:w="498"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175 211</w:t>
            </w:r>
          </w:p>
        </w:tc>
      </w:tr>
      <w:tr w:rsidR="00706545" w:rsidRPr="00917523" w:rsidTr="001565AC">
        <w:tc>
          <w:tcPr>
            <w:tcW w:w="500" w:type="pct"/>
            <w:shd w:val="clear" w:color="auto" w:fill="auto"/>
            <w:vAlign w:val="bottom"/>
          </w:tcPr>
          <w:p w:rsidR="00706545" w:rsidRPr="00917523" w:rsidRDefault="00706545" w:rsidP="001565AC">
            <w:pPr>
              <w:suppressAutoHyphens w:val="0"/>
              <w:spacing w:before="40" w:after="40" w:line="220" w:lineRule="exact"/>
              <w:ind w:right="113"/>
              <w:rPr>
                <w:sz w:val="18"/>
              </w:rPr>
            </w:pPr>
            <w:r w:rsidRPr="00917523">
              <w:rPr>
                <w:sz w:val="18"/>
              </w:rPr>
              <w:t>35</w:t>
            </w:r>
            <w:r>
              <w:rPr>
                <w:sz w:val="18"/>
              </w:rPr>
              <w:t>-</w:t>
            </w:r>
            <w:r w:rsidRPr="00917523">
              <w:rPr>
                <w:sz w:val="18"/>
              </w:rPr>
              <w:t>39</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280 482</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139 035</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141 447</w:t>
            </w:r>
          </w:p>
        </w:tc>
        <w:tc>
          <w:tcPr>
            <w:tcW w:w="502"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216 718</w:t>
            </w:r>
          </w:p>
        </w:tc>
        <w:tc>
          <w:tcPr>
            <w:tcW w:w="502"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107 411</w:t>
            </w:r>
          </w:p>
        </w:tc>
        <w:tc>
          <w:tcPr>
            <w:tcW w:w="503"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109 307</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334 569</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172 024</w:t>
            </w:r>
          </w:p>
        </w:tc>
        <w:tc>
          <w:tcPr>
            <w:tcW w:w="498"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162 545</w:t>
            </w:r>
          </w:p>
        </w:tc>
      </w:tr>
      <w:tr w:rsidR="00706545" w:rsidRPr="00917523" w:rsidTr="001565AC">
        <w:tc>
          <w:tcPr>
            <w:tcW w:w="500" w:type="pct"/>
            <w:shd w:val="clear" w:color="auto" w:fill="auto"/>
            <w:vAlign w:val="bottom"/>
          </w:tcPr>
          <w:p w:rsidR="00706545" w:rsidRPr="00917523" w:rsidRDefault="00706545" w:rsidP="001565AC">
            <w:pPr>
              <w:suppressAutoHyphens w:val="0"/>
              <w:spacing w:before="40" w:after="40" w:line="220" w:lineRule="exact"/>
              <w:ind w:right="113"/>
              <w:rPr>
                <w:sz w:val="18"/>
              </w:rPr>
            </w:pPr>
            <w:r w:rsidRPr="00917523">
              <w:rPr>
                <w:sz w:val="18"/>
              </w:rPr>
              <w:t>40</w:t>
            </w:r>
            <w:r>
              <w:rPr>
                <w:sz w:val="18"/>
              </w:rPr>
              <w:t>-</w:t>
            </w:r>
            <w:r w:rsidRPr="00917523">
              <w:rPr>
                <w:sz w:val="18"/>
              </w:rPr>
              <w:t>44</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243 016</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118 781</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124 235</w:t>
            </w:r>
          </w:p>
        </w:tc>
        <w:tc>
          <w:tcPr>
            <w:tcW w:w="502"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280 137</w:t>
            </w:r>
          </w:p>
        </w:tc>
        <w:tc>
          <w:tcPr>
            <w:tcW w:w="502"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138 850</w:t>
            </w:r>
          </w:p>
        </w:tc>
        <w:tc>
          <w:tcPr>
            <w:tcW w:w="503"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141 287</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276 412</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139 433</w:t>
            </w:r>
          </w:p>
        </w:tc>
        <w:tc>
          <w:tcPr>
            <w:tcW w:w="498"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136 979</w:t>
            </w:r>
          </w:p>
        </w:tc>
      </w:tr>
      <w:tr w:rsidR="00706545" w:rsidRPr="00917523" w:rsidTr="001565AC">
        <w:tc>
          <w:tcPr>
            <w:tcW w:w="500" w:type="pct"/>
            <w:shd w:val="clear" w:color="auto" w:fill="auto"/>
            <w:vAlign w:val="bottom"/>
          </w:tcPr>
          <w:p w:rsidR="00706545" w:rsidRPr="00917523" w:rsidRDefault="00706545" w:rsidP="001565AC">
            <w:pPr>
              <w:suppressAutoHyphens w:val="0"/>
              <w:spacing w:before="40" w:after="40" w:line="220" w:lineRule="exact"/>
              <w:ind w:right="113"/>
              <w:rPr>
                <w:sz w:val="18"/>
              </w:rPr>
            </w:pPr>
            <w:r w:rsidRPr="00917523">
              <w:rPr>
                <w:sz w:val="18"/>
              </w:rPr>
              <w:t>45</w:t>
            </w:r>
            <w:r>
              <w:rPr>
                <w:sz w:val="18"/>
              </w:rPr>
              <w:t>-</w:t>
            </w:r>
            <w:r w:rsidRPr="00917523">
              <w:rPr>
                <w:sz w:val="18"/>
              </w:rPr>
              <w:t>49</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166 241</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70 017</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96 224</w:t>
            </w:r>
          </w:p>
        </w:tc>
        <w:tc>
          <w:tcPr>
            <w:tcW w:w="502"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267 657</w:t>
            </w:r>
          </w:p>
        </w:tc>
        <w:tc>
          <w:tcPr>
            <w:tcW w:w="502"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133 616</w:t>
            </w:r>
          </w:p>
        </w:tc>
        <w:tc>
          <w:tcPr>
            <w:tcW w:w="503"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134 041</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201 165</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98 993</w:t>
            </w:r>
          </w:p>
        </w:tc>
        <w:tc>
          <w:tcPr>
            <w:tcW w:w="498"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102 172</w:t>
            </w:r>
          </w:p>
        </w:tc>
      </w:tr>
      <w:tr w:rsidR="00706545" w:rsidRPr="00917523" w:rsidTr="001565AC">
        <w:tc>
          <w:tcPr>
            <w:tcW w:w="500" w:type="pct"/>
            <w:shd w:val="clear" w:color="auto" w:fill="auto"/>
            <w:vAlign w:val="bottom"/>
          </w:tcPr>
          <w:p w:rsidR="00706545" w:rsidRPr="00917523" w:rsidRDefault="00706545" w:rsidP="001565AC">
            <w:pPr>
              <w:suppressAutoHyphens w:val="0"/>
              <w:spacing w:before="40" w:after="40" w:line="220" w:lineRule="exact"/>
              <w:ind w:right="113"/>
              <w:rPr>
                <w:sz w:val="18"/>
              </w:rPr>
            </w:pPr>
            <w:r w:rsidRPr="00917523">
              <w:rPr>
                <w:sz w:val="18"/>
              </w:rPr>
              <w:t>50</w:t>
            </w:r>
            <w:r>
              <w:rPr>
                <w:sz w:val="18"/>
              </w:rPr>
              <w:t>-</w:t>
            </w:r>
            <w:r w:rsidRPr="00917523">
              <w:rPr>
                <w:sz w:val="18"/>
              </w:rPr>
              <w:t>54</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101 840</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41 069</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60 771</w:t>
            </w:r>
          </w:p>
        </w:tc>
        <w:tc>
          <w:tcPr>
            <w:tcW w:w="502"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230 515</w:t>
            </w:r>
          </w:p>
        </w:tc>
        <w:tc>
          <w:tcPr>
            <w:tcW w:w="502"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112 499</w:t>
            </w:r>
          </w:p>
        </w:tc>
        <w:tc>
          <w:tcPr>
            <w:tcW w:w="503"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118 016</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257 382</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125 380</w:t>
            </w:r>
          </w:p>
        </w:tc>
        <w:tc>
          <w:tcPr>
            <w:tcW w:w="498"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132 002</w:t>
            </w:r>
          </w:p>
        </w:tc>
      </w:tr>
      <w:tr w:rsidR="00706545" w:rsidRPr="00917523" w:rsidTr="001565AC">
        <w:tc>
          <w:tcPr>
            <w:tcW w:w="500" w:type="pct"/>
            <w:shd w:val="clear" w:color="auto" w:fill="auto"/>
            <w:vAlign w:val="bottom"/>
          </w:tcPr>
          <w:p w:rsidR="00706545" w:rsidRPr="00917523" w:rsidRDefault="00706545" w:rsidP="001565AC">
            <w:pPr>
              <w:suppressAutoHyphens w:val="0"/>
              <w:spacing w:before="40" w:after="40" w:line="220" w:lineRule="exact"/>
              <w:ind w:right="113"/>
              <w:rPr>
                <w:sz w:val="18"/>
              </w:rPr>
            </w:pPr>
            <w:r w:rsidRPr="00917523">
              <w:rPr>
                <w:sz w:val="18"/>
              </w:rPr>
              <w:t>55</w:t>
            </w:r>
            <w:r>
              <w:rPr>
                <w:sz w:val="18"/>
              </w:rPr>
              <w:t>-</w:t>
            </w:r>
            <w:r w:rsidRPr="00917523">
              <w:rPr>
                <w:sz w:val="18"/>
              </w:rPr>
              <w:t>59</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114 629</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48 828</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65 801</w:t>
            </w:r>
          </w:p>
        </w:tc>
        <w:tc>
          <w:tcPr>
            <w:tcW w:w="502"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157 374</w:t>
            </w:r>
          </w:p>
        </w:tc>
        <w:tc>
          <w:tcPr>
            <w:tcW w:w="502"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63 861</w:t>
            </w:r>
          </w:p>
        </w:tc>
        <w:tc>
          <w:tcPr>
            <w:tcW w:w="503"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90 513</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241 011</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116 919</w:t>
            </w:r>
          </w:p>
        </w:tc>
        <w:tc>
          <w:tcPr>
            <w:tcW w:w="498"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124 092</w:t>
            </w:r>
          </w:p>
        </w:tc>
      </w:tr>
      <w:tr w:rsidR="00706545" w:rsidRPr="00917523" w:rsidTr="001565AC">
        <w:tc>
          <w:tcPr>
            <w:tcW w:w="500" w:type="pct"/>
            <w:shd w:val="clear" w:color="auto" w:fill="auto"/>
            <w:vAlign w:val="bottom"/>
          </w:tcPr>
          <w:p w:rsidR="00706545" w:rsidRPr="00917523" w:rsidRDefault="00706545" w:rsidP="001565AC">
            <w:pPr>
              <w:suppressAutoHyphens w:val="0"/>
              <w:spacing w:before="40" w:after="40" w:line="220" w:lineRule="exact"/>
              <w:ind w:right="113"/>
              <w:rPr>
                <w:sz w:val="18"/>
              </w:rPr>
            </w:pPr>
            <w:r w:rsidRPr="00917523">
              <w:rPr>
                <w:sz w:val="18"/>
              </w:rPr>
              <w:t>60</w:t>
            </w:r>
            <w:r>
              <w:rPr>
                <w:sz w:val="18"/>
              </w:rPr>
              <w:t>-</w:t>
            </w:r>
            <w:r w:rsidRPr="00917523">
              <w:rPr>
                <w:sz w:val="18"/>
              </w:rPr>
              <w:t>64</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112 727</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53 087</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59 640</w:t>
            </w:r>
          </w:p>
        </w:tc>
        <w:tc>
          <w:tcPr>
            <w:tcW w:w="502"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90 131</w:t>
            </w:r>
          </w:p>
        </w:tc>
        <w:tc>
          <w:tcPr>
            <w:tcW w:w="502"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35 365</w:t>
            </w:r>
          </w:p>
        </w:tc>
        <w:tc>
          <w:tcPr>
            <w:tcW w:w="503"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54 766</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198 647</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92 924</w:t>
            </w:r>
          </w:p>
        </w:tc>
        <w:tc>
          <w:tcPr>
            <w:tcW w:w="498"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105 723</w:t>
            </w:r>
          </w:p>
        </w:tc>
      </w:tr>
      <w:tr w:rsidR="00706545" w:rsidRPr="00917523" w:rsidTr="001565AC">
        <w:tc>
          <w:tcPr>
            <w:tcW w:w="500" w:type="pct"/>
            <w:shd w:val="clear" w:color="auto" w:fill="auto"/>
            <w:vAlign w:val="bottom"/>
          </w:tcPr>
          <w:p w:rsidR="00706545" w:rsidRPr="00917523" w:rsidRDefault="00706545" w:rsidP="001565AC">
            <w:pPr>
              <w:suppressAutoHyphens w:val="0"/>
              <w:spacing w:before="40" w:after="40" w:line="220" w:lineRule="exact"/>
              <w:ind w:right="113"/>
              <w:rPr>
                <w:sz w:val="18"/>
              </w:rPr>
            </w:pPr>
            <w:r w:rsidRPr="00917523">
              <w:rPr>
                <w:sz w:val="18"/>
              </w:rPr>
              <w:t>65</w:t>
            </w:r>
            <w:r>
              <w:rPr>
                <w:sz w:val="18"/>
              </w:rPr>
              <w:t>-</w:t>
            </w:r>
            <w:r w:rsidRPr="00917523">
              <w:rPr>
                <w:sz w:val="18"/>
              </w:rPr>
              <w:t>69</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79 808</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37 590</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42 218</w:t>
            </w:r>
          </w:p>
        </w:tc>
        <w:tc>
          <w:tcPr>
            <w:tcW w:w="502"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92 274</w:t>
            </w:r>
          </w:p>
        </w:tc>
        <w:tc>
          <w:tcPr>
            <w:tcW w:w="502"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37 922</w:t>
            </w:r>
          </w:p>
        </w:tc>
        <w:tc>
          <w:tcPr>
            <w:tcW w:w="503"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54 325</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124 752</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48 102</w:t>
            </w:r>
          </w:p>
        </w:tc>
        <w:tc>
          <w:tcPr>
            <w:tcW w:w="498"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76 650</w:t>
            </w:r>
          </w:p>
        </w:tc>
      </w:tr>
      <w:tr w:rsidR="00706545" w:rsidRPr="00917523" w:rsidTr="001565AC">
        <w:tc>
          <w:tcPr>
            <w:tcW w:w="500" w:type="pct"/>
            <w:shd w:val="clear" w:color="auto" w:fill="auto"/>
            <w:vAlign w:val="bottom"/>
          </w:tcPr>
          <w:p w:rsidR="00706545" w:rsidRPr="00917523" w:rsidRDefault="00706545" w:rsidP="001565AC">
            <w:pPr>
              <w:suppressAutoHyphens w:val="0"/>
              <w:spacing w:before="40" w:after="40" w:line="220" w:lineRule="exact"/>
              <w:ind w:right="113"/>
              <w:rPr>
                <w:sz w:val="18"/>
              </w:rPr>
            </w:pPr>
            <w:r w:rsidRPr="00917523">
              <w:rPr>
                <w:sz w:val="18"/>
              </w:rPr>
              <w:t>70</w:t>
            </w:r>
            <w:r>
              <w:rPr>
                <w:sz w:val="18"/>
              </w:rPr>
              <w:t>-</w:t>
            </w:r>
            <w:r w:rsidRPr="00917523">
              <w:rPr>
                <w:sz w:val="18"/>
              </w:rPr>
              <w:t>74</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53 549</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23 136</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30 413</w:t>
            </w:r>
          </w:p>
        </w:tc>
        <w:tc>
          <w:tcPr>
            <w:tcW w:w="502"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77 597</w:t>
            </w:r>
          </w:p>
        </w:tc>
        <w:tc>
          <w:tcPr>
            <w:tcW w:w="502"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34 744</w:t>
            </w:r>
          </w:p>
        </w:tc>
        <w:tc>
          <w:tcPr>
            <w:tcW w:w="503"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42 853</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62 922</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22 893</w:t>
            </w:r>
          </w:p>
        </w:tc>
        <w:tc>
          <w:tcPr>
            <w:tcW w:w="498"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40 029</w:t>
            </w:r>
          </w:p>
        </w:tc>
      </w:tr>
      <w:tr w:rsidR="00706545" w:rsidRPr="00917523" w:rsidTr="001565AC">
        <w:tc>
          <w:tcPr>
            <w:tcW w:w="500" w:type="pct"/>
            <w:shd w:val="clear" w:color="auto" w:fill="auto"/>
            <w:vAlign w:val="bottom"/>
          </w:tcPr>
          <w:p w:rsidR="00706545" w:rsidRPr="00917523" w:rsidRDefault="00706545" w:rsidP="001565AC">
            <w:pPr>
              <w:suppressAutoHyphens w:val="0"/>
              <w:spacing w:before="40" w:after="40" w:line="220" w:lineRule="exact"/>
              <w:ind w:right="113"/>
              <w:rPr>
                <w:sz w:val="18"/>
              </w:rPr>
            </w:pPr>
            <w:r w:rsidRPr="00917523">
              <w:rPr>
                <w:sz w:val="18"/>
              </w:rPr>
              <w:t xml:space="preserve">75 </w:t>
            </w:r>
            <w:r>
              <w:rPr>
                <w:sz w:val="18"/>
              </w:rPr>
              <w:t>et plus</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42 986</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16 166</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26 820</w:t>
            </w:r>
          </w:p>
        </w:tc>
        <w:tc>
          <w:tcPr>
            <w:tcW w:w="502"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80 495</w:t>
            </w:r>
          </w:p>
        </w:tc>
        <w:tc>
          <w:tcPr>
            <w:tcW w:w="502"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33 300</w:t>
            </w:r>
          </w:p>
        </w:tc>
        <w:tc>
          <w:tcPr>
            <w:tcW w:w="503"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47 195</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96 691</w:t>
            </w:r>
          </w:p>
        </w:tc>
        <w:tc>
          <w:tcPr>
            <w:tcW w:w="499"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37 257</w:t>
            </w:r>
          </w:p>
        </w:tc>
        <w:tc>
          <w:tcPr>
            <w:tcW w:w="498" w:type="pct"/>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59 434</w:t>
            </w:r>
          </w:p>
        </w:tc>
      </w:tr>
      <w:tr w:rsidR="00706545" w:rsidRPr="00917523" w:rsidTr="001565AC">
        <w:tc>
          <w:tcPr>
            <w:tcW w:w="500" w:type="pct"/>
            <w:tcBorders>
              <w:bottom w:val="single" w:sz="12" w:space="0" w:color="auto"/>
            </w:tcBorders>
            <w:shd w:val="clear" w:color="auto" w:fill="auto"/>
            <w:vAlign w:val="bottom"/>
          </w:tcPr>
          <w:p w:rsidR="00706545" w:rsidRPr="00917523" w:rsidRDefault="00706545" w:rsidP="001565AC">
            <w:pPr>
              <w:suppressAutoHyphens w:val="0"/>
              <w:spacing w:before="40" w:after="40" w:line="220" w:lineRule="exact"/>
              <w:ind w:right="113"/>
              <w:rPr>
                <w:sz w:val="16"/>
                <w:szCs w:val="16"/>
              </w:rPr>
            </w:pPr>
            <w:r>
              <w:rPr>
                <w:sz w:val="16"/>
                <w:szCs w:val="16"/>
              </w:rPr>
              <w:t>Non connu</w:t>
            </w:r>
          </w:p>
        </w:tc>
        <w:tc>
          <w:tcPr>
            <w:tcW w:w="499" w:type="pct"/>
            <w:tcBorders>
              <w:bottom w:val="single" w:sz="12" w:space="0" w:color="auto"/>
            </w:tcBorders>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14 223</w:t>
            </w:r>
          </w:p>
        </w:tc>
        <w:tc>
          <w:tcPr>
            <w:tcW w:w="499" w:type="pct"/>
            <w:tcBorders>
              <w:bottom w:val="single" w:sz="12" w:space="0" w:color="auto"/>
            </w:tcBorders>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7 006</w:t>
            </w:r>
          </w:p>
        </w:tc>
        <w:tc>
          <w:tcPr>
            <w:tcW w:w="499" w:type="pct"/>
            <w:tcBorders>
              <w:bottom w:val="single" w:sz="12" w:space="0" w:color="auto"/>
            </w:tcBorders>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7 217</w:t>
            </w:r>
          </w:p>
        </w:tc>
        <w:tc>
          <w:tcPr>
            <w:tcW w:w="502" w:type="pct"/>
            <w:tcBorders>
              <w:bottom w:val="single" w:sz="12" w:space="0" w:color="auto"/>
            </w:tcBorders>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9 907</w:t>
            </w:r>
          </w:p>
        </w:tc>
        <w:tc>
          <w:tcPr>
            <w:tcW w:w="502" w:type="pct"/>
            <w:tcBorders>
              <w:bottom w:val="single" w:sz="12" w:space="0" w:color="auto"/>
            </w:tcBorders>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4 840</w:t>
            </w:r>
          </w:p>
        </w:tc>
        <w:tc>
          <w:tcPr>
            <w:tcW w:w="503" w:type="pct"/>
            <w:tcBorders>
              <w:bottom w:val="single" w:sz="12" w:space="0" w:color="auto"/>
            </w:tcBorders>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5 067</w:t>
            </w:r>
          </w:p>
        </w:tc>
        <w:tc>
          <w:tcPr>
            <w:tcW w:w="499" w:type="pct"/>
            <w:tcBorders>
              <w:bottom w:val="single" w:sz="12" w:space="0" w:color="auto"/>
            </w:tcBorders>
            <w:shd w:val="clear" w:color="auto" w:fill="auto"/>
            <w:vAlign w:val="bottom"/>
          </w:tcPr>
          <w:p w:rsidR="00706545" w:rsidRPr="00917523" w:rsidRDefault="00706545" w:rsidP="001565AC">
            <w:pPr>
              <w:suppressAutoHyphens w:val="0"/>
              <w:spacing w:before="40" w:after="40" w:line="220" w:lineRule="exact"/>
              <w:jc w:val="right"/>
              <w:rPr>
                <w:b/>
                <w:sz w:val="18"/>
              </w:rPr>
            </w:pPr>
            <w:r w:rsidRPr="00917523">
              <w:rPr>
                <w:b/>
                <w:sz w:val="18"/>
              </w:rPr>
              <w:t>102 462</w:t>
            </w:r>
          </w:p>
        </w:tc>
        <w:tc>
          <w:tcPr>
            <w:tcW w:w="499" w:type="pct"/>
            <w:tcBorders>
              <w:bottom w:val="single" w:sz="12" w:space="0" w:color="auto"/>
            </w:tcBorders>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48 715</w:t>
            </w:r>
          </w:p>
        </w:tc>
        <w:tc>
          <w:tcPr>
            <w:tcW w:w="498" w:type="pct"/>
            <w:tcBorders>
              <w:bottom w:val="single" w:sz="12" w:space="0" w:color="auto"/>
            </w:tcBorders>
            <w:shd w:val="clear" w:color="auto" w:fill="auto"/>
            <w:vAlign w:val="bottom"/>
          </w:tcPr>
          <w:p w:rsidR="00706545" w:rsidRPr="00917523" w:rsidRDefault="00706545" w:rsidP="001565AC">
            <w:pPr>
              <w:suppressAutoHyphens w:val="0"/>
              <w:spacing w:before="40" w:after="40" w:line="220" w:lineRule="exact"/>
              <w:jc w:val="right"/>
              <w:rPr>
                <w:sz w:val="18"/>
              </w:rPr>
            </w:pPr>
            <w:r w:rsidRPr="00917523">
              <w:rPr>
                <w:sz w:val="18"/>
              </w:rPr>
              <w:t>53 747</w:t>
            </w:r>
          </w:p>
        </w:tc>
      </w:tr>
    </w:tbl>
    <w:p w:rsidR="004B3322" w:rsidRDefault="004B3322" w:rsidP="004B3322">
      <w:pPr>
        <w:pStyle w:val="H1G"/>
      </w:pPr>
      <w:r>
        <w:tab/>
        <w:t>A.</w:t>
      </w:r>
      <w:r>
        <w:tab/>
        <w:t>La Bosnie-Herzégovine de 1992 à 1995</w:t>
      </w:r>
    </w:p>
    <w:p w:rsidR="004B3322" w:rsidRDefault="004B3322" w:rsidP="004B3322">
      <w:pPr>
        <w:pStyle w:val="SingleTxtG"/>
      </w:pPr>
      <w:r>
        <w:t>8.</w:t>
      </w:r>
      <w:r>
        <w:tab/>
        <w:t>La Bosnie-Herzégovine a été reconnue par la communauté internationale le 6</w:t>
      </w:r>
      <w:r w:rsidR="003A53B4">
        <w:t> </w:t>
      </w:r>
      <w:r>
        <w:t>avril 1992. Elle a continué d</w:t>
      </w:r>
      <w:r w:rsidR="00CA473A">
        <w:t>’</w:t>
      </w:r>
      <w:r>
        <w:t>exister juridiquement en tant qu</w:t>
      </w:r>
      <w:r w:rsidR="00CA473A">
        <w:t>’</w:t>
      </w:r>
      <w:r>
        <w:t>État indépendant dans les frontière</w:t>
      </w:r>
      <w:r w:rsidR="00325BCC">
        <w:t xml:space="preserve">s administratives existantes datant du </w:t>
      </w:r>
      <w:r>
        <w:t>Conseil antifasciste de libération nationale de la Yougoslavie</w:t>
      </w:r>
      <w:r w:rsidR="00325BCC">
        <w:t xml:space="preserve"> (AVNOJ)</w:t>
      </w:r>
      <w:r>
        <w:t xml:space="preserve"> désormais reconnu</w:t>
      </w:r>
      <w:r w:rsidR="00325BCC">
        <w:t>es</w:t>
      </w:r>
      <w:r>
        <w:t xml:space="preserve"> au plan international.</w:t>
      </w:r>
    </w:p>
    <w:p w:rsidR="004B3322" w:rsidRDefault="004B3322" w:rsidP="004B3322">
      <w:pPr>
        <w:pStyle w:val="SingleTxtG"/>
      </w:pPr>
      <w:r>
        <w:t>9.</w:t>
      </w:r>
      <w:r>
        <w:tab/>
        <w:t>La guerre en Bosnie-Herzégovine, qui a éclaté en avril 1992, a eu de très lourdes conséquences sur la démographie. Des dizaines de milliers de personnes ont été tuées, parmi lesquelles de nombreux enfants, et environ 8</w:t>
      </w:r>
      <w:r w:rsidR="003A53B4">
        <w:t> </w:t>
      </w:r>
      <w:r>
        <w:t>000 personnes sont officiellement portées disparues. Également à la suite de la guerre, le taux de mortalité a augmenté tandis que le taux de croissance naturelle diminuait, causant une situation d</w:t>
      </w:r>
      <w:r w:rsidR="00CA473A">
        <w:t>’</w:t>
      </w:r>
      <w:r>
        <w:t>épuisement démographique.</w:t>
      </w:r>
    </w:p>
    <w:p w:rsidR="004B3322" w:rsidRDefault="004B3322" w:rsidP="004B3322">
      <w:pPr>
        <w:pStyle w:val="SingleTxtG"/>
      </w:pPr>
      <w:r>
        <w:t>10.</w:t>
      </w:r>
      <w:r>
        <w:tab/>
        <w:t>Par ailleurs, environ 2</w:t>
      </w:r>
      <w:r w:rsidR="003A53B4">
        <w:t> </w:t>
      </w:r>
      <w:r>
        <w:t>200</w:t>
      </w:r>
      <w:r w:rsidR="003A53B4">
        <w:t> </w:t>
      </w:r>
      <w:r>
        <w:t>000</w:t>
      </w:r>
      <w:r w:rsidR="003A53B4">
        <w:t> </w:t>
      </w:r>
      <w:r>
        <w:t xml:space="preserve">personnes ont dû quitter leurs foyers </w:t>
      </w:r>
      <w:r w:rsidR="00325BCC">
        <w:t xml:space="preserve">pendant </w:t>
      </w:r>
      <w:r>
        <w:t>la guerre, ce qui représente plus de la moitié de la population</w:t>
      </w:r>
      <w:r w:rsidR="00706545">
        <w:t xml:space="preserve"> d</w:t>
      </w:r>
      <w:r w:rsidR="00CA473A">
        <w:t>’</w:t>
      </w:r>
      <w:r w:rsidR="00706545">
        <w:t>avant la guerre. Environ 1,2 </w:t>
      </w:r>
      <w:r>
        <w:t>million de personnes ont cherché refuge dans plus de 100 pays de par le monde, tandis que, dans le même temps, environ 1 million d</w:t>
      </w:r>
      <w:r w:rsidR="00CA473A">
        <w:t>’</w:t>
      </w:r>
      <w:r>
        <w:t>autres étaient déplacées à l</w:t>
      </w:r>
      <w:r w:rsidR="00CA473A">
        <w:t>’</w:t>
      </w:r>
      <w:r>
        <w:t xml:space="preserve">intérieur des frontières. </w:t>
      </w:r>
    </w:p>
    <w:p w:rsidR="004B3322" w:rsidRDefault="004B3322" w:rsidP="003A53B4">
      <w:pPr>
        <w:pStyle w:val="SingleTxtG"/>
        <w:keepLines/>
      </w:pPr>
      <w:r>
        <w:t>11.</w:t>
      </w:r>
      <w:r>
        <w:tab/>
        <w:t xml:space="preserve">Les changements globaux </w:t>
      </w:r>
      <w:r w:rsidR="00325BCC">
        <w:t xml:space="preserve">observés dans la situation </w:t>
      </w:r>
      <w:r>
        <w:t>démographique, par rapport au dernier recensement de 1991, sont le résultat d</w:t>
      </w:r>
      <w:r w:rsidR="00CA473A">
        <w:t>’</w:t>
      </w:r>
      <w:r>
        <w:t>un conflit cataclysmique, de migration</w:t>
      </w:r>
      <w:r w:rsidR="00325BCC">
        <w:t>s</w:t>
      </w:r>
      <w:r>
        <w:t xml:space="preserve"> forcée</w:t>
      </w:r>
      <w:r w:rsidR="00325BCC">
        <w:t>s</w:t>
      </w:r>
      <w:r>
        <w:t xml:space="preserve"> résultant de</w:t>
      </w:r>
      <w:r w:rsidR="00325BCC">
        <w:t>s</w:t>
      </w:r>
      <w:r>
        <w:t xml:space="preserve"> persécutions et de </w:t>
      </w:r>
      <w:r w:rsidR="00325BCC">
        <w:t xml:space="preserve">la </w:t>
      </w:r>
      <w:r>
        <w:t>destruction des habitations, de sorte que le nombre d</w:t>
      </w:r>
      <w:r w:rsidR="00CA473A">
        <w:t>’</w:t>
      </w:r>
      <w:r>
        <w:t>habitants, la composition et la répartition de la population en Bosnie-Herzégovine ont considérablement changé.</w:t>
      </w:r>
    </w:p>
    <w:p w:rsidR="004B3322" w:rsidRDefault="004B3322" w:rsidP="004B3322">
      <w:pPr>
        <w:pStyle w:val="SingleTxtG"/>
      </w:pPr>
      <w:r>
        <w:t>12.</w:t>
      </w:r>
      <w:r>
        <w:tab/>
        <w:t xml:space="preserve">En plus de </w:t>
      </w:r>
      <w:r w:rsidR="00325BCC">
        <w:t xml:space="preserve">lourdes pertes démographiques, </w:t>
      </w:r>
      <w:r>
        <w:t>la guerre a radicalement modifié la situation sur le plan du logeme</w:t>
      </w:r>
      <w:r w:rsidR="003A53B4">
        <w:t>nt. De 1992 à 1995, environ 453 </w:t>
      </w:r>
      <w:r>
        <w:t xml:space="preserve">000 logements ont été endommagés ou anéantis, ce qui représente environ </w:t>
      </w:r>
      <w:r w:rsidR="007B6175">
        <w:t>42</w:t>
      </w:r>
      <w:r w:rsidR="003A53B4">
        <w:t> </w:t>
      </w:r>
      <w:r w:rsidR="007B6175">
        <w:t>% du parc immobilier d</w:t>
      </w:r>
      <w:r w:rsidR="00CA473A">
        <w:t>’</w:t>
      </w:r>
      <w:r w:rsidR="007B6175">
        <w:t xml:space="preserve">avant </w:t>
      </w:r>
      <w:r>
        <w:t>guerre. Environ 100</w:t>
      </w:r>
      <w:r w:rsidR="003A53B4">
        <w:t> </w:t>
      </w:r>
      <w:r>
        <w:t>000 logements ont subi des dommages légers (</w:t>
      </w:r>
      <w:r w:rsidR="00325BCC">
        <w:t>jusqu</w:t>
      </w:r>
      <w:r w:rsidR="00CA473A">
        <w:t>’</w:t>
      </w:r>
      <w:r w:rsidR="00325BCC">
        <w:t xml:space="preserve">à </w:t>
      </w:r>
      <w:r>
        <w:t>20</w:t>
      </w:r>
      <w:r w:rsidR="003A53B4">
        <w:t> </w:t>
      </w:r>
      <w:r>
        <w:t xml:space="preserve">%), </w:t>
      </w:r>
      <w:r w:rsidR="00325BCC">
        <w:t xml:space="preserve">environ </w:t>
      </w:r>
      <w:r>
        <w:t>270</w:t>
      </w:r>
      <w:r w:rsidR="003A53B4">
        <w:t> </w:t>
      </w:r>
      <w:r>
        <w:t xml:space="preserve">000 </w:t>
      </w:r>
      <w:r w:rsidR="00325BCC">
        <w:t xml:space="preserve">autres </w:t>
      </w:r>
      <w:r>
        <w:t>ont subi des dommages de niveau moyen (</w:t>
      </w:r>
      <w:r w:rsidR="00325BCC">
        <w:t>entre 20 et 70</w:t>
      </w:r>
      <w:r w:rsidR="003A53B4">
        <w:t> </w:t>
      </w:r>
      <w:r w:rsidR="00325BCC">
        <w:t>%) et plus de 80 </w:t>
      </w:r>
      <w:r>
        <w:t xml:space="preserve">000 ont été </w:t>
      </w:r>
      <w:r w:rsidR="00325BCC">
        <w:t xml:space="preserve">très </w:t>
      </w:r>
      <w:r>
        <w:t>fortement endommagés ou complètement détruits (</w:t>
      </w:r>
      <w:r w:rsidR="00325BCC">
        <w:t>jusqu</w:t>
      </w:r>
      <w:r w:rsidR="00CA473A">
        <w:t>’</w:t>
      </w:r>
      <w:r w:rsidR="00325BCC">
        <w:t>à plus de 70 </w:t>
      </w:r>
      <w:r>
        <w:t>%).</w:t>
      </w:r>
    </w:p>
    <w:p w:rsidR="00FF1DBD" w:rsidRDefault="004B3322" w:rsidP="004B3322">
      <w:pPr>
        <w:pStyle w:val="SingleTxtG"/>
      </w:pPr>
      <w:r>
        <w:t>13.</w:t>
      </w:r>
      <w:r>
        <w:tab/>
        <w:t>En outre, les personnes ayant été déplacées à l</w:t>
      </w:r>
      <w:r w:rsidR="00CA473A">
        <w:t>’</w:t>
      </w:r>
      <w:r>
        <w:t>intérieur de la Bosnie-Herzégovine se sont provisoirement installées dans la majorité des logements habitables abandonnés. De cette façon, plus de 200</w:t>
      </w:r>
      <w:r w:rsidR="003A53B4">
        <w:t> </w:t>
      </w:r>
      <w:r>
        <w:t>000 logements ont changé d</w:t>
      </w:r>
      <w:r w:rsidR="00CA473A">
        <w:t>’</w:t>
      </w:r>
      <w:r>
        <w:t>occupants, dans une proportion quasi égale entre logements publics et logements privés.</w:t>
      </w:r>
    </w:p>
    <w:p w:rsidR="00DE0C47" w:rsidRPr="00731786" w:rsidRDefault="00DE0C47" w:rsidP="00DE0C47">
      <w:pPr>
        <w:pStyle w:val="SingleTxtG"/>
      </w:pPr>
      <w:r w:rsidRPr="00731786">
        <w:t>14.</w:t>
      </w:r>
      <w:r w:rsidRPr="00731786">
        <w:tab/>
        <w:t xml:space="preserve">Le pays a </w:t>
      </w:r>
      <w:r>
        <w:t>vécu</w:t>
      </w:r>
      <w:r w:rsidRPr="00731786">
        <w:t xml:space="preserve"> la destruction de villes et autres ensembles urbains, de villages, de hameaux, de monuments et autres </w:t>
      </w:r>
      <w:r>
        <w:t>témoignages</w:t>
      </w:r>
      <w:r w:rsidRPr="00731786">
        <w:t xml:space="preserve"> du patrimoine architectural, de structures sociales et </w:t>
      </w:r>
      <w:r>
        <w:t>d</w:t>
      </w:r>
      <w:r w:rsidR="00CA473A">
        <w:t>’</w:t>
      </w:r>
      <w:r>
        <w:t>équipements et biens</w:t>
      </w:r>
      <w:r w:rsidRPr="00731786">
        <w:t xml:space="preserve"> collectifs, dont des écoles, des entreprises et des bâtiments religieux, des routes, des parcs et des stocks de produits et marchandises. Pour la plus grande part, les réseaux routiers, d</w:t>
      </w:r>
      <w:r w:rsidR="00CA473A">
        <w:t>’</w:t>
      </w:r>
      <w:r w:rsidRPr="00731786">
        <w:t>adduction d</w:t>
      </w:r>
      <w:r w:rsidR="00CA473A">
        <w:t>’</w:t>
      </w:r>
      <w:r w:rsidRPr="00731786">
        <w:t>eau, d</w:t>
      </w:r>
      <w:r w:rsidR="00CA473A">
        <w:t>’</w:t>
      </w:r>
      <w:r w:rsidRPr="00731786">
        <w:t>assainissement, de téléphonie et d</w:t>
      </w:r>
      <w:r w:rsidR="00CA473A">
        <w:t>’</w:t>
      </w:r>
      <w:r w:rsidRPr="00731786">
        <w:t>alimentation électrique, avec toutes leurs infrastructures, ont été soit endommagés soit détruits. Environ 24 % des établissements médicaux ont été détruits, tandis que les centres de santé ont subi des dommages à hauteur de plus de 40 %. Les ressources forestièr</w:t>
      </w:r>
      <w:r>
        <w:t xml:space="preserve">es de la Bosnie-Herzégovine ont </w:t>
      </w:r>
      <w:r w:rsidRPr="00731786">
        <w:t>elles aussi été gravement appauvries par l</w:t>
      </w:r>
      <w:r w:rsidR="00CA473A">
        <w:t>’</w:t>
      </w:r>
      <w:r w:rsidRPr="00731786">
        <w:t>abattage illégal des arbres, les feux et la prise de possession du domaine forestier.</w:t>
      </w:r>
    </w:p>
    <w:p w:rsidR="00DE0C47" w:rsidRPr="00731786" w:rsidRDefault="00DE0C47" w:rsidP="00DE0C47">
      <w:pPr>
        <w:pStyle w:val="SingleTxtG"/>
      </w:pPr>
      <w:r w:rsidRPr="00731786">
        <w:t>15.</w:t>
      </w:r>
      <w:r w:rsidRPr="00731786">
        <w:tab/>
        <w:t>L</w:t>
      </w:r>
      <w:r w:rsidR="00CA473A">
        <w:t>’</w:t>
      </w:r>
      <w:r w:rsidRPr="00731786">
        <w:t xml:space="preserve">une des pires conséquences de la guerre auxquelles le pays </w:t>
      </w:r>
      <w:r>
        <w:t>reste aujourd</w:t>
      </w:r>
      <w:r w:rsidR="00CA473A">
        <w:t>’</w:t>
      </w:r>
      <w:r>
        <w:t>hui encore</w:t>
      </w:r>
      <w:r w:rsidRPr="00731786">
        <w:t xml:space="preserve"> confronté est la présence de quelque 2</w:t>
      </w:r>
      <w:r w:rsidR="003A53B4">
        <w:t> </w:t>
      </w:r>
      <w:r w:rsidRPr="00731786">
        <w:t>millions de mines et de 3</w:t>
      </w:r>
      <w:r w:rsidR="003A53B4">
        <w:t> </w:t>
      </w:r>
      <w:r w:rsidRPr="00731786">
        <w:t>millions d</w:t>
      </w:r>
      <w:r w:rsidR="00CA473A">
        <w:t>’</w:t>
      </w:r>
      <w:r w:rsidRPr="00731786">
        <w:t xml:space="preserve">autres engins non explosés </w:t>
      </w:r>
      <w:r>
        <w:t>dispersés sur</w:t>
      </w:r>
      <w:r w:rsidRPr="00731786">
        <w:t xml:space="preserve"> le territoire.</w:t>
      </w:r>
    </w:p>
    <w:p w:rsidR="00DE0C47" w:rsidRPr="00731786" w:rsidRDefault="00DE0C47" w:rsidP="00DE0C47">
      <w:pPr>
        <w:pStyle w:val="SingleTxtG"/>
      </w:pPr>
      <w:r w:rsidRPr="00731786">
        <w:t>16.</w:t>
      </w:r>
      <w:r w:rsidRPr="00731786">
        <w:tab/>
        <w:t>Le total des pertes économiques, y compris les pertes de gains, est estimé entre 50 et 70 milliards de dollars. La Banq</w:t>
      </w:r>
      <w:r>
        <w:t>ue mondiale estime les dommages aux biens à hauteur de 1</w:t>
      </w:r>
      <w:r w:rsidRPr="00731786">
        <w:t>5 à 20 milliards de dollars. Durant la guerre, la production industrielle ne représentait plus guère que 5 % de son niveau d</w:t>
      </w:r>
      <w:r w:rsidR="00CA473A">
        <w:t>’</w:t>
      </w:r>
      <w:r w:rsidRPr="00731786">
        <w:t xml:space="preserve">avant guerre. </w:t>
      </w:r>
    </w:p>
    <w:p w:rsidR="00DE0C47" w:rsidRPr="00731786" w:rsidRDefault="00DE0C47" w:rsidP="00DE0C47">
      <w:pPr>
        <w:pStyle w:val="H1G"/>
      </w:pPr>
      <w:r>
        <w:tab/>
      </w:r>
      <w:r w:rsidRPr="00731786">
        <w:t>B.</w:t>
      </w:r>
      <w:r w:rsidRPr="00731786">
        <w:tab/>
        <w:t>La Bosnie-Herzégovine après 1996</w:t>
      </w:r>
    </w:p>
    <w:p w:rsidR="00DE0C47" w:rsidRPr="00731786" w:rsidRDefault="00DE0C47" w:rsidP="00DE0C47">
      <w:pPr>
        <w:pStyle w:val="SingleTxtG"/>
      </w:pPr>
      <w:r w:rsidRPr="00731786">
        <w:t>17.</w:t>
      </w:r>
      <w:r w:rsidRPr="00731786">
        <w:tab/>
        <w:t xml:space="preserve">Les efforts déployés par la communauté internationale pour mettre fin au conflit en Bosnie-Herzégovine </w:t>
      </w:r>
      <w:r>
        <w:t>ont abouti à la conclusion de l</w:t>
      </w:r>
      <w:r w:rsidR="00CA473A">
        <w:t>’</w:t>
      </w:r>
      <w:r>
        <w:t xml:space="preserve">Accord-cadre général pour la paix en Bosnie-Herzégovine </w:t>
      </w:r>
      <w:r w:rsidRPr="00731786">
        <w:t>(Accord de paix de Dayton), qui a été signé le 14 décembre 1995 à Paris. En plus de mettre fin à la guerre, l</w:t>
      </w:r>
      <w:r w:rsidR="00CA473A">
        <w:t>’</w:t>
      </w:r>
      <w:r w:rsidRPr="00731786">
        <w:t>Accord de paix régit les relations à l</w:t>
      </w:r>
      <w:r w:rsidR="00CA473A">
        <w:t>’</w:t>
      </w:r>
      <w:r w:rsidRPr="00731786">
        <w:t>intérieur du pays. La Bosnie-Herzégovine reste un État indépendant; son</w:t>
      </w:r>
      <w:r>
        <w:t xml:space="preserve"> territoire se compose de deux E</w:t>
      </w:r>
      <w:r w:rsidRPr="00731786">
        <w:t xml:space="preserve">ntités, à savoir la Fédération de Bosnie-Herzégovine et la Republika Srpska. </w:t>
      </w:r>
    </w:p>
    <w:p w:rsidR="00DE0C47" w:rsidRPr="00731786" w:rsidRDefault="00DE0C47" w:rsidP="00DE0C47">
      <w:pPr>
        <w:pStyle w:val="SingleTxtG"/>
      </w:pPr>
      <w:r w:rsidRPr="00731786">
        <w:t>18.</w:t>
      </w:r>
      <w:r w:rsidRPr="00731786">
        <w:tab/>
        <w:t>La sentence définitive rendue ensuite par le tribunal arbitral a établi l</w:t>
      </w:r>
      <w:r w:rsidR="00CA473A">
        <w:t>’</w:t>
      </w:r>
      <w:r w:rsidRPr="00731786">
        <w:t>unité administrative du district de Brcko en Bosnie-Herzégovine. L</w:t>
      </w:r>
      <w:r w:rsidR="00CA473A">
        <w:t>’</w:t>
      </w:r>
      <w:r w:rsidRPr="00731786">
        <w:t xml:space="preserve">Accord </w:t>
      </w:r>
      <w:r>
        <w:t>précise</w:t>
      </w:r>
      <w:r w:rsidRPr="00731786">
        <w:t xml:space="preserve"> en outre la compétence des autorités centrales</w:t>
      </w:r>
      <w:r>
        <w:t xml:space="preserve"> et des gouvernements des deux E</w:t>
      </w:r>
      <w:r w:rsidRPr="00731786">
        <w:t xml:space="preserve">ntités. Sarajevo reste la capitale, et les langues officielles sont le bosniaque, le croate et le serbe. </w:t>
      </w:r>
    </w:p>
    <w:p w:rsidR="00DE0C47" w:rsidRPr="00731786" w:rsidRDefault="00DE0C47" w:rsidP="00DE0C47">
      <w:pPr>
        <w:pStyle w:val="H1G"/>
      </w:pPr>
      <w:r>
        <w:tab/>
      </w:r>
      <w:r w:rsidRPr="00731786">
        <w:t>C.</w:t>
      </w:r>
      <w:r w:rsidRPr="00731786">
        <w:tab/>
        <w:t>La population de Bosnie-Herzégovine après 1996</w:t>
      </w:r>
    </w:p>
    <w:p w:rsidR="00DE0C47" w:rsidRPr="00731786" w:rsidRDefault="00DE0C47" w:rsidP="00DE0C47">
      <w:pPr>
        <w:pStyle w:val="SingleTxtG"/>
      </w:pPr>
      <w:r w:rsidRPr="00731786">
        <w:t>19.</w:t>
      </w:r>
      <w:r w:rsidRPr="00731786">
        <w:tab/>
        <w:t>Aucun recensement officiel n</w:t>
      </w:r>
      <w:r w:rsidR="00CA473A">
        <w:t>’</w:t>
      </w:r>
      <w:r w:rsidRPr="00731786">
        <w:t>a été effectué en Bosnie-Herzégovine depuis 1991.</w:t>
      </w:r>
    </w:p>
    <w:p w:rsidR="00DE0C47" w:rsidRDefault="00DE0C47" w:rsidP="00DE0C47">
      <w:pPr>
        <w:pStyle w:val="SingleTxtG"/>
      </w:pPr>
      <w:r w:rsidRPr="00731786">
        <w:t>20.</w:t>
      </w:r>
      <w:r w:rsidRPr="00731786">
        <w:tab/>
        <w:t>Des recherches très sérieuses et approfondies et des estimations démographiques ont été réalisées depuis la guerre en raison de la nécessité opérationnelle de disposer d</w:t>
      </w:r>
      <w:r w:rsidR="00CA473A">
        <w:t>’</w:t>
      </w:r>
      <w:r w:rsidRPr="00731786">
        <w:t xml:space="preserve">indicateurs sur la </w:t>
      </w:r>
      <w:r>
        <w:t>population</w:t>
      </w:r>
      <w:r w:rsidRPr="00731786">
        <w:t xml:space="preserve"> actuelle. Cependant, la turbulence des </w:t>
      </w:r>
      <w:r>
        <w:t>événements à l</w:t>
      </w:r>
      <w:r w:rsidR="00CA473A">
        <w:t>’</w:t>
      </w:r>
      <w:r>
        <w:t>origine des</w:t>
      </w:r>
      <w:r w:rsidRPr="00731786">
        <w:t xml:space="preserve"> changements radicaux intervenus </w:t>
      </w:r>
      <w:r>
        <w:t xml:space="preserve">dans les </w:t>
      </w:r>
      <w:r w:rsidRPr="00731786">
        <w:t>effectif</w:t>
      </w:r>
      <w:r>
        <w:t>s,</w:t>
      </w:r>
      <w:r w:rsidRPr="00731786">
        <w:t xml:space="preserve"> la structure et la répartition de la population explique les </w:t>
      </w:r>
      <w:r>
        <w:t>écarts observé</w:t>
      </w:r>
      <w:r w:rsidRPr="00731786">
        <w:t>s entre les estimations actuelles, dont l</w:t>
      </w:r>
      <w:r w:rsidR="00CA473A">
        <w:t>’</w:t>
      </w:r>
      <w:r w:rsidRPr="00731786">
        <w:t>ampleur peut atteindre jusqu</w:t>
      </w:r>
      <w:r w:rsidR="00CA473A">
        <w:t>’</w:t>
      </w:r>
      <w:r w:rsidRPr="00731786">
        <w:t>à un million d</w:t>
      </w:r>
      <w:r w:rsidR="00CA473A">
        <w:t>’</w:t>
      </w:r>
      <w:r w:rsidRPr="00731786">
        <w:t>habitants, selon le moment où la recherche a été effectuée et le</w:t>
      </w:r>
      <w:r>
        <w:t>s sources utilisées</w:t>
      </w:r>
      <w:r w:rsidRPr="00731786">
        <w:t xml:space="preserve">. </w:t>
      </w:r>
    </w:p>
    <w:p w:rsidR="00DE0C47" w:rsidRPr="00731786" w:rsidRDefault="00DE0C47" w:rsidP="00DE0C47">
      <w:pPr>
        <w:pStyle w:val="SingleTxtG"/>
      </w:pPr>
      <w:r>
        <w:t>21.</w:t>
      </w:r>
      <w:r>
        <w:tab/>
      </w:r>
      <w:r w:rsidRPr="00731786">
        <w:t>Les dix années d</w:t>
      </w:r>
      <w:r w:rsidR="00CA473A">
        <w:t>’</w:t>
      </w:r>
      <w:r w:rsidRPr="00731786">
        <w:t>évolution démographique</w:t>
      </w:r>
      <w:r w:rsidRPr="003A53B4">
        <w:rPr>
          <w:rStyle w:val="FootnoteTextChar"/>
          <w:vertAlign w:val="superscript"/>
        </w:rPr>
        <w:footnoteReference w:id="4"/>
      </w:r>
      <w:r w:rsidRPr="00731786">
        <w:t xml:space="preserve"> séparant </w:t>
      </w:r>
      <w:r>
        <w:t>le 31</w:t>
      </w:r>
      <w:r w:rsidR="003A53B4">
        <w:t> </w:t>
      </w:r>
      <w:r>
        <w:t>mars 1991 du 31</w:t>
      </w:r>
      <w:r w:rsidR="003A53B4">
        <w:t> </w:t>
      </w:r>
      <w:r>
        <w:t>mars 2001</w:t>
      </w:r>
      <w:r w:rsidRPr="00731786">
        <w:t xml:space="preserve"> se </w:t>
      </w:r>
      <w:r>
        <w:t>mesurent</w:t>
      </w:r>
      <w:r w:rsidRPr="00731786">
        <w:t xml:space="preserve"> dans les estimations scientifiques</w:t>
      </w:r>
      <w:r w:rsidRPr="003A53B4">
        <w:rPr>
          <w:rStyle w:val="FootnoteTextChar"/>
          <w:vertAlign w:val="superscript"/>
        </w:rPr>
        <w:footnoteReference w:id="5"/>
      </w:r>
      <w:r w:rsidRPr="00731786">
        <w:t xml:space="preserve"> suivantes, qui se fondent sur la surveillance des tendances démographiques.</w:t>
      </w:r>
    </w:p>
    <w:p w:rsidR="00DE0C47" w:rsidRPr="00731786" w:rsidRDefault="00DE0C47" w:rsidP="00DE0C47">
      <w:pPr>
        <w:pStyle w:val="Heading1"/>
        <w:spacing w:after="120"/>
      </w:pPr>
      <w:r w:rsidRPr="00731786">
        <w:t>Tableau 4</w:t>
      </w:r>
      <w:r w:rsidRPr="00731786">
        <w:br/>
      </w:r>
      <w:r w:rsidRPr="001518B3">
        <w:rPr>
          <w:b/>
        </w:rPr>
        <w:t xml:space="preserve">Changements démographiques par </w:t>
      </w:r>
      <w:r w:rsidR="00617A69">
        <w:rPr>
          <w:b/>
        </w:rPr>
        <w:t>E</w:t>
      </w:r>
      <w:r w:rsidRPr="001518B3">
        <w:rPr>
          <w:b/>
        </w:rPr>
        <w:t>ntité</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67"/>
        <w:gridCol w:w="1701"/>
        <w:gridCol w:w="1701"/>
        <w:gridCol w:w="1701"/>
      </w:tblGrid>
      <w:tr w:rsidR="00DE0C47" w:rsidRPr="00CD576A" w:rsidTr="00CA473A">
        <w:trPr>
          <w:tblHeader/>
        </w:trPr>
        <w:tc>
          <w:tcPr>
            <w:tcW w:w="2267" w:type="dxa"/>
            <w:tcBorders>
              <w:top w:val="single" w:sz="4" w:space="0" w:color="auto"/>
              <w:bottom w:val="single" w:sz="12" w:space="0" w:color="auto"/>
            </w:tcBorders>
            <w:shd w:val="clear" w:color="auto" w:fill="auto"/>
            <w:vAlign w:val="bottom"/>
          </w:tcPr>
          <w:p w:rsidR="00DE0C47" w:rsidRPr="00CD576A" w:rsidRDefault="00DE0C47" w:rsidP="00CA473A">
            <w:pPr>
              <w:suppressAutoHyphens w:val="0"/>
              <w:spacing w:before="80" w:after="80" w:line="200" w:lineRule="exact"/>
              <w:rPr>
                <w:i/>
                <w:sz w:val="16"/>
              </w:rPr>
            </w:pPr>
            <w:r w:rsidRPr="00CD576A">
              <w:rPr>
                <w:i/>
                <w:sz w:val="16"/>
              </w:rPr>
              <w:t xml:space="preserve">Effectif de population </w:t>
            </w:r>
          </w:p>
        </w:tc>
        <w:tc>
          <w:tcPr>
            <w:tcW w:w="1701" w:type="dxa"/>
            <w:tcBorders>
              <w:top w:val="single" w:sz="4" w:space="0" w:color="auto"/>
              <w:bottom w:val="single" w:sz="12" w:space="0" w:color="auto"/>
            </w:tcBorders>
            <w:shd w:val="clear" w:color="auto" w:fill="auto"/>
            <w:vAlign w:val="bottom"/>
          </w:tcPr>
          <w:p w:rsidR="00DE0C47" w:rsidRPr="00CD576A" w:rsidRDefault="00DE0C47" w:rsidP="00CA473A">
            <w:pPr>
              <w:suppressAutoHyphens w:val="0"/>
              <w:spacing w:before="80" w:after="80" w:line="200" w:lineRule="exact"/>
              <w:jc w:val="right"/>
              <w:rPr>
                <w:i/>
                <w:sz w:val="16"/>
              </w:rPr>
            </w:pPr>
            <w:r w:rsidRPr="00CD576A">
              <w:rPr>
                <w:i/>
                <w:sz w:val="16"/>
              </w:rPr>
              <w:t>Bosnie-Herzégovine</w:t>
            </w:r>
          </w:p>
        </w:tc>
        <w:tc>
          <w:tcPr>
            <w:tcW w:w="1701" w:type="dxa"/>
            <w:tcBorders>
              <w:top w:val="single" w:sz="4" w:space="0" w:color="auto"/>
              <w:bottom w:val="single" w:sz="12" w:space="0" w:color="auto"/>
            </w:tcBorders>
            <w:shd w:val="clear" w:color="auto" w:fill="auto"/>
            <w:vAlign w:val="bottom"/>
          </w:tcPr>
          <w:p w:rsidR="00DE0C47" w:rsidRPr="00CD576A" w:rsidRDefault="00DE0C47" w:rsidP="00CA473A">
            <w:pPr>
              <w:suppressAutoHyphens w:val="0"/>
              <w:spacing w:before="80" w:after="80" w:line="200" w:lineRule="exact"/>
              <w:jc w:val="right"/>
              <w:rPr>
                <w:i/>
                <w:sz w:val="16"/>
              </w:rPr>
            </w:pPr>
            <w:r w:rsidRPr="00CD576A">
              <w:rPr>
                <w:i/>
                <w:sz w:val="16"/>
              </w:rPr>
              <w:t xml:space="preserve">Fédération </w:t>
            </w:r>
            <w:r w:rsidRPr="00CD576A">
              <w:rPr>
                <w:i/>
                <w:sz w:val="16"/>
              </w:rPr>
              <w:br/>
              <w:t>de Bosnie-Herzégovine</w:t>
            </w:r>
          </w:p>
        </w:tc>
        <w:tc>
          <w:tcPr>
            <w:tcW w:w="1701" w:type="dxa"/>
            <w:tcBorders>
              <w:top w:val="single" w:sz="4" w:space="0" w:color="auto"/>
              <w:bottom w:val="single" w:sz="12" w:space="0" w:color="auto"/>
            </w:tcBorders>
            <w:shd w:val="clear" w:color="auto" w:fill="auto"/>
            <w:vAlign w:val="bottom"/>
          </w:tcPr>
          <w:p w:rsidR="00DE0C47" w:rsidRPr="00CD576A" w:rsidRDefault="00DE0C47" w:rsidP="00CA473A">
            <w:pPr>
              <w:suppressAutoHyphens w:val="0"/>
              <w:spacing w:before="80" w:after="80" w:line="200" w:lineRule="exact"/>
              <w:jc w:val="right"/>
              <w:rPr>
                <w:i/>
                <w:sz w:val="16"/>
              </w:rPr>
            </w:pPr>
            <w:r>
              <w:rPr>
                <w:i/>
                <w:sz w:val="16"/>
              </w:rPr>
              <w:t>Republika Srpska</w:t>
            </w:r>
          </w:p>
        </w:tc>
      </w:tr>
      <w:tr w:rsidR="00DE0C47" w:rsidRPr="00CD576A" w:rsidTr="00CA473A">
        <w:tc>
          <w:tcPr>
            <w:tcW w:w="2267" w:type="dxa"/>
            <w:tcBorders>
              <w:top w:val="single" w:sz="12" w:space="0" w:color="auto"/>
            </w:tcBorders>
            <w:shd w:val="clear" w:color="auto" w:fill="auto"/>
          </w:tcPr>
          <w:p w:rsidR="00DE0C47" w:rsidRPr="00CD576A" w:rsidRDefault="00DE0C47" w:rsidP="00CA473A">
            <w:pPr>
              <w:suppressAutoHyphens w:val="0"/>
              <w:spacing w:before="40" w:after="40" w:line="220" w:lineRule="exact"/>
              <w:rPr>
                <w:sz w:val="18"/>
              </w:rPr>
            </w:pPr>
            <w:r w:rsidRPr="00CD576A">
              <w:rPr>
                <w:sz w:val="18"/>
              </w:rPr>
              <w:t>Au 31 mars 1991</w:t>
            </w:r>
          </w:p>
        </w:tc>
        <w:tc>
          <w:tcPr>
            <w:tcW w:w="1701" w:type="dxa"/>
            <w:tcBorders>
              <w:top w:val="single" w:sz="12" w:space="0" w:color="auto"/>
            </w:tcBorders>
            <w:shd w:val="clear" w:color="auto" w:fill="auto"/>
            <w:vAlign w:val="bottom"/>
          </w:tcPr>
          <w:p w:rsidR="00DE0C47" w:rsidRPr="00C331BB" w:rsidRDefault="00DE0C47" w:rsidP="00CA473A">
            <w:pPr>
              <w:spacing w:before="40" w:after="40" w:line="220" w:lineRule="exact"/>
              <w:ind w:left="113"/>
              <w:jc w:val="right"/>
              <w:rPr>
                <w:sz w:val="18"/>
              </w:rPr>
            </w:pPr>
            <w:r w:rsidRPr="00C331BB">
              <w:rPr>
                <w:sz w:val="18"/>
              </w:rPr>
              <w:t>4 377 033</w:t>
            </w:r>
          </w:p>
        </w:tc>
        <w:tc>
          <w:tcPr>
            <w:tcW w:w="1701" w:type="dxa"/>
            <w:tcBorders>
              <w:top w:val="single" w:sz="12" w:space="0" w:color="auto"/>
            </w:tcBorders>
            <w:shd w:val="clear" w:color="auto" w:fill="auto"/>
            <w:vAlign w:val="bottom"/>
          </w:tcPr>
          <w:p w:rsidR="00DE0C47" w:rsidRPr="00C331BB" w:rsidRDefault="00DE0C47" w:rsidP="00CA473A">
            <w:pPr>
              <w:spacing w:before="40" w:after="40" w:line="220" w:lineRule="exact"/>
              <w:ind w:left="113"/>
              <w:jc w:val="right"/>
              <w:rPr>
                <w:sz w:val="18"/>
              </w:rPr>
            </w:pPr>
            <w:r w:rsidRPr="00C331BB">
              <w:rPr>
                <w:sz w:val="18"/>
              </w:rPr>
              <w:t>2 783 711</w:t>
            </w:r>
          </w:p>
        </w:tc>
        <w:tc>
          <w:tcPr>
            <w:tcW w:w="1701" w:type="dxa"/>
            <w:tcBorders>
              <w:top w:val="single" w:sz="12" w:space="0" w:color="auto"/>
            </w:tcBorders>
            <w:shd w:val="clear" w:color="auto" w:fill="auto"/>
            <w:vAlign w:val="bottom"/>
          </w:tcPr>
          <w:p w:rsidR="00DE0C47" w:rsidRPr="00C331BB" w:rsidRDefault="00DE0C47" w:rsidP="00CA473A">
            <w:pPr>
              <w:spacing w:before="40" w:after="40" w:line="220" w:lineRule="exact"/>
              <w:ind w:left="113"/>
              <w:jc w:val="right"/>
              <w:rPr>
                <w:sz w:val="18"/>
              </w:rPr>
            </w:pPr>
            <w:r w:rsidRPr="00C331BB">
              <w:rPr>
                <w:sz w:val="18"/>
              </w:rPr>
              <w:t>1 593 322</w:t>
            </w:r>
          </w:p>
        </w:tc>
      </w:tr>
      <w:tr w:rsidR="00DE0C47" w:rsidRPr="00CD576A" w:rsidTr="00CA473A">
        <w:tc>
          <w:tcPr>
            <w:tcW w:w="2267" w:type="dxa"/>
            <w:tcBorders>
              <w:bottom w:val="single" w:sz="12" w:space="0" w:color="auto"/>
            </w:tcBorders>
            <w:shd w:val="clear" w:color="auto" w:fill="auto"/>
          </w:tcPr>
          <w:p w:rsidR="00DE0C47" w:rsidRPr="00CD576A" w:rsidRDefault="00DE0C47" w:rsidP="00CA473A">
            <w:pPr>
              <w:suppressAutoHyphens w:val="0"/>
              <w:spacing w:before="40" w:after="40" w:line="220" w:lineRule="exact"/>
              <w:rPr>
                <w:sz w:val="18"/>
              </w:rPr>
            </w:pPr>
            <w:r w:rsidRPr="00CD576A">
              <w:rPr>
                <w:sz w:val="18"/>
              </w:rPr>
              <w:t>Au 31 mars 2001</w:t>
            </w:r>
          </w:p>
        </w:tc>
        <w:tc>
          <w:tcPr>
            <w:tcW w:w="1701" w:type="dxa"/>
            <w:tcBorders>
              <w:bottom w:val="single" w:sz="12" w:space="0" w:color="auto"/>
            </w:tcBorders>
            <w:shd w:val="clear" w:color="auto" w:fill="auto"/>
            <w:vAlign w:val="bottom"/>
          </w:tcPr>
          <w:p w:rsidR="00DE0C47" w:rsidRPr="00C331BB" w:rsidRDefault="00DE0C47" w:rsidP="00CA473A">
            <w:pPr>
              <w:spacing w:before="40" w:after="40" w:line="220" w:lineRule="exact"/>
              <w:ind w:left="113"/>
              <w:jc w:val="right"/>
              <w:rPr>
                <w:sz w:val="18"/>
              </w:rPr>
            </w:pPr>
            <w:r w:rsidRPr="00C331BB">
              <w:rPr>
                <w:sz w:val="18"/>
              </w:rPr>
              <w:t>3 364 825</w:t>
            </w:r>
          </w:p>
        </w:tc>
        <w:tc>
          <w:tcPr>
            <w:tcW w:w="1701" w:type="dxa"/>
            <w:tcBorders>
              <w:bottom w:val="single" w:sz="12" w:space="0" w:color="auto"/>
            </w:tcBorders>
            <w:shd w:val="clear" w:color="auto" w:fill="auto"/>
            <w:vAlign w:val="bottom"/>
          </w:tcPr>
          <w:p w:rsidR="00DE0C47" w:rsidRPr="00C331BB" w:rsidRDefault="00DE0C47" w:rsidP="00CA473A">
            <w:pPr>
              <w:spacing w:before="40" w:after="40" w:line="220" w:lineRule="exact"/>
              <w:ind w:left="113"/>
              <w:jc w:val="right"/>
              <w:rPr>
                <w:sz w:val="18"/>
              </w:rPr>
            </w:pPr>
            <w:r w:rsidRPr="00C331BB">
              <w:rPr>
                <w:sz w:val="18"/>
              </w:rPr>
              <w:t>2 298 501</w:t>
            </w:r>
          </w:p>
        </w:tc>
        <w:tc>
          <w:tcPr>
            <w:tcW w:w="1701" w:type="dxa"/>
            <w:tcBorders>
              <w:bottom w:val="single" w:sz="12" w:space="0" w:color="auto"/>
            </w:tcBorders>
            <w:shd w:val="clear" w:color="auto" w:fill="auto"/>
            <w:vAlign w:val="bottom"/>
          </w:tcPr>
          <w:p w:rsidR="00DE0C47" w:rsidRPr="00C331BB" w:rsidRDefault="00DE0C47" w:rsidP="00CA473A">
            <w:pPr>
              <w:spacing w:before="40" w:after="40" w:line="220" w:lineRule="exact"/>
              <w:ind w:left="113"/>
              <w:jc w:val="right"/>
              <w:rPr>
                <w:sz w:val="18"/>
              </w:rPr>
            </w:pPr>
            <w:r w:rsidRPr="00C331BB">
              <w:rPr>
                <w:sz w:val="18"/>
              </w:rPr>
              <w:t>1 066 324</w:t>
            </w:r>
          </w:p>
        </w:tc>
      </w:tr>
    </w:tbl>
    <w:p w:rsidR="00DE0C47" w:rsidRPr="00731786" w:rsidRDefault="00DE0C47" w:rsidP="00DE0C47">
      <w:pPr>
        <w:pStyle w:val="Heading1"/>
        <w:spacing w:before="240" w:after="120"/>
      </w:pPr>
      <w:r w:rsidRPr="00731786">
        <w:t>Tableau 5</w:t>
      </w:r>
      <w:r w:rsidRPr="00731786">
        <w:br/>
      </w:r>
      <w:r w:rsidRPr="001518B3">
        <w:rPr>
          <w:b/>
        </w:rPr>
        <w:t>Changements démographiques par groupe ethnique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00"/>
        <w:gridCol w:w="1134"/>
        <w:gridCol w:w="1134"/>
        <w:gridCol w:w="1134"/>
        <w:gridCol w:w="1134"/>
        <w:gridCol w:w="1134"/>
      </w:tblGrid>
      <w:tr w:rsidR="00DE0C47" w:rsidRPr="00CD576A" w:rsidTr="00CA473A">
        <w:trPr>
          <w:tblHeader/>
        </w:trPr>
        <w:tc>
          <w:tcPr>
            <w:tcW w:w="1700" w:type="dxa"/>
            <w:tcBorders>
              <w:top w:val="single" w:sz="4" w:space="0" w:color="auto"/>
              <w:bottom w:val="single" w:sz="12" w:space="0" w:color="auto"/>
            </w:tcBorders>
            <w:shd w:val="clear" w:color="auto" w:fill="auto"/>
            <w:vAlign w:val="bottom"/>
          </w:tcPr>
          <w:p w:rsidR="00DE0C47" w:rsidRPr="00CD576A" w:rsidRDefault="00DE0C47" w:rsidP="00CA473A">
            <w:pPr>
              <w:suppressAutoHyphens w:val="0"/>
              <w:spacing w:before="80" w:after="80" w:line="200" w:lineRule="exact"/>
              <w:rPr>
                <w:i/>
                <w:sz w:val="16"/>
              </w:rPr>
            </w:pPr>
            <w:r w:rsidRPr="00CD576A">
              <w:rPr>
                <w:i/>
                <w:sz w:val="16"/>
              </w:rPr>
              <w:t xml:space="preserve">Effectif de population </w:t>
            </w:r>
          </w:p>
        </w:tc>
        <w:tc>
          <w:tcPr>
            <w:tcW w:w="1134" w:type="dxa"/>
            <w:tcBorders>
              <w:top w:val="single" w:sz="4" w:space="0" w:color="auto"/>
              <w:bottom w:val="single" w:sz="12" w:space="0" w:color="auto"/>
            </w:tcBorders>
            <w:shd w:val="clear" w:color="auto" w:fill="auto"/>
            <w:vAlign w:val="bottom"/>
          </w:tcPr>
          <w:p w:rsidR="00DE0C47" w:rsidRPr="00BE3AAC" w:rsidRDefault="00DE0C47" w:rsidP="00CA473A">
            <w:pPr>
              <w:suppressAutoHyphens w:val="0"/>
              <w:spacing w:before="80" w:after="80" w:line="200" w:lineRule="exact"/>
              <w:jc w:val="right"/>
              <w:rPr>
                <w:b/>
                <w:i/>
                <w:sz w:val="16"/>
              </w:rPr>
            </w:pPr>
            <w:r w:rsidRPr="00BE3AAC">
              <w:rPr>
                <w:b/>
                <w:i/>
                <w:sz w:val="16"/>
              </w:rPr>
              <w:t>Total</w:t>
            </w:r>
          </w:p>
        </w:tc>
        <w:tc>
          <w:tcPr>
            <w:tcW w:w="1134" w:type="dxa"/>
            <w:tcBorders>
              <w:top w:val="single" w:sz="4" w:space="0" w:color="auto"/>
              <w:bottom w:val="single" w:sz="12" w:space="0" w:color="auto"/>
            </w:tcBorders>
            <w:shd w:val="clear" w:color="auto" w:fill="auto"/>
            <w:vAlign w:val="bottom"/>
          </w:tcPr>
          <w:p w:rsidR="00DE0C47" w:rsidRPr="00CD576A" w:rsidRDefault="00DE0C47" w:rsidP="00CA473A">
            <w:pPr>
              <w:suppressAutoHyphens w:val="0"/>
              <w:spacing w:before="80" w:after="80" w:line="200" w:lineRule="exact"/>
              <w:jc w:val="right"/>
              <w:rPr>
                <w:i/>
                <w:sz w:val="16"/>
              </w:rPr>
            </w:pPr>
            <w:r w:rsidRPr="00CD576A">
              <w:rPr>
                <w:i/>
                <w:sz w:val="16"/>
              </w:rPr>
              <w:t>Bosniaque</w:t>
            </w:r>
            <w:r>
              <w:rPr>
                <w:i/>
                <w:sz w:val="16"/>
              </w:rPr>
              <w:t>s</w:t>
            </w:r>
          </w:p>
        </w:tc>
        <w:tc>
          <w:tcPr>
            <w:tcW w:w="1134" w:type="dxa"/>
            <w:tcBorders>
              <w:top w:val="single" w:sz="4" w:space="0" w:color="auto"/>
              <w:bottom w:val="single" w:sz="12" w:space="0" w:color="auto"/>
            </w:tcBorders>
            <w:shd w:val="clear" w:color="auto" w:fill="auto"/>
            <w:vAlign w:val="bottom"/>
          </w:tcPr>
          <w:p w:rsidR="00DE0C47" w:rsidRPr="00CD576A" w:rsidRDefault="00DE0C47" w:rsidP="00CA473A">
            <w:pPr>
              <w:suppressAutoHyphens w:val="0"/>
              <w:spacing w:before="80" w:after="80" w:line="200" w:lineRule="exact"/>
              <w:jc w:val="right"/>
              <w:rPr>
                <w:i/>
                <w:sz w:val="16"/>
              </w:rPr>
            </w:pPr>
            <w:r w:rsidRPr="00CD576A">
              <w:rPr>
                <w:i/>
                <w:sz w:val="16"/>
              </w:rPr>
              <w:t>Croate</w:t>
            </w:r>
            <w:r>
              <w:rPr>
                <w:i/>
                <w:sz w:val="16"/>
              </w:rPr>
              <w:t>s</w:t>
            </w:r>
          </w:p>
        </w:tc>
        <w:tc>
          <w:tcPr>
            <w:tcW w:w="1134" w:type="dxa"/>
            <w:tcBorders>
              <w:top w:val="single" w:sz="4" w:space="0" w:color="auto"/>
              <w:bottom w:val="single" w:sz="12" w:space="0" w:color="auto"/>
            </w:tcBorders>
            <w:shd w:val="clear" w:color="auto" w:fill="auto"/>
            <w:vAlign w:val="bottom"/>
          </w:tcPr>
          <w:p w:rsidR="00DE0C47" w:rsidRPr="00CD576A" w:rsidRDefault="00DE0C47" w:rsidP="00CA473A">
            <w:pPr>
              <w:suppressAutoHyphens w:val="0"/>
              <w:spacing w:before="80" w:after="80" w:line="200" w:lineRule="exact"/>
              <w:jc w:val="right"/>
              <w:rPr>
                <w:i/>
                <w:sz w:val="16"/>
              </w:rPr>
            </w:pPr>
            <w:r w:rsidRPr="00CD576A">
              <w:rPr>
                <w:i/>
                <w:sz w:val="16"/>
              </w:rPr>
              <w:t>Serbe</w:t>
            </w:r>
            <w:r>
              <w:rPr>
                <w:i/>
                <w:sz w:val="16"/>
              </w:rPr>
              <w:t>s</w:t>
            </w:r>
          </w:p>
        </w:tc>
        <w:tc>
          <w:tcPr>
            <w:tcW w:w="1134" w:type="dxa"/>
            <w:tcBorders>
              <w:top w:val="single" w:sz="4" w:space="0" w:color="auto"/>
              <w:bottom w:val="single" w:sz="12" w:space="0" w:color="auto"/>
            </w:tcBorders>
            <w:shd w:val="clear" w:color="auto" w:fill="auto"/>
            <w:vAlign w:val="bottom"/>
          </w:tcPr>
          <w:p w:rsidR="00DE0C47" w:rsidRPr="00CD576A" w:rsidRDefault="00DE0C47" w:rsidP="00CA473A">
            <w:pPr>
              <w:suppressAutoHyphens w:val="0"/>
              <w:spacing w:before="80" w:after="80" w:line="200" w:lineRule="exact"/>
              <w:jc w:val="right"/>
              <w:rPr>
                <w:i/>
                <w:sz w:val="16"/>
              </w:rPr>
            </w:pPr>
            <w:r w:rsidRPr="00CD576A">
              <w:rPr>
                <w:i/>
                <w:sz w:val="16"/>
              </w:rPr>
              <w:t>Autres</w:t>
            </w:r>
          </w:p>
        </w:tc>
      </w:tr>
      <w:tr w:rsidR="00DE0C47" w:rsidRPr="00CD576A" w:rsidTr="00CA473A">
        <w:tc>
          <w:tcPr>
            <w:tcW w:w="1700" w:type="dxa"/>
            <w:tcBorders>
              <w:top w:val="single" w:sz="12" w:space="0" w:color="auto"/>
            </w:tcBorders>
            <w:shd w:val="clear" w:color="auto" w:fill="auto"/>
          </w:tcPr>
          <w:p w:rsidR="00DE0C47" w:rsidRPr="00CD576A" w:rsidRDefault="00DE0C47" w:rsidP="00CA473A">
            <w:pPr>
              <w:suppressAutoHyphens w:val="0"/>
              <w:spacing w:before="40" w:after="40" w:line="220" w:lineRule="exact"/>
              <w:rPr>
                <w:sz w:val="18"/>
              </w:rPr>
            </w:pPr>
            <w:r w:rsidRPr="00CD576A">
              <w:rPr>
                <w:sz w:val="18"/>
              </w:rPr>
              <w:t>Au 31 mars 1991</w:t>
            </w:r>
          </w:p>
        </w:tc>
        <w:tc>
          <w:tcPr>
            <w:tcW w:w="1134" w:type="dxa"/>
            <w:tcBorders>
              <w:top w:val="single" w:sz="12" w:space="0" w:color="auto"/>
            </w:tcBorders>
            <w:shd w:val="clear" w:color="auto" w:fill="auto"/>
            <w:vAlign w:val="bottom"/>
          </w:tcPr>
          <w:p w:rsidR="00DE0C47" w:rsidRPr="00BE3AAC" w:rsidRDefault="00DE0C47" w:rsidP="00CA473A">
            <w:pPr>
              <w:spacing w:before="40" w:after="40" w:line="220" w:lineRule="exact"/>
              <w:ind w:left="113" w:right="28"/>
              <w:jc w:val="right"/>
              <w:rPr>
                <w:b/>
                <w:sz w:val="18"/>
              </w:rPr>
            </w:pPr>
            <w:r w:rsidRPr="00BE3AAC">
              <w:rPr>
                <w:b/>
                <w:sz w:val="18"/>
              </w:rPr>
              <w:t>4 377 033</w:t>
            </w:r>
          </w:p>
        </w:tc>
        <w:tc>
          <w:tcPr>
            <w:tcW w:w="1134" w:type="dxa"/>
            <w:tcBorders>
              <w:top w:val="single" w:sz="12" w:space="0" w:color="auto"/>
            </w:tcBorders>
            <w:shd w:val="clear" w:color="auto" w:fill="auto"/>
            <w:vAlign w:val="bottom"/>
          </w:tcPr>
          <w:p w:rsidR="00DE0C47" w:rsidRPr="00C331BB" w:rsidRDefault="00DE0C47" w:rsidP="00CA473A">
            <w:pPr>
              <w:spacing w:before="40" w:after="40" w:line="220" w:lineRule="exact"/>
              <w:ind w:left="113"/>
              <w:jc w:val="right"/>
              <w:rPr>
                <w:sz w:val="18"/>
              </w:rPr>
            </w:pPr>
            <w:r w:rsidRPr="00C331BB">
              <w:rPr>
                <w:sz w:val="18"/>
              </w:rPr>
              <w:t>2 012 718</w:t>
            </w:r>
          </w:p>
        </w:tc>
        <w:tc>
          <w:tcPr>
            <w:tcW w:w="1134" w:type="dxa"/>
            <w:tcBorders>
              <w:top w:val="single" w:sz="12" w:space="0" w:color="auto"/>
            </w:tcBorders>
            <w:shd w:val="clear" w:color="auto" w:fill="auto"/>
            <w:vAlign w:val="bottom"/>
          </w:tcPr>
          <w:p w:rsidR="00DE0C47" w:rsidRPr="00C331BB" w:rsidRDefault="00DE0C47" w:rsidP="00CA473A">
            <w:pPr>
              <w:spacing w:before="40" w:after="40" w:line="220" w:lineRule="exact"/>
              <w:ind w:left="113"/>
              <w:jc w:val="right"/>
              <w:rPr>
                <w:sz w:val="18"/>
              </w:rPr>
            </w:pPr>
            <w:r w:rsidRPr="00C331BB">
              <w:rPr>
                <w:sz w:val="18"/>
              </w:rPr>
              <w:t>805 892</w:t>
            </w:r>
          </w:p>
        </w:tc>
        <w:tc>
          <w:tcPr>
            <w:tcW w:w="1134" w:type="dxa"/>
            <w:tcBorders>
              <w:top w:val="single" w:sz="12" w:space="0" w:color="auto"/>
            </w:tcBorders>
            <w:shd w:val="clear" w:color="auto" w:fill="auto"/>
            <w:vAlign w:val="bottom"/>
          </w:tcPr>
          <w:p w:rsidR="00DE0C47" w:rsidRPr="00C331BB" w:rsidRDefault="00DE0C47" w:rsidP="00CA473A">
            <w:pPr>
              <w:spacing w:before="40" w:after="40" w:line="220" w:lineRule="exact"/>
              <w:ind w:left="113"/>
              <w:jc w:val="right"/>
              <w:rPr>
                <w:sz w:val="18"/>
              </w:rPr>
            </w:pPr>
            <w:r w:rsidRPr="00C331BB">
              <w:rPr>
                <w:sz w:val="18"/>
              </w:rPr>
              <w:t>1 444 384</w:t>
            </w:r>
          </w:p>
        </w:tc>
        <w:tc>
          <w:tcPr>
            <w:tcW w:w="1134" w:type="dxa"/>
            <w:tcBorders>
              <w:top w:val="single" w:sz="12" w:space="0" w:color="auto"/>
            </w:tcBorders>
            <w:shd w:val="clear" w:color="auto" w:fill="auto"/>
            <w:vAlign w:val="bottom"/>
          </w:tcPr>
          <w:p w:rsidR="00DE0C47" w:rsidRPr="00C331BB" w:rsidRDefault="00DE0C47" w:rsidP="00CA473A">
            <w:pPr>
              <w:spacing w:before="40" w:after="40" w:line="220" w:lineRule="exact"/>
              <w:ind w:left="113"/>
              <w:jc w:val="right"/>
              <w:rPr>
                <w:sz w:val="18"/>
              </w:rPr>
            </w:pPr>
            <w:r w:rsidRPr="00C331BB">
              <w:rPr>
                <w:sz w:val="18"/>
              </w:rPr>
              <w:t>111 039</w:t>
            </w:r>
          </w:p>
        </w:tc>
      </w:tr>
      <w:tr w:rsidR="00DE0C47" w:rsidRPr="00CD576A" w:rsidTr="00CA473A">
        <w:tc>
          <w:tcPr>
            <w:tcW w:w="1700" w:type="dxa"/>
            <w:shd w:val="clear" w:color="auto" w:fill="auto"/>
          </w:tcPr>
          <w:p w:rsidR="00DE0C47" w:rsidRPr="00CD576A" w:rsidRDefault="00DE0C47" w:rsidP="00CA473A">
            <w:pPr>
              <w:suppressAutoHyphens w:val="0"/>
              <w:spacing w:before="40" w:after="40" w:line="220" w:lineRule="exact"/>
              <w:rPr>
                <w:sz w:val="18"/>
              </w:rPr>
            </w:pPr>
            <w:r w:rsidRPr="00CD576A">
              <w:rPr>
                <w:sz w:val="18"/>
              </w:rPr>
              <w:t>Au 31 mars 2001</w:t>
            </w:r>
          </w:p>
        </w:tc>
        <w:tc>
          <w:tcPr>
            <w:tcW w:w="1134" w:type="dxa"/>
            <w:shd w:val="clear" w:color="auto" w:fill="auto"/>
            <w:vAlign w:val="bottom"/>
          </w:tcPr>
          <w:p w:rsidR="00DE0C47" w:rsidRPr="00BE3AAC" w:rsidRDefault="00DE0C47" w:rsidP="00CA473A">
            <w:pPr>
              <w:spacing w:before="40" w:after="40" w:line="220" w:lineRule="exact"/>
              <w:ind w:left="113" w:right="28"/>
              <w:jc w:val="right"/>
              <w:rPr>
                <w:b/>
                <w:sz w:val="18"/>
              </w:rPr>
            </w:pPr>
            <w:r w:rsidRPr="00BE3AAC">
              <w:rPr>
                <w:b/>
                <w:sz w:val="18"/>
              </w:rPr>
              <w:t>3 364 825</w:t>
            </w:r>
          </w:p>
        </w:tc>
        <w:tc>
          <w:tcPr>
            <w:tcW w:w="1134" w:type="dxa"/>
            <w:shd w:val="clear" w:color="auto" w:fill="auto"/>
            <w:vAlign w:val="bottom"/>
          </w:tcPr>
          <w:p w:rsidR="00DE0C47" w:rsidRPr="00C331BB" w:rsidRDefault="00DE0C47" w:rsidP="00CA473A">
            <w:pPr>
              <w:spacing w:before="40" w:after="40" w:line="220" w:lineRule="exact"/>
              <w:ind w:left="113"/>
              <w:jc w:val="right"/>
              <w:rPr>
                <w:sz w:val="18"/>
              </w:rPr>
            </w:pPr>
            <w:r w:rsidRPr="00C331BB">
              <w:rPr>
                <w:sz w:val="18"/>
              </w:rPr>
              <w:t>1 626 843</w:t>
            </w:r>
          </w:p>
        </w:tc>
        <w:tc>
          <w:tcPr>
            <w:tcW w:w="1134" w:type="dxa"/>
            <w:shd w:val="clear" w:color="auto" w:fill="auto"/>
            <w:vAlign w:val="bottom"/>
          </w:tcPr>
          <w:p w:rsidR="00DE0C47" w:rsidRPr="00C331BB" w:rsidRDefault="00DE0C47" w:rsidP="00CA473A">
            <w:pPr>
              <w:spacing w:before="40" w:after="40" w:line="220" w:lineRule="exact"/>
              <w:ind w:left="113"/>
              <w:jc w:val="right"/>
              <w:rPr>
                <w:sz w:val="18"/>
              </w:rPr>
            </w:pPr>
            <w:r w:rsidRPr="00C331BB">
              <w:rPr>
                <w:sz w:val="18"/>
              </w:rPr>
              <w:t>519 478</w:t>
            </w:r>
          </w:p>
        </w:tc>
        <w:tc>
          <w:tcPr>
            <w:tcW w:w="1134" w:type="dxa"/>
            <w:shd w:val="clear" w:color="auto" w:fill="auto"/>
            <w:vAlign w:val="bottom"/>
          </w:tcPr>
          <w:p w:rsidR="00DE0C47" w:rsidRPr="00C331BB" w:rsidRDefault="00DE0C47" w:rsidP="00CA473A">
            <w:pPr>
              <w:spacing w:before="40" w:after="40" w:line="220" w:lineRule="exact"/>
              <w:ind w:left="113"/>
              <w:jc w:val="right"/>
              <w:rPr>
                <w:sz w:val="18"/>
              </w:rPr>
            </w:pPr>
            <w:r w:rsidRPr="00C331BB">
              <w:rPr>
                <w:sz w:val="18"/>
              </w:rPr>
              <w:t>1 142 948</w:t>
            </w:r>
          </w:p>
        </w:tc>
        <w:tc>
          <w:tcPr>
            <w:tcW w:w="1134" w:type="dxa"/>
            <w:shd w:val="clear" w:color="auto" w:fill="auto"/>
            <w:vAlign w:val="bottom"/>
          </w:tcPr>
          <w:p w:rsidR="00DE0C47" w:rsidRPr="00C331BB" w:rsidRDefault="00DE0C47" w:rsidP="00CA473A">
            <w:pPr>
              <w:spacing w:before="40" w:after="40" w:line="220" w:lineRule="exact"/>
              <w:ind w:left="113"/>
              <w:jc w:val="right"/>
              <w:rPr>
                <w:sz w:val="18"/>
              </w:rPr>
            </w:pPr>
            <w:r w:rsidRPr="00C331BB">
              <w:rPr>
                <w:sz w:val="18"/>
              </w:rPr>
              <w:t>75 556</w:t>
            </w:r>
          </w:p>
        </w:tc>
      </w:tr>
      <w:tr w:rsidR="00DE0C47" w:rsidRPr="00CD576A" w:rsidTr="00CA473A">
        <w:tc>
          <w:tcPr>
            <w:tcW w:w="1700" w:type="dxa"/>
            <w:shd w:val="clear" w:color="auto" w:fill="auto"/>
          </w:tcPr>
          <w:p w:rsidR="00DE0C47" w:rsidRPr="00CD576A" w:rsidRDefault="00DE0C47" w:rsidP="00CA473A">
            <w:pPr>
              <w:suppressAutoHyphens w:val="0"/>
              <w:spacing w:before="40" w:after="40" w:line="220" w:lineRule="exact"/>
              <w:rPr>
                <w:sz w:val="18"/>
              </w:rPr>
            </w:pPr>
            <w:r w:rsidRPr="00CD576A">
              <w:rPr>
                <w:sz w:val="18"/>
              </w:rPr>
              <w:t>Composition</w:t>
            </w:r>
          </w:p>
        </w:tc>
        <w:tc>
          <w:tcPr>
            <w:tcW w:w="1134" w:type="dxa"/>
            <w:shd w:val="clear" w:color="auto" w:fill="auto"/>
            <w:vAlign w:val="bottom"/>
          </w:tcPr>
          <w:p w:rsidR="00DE0C47" w:rsidRPr="00BE3AAC" w:rsidRDefault="00DE0C47" w:rsidP="00CA473A">
            <w:pPr>
              <w:spacing w:before="40" w:after="40" w:line="220" w:lineRule="exact"/>
              <w:ind w:left="113" w:right="28"/>
              <w:jc w:val="right"/>
              <w:rPr>
                <w:b/>
                <w:sz w:val="18"/>
              </w:rPr>
            </w:pPr>
          </w:p>
        </w:tc>
        <w:tc>
          <w:tcPr>
            <w:tcW w:w="1134" w:type="dxa"/>
            <w:shd w:val="clear" w:color="auto" w:fill="auto"/>
            <w:vAlign w:val="bottom"/>
          </w:tcPr>
          <w:p w:rsidR="00DE0C47" w:rsidRPr="00C331BB" w:rsidRDefault="00DE0C47" w:rsidP="00CA473A">
            <w:pPr>
              <w:spacing w:before="40" w:after="40" w:line="220" w:lineRule="exact"/>
              <w:ind w:left="113"/>
              <w:jc w:val="right"/>
              <w:rPr>
                <w:sz w:val="18"/>
              </w:rPr>
            </w:pPr>
          </w:p>
        </w:tc>
        <w:tc>
          <w:tcPr>
            <w:tcW w:w="1134" w:type="dxa"/>
            <w:shd w:val="clear" w:color="auto" w:fill="auto"/>
            <w:vAlign w:val="bottom"/>
          </w:tcPr>
          <w:p w:rsidR="00DE0C47" w:rsidRPr="00C331BB" w:rsidRDefault="00DE0C47" w:rsidP="00CA473A">
            <w:pPr>
              <w:spacing w:before="40" w:after="40" w:line="220" w:lineRule="exact"/>
              <w:ind w:left="113"/>
              <w:jc w:val="right"/>
              <w:rPr>
                <w:sz w:val="18"/>
              </w:rPr>
            </w:pPr>
          </w:p>
        </w:tc>
        <w:tc>
          <w:tcPr>
            <w:tcW w:w="1134" w:type="dxa"/>
            <w:shd w:val="clear" w:color="auto" w:fill="auto"/>
            <w:vAlign w:val="bottom"/>
          </w:tcPr>
          <w:p w:rsidR="00DE0C47" w:rsidRPr="00C331BB" w:rsidRDefault="00DE0C47" w:rsidP="00CA473A">
            <w:pPr>
              <w:spacing w:before="40" w:after="40" w:line="220" w:lineRule="exact"/>
              <w:ind w:left="113"/>
              <w:jc w:val="right"/>
              <w:rPr>
                <w:sz w:val="18"/>
              </w:rPr>
            </w:pPr>
          </w:p>
        </w:tc>
        <w:tc>
          <w:tcPr>
            <w:tcW w:w="1134" w:type="dxa"/>
            <w:shd w:val="clear" w:color="auto" w:fill="auto"/>
            <w:vAlign w:val="bottom"/>
          </w:tcPr>
          <w:p w:rsidR="00DE0C47" w:rsidRPr="00C331BB" w:rsidRDefault="00DE0C47" w:rsidP="00CA473A">
            <w:pPr>
              <w:spacing w:before="40" w:after="40" w:line="220" w:lineRule="exact"/>
              <w:ind w:left="113"/>
              <w:jc w:val="right"/>
              <w:rPr>
                <w:sz w:val="18"/>
              </w:rPr>
            </w:pPr>
          </w:p>
        </w:tc>
      </w:tr>
      <w:tr w:rsidR="00DE0C47" w:rsidRPr="00CD576A" w:rsidTr="00CA473A">
        <w:tc>
          <w:tcPr>
            <w:tcW w:w="1700" w:type="dxa"/>
            <w:shd w:val="clear" w:color="auto" w:fill="auto"/>
          </w:tcPr>
          <w:p w:rsidR="00DE0C47" w:rsidRPr="00CD576A" w:rsidRDefault="00DE0C47" w:rsidP="00CA473A">
            <w:pPr>
              <w:suppressAutoHyphens w:val="0"/>
              <w:spacing w:before="40" w:after="40" w:line="220" w:lineRule="exact"/>
              <w:ind w:left="284"/>
              <w:rPr>
                <w:sz w:val="18"/>
              </w:rPr>
            </w:pPr>
            <w:r w:rsidRPr="00CD576A">
              <w:rPr>
                <w:sz w:val="18"/>
              </w:rPr>
              <w:t>1991</w:t>
            </w:r>
          </w:p>
        </w:tc>
        <w:tc>
          <w:tcPr>
            <w:tcW w:w="1134" w:type="dxa"/>
            <w:shd w:val="clear" w:color="auto" w:fill="auto"/>
            <w:vAlign w:val="bottom"/>
          </w:tcPr>
          <w:p w:rsidR="00DE0C47" w:rsidRPr="00BE3AAC" w:rsidRDefault="00DE0C47" w:rsidP="00CA473A">
            <w:pPr>
              <w:spacing w:before="40" w:after="40" w:line="220" w:lineRule="exact"/>
              <w:ind w:left="113" w:right="28"/>
              <w:jc w:val="right"/>
              <w:rPr>
                <w:b/>
                <w:sz w:val="18"/>
              </w:rPr>
            </w:pPr>
            <w:r w:rsidRPr="00BE3AAC">
              <w:rPr>
                <w:b/>
                <w:sz w:val="18"/>
              </w:rPr>
              <w:t>100</w:t>
            </w:r>
          </w:p>
        </w:tc>
        <w:tc>
          <w:tcPr>
            <w:tcW w:w="1134" w:type="dxa"/>
            <w:shd w:val="clear" w:color="auto" w:fill="auto"/>
            <w:vAlign w:val="bottom"/>
          </w:tcPr>
          <w:p w:rsidR="00DE0C47" w:rsidRPr="00C331BB" w:rsidRDefault="00DE0C47" w:rsidP="00CA473A">
            <w:pPr>
              <w:spacing w:before="40" w:after="40" w:line="220" w:lineRule="exact"/>
              <w:ind w:left="113"/>
              <w:jc w:val="right"/>
              <w:rPr>
                <w:sz w:val="18"/>
              </w:rPr>
            </w:pPr>
            <w:r w:rsidRPr="00C331BB">
              <w:rPr>
                <w:sz w:val="18"/>
              </w:rPr>
              <w:t>46</w:t>
            </w:r>
            <w:r>
              <w:rPr>
                <w:sz w:val="18"/>
              </w:rPr>
              <w:t>,</w:t>
            </w:r>
            <w:r w:rsidRPr="00C331BB">
              <w:rPr>
                <w:sz w:val="18"/>
              </w:rPr>
              <w:t>0</w:t>
            </w:r>
          </w:p>
        </w:tc>
        <w:tc>
          <w:tcPr>
            <w:tcW w:w="1134" w:type="dxa"/>
            <w:shd w:val="clear" w:color="auto" w:fill="auto"/>
            <w:vAlign w:val="bottom"/>
          </w:tcPr>
          <w:p w:rsidR="00DE0C47" w:rsidRPr="00C331BB" w:rsidRDefault="00DE0C47" w:rsidP="00CA473A">
            <w:pPr>
              <w:spacing w:before="40" w:after="40" w:line="220" w:lineRule="exact"/>
              <w:ind w:left="113"/>
              <w:jc w:val="right"/>
              <w:rPr>
                <w:sz w:val="18"/>
              </w:rPr>
            </w:pPr>
            <w:r w:rsidRPr="00C331BB">
              <w:rPr>
                <w:sz w:val="18"/>
              </w:rPr>
              <w:t>18</w:t>
            </w:r>
            <w:r>
              <w:rPr>
                <w:sz w:val="18"/>
              </w:rPr>
              <w:t>,</w:t>
            </w:r>
            <w:r w:rsidRPr="00C331BB">
              <w:rPr>
                <w:sz w:val="18"/>
              </w:rPr>
              <w:t>4</w:t>
            </w:r>
          </w:p>
        </w:tc>
        <w:tc>
          <w:tcPr>
            <w:tcW w:w="1134" w:type="dxa"/>
            <w:shd w:val="clear" w:color="auto" w:fill="auto"/>
            <w:vAlign w:val="bottom"/>
          </w:tcPr>
          <w:p w:rsidR="00DE0C47" w:rsidRPr="00C331BB" w:rsidRDefault="00DE0C47" w:rsidP="00CA473A">
            <w:pPr>
              <w:spacing w:before="40" w:after="40" w:line="220" w:lineRule="exact"/>
              <w:ind w:left="113"/>
              <w:jc w:val="right"/>
              <w:rPr>
                <w:sz w:val="18"/>
              </w:rPr>
            </w:pPr>
            <w:r w:rsidRPr="00C331BB">
              <w:rPr>
                <w:sz w:val="18"/>
              </w:rPr>
              <w:t>33</w:t>
            </w:r>
            <w:r>
              <w:rPr>
                <w:sz w:val="18"/>
              </w:rPr>
              <w:t>,</w:t>
            </w:r>
            <w:r w:rsidRPr="00C331BB">
              <w:rPr>
                <w:sz w:val="18"/>
              </w:rPr>
              <w:t>1</w:t>
            </w:r>
          </w:p>
        </w:tc>
        <w:tc>
          <w:tcPr>
            <w:tcW w:w="1134" w:type="dxa"/>
            <w:shd w:val="clear" w:color="auto" w:fill="auto"/>
            <w:vAlign w:val="bottom"/>
          </w:tcPr>
          <w:p w:rsidR="00DE0C47" w:rsidRPr="00C331BB" w:rsidRDefault="00DE0C47" w:rsidP="00CA473A">
            <w:pPr>
              <w:spacing w:before="40" w:after="40" w:line="220" w:lineRule="exact"/>
              <w:ind w:left="113"/>
              <w:jc w:val="right"/>
              <w:rPr>
                <w:sz w:val="18"/>
              </w:rPr>
            </w:pPr>
            <w:r w:rsidRPr="00C331BB">
              <w:rPr>
                <w:sz w:val="18"/>
              </w:rPr>
              <w:t>2</w:t>
            </w:r>
            <w:r>
              <w:rPr>
                <w:sz w:val="18"/>
              </w:rPr>
              <w:t>,</w:t>
            </w:r>
            <w:r w:rsidRPr="00C331BB">
              <w:rPr>
                <w:sz w:val="18"/>
              </w:rPr>
              <w:t>4</w:t>
            </w:r>
          </w:p>
        </w:tc>
      </w:tr>
      <w:tr w:rsidR="00DE0C47" w:rsidRPr="00CD576A" w:rsidTr="00CA473A">
        <w:tc>
          <w:tcPr>
            <w:tcW w:w="1700" w:type="dxa"/>
            <w:tcBorders>
              <w:bottom w:val="single" w:sz="12" w:space="0" w:color="auto"/>
            </w:tcBorders>
            <w:shd w:val="clear" w:color="auto" w:fill="auto"/>
          </w:tcPr>
          <w:p w:rsidR="00DE0C47" w:rsidRPr="00CD576A" w:rsidRDefault="00DE0C47" w:rsidP="00CA473A">
            <w:pPr>
              <w:suppressAutoHyphens w:val="0"/>
              <w:spacing w:before="40" w:after="40" w:line="220" w:lineRule="exact"/>
              <w:ind w:left="284"/>
              <w:rPr>
                <w:sz w:val="18"/>
              </w:rPr>
            </w:pPr>
            <w:r w:rsidRPr="00CD576A">
              <w:rPr>
                <w:sz w:val="18"/>
              </w:rPr>
              <w:t>2001</w:t>
            </w:r>
          </w:p>
        </w:tc>
        <w:tc>
          <w:tcPr>
            <w:tcW w:w="1134" w:type="dxa"/>
            <w:tcBorders>
              <w:bottom w:val="single" w:sz="12" w:space="0" w:color="auto"/>
            </w:tcBorders>
            <w:shd w:val="clear" w:color="auto" w:fill="auto"/>
            <w:vAlign w:val="bottom"/>
          </w:tcPr>
          <w:p w:rsidR="00DE0C47" w:rsidRPr="00BE3AAC" w:rsidRDefault="00DE0C47" w:rsidP="00CA473A">
            <w:pPr>
              <w:spacing w:before="40" w:after="40" w:line="220" w:lineRule="exact"/>
              <w:ind w:left="113" w:right="28"/>
              <w:jc w:val="right"/>
              <w:rPr>
                <w:b/>
                <w:sz w:val="18"/>
              </w:rPr>
            </w:pPr>
            <w:r w:rsidRPr="00BE3AAC">
              <w:rPr>
                <w:b/>
                <w:sz w:val="18"/>
              </w:rPr>
              <w:t>100</w:t>
            </w:r>
          </w:p>
        </w:tc>
        <w:tc>
          <w:tcPr>
            <w:tcW w:w="1134" w:type="dxa"/>
            <w:tcBorders>
              <w:bottom w:val="single" w:sz="12" w:space="0" w:color="auto"/>
            </w:tcBorders>
            <w:shd w:val="clear" w:color="auto" w:fill="auto"/>
            <w:vAlign w:val="bottom"/>
          </w:tcPr>
          <w:p w:rsidR="00DE0C47" w:rsidRPr="00C331BB" w:rsidRDefault="00DE0C47" w:rsidP="00CA473A">
            <w:pPr>
              <w:spacing w:before="40" w:after="40" w:line="220" w:lineRule="exact"/>
              <w:ind w:left="113"/>
              <w:jc w:val="right"/>
              <w:rPr>
                <w:sz w:val="18"/>
              </w:rPr>
            </w:pPr>
            <w:r w:rsidRPr="00C331BB">
              <w:rPr>
                <w:sz w:val="18"/>
              </w:rPr>
              <w:t>48</w:t>
            </w:r>
            <w:r>
              <w:rPr>
                <w:sz w:val="18"/>
              </w:rPr>
              <w:t>,</w:t>
            </w:r>
            <w:r w:rsidRPr="00C331BB">
              <w:rPr>
                <w:sz w:val="18"/>
              </w:rPr>
              <w:t>3</w:t>
            </w:r>
          </w:p>
        </w:tc>
        <w:tc>
          <w:tcPr>
            <w:tcW w:w="1134" w:type="dxa"/>
            <w:tcBorders>
              <w:bottom w:val="single" w:sz="12" w:space="0" w:color="auto"/>
            </w:tcBorders>
            <w:shd w:val="clear" w:color="auto" w:fill="auto"/>
            <w:vAlign w:val="bottom"/>
          </w:tcPr>
          <w:p w:rsidR="00DE0C47" w:rsidRPr="00C331BB" w:rsidRDefault="00DE0C47" w:rsidP="00CA473A">
            <w:pPr>
              <w:spacing w:before="40" w:after="40" w:line="220" w:lineRule="exact"/>
              <w:ind w:left="113"/>
              <w:jc w:val="right"/>
              <w:rPr>
                <w:sz w:val="18"/>
              </w:rPr>
            </w:pPr>
            <w:r w:rsidRPr="00C331BB">
              <w:rPr>
                <w:sz w:val="18"/>
              </w:rPr>
              <w:t>15</w:t>
            </w:r>
            <w:r>
              <w:rPr>
                <w:sz w:val="18"/>
              </w:rPr>
              <w:t>,</w:t>
            </w:r>
            <w:r w:rsidRPr="00C331BB">
              <w:rPr>
                <w:sz w:val="18"/>
              </w:rPr>
              <w:t>4</w:t>
            </w:r>
          </w:p>
        </w:tc>
        <w:tc>
          <w:tcPr>
            <w:tcW w:w="1134" w:type="dxa"/>
            <w:tcBorders>
              <w:bottom w:val="single" w:sz="12" w:space="0" w:color="auto"/>
            </w:tcBorders>
            <w:shd w:val="clear" w:color="auto" w:fill="auto"/>
            <w:vAlign w:val="bottom"/>
          </w:tcPr>
          <w:p w:rsidR="00DE0C47" w:rsidRPr="00C331BB" w:rsidRDefault="00DE0C47" w:rsidP="00CA473A">
            <w:pPr>
              <w:spacing w:before="40" w:after="40" w:line="220" w:lineRule="exact"/>
              <w:ind w:left="113"/>
              <w:jc w:val="right"/>
              <w:rPr>
                <w:sz w:val="18"/>
              </w:rPr>
            </w:pPr>
            <w:r w:rsidRPr="00C331BB">
              <w:rPr>
                <w:sz w:val="18"/>
              </w:rPr>
              <w:t>34</w:t>
            </w:r>
            <w:r>
              <w:rPr>
                <w:sz w:val="18"/>
              </w:rPr>
              <w:t>,</w:t>
            </w:r>
            <w:r w:rsidRPr="00C331BB">
              <w:rPr>
                <w:sz w:val="18"/>
              </w:rPr>
              <w:t>0</w:t>
            </w:r>
          </w:p>
        </w:tc>
        <w:tc>
          <w:tcPr>
            <w:tcW w:w="1134" w:type="dxa"/>
            <w:tcBorders>
              <w:bottom w:val="single" w:sz="12" w:space="0" w:color="auto"/>
            </w:tcBorders>
            <w:shd w:val="clear" w:color="auto" w:fill="auto"/>
            <w:vAlign w:val="bottom"/>
          </w:tcPr>
          <w:p w:rsidR="00DE0C47" w:rsidRPr="00C331BB" w:rsidRDefault="00DE0C47" w:rsidP="00CA473A">
            <w:pPr>
              <w:spacing w:before="40" w:after="40" w:line="220" w:lineRule="exact"/>
              <w:ind w:left="113"/>
              <w:jc w:val="right"/>
              <w:rPr>
                <w:sz w:val="18"/>
              </w:rPr>
            </w:pPr>
            <w:r w:rsidRPr="00C331BB">
              <w:rPr>
                <w:sz w:val="18"/>
              </w:rPr>
              <w:t>2</w:t>
            </w:r>
            <w:r>
              <w:rPr>
                <w:sz w:val="18"/>
              </w:rPr>
              <w:t>,</w:t>
            </w:r>
            <w:r w:rsidRPr="00C331BB">
              <w:rPr>
                <w:sz w:val="18"/>
              </w:rPr>
              <w:t>3</w:t>
            </w:r>
          </w:p>
        </w:tc>
      </w:tr>
    </w:tbl>
    <w:p w:rsidR="00DE0C47" w:rsidRPr="00731786" w:rsidRDefault="00DE0C47" w:rsidP="00DE0C47">
      <w:pPr>
        <w:pStyle w:val="Heading1"/>
        <w:spacing w:before="240"/>
      </w:pPr>
      <w:r w:rsidRPr="00731786">
        <w:t>Tableau 6</w:t>
      </w:r>
      <w:r w:rsidRPr="00731786">
        <w:br/>
      </w:r>
      <w:r w:rsidRPr="001518B3">
        <w:rPr>
          <w:b/>
        </w:rPr>
        <w:t>Bilan démographique de la Bosnie-Herzégovine au 31 mars 2001</w:t>
      </w:r>
    </w:p>
    <w:p w:rsidR="00DE0C47" w:rsidRPr="005F3213" w:rsidRDefault="00DE0C47" w:rsidP="00DE0C47">
      <w:pPr>
        <w:pStyle w:val="Heading1"/>
        <w:spacing w:after="120"/>
        <w:rPr>
          <w:sz w:val="16"/>
          <w:szCs w:val="16"/>
        </w:rPr>
      </w:pPr>
      <w:r w:rsidRPr="005F3213">
        <w:rPr>
          <w:sz w:val="16"/>
          <w:szCs w:val="16"/>
        </w:rPr>
        <w:t>Sans la guerre</w:t>
      </w:r>
      <w:r>
        <w:rPr>
          <w:sz w:val="16"/>
          <w:szCs w:val="16"/>
        </w:rPr>
        <w:t>,</w:t>
      </w:r>
      <w:r w:rsidRPr="005F3213">
        <w:rPr>
          <w:sz w:val="16"/>
          <w:szCs w:val="16"/>
        </w:rPr>
        <w:t xml:space="preserve"> le potentiel démographique au 31 mars 2001 aurait été de 4 539 457 personnes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8"/>
        <w:gridCol w:w="1701"/>
        <w:gridCol w:w="1701"/>
      </w:tblGrid>
      <w:tr w:rsidR="00DE0C47" w:rsidRPr="00CD576A" w:rsidTr="00CA473A">
        <w:tc>
          <w:tcPr>
            <w:tcW w:w="3968" w:type="dxa"/>
            <w:tcBorders>
              <w:top w:val="single" w:sz="12" w:space="0" w:color="auto"/>
            </w:tcBorders>
            <w:shd w:val="clear" w:color="auto" w:fill="auto"/>
          </w:tcPr>
          <w:p w:rsidR="00DE0C47" w:rsidRPr="00655E1D" w:rsidRDefault="00DE0C47" w:rsidP="00CA473A">
            <w:pPr>
              <w:suppressAutoHyphens w:val="0"/>
              <w:spacing w:before="40" w:after="40" w:line="220" w:lineRule="exact"/>
              <w:rPr>
                <w:sz w:val="18"/>
              </w:rPr>
            </w:pPr>
            <w:r w:rsidRPr="00655E1D">
              <w:rPr>
                <w:sz w:val="18"/>
              </w:rPr>
              <w:t>Perte de croissance démographique</w:t>
            </w:r>
          </w:p>
        </w:tc>
        <w:tc>
          <w:tcPr>
            <w:tcW w:w="1701" w:type="dxa"/>
            <w:tcBorders>
              <w:top w:val="single" w:sz="12" w:space="0" w:color="auto"/>
            </w:tcBorders>
            <w:shd w:val="clear" w:color="auto" w:fill="auto"/>
            <w:vAlign w:val="bottom"/>
          </w:tcPr>
          <w:p w:rsidR="00DE0C47" w:rsidRPr="00846909" w:rsidRDefault="00DE0C47" w:rsidP="00CA473A">
            <w:pPr>
              <w:spacing w:before="40" w:after="40" w:line="220" w:lineRule="exact"/>
              <w:ind w:left="113"/>
              <w:jc w:val="right"/>
              <w:rPr>
                <w:sz w:val="18"/>
              </w:rPr>
            </w:pPr>
            <w:r w:rsidRPr="00846909">
              <w:rPr>
                <w:sz w:val="18"/>
              </w:rPr>
              <w:t>157 472</w:t>
            </w:r>
          </w:p>
        </w:tc>
        <w:tc>
          <w:tcPr>
            <w:tcW w:w="1701" w:type="dxa"/>
            <w:tcBorders>
              <w:top w:val="single" w:sz="12" w:space="0" w:color="auto"/>
            </w:tcBorders>
            <w:shd w:val="clear" w:color="auto" w:fill="auto"/>
            <w:vAlign w:val="bottom"/>
          </w:tcPr>
          <w:p w:rsidR="00DE0C47" w:rsidRPr="00846909" w:rsidRDefault="00DE0C47" w:rsidP="00CA473A">
            <w:pPr>
              <w:spacing w:before="40" w:after="40" w:line="220" w:lineRule="exact"/>
              <w:ind w:left="113" w:right="28"/>
              <w:jc w:val="right"/>
              <w:rPr>
                <w:sz w:val="18"/>
              </w:rPr>
            </w:pPr>
            <w:r w:rsidRPr="00846909">
              <w:rPr>
                <w:sz w:val="18"/>
              </w:rPr>
              <w:t>3</w:t>
            </w:r>
            <w:r>
              <w:rPr>
                <w:sz w:val="18"/>
              </w:rPr>
              <w:t>,</w:t>
            </w:r>
            <w:r w:rsidRPr="00846909">
              <w:rPr>
                <w:sz w:val="18"/>
              </w:rPr>
              <w:t>5</w:t>
            </w:r>
          </w:p>
        </w:tc>
      </w:tr>
      <w:tr w:rsidR="00DE0C47" w:rsidRPr="00CD576A" w:rsidTr="00CA473A">
        <w:tc>
          <w:tcPr>
            <w:tcW w:w="3968" w:type="dxa"/>
            <w:shd w:val="clear" w:color="auto" w:fill="auto"/>
          </w:tcPr>
          <w:p w:rsidR="00DE0C47" w:rsidRPr="00CD576A" w:rsidRDefault="00DE0C47" w:rsidP="00CA473A">
            <w:pPr>
              <w:suppressAutoHyphens w:val="0"/>
              <w:spacing w:before="40" w:after="40" w:line="220" w:lineRule="exact"/>
              <w:rPr>
                <w:sz w:val="18"/>
              </w:rPr>
            </w:pPr>
            <w:r w:rsidRPr="00CD576A">
              <w:rPr>
                <w:sz w:val="18"/>
              </w:rPr>
              <w:t>Mortalité due à la guerre, dont tués et disparus</w:t>
            </w:r>
          </w:p>
        </w:tc>
        <w:tc>
          <w:tcPr>
            <w:tcW w:w="1701" w:type="dxa"/>
            <w:shd w:val="clear" w:color="auto" w:fill="auto"/>
            <w:vAlign w:val="bottom"/>
          </w:tcPr>
          <w:p w:rsidR="00DE0C47" w:rsidRPr="00846909" w:rsidRDefault="00DE0C47" w:rsidP="00CA473A">
            <w:pPr>
              <w:spacing w:before="40" w:after="40" w:line="220" w:lineRule="exact"/>
              <w:ind w:left="113"/>
              <w:jc w:val="right"/>
              <w:rPr>
                <w:sz w:val="18"/>
              </w:rPr>
            </w:pPr>
            <w:r w:rsidRPr="00846909">
              <w:rPr>
                <w:sz w:val="18"/>
              </w:rPr>
              <w:t>269 810</w:t>
            </w:r>
          </w:p>
        </w:tc>
        <w:tc>
          <w:tcPr>
            <w:tcW w:w="1701" w:type="dxa"/>
            <w:shd w:val="clear" w:color="auto" w:fill="auto"/>
            <w:vAlign w:val="bottom"/>
          </w:tcPr>
          <w:p w:rsidR="00DE0C47" w:rsidRPr="00846909" w:rsidRDefault="00DE0C47" w:rsidP="00CA473A">
            <w:pPr>
              <w:spacing w:before="40" w:after="40" w:line="220" w:lineRule="exact"/>
              <w:ind w:left="113" w:right="28"/>
              <w:jc w:val="right"/>
              <w:rPr>
                <w:sz w:val="18"/>
              </w:rPr>
            </w:pPr>
            <w:r w:rsidRPr="00846909">
              <w:rPr>
                <w:sz w:val="18"/>
              </w:rPr>
              <w:t>5</w:t>
            </w:r>
            <w:r>
              <w:rPr>
                <w:sz w:val="18"/>
              </w:rPr>
              <w:t>,</w:t>
            </w:r>
            <w:r w:rsidRPr="00846909">
              <w:rPr>
                <w:sz w:val="18"/>
              </w:rPr>
              <w:t>9</w:t>
            </w:r>
          </w:p>
        </w:tc>
      </w:tr>
      <w:tr w:rsidR="00DE0C47" w:rsidRPr="00CD576A" w:rsidTr="00CA473A">
        <w:tc>
          <w:tcPr>
            <w:tcW w:w="3968" w:type="dxa"/>
            <w:shd w:val="clear" w:color="auto" w:fill="auto"/>
          </w:tcPr>
          <w:p w:rsidR="00DE0C47" w:rsidRPr="00CD576A" w:rsidRDefault="00DE0C47" w:rsidP="00CA473A">
            <w:pPr>
              <w:suppressAutoHyphens w:val="0"/>
              <w:spacing w:before="40" w:after="40" w:line="220" w:lineRule="exact"/>
              <w:rPr>
                <w:sz w:val="18"/>
              </w:rPr>
            </w:pPr>
            <w:r w:rsidRPr="00CD576A">
              <w:rPr>
                <w:sz w:val="18"/>
              </w:rPr>
              <w:t>Personnes parties à l</w:t>
            </w:r>
            <w:r w:rsidR="00CA473A">
              <w:rPr>
                <w:sz w:val="18"/>
              </w:rPr>
              <w:t>’</w:t>
            </w:r>
            <w:r w:rsidRPr="00CD576A">
              <w:rPr>
                <w:sz w:val="18"/>
              </w:rPr>
              <w:t>étranger</w:t>
            </w:r>
          </w:p>
        </w:tc>
        <w:tc>
          <w:tcPr>
            <w:tcW w:w="1701" w:type="dxa"/>
            <w:shd w:val="clear" w:color="auto" w:fill="auto"/>
            <w:vAlign w:val="bottom"/>
          </w:tcPr>
          <w:p w:rsidR="00DE0C47" w:rsidRPr="00846909" w:rsidRDefault="00DE0C47" w:rsidP="00CA473A">
            <w:pPr>
              <w:spacing w:before="40" w:after="40" w:line="220" w:lineRule="exact"/>
              <w:ind w:left="113"/>
              <w:jc w:val="right"/>
              <w:rPr>
                <w:sz w:val="18"/>
              </w:rPr>
            </w:pPr>
            <w:r w:rsidRPr="00846909">
              <w:rPr>
                <w:sz w:val="18"/>
              </w:rPr>
              <w:t>749 700</w:t>
            </w:r>
          </w:p>
        </w:tc>
        <w:tc>
          <w:tcPr>
            <w:tcW w:w="1701" w:type="dxa"/>
            <w:shd w:val="clear" w:color="auto" w:fill="auto"/>
            <w:vAlign w:val="bottom"/>
          </w:tcPr>
          <w:p w:rsidR="00DE0C47" w:rsidRPr="00846909" w:rsidRDefault="00DE0C47" w:rsidP="00CA473A">
            <w:pPr>
              <w:spacing w:before="40" w:after="40" w:line="220" w:lineRule="exact"/>
              <w:ind w:left="113" w:right="28"/>
              <w:jc w:val="right"/>
              <w:rPr>
                <w:sz w:val="18"/>
              </w:rPr>
            </w:pPr>
            <w:r w:rsidRPr="00846909">
              <w:rPr>
                <w:sz w:val="18"/>
              </w:rPr>
              <w:t>16</w:t>
            </w:r>
            <w:r>
              <w:rPr>
                <w:sz w:val="18"/>
              </w:rPr>
              <w:t>,</w:t>
            </w:r>
            <w:r w:rsidRPr="00846909">
              <w:rPr>
                <w:sz w:val="18"/>
              </w:rPr>
              <w:t>5</w:t>
            </w:r>
          </w:p>
        </w:tc>
      </w:tr>
      <w:tr w:rsidR="00DE0C47" w:rsidRPr="00CD576A" w:rsidTr="00CA473A">
        <w:tc>
          <w:tcPr>
            <w:tcW w:w="3968" w:type="dxa"/>
            <w:tcBorders>
              <w:bottom w:val="single" w:sz="4" w:space="0" w:color="auto"/>
            </w:tcBorders>
            <w:shd w:val="clear" w:color="auto" w:fill="auto"/>
          </w:tcPr>
          <w:p w:rsidR="00DE0C47" w:rsidRPr="00CD576A" w:rsidRDefault="00DE0C47" w:rsidP="00CA473A">
            <w:pPr>
              <w:suppressAutoHyphens w:val="0"/>
              <w:spacing w:before="40" w:after="40" w:line="220" w:lineRule="exact"/>
              <w:rPr>
                <w:sz w:val="18"/>
              </w:rPr>
            </w:pPr>
            <w:r w:rsidRPr="00CD576A">
              <w:rPr>
                <w:sz w:val="18"/>
              </w:rPr>
              <w:t xml:space="preserve">Personnes se trouvant dans le pays </w:t>
            </w:r>
          </w:p>
        </w:tc>
        <w:tc>
          <w:tcPr>
            <w:tcW w:w="1701" w:type="dxa"/>
            <w:tcBorders>
              <w:bottom w:val="single" w:sz="4" w:space="0" w:color="auto"/>
            </w:tcBorders>
            <w:shd w:val="clear" w:color="auto" w:fill="auto"/>
            <w:vAlign w:val="bottom"/>
          </w:tcPr>
          <w:p w:rsidR="00DE0C47" w:rsidRPr="00846909" w:rsidRDefault="00DE0C47" w:rsidP="00CA473A">
            <w:pPr>
              <w:spacing w:before="40" w:after="40" w:line="220" w:lineRule="exact"/>
              <w:ind w:left="113"/>
              <w:jc w:val="right"/>
              <w:rPr>
                <w:sz w:val="18"/>
              </w:rPr>
            </w:pPr>
            <w:r w:rsidRPr="00846909">
              <w:rPr>
                <w:sz w:val="18"/>
              </w:rPr>
              <w:t>3 362 474</w:t>
            </w:r>
          </w:p>
        </w:tc>
        <w:tc>
          <w:tcPr>
            <w:tcW w:w="1701" w:type="dxa"/>
            <w:tcBorders>
              <w:bottom w:val="single" w:sz="4" w:space="0" w:color="auto"/>
            </w:tcBorders>
            <w:shd w:val="clear" w:color="auto" w:fill="auto"/>
            <w:vAlign w:val="bottom"/>
          </w:tcPr>
          <w:p w:rsidR="00DE0C47" w:rsidRPr="00846909" w:rsidRDefault="00DE0C47" w:rsidP="00CA473A">
            <w:pPr>
              <w:spacing w:before="40" w:after="40" w:line="220" w:lineRule="exact"/>
              <w:ind w:left="113" w:right="28"/>
              <w:jc w:val="right"/>
              <w:rPr>
                <w:sz w:val="18"/>
              </w:rPr>
            </w:pPr>
            <w:r w:rsidRPr="00846909">
              <w:rPr>
                <w:sz w:val="18"/>
              </w:rPr>
              <w:t>74</w:t>
            </w:r>
            <w:r>
              <w:rPr>
                <w:sz w:val="18"/>
              </w:rPr>
              <w:t>,</w:t>
            </w:r>
            <w:r w:rsidRPr="00846909">
              <w:rPr>
                <w:sz w:val="18"/>
              </w:rPr>
              <w:t>1</w:t>
            </w:r>
          </w:p>
        </w:tc>
      </w:tr>
      <w:tr w:rsidR="00DE0C47" w:rsidRPr="00655E1D" w:rsidTr="00CA473A">
        <w:tc>
          <w:tcPr>
            <w:tcW w:w="3968" w:type="dxa"/>
            <w:tcBorders>
              <w:top w:val="single" w:sz="4" w:space="0" w:color="auto"/>
              <w:bottom w:val="single" w:sz="12" w:space="0" w:color="auto"/>
            </w:tcBorders>
            <w:shd w:val="clear" w:color="auto" w:fill="auto"/>
          </w:tcPr>
          <w:p w:rsidR="00DE0C47" w:rsidRPr="00655E1D" w:rsidRDefault="00DE0C47" w:rsidP="00CA473A">
            <w:pPr>
              <w:suppressAutoHyphens w:val="0"/>
              <w:spacing w:before="80" w:after="80" w:line="220" w:lineRule="exact"/>
              <w:ind w:left="284"/>
              <w:rPr>
                <w:b/>
                <w:sz w:val="18"/>
              </w:rPr>
            </w:pPr>
            <w:r w:rsidRPr="00655E1D">
              <w:rPr>
                <w:b/>
                <w:sz w:val="18"/>
              </w:rPr>
              <w:t>Total</w:t>
            </w:r>
          </w:p>
        </w:tc>
        <w:tc>
          <w:tcPr>
            <w:tcW w:w="1701" w:type="dxa"/>
            <w:tcBorders>
              <w:top w:val="single" w:sz="4" w:space="0" w:color="auto"/>
              <w:bottom w:val="single" w:sz="12" w:space="0" w:color="auto"/>
            </w:tcBorders>
            <w:shd w:val="clear" w:color="auto" w:fill="auto"/>
            <w:vAlign w:val="bottom"/>
          </w:tcPr>
          <w:p w:rsidR="00DE0C47" w:rsidRPr="00655E1D" w:rsidRDefault="00DE0C47" w:rsidP="00CA473A">
            <w:pPr>
              <w:spacing w:before="80" w:after="80" w:line="220" w:lineRule="exact"/>
              <w:ind w:left="284"/>
              <w:jc w:val="right"/>
              <w:rPr>
                <w:b/>
                <w:sz w:val="18"/>
              </w:rPr>
            </w:pPr>
            <w:r w:rsidRPr="00655E1D">
              <w:rPr>
                <w:b/>
                <w:sz w:val="18"/>
              </w:rPr>
              <w:t>4 539 457</w:t>
            </w:r>
          </w:p>
        </w:tc>
        <w:tc>
          <w:tcPr>
            <w:tcW w:w="1701" w:type="dxa"/>
            <w:tcBorders>
              <w:top w:val="single" w:sz="4" w:space="0" w:color="auto"/>
              <w:bottom w:val="single" w:sz="12" w:space="0" w:color="auto"/>
            </w:tcBorders>
            <w:shd w:val="clear" w:color="auto" w:fill="auto"/>
            <w:vAlign w:val="bottom"/>
          </w:tcPr>
          <w:p w:rsidR="00DE0C47" w:rsidRPr="00655E1D" w:rsidRDefault="00DE0C47" w:rsidP="00CA473A">
            <w:pPr>
              <w:spacing w:before="80" w:after="80" w:line="220" w:lineRule="exact"/>
              <w:ind w:left="284" w:right="28"/>
              <w:jc w:val="right"/>
              <w:rPr>
                <w:b/>
                <w:sz w:val="18"/>
              </w:rPr>
            </w:pPr>
            <w:r w:rsidRPr="00655E1D">
              <w:rPr>
                <w:b/>
                <w:sz w:val="18"/>
              </w:rPr>
              <w:t>100</w:t>
            </w:r>
          </w:p>
        </w:tc>
      </w:tr>
    </w:tbl>
    <w:p w:rsidR="00DE0C47" w:rsidRPr="00731786" w:rsidRDefault="00DE0C47" w:rsidP="00DE0C47">
      <w:pPr>
        <w:pStyle w:val="SingleTxtG"/>
        <w:spacing w:before="240"/>
      </w:pPr>
      <w:r w:rsidRPr="00731786">
        <w:t>22.</w:t>
      </w:r>
      <w:r w:rsidRPr="00731786">
        <w:tab/>
        <w:t>Pour résumer, selon cette source, la Bosnie</w:t>
      </w:r>
      <w:r>
        <w:t>-Herzégovine comptait 4 251 425 </w:t>
      </w:r>
      <w:r w:rsidRPr="00731786">
        <w:t>habitants en 1991, dont 3 364 825 (soit environ 80 %) dans le pays et 20 % (soit 886 600 personnes) à l</w:t>
      </w:r>
      <w:r w:rsidR="00CA473A">
        <w:t>’</w:t>
      </w:r>
      <w:r w:rsidRPr="00731786">
        <w:t>étranger.</w:t>
      </w:r>
    </w:p>
    <w:p w:rsidR="00DE0C47" w:rsidRPr="00731786" w:rsidRDefault="00DE0C47" w:rsidP="00DE0C47">
      <w:pPr>
        <w:pStyle w:val="SingleTxtG"/>
      </w:pPr>
      <w:r w:rsidRPr="00731786">
        <w:t>23.</w:t>
      </w:r>
      <w:r w:rsidRPr="00731786">
        <w:tab/>
        <w:t xml:space="preserve">Un relevé démographique sur dix ans fait donc apparaître </w:t>
      </w:r>
      <w:r>
        <w:t>un déficit de 288 032 </w:t>
      </w:r>
      <w:r w:rsidRPr="00731786">
        <w:t>habitants, par comparaison avec le nombre potentiel de résidents s</w:t>
      </w:r>
      <w:r w:rsidR="00CA473A">
        <w:t>’</w:t>
      </w:r>
      <w:r w:rsidRPr="00731786">
        <w:t>il n</w:t>
      </w:r>
      <w:r w:rsidR="00CA473A">
        <w:t>’</w:t>
      </w:r>
      <w:r w:rsidRPr="00731786">
        <w:t>y avait pas eu la guerre.</w:t>
      </w:r>
    </w:p>
    <w:p w:rsidR="00DE0C47" w:rsidRPr="00731786" w:rsidRDefault="00DE0C47" w:rsidP="00DE0C47">
      <w:pPr>
        <w:pStyle w:val="H1G"/>
      </w:pPr>
      <w:r>
        <w:tab/>
      </w:r>
      <w:r w:rsidRPr="00731786">
        <w:t>D.</w:t>
      </w:r>
      <w:r w:rsidRPr="00731786">
        <w:tab/>
        <w:t xml:space="preserve">Évaluation de la population actuelle en Bosnie-Herzégovine </w:t>
      </w:r>
    </w:p>
    <w:p w:rsidR="00DE0C47" w:rsidRPr="00731786" w:rsidRDefault="00DE0C47" w:rsidP="00DE0C47">
      <w:pPr>
        <w:pStyle w:val="SingleTxtG"/>
      </w:pPr>
      <w:r w:rsidRPr="00731786">
        <w:t>24.</w:t>
      </w:r>
      <w:r w:rsidRPr="00731786">
        <w:tab/>
        <w:t>En dépit des changements démographiques radicaux qui se sont produits en Bosnie-Herzégovine depuis 1991, il n</w:t>
      </w:r>
      <w:r w:rsidR="00CA473A">
        <w:t>’</w:t>
      </w:r>
      <w:r w:rsidRPr="00731786">
        <w:t>y a toujours pas eu de recensement officiel et les indicateurs actuels sont fondés sur des estimations.</w:t>
      </w:r>
    </w:p>
    <w:p w:rsidR="00DE0C47" w:rsidRPr="00731786" w:rsidRDefault="00DE0C47" w:rsidP="00DE0C47">
      <w:pPr>
        <w:pStyle w:val="SingleTxtG"/>
      </w:pPr>
      <w:r w:rsidRPr="00731786">
        <w:t>25.</w:t>
      </w:r>
      <w:r w:rsidRPr="00731786">
        <w:tab/>
        <w:t>Selon la source, on peut avoir un écart allant jusqu</w:t>
      </w:r>
      <w:r w:rsidR="00CA473A">
        <w:t>’</w:t>
      </w:r>
      <w:r w:rsidRPr="00731786">
        <w:t>à plus d</w:t>
      </w:r>
      <w:r w:rsidR="00CA473A">
        <w:t>’</w:t>
      </w:r>
      <w:r w:rsidRPr="00731786">
        <w:t>un million d</w:t>
      </w:r>
      <w:r w:rsidR="00CA473A">
        <w:t>’</w:t>
      </w:r>
      <w:r w:rsidRPr="00731786">
        <w:t>habitants par rapport aux estimations officielles de la population e</w:t>
      </w:r>
      <w:r>
        <w:t>xistante, qui sont de 3 842 000 </w:t>
      </w:r>
      <w:r w:rsidRPr="00731786">
        <w:t>habitants</w:t>
      </w:r>
      <w:r w:rsidRPr="003A53B4">
        <w:rPr>
          <w:rStyle w:val="FootnoteTextChar"/>
          <w:vertAlign w:val="superscript"/>
        </w:rPr>
        <w:footnoteReference w:id="6"/>
      </w:r>
      <w:r w:rsidRPr="00731786">
        <w:t>. Par exemple, alors que la plupart des estimations actuelles situent la population à 4 590 319 personnes</w:t>
      </w:r>
      <w:r w:rsidRPr="003A53B4">
        <w:rPr>
          <w:rStyle w:val="FootnoteTextChar"/>
          <w:vertAlign w:val="superscript"/>
        </w:rPr>
        <w:footnoteReference w:id="7"/>
      </w:r>
      <w:r w:rsidRPr="00731786">
        <w:t>, le Ministère des droits</w:t>
      </w:r>
      <w:r w:rsidR="003A53B4">
        <w:t xml:space="preserve"> de l</w:t>
      </w:r>
      <w:r w:rsidR="00CA473A">
        <w:t>’</w:t>
      </w:r>
      <w:r w:rsidR="003A53B4">
        <w:t>homme et des réfugiés (ci</w:t>
      </w:r>
      <w:r w:rsidR="003A53B4">
        <w:noBreakHyphen/>
      </w:r>
      <w:r w:rsidRPr="00731786">
        <w:t xml:space="preserve">après </w:t>
      </w:r>
      <w:r>
        <w:t xml:space="preserve">désigné </w:t>
      </w:r>
      <w:r w:rsidRPr="00731786">
        <w:t>le Ministère) estimait à quelque 3,5 millions</w:t>
      </w:r>
      <w:r w:rsidRPr="003A53B4">
        <w:rPr>
          <w:rStyle w:val="FootnoteTextChar"/>
          <w:vertAlign w:val="superscript"/>
        </w:rPr>
        <w:footnoteReference w:id="8"/>
      </w:r>
      <w:r w:rsidRPr="00731786">
        <w:t xml:space="preserve"> le nombre d</w:t>
      </w:r>
      <w:r w:rsidR="00CA473A">
        <w:t>’</w:t>
      </w:r>
      <w:r w:rsidRPr="00731786">
        <w:t>habitants de la Bosnie-Herzégovine à la fin de 2005.</w:t>
      </w:r>
    </w:p>
    <w:p w:rsidR="00DE0C47" w:rsidRPr="00731786" w:rsidRDefault="00DE0C47" w:rsidP="00DE0C47">
      <w:pPr>
        <w:pStyle w:val="SingleTxtG"/>
      </w:pPr>
      <w:r w:rsidRPr="00731786">
        <w:t>26.</w:t>
      </w:r>
      <w:r w:rsidRPr="00731786">
        <w:tab/>
        <w:t>Si l</w:t>
      </w:r>
      <w:r w:rsidR="00CA473A">
        <w:t>’</w:t>
      </w:r>
      <w:r w:rsidRPr="00731786">
        <w:t>on ajoute la population des moins de 18 ans − dont l</w:t>
      </w:r>
      <w:r w:rsidR="00CA473A">
        <w:t>’</w:t>
      </w:r>
      <w:r w:rsidRPr="00731786">
        <w:t>effectif est estimé sur la base de la place qu</w:t>
      </w:r>
      <w:r w:rsidR="00CA473A">
        <w:t>’</w:t>
      </w:r>
      <w:r w:rsidRPr="00731786">
        <w:t>occupent les mineurs dans la structure d</w:t>
      </w:r>
      <w:r w:rsidR="00CA473A">
        <w:t>’</w:t>
      </w:r>
      <w:r w:rsidRPr="00731786">
        <w:t>âge de la population de la Bosnie-Herzégovine − au chiffre de 2 980 211</w:t>
      </w:r>
      <w:r w:rsidRPr="003A53B4">
        <w:rPr>
          <w:rStyle w:val="FootnoteTextChar"/>
          <w:vertAlign w:val="superscript"/>
        </w:rPr>
        <w:footnoteReference w:id="9"/>
      </w:r>
      <w:r w:rsidRPr="00731786">
        <w:t xml:space="preserve"> électeurs actifs enregistré</w:t>
      </w:r>
      <w:r>
        <w:t>s</w:t>
      </w:r>
      <w:r w:rsidRPr="00731786">
        <w:t xml:space="preserve"> pour les élections locales, les écarts par rapport aux estimations du Ministère peuvent être considérés comme négligeables.</w:t>
      </w:r>
    </w:p>
    <w:p w:rsidR="00DE0C47" w:rsidRPr="00731786" w:rsidRDefault="00DE0C47" w:rsidP="00DE0C47">
      <w:pPr>
        <w:pStyle w:val="SingleTxtG"/>
      </w:pPr>
      <w:r w:rsidRPr="00731786">
        <w:t>27.</w:t>
      </w:r>
      <w:r w:rsidRPr="00731786">
        <w:tab/>
        <w:t xml:space="preserve">En 1991, le taux de natalité en </w:t>
      </w:r>
      <w:r>
        <w:t>Bosnie-Herzégovine était de 14,</w:t>
      </w:r>
      <w:r w:rsidR="00617A69">
        <w:t>8 ‰</w:t>
      </w:r>
      <w:r w:rsidRPr="00731786">
        <w:t xml:space="preserve">, et le taux de mortalité de 7 </w:t>
      </w:r>
      <w:r w:rsidR="00617A69">
        <w:t>‰</w:t>
      </w:r>
      <w:r w:rsidRPr="00731786">
        <w:t xml:space="preserve">, ce qui donnait une valeur modérée de 7,8 </w:t>
      </w:r>
      <w:r w:rsidR="00617A69">
        <w:t xml:space="preserve">‰ </w:t>
      </w:r>
      <w:r w:rsidRPr="00731786">
        <w:t>comme taux de croissance naturelle. Durant la période de 1996 à 2007, le taux de natalité a continué de diminuer, tandis que le taux de mortalité continuait d</w:t>
      </w:r>
      <w:r w:rsidR="00CA473A">
        <w:t>’</w:t>
      </w:r>
      <w:r w:rsidRPr="00731786">
        <w:t>augmenter, ce qui s</w:t>
      </w:r>
      <w:r w:rsidR="00CA473A">
        <w:t>’</w:t>
      </w:r>
      <w:r w:rsidRPr="00731786">
        <w:t xml:space="preserve">est traduit en 2007 par un taux de croissance naturelle de 0,1 </w:t>
      </w:r>
      <w:r w:rsidR="00617A69">
        <w:t>‰</w:t>
      </w:r>
      <w:r w:rsidRPr="00731786">
        <w:t>.</w:t>
      </w:r>
    </w:p>
    <w:p w:rsidR="00DE0C47" w:rsidRPr="00731786" w:rsidRDefault="00DE0C47" w:rsidP="00DE0C47">
      <w:pPr>
        <w:pStyle w:val="SingleTxtG"/>
      </w:pPr>
      <w:r w:rsidRPr="00731786">
        <w:t>28.</w:t>
      </w:r>
      <w:r w:rsidRPr="00731786">
        <w:tab/>
        <w:t>L</w:t>
      </w:r>
      <w:r w:rsidR="00CA473A">
        <w:t>’</w:t>
      </w:r>
      <w:r w:rsidRPr="00731786">
        <w:t xml:space="preserve">indice synthétique de fécondité était de 1,194 </w:t>
      </w:r>
      <w:r w:rsidR="00617A69">
        <w:t>‰</w:t>
      </w:r>
      <w:r w:rsidRPr="00731786">
        <w:t xml:space="preserve">, soit </w:t>
      </w:r>
      <w:r>
        <w:t xml:space="preserve">une valeur inférieure au </w:t>
      </w:r>
      <w:r w:rsidRPr="00731786">
        <w:t>niveau de la simple reproduction de la population. La valeur critique de l</w:t>
      </w:r>
      <w:r w:rsidR="00CA473A">
        <w:t>’</w:t>
      </w:r>
      <w:r w:rsidRPr="00731786">
        <w:t>indice synthétique de fécondité, pour assurer la simple reproduction de la population, est de 2,1 (nombre moyen d</w:t>
      </w:r>
      <w:r w:rsidR="00CA473A">
        <w:t>’</w:t>
      </w:r>
      <w:r w:rsidRPr="00731786">
        <w:t xml:space="preserve">enfants par femme en âge de procréer). </w:t>
      </w:r>
    </w:p>
    <w:p w:rsidR="00DE0C47" w:rsidRPr="00731786" w:rsidRDefault="00DE0C47" w:rsidP="00DE0C47">
      <w:pPr>
        <w:pStyle w:val="SingleTxtG"/>
      </w:pPr>
      <w:r w:rsidRPr="00731786">
        <w:t>29.</w:t>
      </w:r>
      <w:r w:rsidRPr="00731786">
        <w:tab/>
        <w:t xml:space="preserve">Les enquêtes qui ont été menées en Bosnie-Herzégovine ces dernières années </w:t>
      </w:r>
      <w:r>
        <w:t>font apparaître</w:t>
      </w:r>
      <w:r w:rsidRPr="00731786">
        <w:t xml:space="preserve"> des données inquiétantes en ce qui concerne les caractéristiques sociodémographiques de la population. </w:t>
      </w:r>
    </w:p>
    <w:p w:rsidR="00DE0C47" w:rsidRPr="00731786" w:rsidRDefault="00DE0C47" w:rsidP="00DE0C47">
      <w:pPr>
        <w:pStyle w:val="SingleTxtG"/>
      </w:pPr>
      <w:r w:rsidRPr="00731786">
        <w:t>30.</w:t>
      </w:r>
      <w:r w:rsidRPr="00731786">
        <w:tab/>
        <w:t>Selon l</w:t>
      </w:r>
      <w:r w:rsidR="00CA473A">
        <w:t>’</w:t>
      </w:r>
      <w:r w:rsidRPr="00731786">
        <w:t>enquête sur la consommation des ménages menée dans le pays en 2007, la population totale de la Bosnie-Herzégovine s</w:t>
      </w:r>
      <w:r w:rsidR="00CA473A">
        <w:t>’</w:t>
      </w:r>
      <w:r w:rsidRPr="00731786">
        <w:t xml:space="preserve">élève à 3 447 156 personnes, dont 64,2 % en Fédération de Bosnie-Herzégovine, 33,8 % en Republika Srpska et 2 % dans le district de Brcko. </w:t>
      </w:r>
    </w:p>
    <w:p w:rsidR="00DE0C47" w:rsidRPr="00731786" w:rsidRDefault="00DE0C47" w:rsidP="00DE0C47">
      <w:pPr>
        <w:pStyle w:val="Heading1"/>
        <w:spacing w:after="120"/>
      </w:pPr>
      <w:r w:rsidRPr="00731786">
        <w:t>Tableau 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67"/>
        <w:gridCol w:w="1701"/>
        <w:gridCol w:w="1701"/>
        <w:gridCol w:w="1701"/>
      </w:tblGrid>
      <w:tr w:rsidR="00DE0C47" w:rsidRPr="0037533B" w:rsidTr="00CA473A">
        <w:trPr>
          <w:tblHeader/>
        </w:trPr>
        <w:tc>
          <w:tcPr>
            <w:tcW w:w="2267" w:type="dxa"/>
            <w:tcBorders>
              <w:top w:val="single" w:sz="4" w:space="0" w:color="auto"/>
              <w:bottom w:val="single" w:sz="12" w:space="0" w:color="auto"/>
            </w:tcBorders>
            <w:shd w:val="clear" w:color="auto" w:fill="auto"/>
            <w:vAlign w:val="bottom"/>
          </w:tcPr>
          <w:p w:rsidR="00DE0C47" w:rsidRPr="0037533B" w:rsidRDefault="00DE0C47" w:rsidP="00CA473A">
            <w:pPr>
              <w:suppressAutoHyphens w:val="0"/>
              <w:spacing w:before="80" w:after="80" w:line="200" w:lineRule="exact"/>
              <w:rPr>
                <w:i/>
                <w:sz w:val="16"/>
              </w:rPr>
            </w:pPr>
            <w:r w:rsidRPr="0037533B">
              <w:rPr>
                <w:i/>
                <w:sz w:val="16"/>
              </w:rPr>
              <w:t xml:space="preserve">Âge moyen </w:t>
            </w:r>
          </w:p>
        </w:tc>
        <w:tc>
          <w:tcPr>
            <w:tcW w:w="1701" w:type="dxa"/>
            <w:tcBorders>
              <w:top w:val="single" w:sz="4" w:space="0" w:color="auto"/>
              <w:bottom w:val="single" w:sz="12" w:space="0" w:color="auto"/>
            </w:tcBorders>
            <w:shd w:val="clear" w:color="auto" w:fill="auto"/>
            <w:vAlign w:val="bottom"/>
          </w:tcPr>
          <w:p w:rsidR="00DE0C47" w:rsidRPr="0037533B" w:rsidRDefault="00DE0C47" w:rsidP="00CA473A">
            <w:pPr>
              <w:suppressAutoHyphens w:val="0"/>
              <w:spacing w:before="80" w:after="80" w:line="200" w:lineRule="exact"/>
              <w:jc w:val="right"/>
              <w:rPr>
                <w:i/>
                <w:sz w:val="16"/>
              </w:rPr>
            </w:pPr>
            <w:r w:rsidRPr="0037533B">
              <w:rPr>
                <w:i/>
                <w:sz w:val="16"/>
              </w:rPr>
              <w:t xml:space="preserve">Hommes </w:t>
            </w:r>
          </w:p>
        </w:tc>
        <w:tc>
          <w:tcPr>
            <w:tcW w:w="1701" w:type="dxa"/>
            <w:tcBorders>
              <w:top w:val="single" w:sz="4" w:space="0" w:color="auto"/>
              <w:bottom w:val="single" w:sz="12" w:space="0" w:color="auto"/>
            </w:tcBorders>
            <w:shd w:val="clear" w:color="auto" w:fill="auto"/>
            <w:vAlign w:val="bottom"/>
          </w:tcPr>
          <w:p w:rsidR="00DE0C47" w:rsidRPr="0037533B" w:rsidRDefault="00DE0C47" w:rsidP="00CA473A">
            <w:pPr>
              <w:suppressAutoHyphens w:val="0"/>
              <w:spacing w:before="80" w:after="80" w:line="200" w:lineRule="exact"/>
              <w:jc w:val="right"/>
              <w:rPr>
                <w:i/>
                <w:sz w:val="16"/>
              </w:rPr>
            </w:pPr>
            <w:r w:rsidRPr="0037533B">
              <w:rPr>
                <w:i/>
                <w:sz w:val="16"/>
              </w:rPr>
              <w:t xml:space="preserve">Femmes </w:t>
            </w:r>
          </w:p>
        </w:tc>
        <w:tc>
          <w:tcPr>
            <w:tcW w:w="1701" w:type="dxa"/>
            <w:tcBorders>
              <w:top w:val="single" w:sz="4" w:space="0" w:color="auto"/>
              <w:bottom w:val="single" w:sz="12" w:space="0" w:color="auto"/>
            </w:tcBorders>
            <w:shd w:val="clear" w:color="auto" w:fill="auto"/>
            <w:vAlign w:val="bottom"/>
          </w:tcPr>
          <w:p w:rsidR="00DE0C47" w:rsidRPr="003C66D7" w:rsidRDefault="00DE0C47" w:rsidP="00CA473A">
            <w:pPr>
              <w:suppressAutoHyphens w:val="0"/>
              <w:spacing w:before="80" w:after="80" w:line="200" w:lineRule="exact"/>
              <w:jc w:val="right"/>
              <w:rPr>
                <w:b/>
                <w:i/>
                <w:sz w:val="16"/>
              </w:rPr>
            </w:pPr>
            <w:r w:rsidRPr="003C66D7">
              <w:rPr>
                <w:b/>
                <w:i/>
                <w:sz w:val="16"/>
              </w:rPr>
              <w:t>Total</w:t>
            </w:r>
          </w:p>
        </w:tc>
      </w:tr>
      <w:tr w:rsidR="00DE0C47" w:rsidRPr="0037533B" w:rsidTr="00CA473A">
        <w:tc>
          <w:tcPr>
            <w:tcW w:w="2267" w:type="dxa"/>
            <w:tcBorders>
              <w:top w:val="single" w:sz="12" w:space="0" w:color="auto"/>
            </w:tcBorders>
            <w:shd w:val="clear" w:color="auto" w:fill="auto"/>
          </w:tcPr>
          <w:p w:rsidR="00DE0C47" w:rsidRPr="0037533B" w:rsidRDefault="00DE0C47" w:rsidP="00CA473A">
            <w:pPr>
              <w:suppressAutoHyphens w:val="0"/>
              <w:spacing w:before="40" w:after="40" w:line="220" w:lineRule="exact"/>
              <w:rPr>
                <w:sz w:val="18"/>
              </w:rPr>
            </w:pPr>
            <w:r w:rsidRPr="0037533B">
              <w:rPr>
                <w:sz w:val="18"/>
              </w:rPr>
              <w:t>1981</w:t>
            </w:r>
          </w:p>
        </w:tc>
        <w:tc>
          <w:tcPr>
            <w:tcW w:w="1701" w:type="dxa"/>
            <w:tcBorders>
              <w:top w:val="single" w:sz="12" w:space="0" w:color="auto"/>
            </w:tcBorders>
            <w:shd w:val="clear" w:color="auto" w:fill="auto"/>
            <w:vAlign w:val="bottom"/>
          </w:tcPr>
          <w:p w:rsidR="00DE0C47" w:rsidRPr="0037533B" w:rsidRDefault="00DE0C47" w:rsidP="00CA473A">
            <w:pPr>
              <w:suppressAutoHyphens w:val="0"/>
              <w:spacing w:before="40" w:after="40" w:line="220" w:lineRule="exact"/>
              <w:jc w:val="right"/>
              <w:rPr>
                <w:sz w:val="18"/>
              </w:rPr>
            </w:pPr>
            <w:r w:rsidRPr="0037533B">
              <w:rPr>
                <w:sz w:val="18"/>
              </w:rPr>
              <w:t>28,7</w:t>
            </w:r>
          </w:p>
        </w:tc>
        <w:tc>
          <w:tcPr>
            <w:tcW w:w="1701" w:type="dxa"/>
            <w:tcBorders>
              <w:top w:val="single" w:sz="12" w:space="0" w:color="auto"/>
            </w:tcBorders>
            <w:shd w:val="clear" w:color="auto" w:fill="auto"/>
            <w:vAlign w:val="bottom"/>
          </w:tcPr>
          <w:p w:rsidR="00DE0C47" w:rsidRPr="0037533B" w:rsidRDefault="00DE0C47" w:rsidP="00CA473A">
            <w:pPr>
              <w:suppressAutoHyphens w:val="0"/>
              <w:spacing w:before="40" w:after="40" w:line="220" w:lineRule="exact"/>
              <w:jc w:val="right"/>
              <w:rPr>
                <w:sz w:val="18"/>
              </w:rPr>
            </w:pPr>
            <w:r w:rsidRPr="0037533B">
              <w:rPr>
                <w:sz w:val="18"/>
              </w:rPr>
              <w:t>30,5</w:t>
            </w:r>
          </w:p>
        </w:tc>
        <w:tc>
          <w:tcPr>
            <w:tcW w:w="1701" w:type="dxa"/>
            <w:tcBorders>
              <w:top w:val="single" w:sz="12" w:space="0" w:color="auto"/>
            </w:tcBorders>
            <w:shd w:val="clear" w:color="auto" w:fill="auto"/>
            <w:vAlign w:val="bottom"/>
          </w:tcPr>
          <w:p w:rsidR="00DE0C47" w:rsidRPr="003C66D7" w:rsidRDefault="00DE0C47" w:rsidP="00CA473A">
            <w:pPr>
              <w:suppressAutoHyphens w:val="0"/>
              <w:spacing w:before="40" w:after="40" w:line="220" w:lineRule="exact"/>
              <w:jc w:val="right"/>
              <w:rPr>
                <w:b/>
                <w:sz w:val="18"/>
              </w:rPr>
            </w:pPr>
            <w:r w:rsidRPr="003C66D7">
              <w:rPr>
                <w:b/>
                <w:sz w:val="18"/>
              </w:rPr>
              <w:t>29,6</w:t>
            </w:r>
          </w:p>
        </w:tc>
      </w:tr>
      <w:tr w:rsidR="00DE0C47" w:rsidRPr="0037533B" w:rsidTr="00CA473A">
        <w:tc>
          <w:tcPr>
            <w:tcW w:w="2267" w:type="dxa"/>
            <w:shd w:val="clear" w:color="auto" w:fill="auto"/>
          </w:tcPr>
          <w:p w:rsidR="00DE0C47" w:rsidRPr="0037533B" w:rsidRDefault="00DE0C47" w:rsidP="00CA473A">
            <w:pPr>
              <w:suppressAutoHyphens w:val="0"/>
              <w:spacing w:before="40" w:after="40" w:line="220" w:lineRule="exact"/>
              <w:rPr>
                <w:sz w:val="18"/>
              </w:rPr>
            </w:pPr>
            <w:r w:rsidRPr="0037533B">
              <w:rPr>
                <w:sz w:val="18"/>
              </w:rPr>
              <w:t>1991</w:t>
            </w:r>
          </w:p>
        </w:tc>
        <w:tc>
          <w:tcPr>
            <w:tcW w:w="1701" w:type="dxa"/>
            <w:shd w:val="clear" w:color="auto" w:fill="auto"/>
            <w:vAlign w:val="bottom"/>
          </w:tcPr>
          <w:p w:rsidR="00DE0C47" w:rsidRPr="0037533B" w:rsidRDefault="00DE0C47" w:rsidP="00CA473A">
            <w:pPr>
              <w:suppressAutoHyphens w:val="0"/>
              <w:spacing w:before="40" w:after="40" w:line="220" w:lineRule="exact"/>
              <w:jc w:val="right"/>
              <w:rPr>
                <w:sz w:val="18"/>
              </w:rPr>
            </w:pPr>
            <w:r w:rsidRPr="0037533B">
              <w:rPr>
                <w:sz w:val="18"/>
              </w:rPr>
              <w:t>33</w:t>
            </w:r>
          </w:p>
        </w:tc>
        <w:tc>
          <w:tcPr>
            <w:tcW w:w="1701" w:type="dxa"/>
            <w:shd w:val="clear" w:color="auto" w:fill="auto"/>
            <w:vAlign w:val="bottom"/>
          </w:tcPr>
          <w:p w:rsidR="00DE0C47" w:rsidRPr="0037533B" w:rsidRDefault="00DE0C47" w:rsidP="00CA473A">
            <w:pPr>
              <w:suppressAutoHyphens w:val="0"/>
              <w:spacing w:before="40" w:after="40" w:line="220" w:lineRule="exact"/>
              <w:jc w:val="right"/>
              <w:rPr>
                <w:sz w:val="18"/>
              </w:rPr>
            </w:pPr>
            <w:r w:rsidRPr="0037533B">
              <w:rPr>
                <w:sz w:val="18"/>
              </w:rPr>
              <w:t>35</w:t>
            </w:r>
          </w:p>
        </w:tc>
        <w:tc>
          <w:tcPr>
            <w:tcW w:w="1701" w:type="dxa"/>
            <w:shd w:val="clear" w:color="auto" w:fill="auto"/>
            <w:vAlign w:val="bottom"/>
          </w:tcPr>
          <w:p w:rsidR="00DE0C47" w:rsidRPr="003C66D7" w:rsidRDefault="00DE0C47" w:rsidP="00CA473A">
            <w:pPr>
              <w:suppressAutoHyphens w:val="0"/>
              <w:spacing w:before="40" w:after="40" w:line="220" w:lineRule="exact"/>
              <w:jc w:val="right"/>
              <w:rPr>
                <w:b/>
                <w:sz w:val="18"/>
              </w:rPr>
            </w:pPr>
            <w:r w:rsidRPr="003C66D7">
              <w:rPr>
                <w:b/>
                <w:sz w:val="18"/>
              </w:rPr>
              <w:t>34</w:t>
            </w:r>
          </w:p>
        </w:tc>
      </w:tr>
      <w:tr w:rsidR="00DE0C47" w:rsidRPr="0037533B" w:rsidTr="00CA473A">
        <w:tc>
          <w:tcPr>
            <w:tcW w:w="2267" w:type="dxa"/>
            <w:tcBorders>
              <w:bottom w:val="single" w:sz="12" w:space="0" w:color="auto"/>
            </w:tcBorders>
            <w:shd w:val="clear" w:color="auto" w:fill="auto"/>
          </w:tcPr>
          <w:p w:rsidR="00DE0C47" w:rsidRPr="0037533B" w:rsidRDefault="00DE0C47" w:rsidP="00CA473A">
            <w:pPr>
              <w:suppressAutoHyphens w:val="0"/>
              <w:spacing w:before="40" w:after="40" w:line="220" w:lineRule="exact"/>
              <w:rPr>
                <w:sz w:val="18"/>
              </w:rPr>
            </w:pPr>
            <w:r w:rsidRPr="0037533B">
              <w:rPr>
                <w:sz w:val="18"/>
              </w:rPr>
              <w:t>2007</w:t>
            </w:r>
          </w:p>
        </w:tc>
        <w:tc>
          <w:tcPr>
            <w:tcW w:w="1701" w:type="dxa"/>
            <w:tcBorders>
              <w:bottom w:val="single" w:sz="12" w:space="0" w:color="auto"/>
            </w:tcBorders>
            <w:shd w:val="clear" w:color="auto" w:fill="auto"/>
            <w:vAlign w:val="bottom"/>
          </w:tcPr>
          <w:p w:rsidR="00DE0C47" w:rsidRPr="0037533B" w:rsidRDefault="00DE0C47" w:rsidP="00CA473A">
            <w:pPr>
              <w:suppressAutoHyphens w:val="0"/>
              <w:spacing w:before="40" w:after="40" w:line="220" w:lineRule="exact"/>
              <w:jc w:val="right"/>
              <w:rPr>
                <w:sz w:val="18"/>
              </w:rPr>
            </w:pPr>
            <w:r w:rsidRPr="0037533B">
              <w:rPr>
                <w:sz w:val="18"/>
              </w:rPr>
              <w:t>37,2</w:t>
            </w:r>
          </w:p>
        </w:tc>
        <w:tc>
          <w:tcPr>
            <w:tcW w:w="1701" w:type="dxa"/>
            <w:tcBorders>
              <w:bottom w:val="single" w:sz="12" w:space="0" w:color="auto"/>
            </w:tcBorders>
            <w:shd w:val="clear" w:color="auto" w:fill="auto"/>
            <w:vAlign w:val="bottom"/>
          </w:tcPr>
          <w:p w:rsidR="00DE0C47" w:rsidRPr="0037533B" w:rsidRDefault="00DE0C47" w:rsidP="00CA473A">
            <w:pPr>
              <w:suppressAutoHyphens w:val="0"/>
              <w:spacing w:before="40" w:after="40" w:line="220" w:lineRule="exact"/>
              <w:jc w:val="right"/>
              <w:rPr>
                <w:sz w:val="18"/>
              </w:rPr>
            </w:pPr>
            <w:r w:rsidRPr="0037533B">
              <w:rPr>
                <w:sz w:val="18"/>
              </w:rPr>
              <w:t>39,4</w:t>
            </w:r>
          </w:p>
        </w:tc>
        <w:tc>
          <w:tcPr>
            <w:tcW w:w="1701" w:type="dxa"/>
            <w:tcBorders>
              <w:bottom w:val="single" w:sz="12" w:space="0" w:color="auto"/>
            </w:tcBorders>
            <w:shd w:val="clear" w:color="auto" w:fill="auto"/>
            <w:vAlign w:val="bottom"/>
          </w:tcPr>
          <w:p w:rsidR="00DE0C47" w:rsidRPr="003C66D7" w:rsidRDefault="00DE0C47" w:rsidP="00CA473A">
            <w:pPr>
              <w:suppressAutoHyphens w:val="0"/>
              <w:spacing w:before="40" w:after="40" w:line="220" w:lineRule="exact"/>
              <w:jc w:val="right"/>
              <w:rPr>
                <w:b/>
                <w:sz w:val="18"/>
              </w:rPr>
            </w:pPr>
            <w:r w:rsidRPr="003C66D7">
              <w:rPr>
                <w:b/>
                <w:sz w:val="18"/>
              </w:rPr>
              <w:t>38,3</w:t>
            </w:r>
          </w:p>
        </w:tc>
      </w:tr>
    </w:tbl>
    <w:p w:rsidR="00DE0C47" w:rsidRPr="00731786" w:rsidRDefault="00DE0C47" w:rsidP="00DE0C47">
      <w:pPr>
        <w:pStyle w:val="SingleTxtG"/>
        <w:spacing w:before="240"/>
      </w:pPr>
      <w:r w:rsidRPr="00731786">
        <w:t>31.</w:t>
      </w:r>
      <w:r w:rsidRPr="00731786">
        <w:tab/>
        <w:t>L</w:t>
      </w:r>
      <w:r w:rsidR="00CA473A">
        <w:t>’</w:t>
      </w:r>
      <w:r w:rsidRPr="00731786">
        <w:t>âge moyen de la population en Bosnie-Herzégovine est en augmentation. Selon des données de 2007, l</w:t>
      </w:r>
      <w:r w:rsidR="00CA473A">
        <w:t>’</w:t>
      </w:r>
      <w:r w:rsidRPr="00731786">
        <w:t xml:space="preserve">âge moyen est de 38,3 ans. Il existe </w:t>
      </w:r>
      <w:r>
        <w:t xml:space="preserve">à cet égard </w:t>
      </w:r>
      <w:r w:rsidRPr="00731786">
        <w:t>des différences manifestes entre les sexes, la population masculine étant en moyenne plus jeune (37,2 ans) que la population féminine (39,4 ans).</w:t>
      </w:r>
    </w:p>
    <w:p w:rsidR="00DE0C47" w:rsidRPr="00731786" w:rsidRDefault="00DE0C47" w:rsidP="00DE0C47">
      <w:pPr>
        <w:pStyle w:val="Heading1"/>
        <w:spacing w:after="120"/>
      </w:pPr>
      <w:r w:rsidRPr="00731786">
        <w:t>Tableau 8</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67"/>
        <w:gridCol w:w="1701"/>
        <w:gridCol w:w="1701"/>
        <w:gridCol w:w="1701"/>
      </w:tblGrid>
      <w:tr w:rsidR="00DE0C47" w:rsidRPr="009069C2" w:rsidTr="00CA473A">
        <w:trPr>
          <w:tblHeader/>
        </w:trPr>
        <w:tc>
          <w:tcPr>
            <w:tcW w:w="2267" w:type="dxa"/>
            <w:tcBorders>
              <w:top w:val="single" w:sz="4" w:space="0" w:color="auto"/>
              <w:bottom w:val="single" w:sz="12" w:space="0" w:color="auto"/>
            </w:tcBorders>
            <w:shd w:val="clear" w:color="auto" w:fill="auto"/>
            <w:vAlign w:val="bottom"/>
          </w:tcPr>
          <w:p w:rsidR="00DE0C47" w:rsidRPr="009069C2" w:rsidRDefault="00DE0C47" w:rsidP="00CA473A">
            <w:pPr>
              <w:suppressAutoHyphens w:val="0"/>
              <w:spacing w:before="80" w:after="80" w:line="200" w:lineRule="exact"/>
              <w:rPr>
                <w:i/>
                <w:sz w:val="16"/>
              </w:rPr>
            </w:pPr>
            <w:r w:rsidRPr="009069C2">
              <w:rPr>
                <w:i/>
                <w:sz w:val="16"/>
              </w:rPr>
              <w:t>Tranche d</w:t>
            </w:r>
            <w:r w:rsidR="00CA473A">
              <w:rPr>
                <w:i/>
                <w:sz w:val="16"/>
              </w:rPr>
              <w:t>’</w:t>
            </w:r>
            <w:r w:rsidRPr="009069C2">
              <w:rPr>
                <w:i/>
                <w:sz w:val="16"/>
              </w:rPr>
              <w:t>âge</w:t>
            </w:r>
          </w:p>
        </w:tc>
        <w:tc>
          <w:tcPr>
            <w:tcW w:w="1701" w:type="dxa"/>
            <w:tcBorders>
              <w:top w:val="single" w:sz="4" w:space="0" w:color="auto"/>
              <w:bottom w:val="single" w:sz="12" w:space="0" w:color="auto"/>
            </w:tcBorders>
            <w:shd w:val="clear" w:color="auto" w:fill="auto"/>
            <w:vAlign w:val="bottom"/>
          </w:tcPr>
          <w:p w:rsidR="00DE0C47" w:rsidRPr="009069C2" w:rsidRDefault="00DE0C47" w:rsidP="00CA473A">
            <w:pPr>
              <w:suppressAutoHyphens w:val="0"/>
              <w:spacing w:before="80" w:after="80" w:line="200" w:lineRule="exact"/>
              <w:jc w:val="right"/>
              <w:rPr>
                <w:i/>
                <w:sz w:val="16"/>
              </w:rPr>
            </w:pPr>
            <w:r w:rsidRPr="009069C2">
              <w:rPr>
                <w:i/>
                <w:sz w:val="16"/>
              </w:rPr>
              <w:t xml:space="preserve">Bosnie-Herzégovine </w:t>
            </w:r>
          </w:p>
        </w:tc>
        <w:tc>
          <w:tcPr>
            <w:tcW w:w="1701" w:type="dxa"/>
            <w:tcBorders>
              <w:top w:val="single" w:sz="4" w:space="0" w:color="auto"/>
              <w:bottom w:val="single" w:sz="12" w:space="0" w:color="auto"/>
            </w:tcBorders>
            <w:shd w:val="clear" w:color="auto" w:fill="auto"/>
            <w:vAlign w:val="bottom"/>
          </w:tcPr>
          <w:p w:rsidR="00DE0C47" w:rsidRPr="009069C2" w:rsidRDefault="00DE0C47" w:rsidP="00CA473A">
            <w:pPr>
              <w:suppressAutoHyphens w:val="0"/>
              <w:spacing w:before="80" w:after="80" w:line="200" w:lineRule="exact"/>
              <w:jc w:val="right"/>
              <w:rPr>
                <w:i/>
                <w:sz w:val="16"/>
              </w:rPr>
            </w:pPr>
            <w:r w:rsidRPr="009069C2">
              <w:rPr>
                <w:i/>
                <w:sz w:val="16"/>
              </w:rPr>
              <w:t xml:space="preserve">Fédération </w:t>
            </w:r>
            <w:r w:rsidRPr="009069C2">
              <w:rPr>
                <w:i/>
                <w:sz w:val="16"/>
              </w:rPr>
              <w:br/>
              <w:t xml:space="preserve">de Bosnie-Herzégovine </w:t>
            </w:r>
          </w:p>
        </w:tc>
        <w:tc>
          <w:tcPr>
            <w:tcW w:w="1701" w:type="dxa"/>
            <w:tcBorders>
              <w:top w:val="single" w:sz="4" w:space="0" w:color="auto"/>
              <w:bottom w:val="single" w:sz="12" w:space="0" w:color="auto"/>
            </w:tcBorders>
            <w:shd w:val="clear" w:color="auto" w:fill="auto"/>
            <w:vAlign w:val="bottom"/>
          </w:tcPr>
          <w:p w:rsidR="00DE0C47" w:rsidRPr="009069C2" w:rsidRDefault="00DE0C47" w:rsidP="00CA473A">
            <w:pPr>
              <w:suppressAutoHyphens w:val="0"/>
              <w:spacing w:before="80" w:after="80" w:line="200" w:lineRule="exact"/>
              <w:jc w:val="right"/>
              <w:rPr>
                <w:i/>
                <w:sz w:val="16"/>
              </w:rPr>
            </w:pPr>
            <w:r w:rsidRPr="009069C2">
              <w:rPr>
                <w:i/>
                <w:sz w:val="16"/>
              </w:rPr>
              <w:t>Republika Srpska</w:t>
            </w:r>
          </w:p>
        </w:tc>
      </w:tr>
      <w:tr w:rsidR="00DE0C47" w:rsidRPr="009069C2" w:rsidTr="00CA473A">
        <w:tc>
          <w:tcPr>
            <w:tcW w:w="2267" w:type="dxa"/>
            <w:tcBorders>
              <w:top w:val="single" w:sz="12" w:space="0" w:color="auto"/>
            </w:tcBorders>
            <w:shd w:val="clear" w:color="auto" w:fill="auto"/>
          </w:tcPr>
          <w:p w:rsidR="00DE0C47" w:rsidRPr="009069C2" w:rsidRDefault="00DE0C47" w:rsidP="00CA473A">
            <w:pPr>
              <w:suppressAutoHyphens w:val="0"/>
              <w:spacing w:before="40" w:after="40" w:line="220" w:lineRule="exact"/>
              <w:rPr>
                <w:sz w:val="18"/>
              </w:rPr>
            </w:pPr>
            <w:r w:rsidRPr="009069C2">
              <w:rPr>
                <w:sz w:val="18"/>
              </w:rPr>
              <w:t>0-5</w:t>
            </w:r>
          </w:p>
        </w:tc>
        <w:tc>
          <w:tcPr>
            <w:tcW w:w="1701" w:type="dxa"/>
            <w:tcBorders>
              <w:top w:val="single" w:sz="12" w:space="0" w:color="auto"/>
            </w:tcBorders>
            <w:shd w:val="clear" w:color="auto" w:fill="auto"/>
            <w:vAlign w:val="bottom"/>
          </w:tcPr>
          <w:p w:rsidR="00DE0C47" w:rsidRPr="009069C2" w:rsidRDefault="00DE0C47" w:rsidP="00CA473A">
            <w:pPr>
              <w:suppressAutoHyphens w:val="0"/>
              <w:spacing w:before="40" w:after="40" w:line="220" w:lineRule="exact"/>
              <w:jc w:val="right"/>
              <w:rPr>
                <w:sz w:val="18"/>
              </w:rPr>
            </w:pPr>
            <w:r w:rsidRPr="009069C2">
              <w:rPr>
                <w:sz w:val="18"/>
              </w:rPr>
              <w:t>5,4</w:t>
            </w:r>
          </w:p>
        </w:tc>
        <w:tc>
          <w:tcPr>
            <w:tcW w:w="1701" w:type="dxa"/>
            <w:tcBorders>
              <w:top w:val="single" w:sz="12" w:space="0" w:color="auto"/>
            </w:tcBorders>
            <w:shd w:val="clear" w:color="auto" w:fill="auto"/>
            <w:vAlign w:val="bottom"/>
          </w:tcPr>
          <w:p w:rsidR="00DE0C47" w:rsidRPr="009069C2" w:rsidRDefault="00DE0C47" w:rsidP="00CA473A">
            <w:pPr>
              <w:suppressAutoHyphens w:val="0"/>
              <w:spacing w:before="40" w:after="40" w:line="220" w:lineRule="exact"/>
              <w:jc w:val="right"/>
              <w:rPr>
                <w:sz w:val="18"/>
              </w:rPr>
            </w:pPr>
            <w:r w:rsidRPr="009069C2">
              <w:rPr>
                <w:sz w:val="18"/>
              </w:rPr>
              <w:t>5,7</w:t>
            </w:r>
          </w:p>
        </w:tc>
        <w:tc>
          <w:tcPr>
            <w:tcW w:w="1701" w:type="dxa"/>
            <w:tcBorders>
              <w:top w:val="single" w:sz="12" w:space="0" w:color="auto"/>
            </w:tcBorders>
            <w:shd w:val="clear" w:color="auto" w:fill="auto"/>
            <w:vAlign w:val="bottom"/>
          </w:tcPr>
          <w:p w:rsidR="00DE0C47" w:rsidRPr="009069C2" w:rsidRDefault="00DE0C47" w:rsidP="00CA473A">
            <w:pPr>
              <w:suppressAutoHyphens w:val="0"/>
              <w:spacing w:before="40" w:after="40" w:line="220" w:lineRule="exact"/>
              <w:jc w:val="right"/>
              <w:rPr>
                <w:sz w:val="18"/>
              </w:rPr>
            </w:pPr>
            <w:r w:rsidRPr="009069C2">
              <w:rPr>
                <w:sz w:val="18"/>
              </w:rPr>
              <w:t>4,7</w:t>
            </w:r>
          </w:p>
        </w:tc>
      </w:tr>
      <w:tr w:rsidR="00DE0C47" w:rsidRPr="009069C2" w:rsidTr="00CA473A">
        <w:tc>
          <w:tcPr>
            <w:tcW w:w="2267" w:type="dxa"/>
            <w:shd w:val="clear" w:color="auto" w:fill="auto"/>
          </w:tcPr>
          <w:p w:rsidR="00DE0C47" w:rsidRPr="009069C2" w:rsidRDefault="00DE0C47" w:rsidP="00CA473A">
            <w:pPr>
              <w:suppressAutoHyphens w:val="0"/>
              <w:spacing w:before="40" w:after="40" w:line="220" w:lineRule="exact"/>
              <w:rPr>
                <w:sz w:val="18"/>
              </w:rPr>
            </w:pPr>
            <w:r w:rsidRPr="009069C2">
              <w:rPr>
                <w:sz w:val="18"/>
              </w:rPr>
              <w:t>6-17</w:t>
            </w:r>
          </w:p>
        </w:tc>
        <w:tc>
          <w:tcPr>
            <w:tcW w:w="1701" w:type="dxa"/>
            <w:shd w:val="clear" w:color="auto" w:fill="auto"/>
            <w:vAlign w:val="bottom"/>
          </w:tcPr>
          <w:p w:rsidR="00DE0C47" w:rsidRPr="009069C2" w:rsidRDefault="00DE0C47" w:rsidP="00CA473A">
            <w:pPr>
              <w:suppressAutoHyphens w:val="0"/>
              <w:spacing w:before="40" w:after="40" w:line="220" w:lineRule="exact"/>
              <w:jc w:val="right"/>
              <w:rPr>
                <w:sz w:val="18"/>
              </w:rPr>
            </w:pPr>
            <w:r w:rsidRPr="009069C2">
              <w:rPr>
                <w:sz w:val="18"/>
              </w:rPr>
              <w:t>16,2</w:t>
            </w:r>
          </w:p>
        </w:tc>
        <w:tc>
          <w:tcPr>
            <w:tcW w:w="1701" w:type="dxa"/>
            <w:shd w:val="clear" w:color="auto" w:fill="auto"/>
            <w:vAlign w:val="bottom"/>
          </w:tcPr>
          <w:p w:rsidR="00DE0C47" w:rsidRPr="009069C2" w:rsidRDefault="00DE0C47" w:rsidP="00CA473A">
            <w:pPr>
              <w:suppressAutoHyphens w:val="0"/>
              <w:spacing w:before="40" w:after="40" w:line="220" w:lineRule="exact"/>
              <w:jc w:val="right"/>
              <w:rPr>
                <w:sz w:val="18"/>
              </w:rPr>
            </w:pPr>
            <w:r w:rsidRPr="009069C2">
              <w:rPr>
                <w:sz w:val="18"/>
              </w:rPr>
              <w:t>17,3</w:t>
            </w:r>
          </w:p>
        </w:tc>
        <w:tc>
          <w:tcPr>
            <w:tcW w:w="1701" w:type="dxa"/>
            <w:shd w:val="clear" w:color="auto" w:fill="auto"/>
            <w:vAlign w:val="bottom"/>
          </w:tcPr>
          <w:p w:rsidR="00DE0C47" w:rsidRPr="009069C2" w:rsidRDefault="00DE0C47" w:rsidP="00CA473A">
            <w:pPr>
              <w:suppressAutoHyphens w:val="0"/>
              <w:spacing w:before="40" w:after="40" w:line="220" w:lineRule="exact"/>
              <w:jc w:val="right"/>
              <w:rPr>
                <w:sz w:val="18"/>
              </w:rPr>
            </w:pPr>
            <w:r w:rsidRPr="009069C2">
              <w:rPr>
                <w:sz w:val="18"/>
              </w:rPr>
              <w:t>14,4</w:t>
            </w:r>
          </w:p>
        </w:tc>
      </w:tr>
      <w:tr w:rsidR="00DE0C47" w:rsidRPr="009069C2" w:rsidTr="00CA473A">
        <w:tc>
          <w:tcPr>
            <w:tcW w:w="2267" w:type="dxa"/>
            <w:shd w:val="clear" w:color="auto" w:fill="auto"/>
          </w:tcPr>
          <w:p w:rsidR="00DE0C47" w:rsidRPr="009069C2" w:rsidRDefault="00DE0C47" w:rsidP="00CA473A">
            <w:pPr>
              <w:suppressAutoHyphens w:val="0"/>
              <w:spacing w:before="40" w:after="40" w:line="220" w:lineRule="exact"/>
              <w:rPr>
                <w:sz w:val="18"/>
              </w:rPr>
            </w:pPr>
            <w:r w:rsidRPr="009069C2">
              <w:rPr>
                <w:sz w:val="18"/>
              </w:rPr>
              <w:t>18-34</w:t>
            </w:r>
          </w:p>
        </w:tc>
        <w:tc>
          <w:tcPr>
            <w:tcW w:w="1701" w:type="dxa"/>
            <w:shd w:val="clear" w:color="auto" w:fill="auto"/>
            <w:vAlign w:val="bottom"/>
          </w:tcPr>
          <w:p w:rsidR="00DE0C47" w:rsidRPr="009069C2" w:rsidRDefault="00DE0C47" w:rsidP="00CA473A">
            <w:pPr>
              <w:suppressAutoHyphens w:val="0"/>
              <w:spacing w:before="40" w:after="40" w:line="220" w:lineRule="exact"/>
              <w:jc w:val="right"/>
              <w:rPr>
                <w:sz w:val="18"/>
              </w:rPr>
            </w:pPr>
            <w:r w:rsidRPr="009069C2">
              <w:rPr>
                <w:sz w:val="18"/>
              </w:rPr>
              <w:t>23,8</w:t>
            </w:r>
          </w:p>
        </w:tc>
        <w:tc>
          <w:tcPr>
            <w:tcW w:w="1701" w:type="dxa"/>
            <w:shd w:val="clear" w:color="auto" w:fill="auto"/>
            <w:vAlign w:val="bottom"/>
          </w:tcPr>
          <w:p w:rsidR="00DE0C47" w:rsidRPr="009069C2" w:rsidRDefault="00DE0C47" w:rsidP="00CA473A">
            <w:pPr>
              <w:suppressAutoHyphens w:val="0"/>
              <w:spacing w:before="40" w:after="40" w:line="220" w:lineRule="exact"/>
              <w:jc w:val="right"/>
              <w:rPr>
                <w:sz w:val="18"/>
              </w:rPr>
            </w:pPr>
            <w:r w:rsidRPr="009069C2">
              <w:rPr>
                <w:sz w:val="18"/>
              </w:rPr>
              <w:t>24,6</w:t>
            </w:r>
          </w:p>
        </w:tc>
        <w:tc>
          <w:tcPr>
            <w:tcW w:w="1701" w:type="dxa"/>
            <w:shd w:val="clear" w:color="auto" w:fill="auto"/>
            <w:vAlign w:val="bottom"/>
          </w:tcPr>
          <w:p w:rsidR="00DE0C47" w:rsidRPr="009069C2" w:rsidRDefault="00DE0C47" w:rsidP="00CA473A">
            <w:pPr>
              <w:suppressAutoHyphens w:val="0"/>
              <w:spacing w:before="40" w:after="40" w:line="220" w:lineRule="exact"/>
              <w:jc w:val="right"/>
              <w:rPr>
                <w:sz w:val="18"/>
              </w:rPr>
            </w:pPr>
            <w:r w:rsidRPr="009069C2">
              <w:rPr>
                <w:sz w:val="18"/>
              </w:rPr>
              <w:t>22,3</w:t>
            </w:r>
          </w:p>
        </w:tc>
      </w:tr>
      <w:tr w:rsidR="00DE0C47" w:rsidRPr="009069C2" w:rsidTr="00CA473A">
        <w:tc>
          <w:tcPr>
            <w:tcW w:w="2267" w:type="dxa"/>
            <w:shd w:val="clear" w:color="auto" w:fill="auto"/>
          </w:tcPr>
          <w:p w:rsidR="00DE0C47" w:rsidRPr="009069C2" w:rsidRDefault="00DE0C47" w:rsidP="00CA473A">
            <w:pPr>
              <w:suppressAutoHyphens w:val="0"/>
              <w:spacing w:before="40" w:after="40" w:line="220" w:lineRule="exact"/>
              <w:rPr>
                <w:sz w:val="18"/>
              </w:rPr>
            </w:pPr>
            <w:r w:rsidRPr="009069C2">
              <w:rPr>
                <w:sz w:val="18"/>
              </w:rPr>
              <w:t>35-64</w:t>
            </w:r>
          </w:p>
        </w:tc>
        <w:tc>
          <w:tcPr>
            <w:tcW w:w="1701" w:type="dxa"/>
            <w:shd w:val="clear" w:color="auto" w:fill="auto"/>
            <w:vAlign w:val="bottom"/>
          </w:tcPr>
          <w:p w:rsidR="00DE0C47" w:rsidRPr="009069C2" w:rsidRDefault="00DE0C47" w:rsidP="00CA473A">
            <w:pPr>
              <w:suppressAutoHyphens w:val="0"/>
              <w:spacing w:before="40" w:after="40" w:line="220" w:lineRule="exact"/>
              <w:jc w:val="right"/>
              <w:rPr>
                <w:sz w:val="18"/>
              </w:rPr>
            </w:pPr>
            <w:r w:rsidRPr="009069C2">
              <w:rPr>
                <w:sz w:val="18"/>
              </w:rPr>
              <w:t>39,5</w:t>
            </w:r>
          </w:p>
        </w:tc>
        <w:tc>
          <w:tcPr>
            <w:tcW w:w="1701" w:type="dxa"/>
            <w:shd w:val="clear" w:color="auto" w:fill="auto"/>
            <w:vAlign w:val="bottom"/>
          </w:tcPr>
          <w:p w:rsidR="00DE0C47" w:rsidRPr="009069C2" w:rsidRDefault="00DE0C47" w:rsidP="00CA473A">
            <w:pPr>
              <w:suppressAutoHyphens w:val="0"/>
              <w:spacing w:before="40" w:after="40" w:line="220" w:lineRule="exact"/>
              <w:jc w:val="right"/>
              <w:rPr>
                <w:sz w:val="18"/>
              </w:rPr>
            </w:pPr>
            <w:r w:rsidRPr="009069C2">
              <w:rPr>
                <w:sz w:val="18"/>
              </w:rPr>
              <w:t>39,1</w:t>
            </w:r>
          </w:p>
        </w:tc>
        <w:tc>
          <w:tcPr>
            <w:tcW w:w="1701" w:type="dxa"/>
            <w:shd w:val="clear" w:color="auto" w:fill="auto"/>
            <w:vAlign w:val="bottom"/>
          </w:tcPr>
          <w:p w:rsidR="00DE0C47" w:rsidRPr="009069C2" w:rsidRDefault="00DE0C47" w:rsidP="00CA473A">
            <w:pPr>
              <w:suppressAutoHyphens w:val="0"/>
              <w:spacing w:before="40" w:after="40" w:line="220" w:lineRule="exact"/>
              <w:jc w:val="right"/>
              <w:rPr>
                <w:sz w:val="18"/>
              </w:rPr>
            </w:pPr>
            <w:r w:rsidRPr="009069C2">
              <w:rPr>
                <w:sz w:val="18"/>
              </w:rPr>
              <w:t>40,2</w:t>
            </w:r>
          </w:p>
        </w:tc>
      </w:tr>
      <w:tr w:rsidR="00DE0C47" w:rsidRPr="009069C2" w:rsidTr="00CA473A">
        <w:tc>
          <w:tcPr>
            <w:tcW w:w="2267" w:type="dxa"/>
            <w:tcBorders>
              <w:bottom w:val="single" w:sz="12" w:space="0" w:color="auto"/>
            </w:tcBorders>
            <w:shd w:val="clear" w:color="auto" w:fill="auto"/>
          </w:tcPr>
          <w:p w:rsidR="00DE0C47" w:rsidRPr="009069C2" w:rsidRDefault="00DE0C47" w:rsidP="00CA473A">
            <w:pPr>
              <w:suppressAutoHyphens w:val="0"/>
              <w:spacing w:before="40" w:after="40" w:line="220" w:lineRule="exact"/>
              <w:rPr>
                <w:sz w:val="18"/>
              </w:rPr>
            </w:pPr>
            <w:r w:rsidRPr="009069C2">
              <w:rPr>
                <w:sz w:val="18"/>
              </w:rPr>
              <w:t xml:space="preserve">65 et plus </w:t>
            </w:r>
          </w:p>
        </w:tc>
        <w:tc>
          <w:tcPr>
            <w:tcW w:w="1701" w:type="dxa"/>
            <w:tcBorders>
              <w:bottom w:val="single" w:sz="12" w:space="0" w:color="auto"/>
            </w:tcBorders>
            <w:shd w:val="clear" w:color="auto" w:fill="auto"/>
            <w:vAlign w:val="bottom"/>
          </w:tcPr>
          <w:p w:rsidR="00DE0C47" w:rsidRPr="009069C2" w:rsidRDefault="00DE0C47" w:rsidP="00CA473A">
            <w:pPr>
              <w:suppressAutoHyphens w:val="0"/>
              <w:spacing w:before="40" w:after="40" w:line="220" w:lineRule="exact"/>
              <w:jc w:val="right"/>
              <w:rPr>
                <w:sz w:val="18"/>
              </w:rPr>
            </w:pPr>
            <w:r w:rsidRPr="009069C2">
              <w:rPr>
                <w:sz w:val="18"/>
              </w:rPr>
              <w:t>15,1</w:t>
            </w:r>
          </w:p>
        </w:tc>
        <w:tc>
          <w:tcPr>
            <w:tcW w:w="1701" w:type="dxa"/>
            <w:tcBorders>
              <w:bottom w:val="single" w:sz="12" w:space="0" w:color="auto"/>
            </w:tcBorders>
            <w:shd w:val="clear" w:color="auto" w:fill="auto"/>
            <w:vAlign w:val="bottom"/>
          </w:tcPr>
          <w:p w:rsidR="00DE0C47" w:rsidRPr="009069C2" w:rsidRDefault="00DE0C47" w:rsidP="00CA473A">
            <w:pPr>
              <w:suppressAutoHyphens w:val="0"/>
              <w:spacing w:before="40" w:after="40" w:line="220" w:lineRule="exact"/>
              <w:jc w:val="right"/>
              <w:rPr>
                <w:sz w:val="18"/>
              </w:rPr>
            </w:pPr>
            <w:r w:rsidRPr="009069C2">
              <w:rPr>
                <w:sz w:val="18"/>
              </w:rPr>
              <w:t>13,3</w:t>
            </w:r>
          </w:p>
        </w:tc>
        <w:tc>
          <w:tcPr>
            <w:tcW w:w="1701" w:type="dxa"/>
            <w:tcBorders>
              <w:bottom w:val="single" w:sz="12" w:space="0" w:color="auto"/>
            </w:tcBorders>
            <w:shd w:val="clear" w:color="auto" w:fill="auto"/>
            <w:vAlign w:val="bottom"/>
          </w:tcPr>
          <w:p w:rsidR="00DE0C47" w:rsidRPr="009069C2" w:rsidRDefault="00DE0C47" w:rsidP="00CA473A">
            <w:pPr>
              <w:suppressAutoHyphens w:val="0"/>
              <w:spacing w:before="40" w:after="40" w:line="220" w:lineRule="exact"/>
              <w:jc w:val="right"/>
              <w:rPr>
                <w:sz w:val="18"/>
              </w:rPr>
            </w:pPr>
            <w:r w:rsidRPr="009069C2">
              <w:rPr>
                <w:sz w:val="18"/>
              </w:rPr>
              <w:t>18,5</w:t>
            </w:r>
          </w:p>
        </w:tc>
      </w:tr>
    </w:tbl>
    <w:p w:rsidR="00DE0C47" w:rsidRPr="00731786" w:rsidRDefault="00DE0C47" w:rsidP="00DE0C47">
      <w:pPr>
        <w:pStyle w:val="SingleTxtG"/>
        <w:spacing w:before="240"/>
      </w:pPr>
      <w:r w:rsidRPr="00731786">
        <w:t>32.</w:t>
      </w:r>
      <w:r w:rsidRPr="00731786">
        <w:tab/>
        <w:t>Près des deux tiers de la population de Bosnie-Herzégovine a entre 18 et 64 ans, et près d</w:t>
      </w:r>
      <w:r w:rsidR="00CA473A">
        <w:t>’</w:t>
      </w:r>
      <w:r w:rsidRPr="00731786">
        <w:t>un quart a entre 18 et 34 ans. Les jeunes de moins de 18 ans représentent 21,6 % de la population totale. La Fédération de Bosnie-Herzégovine a le plus fort pourcentage de jeunes, avec 23 %, contre 19,1 % en Republika Srpska.</w:t>
      </w:r>
    </w:p>
    <w:p w:rsidR="00DE0C47" w:rsidRPr="00731786" w:rsidRDefault="00DE0C47" w:rsidP="00DE0C47">
      <w:pPr>
        <w:pStyle w:val="SingleTxtG"/>
      </w:pPr>
      <w:r w:rsidRPr="00731786">
        <w:t>33.</w:t>
      </w:r>
      <w:r w:rsidRPr="00731786">
        <w:tab/>
        <w:t xml:space="preserve">Les personnes âgées (65 ans et plus) représentent 15,1 % de la population en Bosnie-Herzégovine, </w:t>
      </w:r>
      <w:r>
        <w:t>et</w:t>
      </w:r>
      <w:r w:rsidRPr="00731786">
        <w:t xml:space="preserve"> 57 % sont des femmes. Le pourcentage des femmes de plus de 65 ans est de 16,8 % de la population totale, contre 13,3 % chez les hommes.</w:t>
      </w:r>
    </w:p>
    <w:p w:rsidR="00DE0C47" w:rsidRPr="00731786" w:rsidRDefault="00DE0C47" w:rsidP="00DE0C47">
      <w:pPr>
        <w:pStyle w:val="SingleTxtG"/>
      </w:pPr>
      <w:r w:rsidRPr="00731786">
        <w:t>34.</w:t>
      </w:r>
      <w:r w:rsidRPr="00731786">
        <w:tab/>
        <w:t>Le pourcentage de personnes âgées diffère sensiblement selon la région géographique. Il est légèrement inférieur en Fédération de Bosnie-Herzégovine (13,3 %) et plus important en Republika Srpska (18,5 %), où une femme sur cinq a plus de 65 ans.</w:t>
      </w:r>
    </w:p>
    <w:p w:rsidR="00DE0C47" w:rsidRPr="00731786" w:rsidRDefault="00DE0C47" w:rsidP="00DE0C47">
      <w:pPr>
        <w:pStyle w:val="SingleTxtG"/>
      </w:pPr>
      <w:r w:rsidRPr="00731786">
        <w:t>35.</w:t>
      </w:r>
      <w:r w:rsidRPr="00731786">
        <w:tab/>
        <w:t xml:space="preserve">Tous les indicateurs structurels de la population montrent que la Republika Srpska est </w:t>
      </w:r>
      <w:r>
        <w:t>la</w:t>
      </w:r>
      <w:r w:rsidRPr="00731786">
        <w:t xml:space="preserve"> région </w:t>
      </w:r>
      <w:r>
        <w:t xml:space="preserve">où la </w:t>
      </w:r>
      <w:r w:rsidRPr="00731786">
        <w:t xml:space="preserve">population </w:t>
      </w:r>
      <w:r>
        <w:t>est la plus vieille</w:t>
      </w:r>
      <w:r w:rsidRPr="00731786">
        <w:t>: le rapport en</w:t>
      </w:r>
      <w:r>
        <w:t>tre les personnes de plus de 65 </w:t>
      </w:r>
      <w:r w:rsidRPr="00731786">
        <w:t xml:space="preserve">ans et celles de moins de 6 ans est de 3,9 (contre 2,3 en Fédération de Bosnie-Herzégovine). Le taux de vieillissement </w:t>
      </w:r>
      <w:r>
        <w:t>donne</w:t>
      </w:r>
      <w:r w:rsidRPr="00731786">
        <w:t xml:space="preserve"> 119 perso</w:t>
      </w:r>
      <w:r>
        <w:t>nnes de plus de 65 ans pour 100 </w:t>
      </w:r>
      <w:r w:rsidRPr="00731786">
        <w:t>personnes de moins de 15 ans, et les personnes de plus de 75 ans représentent 6,4 %, contre 5,1 % pour la population totale de la Bosnie-Herzégovine.</w:t>
      </w:r>
    </w:p>
    <w:p w:rsidR="00DE0C47" w:rsidRPr="001518B3" w:rsidRDefault="00DE0C47" w:rsidP="00DE0C47">
      <w:pPr>
        <w:pStyle w:val="Heading1"/>
        <w:spacing w:after="120"/>
        <w:rPr>
          <w:b/>
        </w:rPr>
      </w:pPr>
      <w:r w:rsidRPr="00731786">
        <w:t>Tableau 9</w:t>
      </w:r>
      <w:r w:rsidRPr="00731786">
        <w:br/>
      </w:r>
      <w:r w:rsidRPr="001518B3">
        <w:rPr>
          <w:b/>
        </w:rPr>
        <w:t>Indicateurs structurels de la population par région géographique en 2007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06"/>
        <w:gridCol w:w="794"/>
        <w:gridCol w:w="794"/>
        <w:gridCol w:w="794"/>
        <w:gridCol w:w="794"/>
        <w:gridCol w:w="794"/>
        <w:gridCol w:w="794"/>
      </w:tblGrid>
      <w:tr w:rsidR="00DE0C47" w:rsidRPr="00CC3BA8" w:rsidTr="00CA473A">
        <w:trPr>
          <w:tblHeader/>
        </w:trPr>
        <w:tc>
          <w:tcPr>
            <w:tcW w:w="2608" w:type="dxa"/>
            <w:tcBorders>
              <w:top w:val="single" w:sz="4" w:space="0" w:color="auto"/>
              <w:bottom w:val="single" w:sz="12" w:space="0" w:color="auto"/>
            </w:tcBorders>
            <w:shd w:val="clear" w:color="auto" w:fill="auto"/>
            <w:vAlign w:val="bottom"/>
          </w:tcPr>
          <w:p w:rsidR="00DE0C47" w:rsidRPr="00CC3BA8" w:rsidRDefault="00DE0C47" w:rsidP="00CA473A">
            <w:pPr>
              <w:suppressAutoHyphens w:val="0"/>
              <w:spacing w:before="80" w:after="80" w:line="200" w:lineRule="exact"/>
              <w:rPr>
                <w:i/>
                <w:sz w:val="16"/>
              </w:rPr>
            </w:pPr>
          </w:p>
        </w:tc>
        <w:tc>
          <w:tcPr>
            <w:tcW w:w="794" w:type="dxa"/>
            <w:tcBorders>
              <w:top w:val="single" w:sz="4" w:space="0" w:color="auto"/>
              <w:bottom w:val="single" w:sz="12" w:space="0" w:color="auto"/>
            </w:tcBorders>
            <w:shd w:val="clear" w:color="auto" w:fill="auto"/>
            <w:vAlign w:val="bottom"/>
          </w:tcPr>
          <w:p w:rsidR="00DE0C47" w:rsidRPr="00CC3BA8" w:rsidRDefault="00DE0C47" w:rsidP="00CA473A">
            <w:pPr>
              <w:suppressAutoHyphens w:val="0"/>
              <w:spacing w:before="80" w:after="80" w:line="200" w:lineRule="exact"/>
              <w:jc w:val="right"/>
              <w:rPr>
                <w:i/>
                <w:sz w:val="16"/>
              </w:rPr>
            </w:pPr>
            <w:r>
              <w:rPr>
                <w:i/>
                <w:sz w:val="16"/>
              </w:rPr>
              <w:t>Population &lt;</w:t>
            </w:r>
            <w:r w:rsidRPr="00CC3BA8">
              <w:rPr>
                <w:i/>
                <w:sz w:val="16"/>
              </w:rPr>
              <w:t>5 (%)</w:t>
            </w:r>
          </w:p>
        </w:tc>
        <w:tc>
          <w:tcPr>
            <w:tcW w:w="794" w:type="dxa"/>
            <w:tcBorders>
              <w:top w:val="single" w:sz="4" w:space="0" w:color="auto"/>
              <w:bottom w:val="single" w:sz="12" w:space="0" w:color="auto"/>
            </w:tcBorders>
            <w:shd w:val="clear" w:color="auto" w:fill="auto"/>
            <w:vAlign w:val="bottom"/>
          </w:tcPr>
          <w:p w:rsidR="00DE0C47" w:rsidRPr="00CC3BA8" w:rsidRDefault="00DE0C47" w:rsidP="00CA473A">
            <w:pPr>
              <w:suppressAutoHyphens w:val="0"/>
              <w:spacing w:before="80" w:after="80" w:line="200" w:lineRule="exact"/>
              <w:jc w:val="right"/>
              <w:rPr>
                <w:i/>
                <w:sz w:val="16"/>
              </w:rPr>
            </w:pPr>
            <w:r w:rsidRPr="00CC3BA8">
              <w:rPr>
                <w:i/>
                <w:sz w:val="16"/>
              </w:rPr>
              <w:t>Population 5-14 (%)</w:t>
            </w:r>
          </w:p>
        </w:tc>
        <w:tc>
          <w:tcPr>
            <w:tcW w:w="794" w:type="dxa"/>
            <w:tcBorders>
              <w:top w:val="single" w:sz="4" w:space="0" w:color="auto"/>
              <w:bottom w:val="single" w:sz="12" w:space="0" w:color="auto"/>
            </w:tcBorders>
            <w:shd w:val="clear" w:color="auto" w:fill="auto"/>
            <w:vAlign w:val="bottom"/>
          </w:tcPr>
          <w:p w:rsidR="00DE0C47" w:rsidRPr="00CC3BA8" w:rsidRDefault="00DE0C47" w:rsidP="00CA473A">
            <w:pPr>
              <w:suppressAutoHyphens w:val="0"/>
              <w:spacing w:before="80" w:after="80" w:line="200" w:lineRule="exact"/>
              <w:jc w:val="right"/>
              <w:rPr>
                <w:i/>
                <w:sz w:val="16"/>
              </w:rPr>
            </w:pPr>
            <w:r w:rsidRPr="00CC3BA8">
              <w:rPr>
                <w:i/>
                <w:sz w:val="16"/>
              </w:rPr>
              <w:t>P</w:t>
            </w:r>
            <w:r>
              <w:rPr>
                <w:i/>
                <w:sz w:val="16"/>
              </w:rPr>
              <w:t xml:space="preserve">opulation 15-64 </w:t>
            </w:r>
            <w:r w:rsidRPr="00CC3BA8">
              <w:rPr>
                <w:i/>
                <w:sz w:val="16"/>
              </w:rPr>
              <w:t>(%)</w:t>
            </w:r>
          </w:p>
        </w:tc>
        <w:tc>
          <w:tcPr>
            <w:tcW w:w="794" w:type="dxa"/>
            <w:tcBorders>
              <w:top w:val="single" w:sz="4" w:space="0" w:color="auto"/>
              <w:bottom w:val="single" w:sz="12" w:space="0" w:color="auto"/>
            </w:tcBorders>
            <w:shd w:val="clear" w:color="auto" w:fill="auto"/>
            <w:vAlign w:val="bottom"/>
          </w:tcPr>
          <w:p w:rsidR="00DE0C47" w:rsidRPr="00CC3BA8" w:rsidRDefault="00DE0C47" w:rsidP="00CA473A">
            <w:pPr>
              <w:suppressAutoHyphens w:val="0"/>
              <w:spacing w:before="80" w:after="80" w:line="200" w:lineRule="exact"/>
              <w:jc w:val="right"/>
              <w:rPr>
                <w:i/>
                <w:sz w:val="16"/>
              </w:rPr>
            </w:pPr>
            <w:r w:rsidRPr="00CC3BA8">
              <w:rPr>
                <w:i/>
                <w:sz w:val="16"/>
              </w:rPr>
              <w:t>Population 65-74 (%)</w:t>
            </w:r>
          </w:p>
        </w:tc>
        <w:tc>
          <w:tcPr>
            <w:tcW w:w="794" w:type="dxa"/>
            <w:tcBorders>
              <w:top w:val="single" w:sz="4" w:space="0" w:color="auto"/>
              <w:bottom w:val="single" w:sz="12" w:space="0" w:color="auto"/>
            </w:tcBorders>
            <w:shd w:val="clear" w:color="auto" w:fill="auto"/>
            <w:vAlign w:val="bottom"/>
          </w:tcPr>
          <w:p w:rsidR="00DE0C47" w:rsidRPr="00CC3BA8" w:rsidRDefault="00DE0C47" w:rsidP="00CA473A">
            <w:pPr>
              <w:suppressAutoHyphens w:val="0"/>
              <w:spacing w:before="80" w:after="80" w:line="200" w:lineRule="exact"/>
              <w:jc w:val="right"/>
              <w:rPr>
                <w:i/>
                <w:sz w:val="16"/>
              </w:rPr>
            </w:pPr>
            <w:r w:rsidRPr="00CC3BA8">
              <w:rPr>
                <w:i/>
                <w:sz w:val="16"/>
              </w:rPr>
              <w:t>Population 75-84 (%)</w:t>
            </w:r>
          </w:p>
        </w:tc>
        <w:tc>
          <w:tcPr>
            <w:tcW w:w="794" w:type="dxa"/>
            <w:tcBorders>
              <w:top w:val="single" w:sz="4" w:space="0" w:color="auto"/>
              <w:bottom w:val="single" w:sz="12" w:space="0" w:color="auto"/>
            </w:tcBorders>
            <w:shd w:val="clear" w:color="auto" w:fill="auto"/>
            <w:vAlign w:val="bottom"/>
          </w:tcPr>
          <w:p w:rsidR="00DE0C47" w:rsidRPr="00CC3BA8" w:rsidRDefault="00DE0C47" w:rsidP="00CA473A">
            <w:pPr>
              <w:suppressAutoHyphens w:val="0"/>
              <w:spacing w:before="80" w:after="80" w:line="200" w:lineRule="exact"/>
              <w:jc w:val="right"/>
              <w:rPr>
                <w:i/>
                <w:sz w:val="16"/>
              </w:rPr>
            </w:pPr>
            <w:r>
              <w:rPr>
                <w:i/>
                <w:sz w:val="16"/>
              </w:rPr>
              <w:t xml:space="preserve">Population </w:t>
            </w:r>
            <w:r>
              <w:rPr>
                <w:i/>
                <w:sz w:val="16"/>
              </w:rPr>
              <w:br/>
              <w:t>≥</w:t>
            </w:r>
            <w:r w:rsidRPr="00CC3BA8">
              <w:rPr>
                <w:i/>
                <w:sz w:val="16"/>
              </w:rPr>
              <w:t>85 (%)</w:t>
            </w:r>
          </w:p>
        </w:tc>
      </w:tr>
      <w:tr w:rsidR="00DE0C47" w:rsidRPr="00CC3BA8" w:rsidTr="00CA473A">
        <w:tc>
          <w:tcPr>
            <w:tcW w:w="2608" w:type="dxa"/>
            <w:tcBorders>
              <w:top w:val="single" w:sz="12" w:space="0" w:color="auto"/>
            </w:tcBorders>
            <w:shd w:val="clear" w:color="auto" w:fill="auto"/>
          </w:tcPr>
          <w:p w:rsidR="00DE0C47" w:rsidRPr="00CC3BA8" w:rsidRDefault="00DE0C47" w:rsidP="00CA473A">
            <w:pPr>
              <w:suppressAutoHyphens w:val="0"/>
              <w:spacing w:before="40" w:after="40" w:line="220" w:lineRule="exact"/>
              <w:rPr>
                <w:sz w:val="18"/>
              </w:rPr>
            </w:pPr>
            <w:r w:rsidRPr="00CC3BA8">
              <w:rPr>
                <w:sz w:val="18"/>
              </w:rPr>
              <w:t>Fédération de Bosnie-Herzégovine</w:t>
            </w:r>
          </w:p>
        </w:tc>
        <w:tc>
          <w:tcPr>
            <w:tcW w:w="794" w:type="dxa"/>
            <w:tcBorders>
              <w:top w:val="single" w:sz="12" w:space="0" w:color="auto"/>
            </w:tcBorders>
            <w:shd w:val="clear" w:color="auto" w:fill="auto"/>
            <w:vAlign w:val="bottom"/>
          </w:tcPr>
          <w:p w:rsidR="00DE0C47" w:rsidRPr="0021585C" w:rsidRDefault="00DE0C47" w:rsidP="00CA473A">
            <w:pPr>
              <w:pStyle w:val="SingleTxtG"/>
              <w:spacing w:before="40" w:after="40" w:line="220" w:lineRule="exact"/>
              <w:ind w:left="0" w:right="28"/>
              <w:jc w:val="right"/>
              <w:rPr>
                <w:sz w:val="18"/>
              </w:rPr>
            </w:pPr>
            <w:r w:rsidRPr="0021585C">
              <w:rPr>
                <w:sz w:val="18"/>
              </w:rPr>
              <w:t>4</w:t>
            </w:r>
            <w:r>
              <w:rPr>
                <w:sz w:val="18"/>
              </w:rPr>
              <w:t>,</w:t>
            </w:r>
            <w:r w:rsidRPr="0021585C">
              <w:rPr>
                <w:sz w:val="18"/>
              </w:rPr>
              <w:t>6</w:t>
            </w:r>
          </w:p>
        </w:tc>
        <w:tc>
          <w:tcPr>
            <w:tcW w:w="794" w:type="dxa"/>
            <w:tcBorders>
              <w:top w:val="single" w:sz="12" w:space="0" w:color="auto"/>
            </w:tcBorders>
            <w:shd w:val="clear" w:color="auto" w:fill="auto"/>
            <w:vAlign w:val="bottom"/>
          </w:tcPr>
          <w:p w:rsidR="00DE0C47" w:rsidRPr="0021585C" w:rsidRDefault="00DE0C47" w:rsidP="00CA473A">
            <w:pPr>
              <w:pStyle w:val="SingleTxtG"/>
              <w:spacing w:before="40" w:after="40" w:line="220" w:lineRule="exact"/>
              <w:ind w:left="113" w:right="0"/>
              <w:jc w:val="right"/>
              <w:rPr>
                <w:sz w:val="18"/>
              </w:rPr>
            </w:pPr>
            <w:r w:rsidRPr="0021585C">
              <w:rPr>
                <w:sz w:val="18"/>
              </w:rPr>
              <w:t>13</w:t>
            </w:r>
            <w:r>
              <w:rPr>
                <w:sz w:val="18"/>
              </w:rPr>
              <w:t>,</w:t>
            </w:r>
            <w:r w:rsidRPr="0021585C">
              <w:rPr>
                <w:sz w:val="18"/>
              </w:rPr>
              <w:t>9</w:t>
            </w:r>
          </w:p>
        </w:tc>
        <w:tc>
          <w:tcPr>
            <w:tcW w:w="794" w:type="dxa"/>
            <w:tcBorders>
              <w:top w:val="single" w:sz="12" w:space="0" w:color="auto"/>
            </w:tcBorders>
            <w:shd w:val="clear" w:color="auto" w:fill="auto"/>
            <w:vAlign w:val="bottom"/>
          </w:tcPr>
          <w:p w:rsidR="00DE0C47" w:rsidRPr="0021585C" w:rsidRDefault="00DE0C47" w:rsidP="00CA473A">
            <w:pPr>
              <w:pStyle w:val="SingleTxtG"/>
              <w:spacing w:before="40" w:after="40" w:line="220" w:lineRule="exact"/>
              <w:ind w:left="113" w:right="0"/>
              <w:jc w:val="right"/>
              <w:rPr>
                <w:sz w:val="18"/>
              </w:rPr>
            </w:pPr>
            <w:r w:rsidRPr="0021585C">
              <w:rPr>
                <w:sz w:val="18"/>
              </w:rPr>
              <w:t>68</w:t>
            </w:r>
            <w:r>
              <w:rPr>
                <w:sz w:val="18"/>
              </w:rPr>
              <w:t>,</w:t>
            </w:r>
            <w:r w:rsidRPr="0021585C">
              <w:rPr>
                <w:sz w:val="18"/>
              </w:rPr>
              <w:t>2</w:t>
            </w:r>
          </w:p>
        </w:tc>
        <w:tc>
          <w:tcPr>
            <w:tcW w:w="794" w:type="dxa"/>
            <w:tcBorders>
              <w:top w:val="single" w:sz="12" w:space="0" w:color="auto"/>
            </w:tcBorders>
            <w:shd w:val="clear" w:color="auto" w:fill="auto"/>
            <w:vAlign w:val="bottom"/>
          </w:tcPr>
          <w:p w:rsidR="00DE0C47" w:rsidRPr="0021585C" w:rsidRDefault="00DE0C47" w:rsidP="00CA473A">
            <w:pPr>
              <w:pStyle w:val="SingleTxtG"/>
              <w:spacing w:before="40" w:after="40" w:line="220" w:lineRule="exact"/>
              <w:ind w:left="113" w:right="0"/>
              <w:jc w:val="right"/>
              <w:rPr>
                <w:sz w:val="18"/>
              </w:rPr>
            </w:pPr>
            <w:r w:rsidRPr="0021585C">
              <w:rPr>
                <w:sz w:val="18"/>
              </w:rPr>
              <w:t>9</w:t>
            </w:r>
            <w:r>
              <w:rPr>
                <w:sz w:val="18"/>
              </w:rPr>
              <w:t>,</w:t>
            </w:r>
            <w:r w:rsidRPr="0021585C">
              <w:rPr>
                <w:sz w:val="18"/>
              </w:rPr>
              <w:t>0</w:t>
            </w:r>
          </w:p>
        </w:tc>
        <w:tc>
          <w:tcPr>
            <w:tcW w:w="794" w:type="dxa"/>
            <w:tcBorders>
              <w:top w:val="single" w:sz="12" w:space="0" w:color="auto"/>
            </w:tcBorders>
            <w:shd w:val="clear" w:color="auto" w:fill="auto"/>
            <w:vAlign w:val="bottom"/>
          </w:tcPr>
          <w:p w:rsidR="00DE0C47" w:rsidRPr="0021585C" w:rsidRDefault="00DE0C47" w:rsidP="00CA473A">
            <w:pPr>
              <w:pStyle w:val="SingleTxtG"/>
              <w:spacing w:before="40" w:after="40" w:line="220" w:lineRule="exact"/>
              <w:ind w:left="113" w:right="0"/>
              <w:jc w:val="right"/>
              <w:rPr>
                <w:sz w:val="18"/>
              </w:rPr>
            </w:pPr>
            <w:r w:rsidRPr="0021585C">
              <w:rPr>
                <w:sz w:val="18"/>
              </w:rPr>
              <w:t>3</w:t>
            </w:r>
            <w:r>
              <w:rPr>
                <w:sz w:val="18"/>
              </w:rPr>
              <w:t>,</w:t>
            </w:r>
            <w:r w:rsidRPr="0021585C">
              <w:rPr>
                <w:sz w:val="18"/>
              </w:rPr>
              <w:t>7</w:t>
            </w:r>
          </w:p>
        </w:tc>
        <w:tc>
          <w:tcPr>
            <w:tcW w:w="794" w:type="dxa"/>
            <w:tcBorders>
              <w:top w:val="single" w:sz="12" w:space="0" w:color="auto"/>
            </w:tcBorders>
            <w:shd w:val="clear" w:color="auto" w:fill="auto"/>
            <w:vAlign w:val="bottom"/>
          </w:tcPr>
          <w:p w:rsidR="00DE0C47" w:rsidRPr="0021585C" w:rsidRDefault="00DE0C47" w:rsidP="00CA473A">
            <w:pPr>
              <w:pStyle w:val="SingleTxtG"/>
              <w:spacing w:before="40" w:after="40" w:line="220" w:lineRule="exact"/>
              <w:ind w:left="113" w:right="0"/>
              <w:jc w:val="right"/>
              <w:rPr>
                <w:sz w:val="18"/>
              </w:rPr>
            </w:pPr>
            <w:r w:rsidRPr="0021585C">
              <w:rPr>
                <w:sz w:val="18"/>
              </w:rPr>
              <w:t>0</w:t>
            </w:r>
            <w:r>
              <w:rPr>
                <w:sz w:val="18"/>
              </w:rPr>
              <w:t>,</w:t>
            </w:r>
            <w:r w:rsidRPr="0021585C">
              <w:rPr>
                <w:sz w:val="18"/>
              </w:rPr>
              <w:t>6</w:t>
            </w:r>
          </w:p>
        </w:tc>
      </w:tr>
      <w:tr w:rsidR="00DE0C47" w:rsidRPr="00CC3BA8" w:rsidTr="00CA473A">
        <w:tc>
          <w:tcPr>
            <w:tcW w:w="2608" w:type="dxa"/>
            <w:shd w:val="clear" w:color="auto" w:fill="auto"/>
          </w:tcPr>
          <w:p w:rsidR="00DE0C47" w:rsidRPr="00CC3BA8" w:rsidRDefault="00DE0C47" w:rsidP="00CA473A">
            <w:pPr>
              <w:suppressAutoHyphens w:val="0"/>
              <w:spacing w:before="40" w:after="40" w:line="220" w:lineRule="exact"/>
              <w:rPr>
                <w:sz w:val="18"/>
              </w:rPr>
            </w:pPr>
            <w:r w:rsidRPr="00CC3BA8">
              <w:rPr>
                <w:sz w:val="18"/>
              </w:rPr>
              <w:t>Republika Srpska</w:t>
            </w:r>
          </w:p>
        </w:tc>
        <w:tc>
          <w:tcPr>
            <w:tcW w:w="794" w:type="dxa"/>
            <w:shd w:val="clear" w:color="auto" w:fill="auto"/>
            <w:vAlign w:val="bottom"/>
          </w:tcPr>
          <w:p w:rsidR="00DE0C47" w:rsidRPr="0021585C" w:rsidRDefault="00DE0C47" w:rsidP="00CA473A">
            <w:pPr>
              <w:pStyle w:val="SingleTxtG"/>
              <w:spacing w:before="40" w:after="40" w:line="220" w:lineRule="exact"/>
              <w:ind w:left="0" w:right="28"/>
              <w:jc w:val="right"/>
              <w:rPr>
                <w:sz w:val="18"/>
              </w:rPr>
            </w:pPr>
            <w:r w:rsidRPr="0021585C">
              <w:rPr>
                <w:sz w:val="18"/>
              </w:rPr>
              <w:t>3</w:t>
            </w:r>
            <w:r>
              <w:rPr>
                <w:sz w:val="18"/>
              </w:rPr>
              <w:t>,</w:t>
            </w:r>
            <w:r w:rsidRPr="0021585C">
              <w:rPr>
                <w:sz w:val="18"/>
              </w:rPr>
              <w:t>8</w:t>
            </w:r>
          </w:p>
        </w:tc>
        <w:tc>
          <w:tcPr>
            <w:tcW w:w="794" w:type="dxa"/>
            <w:shd w:val="clear" w:color="auto" w:fill="auto"/>
            <w:vAlign w:val="bottom"/>
          </w:tcPr>
          <w:p w:rsidR="00DE0C47" w:rsidRPr="0021585C" w:rsidRDefault="00DE0C47" w:rsidP="00CA473A">
            <w:pPr>
              <w:pStyle w:val="SingleTxtG"/>
              <w:spacing w:before="40" w:after="40" w:line="220" w:lineRule="exact"/>
              <w:ind w:left="113" w:right="0"/>
              <w:jc w:val="right"/>
              <w:rPr>
                <w:sz w:val="18"/>
              </w:rPr>
            </w:pPr>
            <w:r w:rsidRPr="0021585C">
              <w:rPr>
                <w:sz w:val="18"/>
              </w:rPr>
              <w:t>11</w:t>
            </w:r>
            <w:r>
              <w:rPr>
                <w:sz w:val="18"/>
              </w:rPr>
              <w:t>,</w:t>
            </w:r>
            <w:r w:rsidRPr="0021585C">
              <w:rPr>
                <w:sz w:val="18"/>
              </w:rPr>
              <w:t>7</w:t>
            </w:r>
          </w:p>
        </w:tc>
        <w:tc>
          <w:tcPr>
            <w:tcW w:w="794" w:type="dxa"/>
            <w:shd w:val="clear" w:color="auto" w:fill="auto"/>
            <w:vAlign w:val="bottom"/>
          </w:tcPr>
          <w:p w:rsidR="00DE0C47" w:rsidRPr="0021585C" w:rsidRDefault="00DE0C47" w:rsidP="00CA473A">
            <w:pPr>
              <w:pStyle w:val="SingleTxtG"/>
              <w:spacing w:before="40" w:after="40" w:line="220" w:lineRule="exact"/>
              <w:ind w:left="113" w:right="0"/>
              <w:jc w:val="right"/>
              <w:rPr>
                <w:sz w:val="18"/>
              </w:rPr>
            </w:pPr>
            <w:r w:rsidRPr="0021585C">
              <w:rPr>
                <w:sz w:val="18"/>
              </w:rPr>
              <w:t>66</w:t>
            </w:r>
            <w:r>
              <w:rPr>
                <w:sz w:val="18"/>
              </w:rPr>
              <w:t>,</w:t>
            </w:r>
            <w:r w:rsidRPr="0021585C">
              <w:rPr>
                <w:sz w:val="18"/>
              </w:rPr>
              <w:t>1</w:t>
            </w:r>
          </w:p>
        </w:tc>
        <w:tc>
          <w:tcPr>
            <w:tcW w:w="794" w:type="dxa"/>
            <w:shd w:val="clear" w:color="auto" w:fill="auto"/>
            <w:vAlign w:val="bottom"/>
          </w:tcPr>
          <w:p w:rsidR="00DE0C47" w:rsidRPr="0021585C" w:rsidRDefault="00DE0C47" w:rsidP="00CA473A">
            <w:pPr>
              <w:pStyle w:val="SingleTxtG"/>
              <w:spacing w:before="40" w:after="40" w:line="220" w:lineRule="exact"/>
              <w:ind w:left="113" w:right="0"/>
              <w:jc w:val="right"/>
              <w:rPr>
                <w:sz w:val="18"/>
              </w:rPr>
            </w:pPr>
            <w:r w:rsidRPr="0021585C">
              <w:rPr>
                <w:sz w:val="18"/>
              </w:rPr>
              <w:t>12</w:t>
            </w:r>
            <w:r>
              <w:rPr>
                <w:sz w:val="18"/>
              </w:rPr>
              <w:t>,</w:t>
            </w:r>
            <w:r w:rsidRPr="0021585C">
              <w:rPr>
                <w:sz w:val="18"/>
              </w:rPr>
              <w:t>1</w:t>
            </w:r>
          </w:p>
        </w:tc>
        <w:tc>
          <w:tcPr>
            <w:tcW w:w="794" w:type="dxa"/>
            <w:shd w:val="clear" w:color="auto" w:fill="auto"/>
            <w:vAlign w:val="bottom"/>
          </w:tcPr>
          <w:p w:rsidR="00DE0C47" w:rsidRPr="0021585C" w:rsidRDefault="00DE0C47" w:rsidP="00CA473A">
            <w:pPr>
              <w:pStyle w:val="SingleTxtG"/>
              <w:spacing w:before="40" w:after="40" w:line="220" w:lineRule="exact"/>
              <w:ind w:left="113" w:right="0"/>
              <w:jc w:val="right"/>
              <w:rPr>
                <w:sz w:val="18"/>
              </w:rPr>
            </w:pPr>
            <w:r w:rsidRPr="0021585C">
              <w:rPr>
                <w:sz w:val="18"/>
              </w:rPr>
              <w:t>5</w:t>
            </w:r>
            <w:r>
              <w:rPr>
                <w:sz w:val="18"/>
              </w:rPr>
              <w:t>,</w:t>
            </w:r>
            <w:r w:rsidRPr="0021585C">
              <w:rPr>
                <w:sz w:val="18"/>
              </w:rPr>
              <w:t>6</w:t>
            </w:r>
          </w:p>
        </w:tc>
        <w:tc>
          <w:tcPr>
            <w:tcW w:w="794" w:type="dxa"/>
            <w:shd w:val="clear" w:color="auto" w:fill="auto"/>
            <w:vAlign w:val="bottom"/>
          </w:tcPr>
          <w:p w:rsidR="00DE0C47" w:rsidRPr="0021585C" w:rsidRDefault="00DE0C47" w:rsidP="00CA473A">
            <w:pPr>
              <w:pStyle w:val="SingleTxtG"/>
              <w:spacing w:before="40" w:after="40" w:line="220" w:lineRule="exact"/>
              <w:ind w:left="113" w:right="0"/>
              <w:jc w:val="right"/>
              <w:rPr>
                <w:sz w:val="18"/>
              </w:rPr>
            </w:pPr>
            <w:r w:rsidRPr="0021585C">
              <w:rPr>
                <w:sz w:val="18"/>
              </w:rPr>
              <w:t>0</w:t>
            </w:r>
            <w:r>
              <w:rPr>
                <w:sz w:val="18"/>
              </w:rPr>
              <w:t>,</w:t>
            </w:r>
            <w:r w:rsidRPr="0021585C">
              <w:rPr>
                <w:sz w:val="18"/>
              </w:rPr>
              <w:t>8</w:t>
            </w:r>
          </w:p>
        </w:tc>
      </w:tr>
      <w:tr w:rsidR="00DE0C47" w:rsidRPr="00CC3BA8" w:rsidTr="00CA473A">
        <w:tc>
          <w:tcPr>
            <w:tcW w:w="2608" w:type="dxa"/>
            <w:tcBorders>
              <w:bottom w:val="single" w:sz="12" w:space="0" w:color="auto"/>
            </w:tcBorders>
            <w:shd w:val="clear" w:color="auto" w:fill="auto"/>
          </w:tcPr>
          <w:p w:rsidR="00DE0C47" w:rsidRPr="00CC3BA8" w:rsidRDefault="00DE0C47" w:rsidP="00CA473A">
            <w:pPr>
              <w:suppressAutoHyphens w:val="0"/>
              <w:spacing w:before="40" w:after="40" w:line="220" w:lineRule="exact"/>
              <w:rPr>
                <w:sz w:val="18"/>
              </w:rPr>
            </w:pPr>
            <w:r w:rsidRPr="00CC3BA8">
              <w:rPr>
                <w:sz w:val="18"/>
              </w:rPr>
              <w:t>Bosnie-Herzégovine</w:t>
            </w:r>
          </w:p>
        </w:tc>
        <w:tc>
          <w:tcPr>
            <w:tcW w:w="794" w:type="dxa"/>
            <w:tcBorders>
              <w:bottom w:val="single" w:sz="12" w:space="0" w:color="auto"/>
            </w:tcBorders>
            <w:shd w:val="clear" w:color="auto" w:fill="auto"/>
            <w:vAlign w:val="bottom"/>
          </w:tcPr>
          <w:p w:rsidR="00DE0C47" w:rsidRPr="005F3BFE" w:rsidRDefault="00DE0C47" w:rsidP="00CA473A">
            <w:pPr>
              <w:pStyle w:val="HMG"/>
              <w:spacing w:before="40" w:after="40" w:line="220" w:lineRule="exact"/>
              <w:ind w:left="0" w:right="28"/>
              <w:jc w:val="right"/>
              <w:rPr>
                <w:b w:val="0"/>
                <w:sz w:val="18"/>
              </w:rPr>
            </w:pPr>
            <w:r w:rsidRPr="005F3BFE">
              <w:rPr>
                <w:b w:val="0"/>
                <w:sz w:val="18"/>
              </w:rPr>
              <w:t>4,3</w:t>
            </w:r>
          </w:p>
        </w:tc>
        <w:tc>
          <w:tcPr>
            <w:tcW w:w="794" w:type="dxa"/>
            <w:tcBorders>
              <w:bottom w:val="single" w:sz="12" w:space="0" w:color="auto"/>
            </w:tcBorders>
            <w:shd w:val="clear" w:color="auto" w:fill="auto"/>
            <w:vAlign w:val="bottom"/>
          </w:tcPr>
          <w:p w:rsidR="00DE0C47" w:rsidRPr="005F3BFE" w:rsidRDefault="00DE0C47" w:rsidP="00CA473A">
            <w:pPr>
              <w:pStyle w:val="HMG"/>
              <w:spacing w:before="40" w:after="40" w:line="220" w:lineRule="exact"/>
              <w:ind w:left="113" w:right="0"/>
              <w:jc w:val="right"/>
              <w:rPr>
                <w:b w:val="0"/>
                <w:sz w:val="18"/>
              </w:rPr>
            </w:pPr>
            <w:r w:rsidRPr="005F3BFE">
              <w:rPr>
                <w:b w:val="0"/>
                <w:sz w:val="18"/>
              </w:rPr>
              <w:t>13,1</w:t>
            </w:r>
          </w:p>
        </w:tc>
        <w:tc>
          <w:tcPr>
            <w:tcW w:w="794" w:type="dxa"/>
            <w:tcBorders>
              <w:bottom w:val="single" w:sz="12" w:space="0" w:color="auto"/>
            </w:tcBorders>
            <w:shd w:val="clear" w:color="auto" w:fill="auto"/>
            <w:vAlign w:val="bottom"/>
          </w:tcPr>
          <w:p w:rsidR="00DE0C47" w:rsidRPr="005F3BFE" w:rsidRDefault="00DE0C47" w:rsidP="00CA473A">
            <w:pPr>
              <w:pStyle w:val="HMG"/>
              <w:spacing w:before="40" w:after="40" w:line="220" w:lineRule="exact"/>
              <w:ind w:left="113" w:right="0"/>
              <w:jc w:val="right"/>
              <w:rPr>
                <w:b w:val="0"/>
                <w:sz w:val="18"/>
              </w:rPr>
            </w:pPr>
            <w:r w:rsidRPr="005F3BFE">
              <w:rPr>
                <w:b w:val="0"/>
                <w:sz w:val="18"/>
              </w:rPr>
              <w:t>67,4</w:t>
            </w:r>
          </w:p>
        </w:tc>
        <w:tc>
          <w:tcPr>
            <w:tcW w:w="794" w:type="dxa"/>
            <w:tcBorders>
              <w:bottom w:val="single" w:sz="12" w:space="0" w:color="auto"/>
            </w:tcBorders>
            <w:shd w:val="clear" w:color="auto" w:fill="auto"/>
            <w:vAlign w:val="bottom"/>
          </w:tcPr>
          <w:p w:rsidR="00DE0C47" w:rsidRPr="005F3BFE" w:rsidRDefault="00DE0C47" w:rsidP="00CA473A">
            <w:pPr>
              <w:pStyle w:val="HMG"/>
              <w:spacing w:before="40" w:after="40" w:line="220" w:lineRule="exact"/>
              <w:ind w:left="113" w:right="0"/>
              <w:jc w:val="right"/>
              <w:rPr>
                <w:b w:val="0"/>
                <w:sz w:val="18"/>
              </w:rPr>
            </w:pPr>
            <w:r w:rsidRPr="005F3BFE">
              <w:rPr>
                <w:b w:val="0"/>
                <w:sz w:val="18"/>
              </w:rPr>
              <w:t>10,1</w:t>
            </w:r>
          </w:p>
        </w:tc>
        <w:tc>
          <w:tcPr>
            <w:tcW w:w="794" w:type="dxa"/>
            <w:tcBorders>
              <w:bottom w:val="single" w:sz="12" w:space="0" w:color="auto"/>
            </w:tcBorders>
            <w:shd w:val="clear" w:color="auto" w:fill="auto"/>
            <w:vAlign w:val="bottom"/>
          </w:tcPr>
          <w:p w:rsidR="00DE0C47" w:rsidRPr="005F3BFE" w:rsidRDefault="00DE0C47" w:rsidP="00CA473A">
            <w:pPr>
              <w:pStyle w:val="HMG"/>
              <w:spacing w:before="40" w:after="40" w:line="220" w:lineRule="exact"/>
              <w:ind w:left="113" w:right="0"/>
              <w:jc w:val="right"/>
              <w:rPr>
                <w:b w:val="0"/>
                <w:sz w:val="18"/>
              </w:rPr>
            </w:pPr>
            <w:r w:rsidRPr="005F3BFE">
              <w:rPr>
                <w:b w:val="0"/>
                <w:sz w:val="18"/>
              </w:rPr>
              <w:t>4,4</w:t>
            </w:r>
          </w:p>
        </w:tc>
        <w:tc>
          <w:tcPr>
            <w:tcW w:w="794" w:type="dxa"/>
            <w:tcBorders>
              <w:bottom w:val="single" w:sz="12" w:space="0" w:color="auto"/>
            </w:tcBorders>
            <w:shd w:val="clear" w:color="auto" w:fill="auto"/>
            <w:vAlign w:val="bottom"/>
          </w:tcPr>
          <w:p w:rsidR="00DE0C47" w:rsidRPr="005F3BFE" w:rsidRDefault="00DE0C47" w:rsidP="00CA473A">
            <w:pPr>
              <w:pStyle w:val="HMG"/>
              <w:spacing w:before="40" w:after="40" w:line="220" w:lineRule="exact"/>
              <w:ind w:left="113" w:right="0"/>
              <w:jc w:val="right"/>
              <w:rPr>
                <w:b w:val="0"/>
                <w:sz w:val="18"/>
              </w:rPr>
            </w:pPr>
            <w:r w:rsidRPr="005F3BFE">
              <w:rPr>
                <w:b w:val="0"/>
                <w:sz w:val="18"/>
              </w:rPr>
              <w:t>0,7</w:t>
            </w:r>
          </w:p>
        </w:tc>
      </w:tr>
    </w:tbl>
    <w:p w:rsidR="00DE0C47" w:rsidRPr="00731786" w:rsidRDefault="00DE0C47" w:rsidP="00DE0C47">
      <w:pPr>
        <w:pStyle w:val="H1G"/>
      </w:pPr>
      <w:r>
        <w:tab/>
      </w:r>
      <w:r w:rsidRPr="00731786">
        <w:t>E.</w:t>
      </w:r>
      <w:r w:rsidRPr="00731786">
        <w:tab/>
        <w:t>Retour en Bosnie-Herzégovine</w:t>
      </w:r>
    </w:p>
    <w:p w:rsidR="00DE0C47" w:rsidRPr="00731786" w:rsidRDefault="00DE0C47" w:rsidP="00DE0C47">
      <w:pPr>
        <w:pStyle w:val="SingleTxtG"/>
      </w:pPr>
      <w:r w:rsidRPr="00731786">
        <w:t>36.</w:t>
      </w:r>
      <w:r w:rsidRPr="00731786">
        <w:tab/>
        <w:t>Les retours en Bosnie-Herzégovine ont commencé immédiatement après la signature de l</w:t>
      </w:r>
      <w:r w:rsidR="00CA473A">
        <w:t>’</w:t>
      </w:r>
      <w:r w:rsidRPr="00731786">
        <w:t xml:space="preserve">Accord de paix de Dayton (APD), et </w:t>
      </w:r>
      <w:r>
        <w:t>c</w:t>
      </w:r>
      <w:r w:rsidR="00CA473A">
        <w:t>’</w:t>
      </w:r>
      <w:r>
        <w:t xml:space="preserve">est précisément dans les années ayant suivi </w:t>
      </w:r>
      <w:r w:rsidRPr="00731786">
        <w:t>que l</w:t>
      </w:r>
      <w:r w:rsidR="00CA473A">
        <w:t>’</w:t>
      </w:r>
      <w:r w:rsidRPr="00731786">
        <w:t xml:space="preserve">on </w:t>
      </w:r>
      <w:r>
        <w:t xml:space="preserve">a </w:t>
      </w:r>
      <w:r w:rsidRPr="00731786">
        <w:t>vu affluer le plus grand nombre de rapatriés. À elles seules, les trois premières années ont totalisé 570 925 rapatriés, représentant plus de la moitié des rapatriés de Bosnie-Herzégovine depuis l</w:t>
      </w:r>
      <w:r w:rsidR="00CA473A">
        <w:t>’</w:t>
      </w:r>
      <w:r w:rsidRPr="00731786">
        <w:t>A</w:t>
      </w:r>
      <w:r>
        <w:t>ccord de Dayton</w:t>
      </w:r>
      <w:r w:rsidRPr="00731786">
        <w:t>. Par la suite, les retours marqueront un ralentissement, avec moitié moins de rapatriés en 1999 qu</w:t>
      </w:r>
      <w:r w:rsidR="00CA473A">
        <w:t>’</w:t>
      </w:r>
      <w:r w:rsidRPr="00731786">
        <w:t xml:space="preserve">en 1998, mais en 2001, on observera à nouveau une recrudescence des retours. Des résultats particulièrement favorables ont été enregistrés en 2002, lorsque plus de 100 000 rapatriés ont été </w:t>
      </w:r>
      <w:r>
        <w:t>dénombrés</w:t>
      </w:r>
      <w:r w:rsidRPr="00731786">
        <w:t>, soit le même chiffre que dans les trois premières années.</w:t>
      </w:r>
    </w:p>
    <w:p w:rsidR="00DE0C47" w:rsidRPr="00731786" w:rsidRDefault="00DE0C47" w:rsidP="00DE0C47">
      <w:pPr>
        <w:pStyle w:val="SingleTxtG"/>
      </w:pPr>
      <w:r w:rsidRPr="00731786">
        <w:t>37.</w:t>
      </w:r>
      <w:r w:rsidRPr="00731786">
        <w:tab/>
        <w:t>Durant cette période, l</w:t>
      </w:r>
      <w:r w:rsidR="00CA473A">
        <w:t>’</w:t>
      </w:r>
      <w:r w:rsidRPr="00731786">
        <w:t>augmentation du nombre des rapatriés est lié</w:t>
      </w:r>
      <w:r>
        <w:t>e</w:t>
      </w:r>
      <w:r w:rsidRPr="00731786">
        <w:t xml:space="preserve"> à l</w:t>
      </w:r>
      <w:r w:rsidR="00CA473A">
        <w:t>’</w:t>
      </w:r>
      <w:r w:rsidRPr="00731786">
        <w:t>application accélérée et efficace des lois sur la propriété, entraînant la restitution des logements à leurs propriétaires d</w:t>
      </w:r>
      <w:r w:rsidR="00CA473A">
        <w:t>’</w:t>
      </w:r>
      <w:r w:rsidRPr="00731786">
        <w:t>avant guerre et aux détenteurs des droits d</w:t>
      </w:r>
      <w:r w:rsidR="00CA473A">
        <w:t>’</w:t>
      </w:r>
      <w:r w:rsidRPr="00731786">
        <w:t xml:space="preserve">occupation. Pour un grand nombre de réfugiés et de personnes déplacées, ces conditions ont </w:t>
      </w:r>
      <w:r>
        <w:t>donné</w:t>
      </w:r>
      <w:r w:rsidRPr="00731786">
        <w:t xml:space="preserve"> le signal du retour. En outre, durant cette même période, des sommes considérables ont été investies dans la rénovation des logements des rapatriés, ce qui </w:t>
      </w:r>
      <w:r>
        <w:t xml:space="preserve">supposait </w:t>
      </w:r>
      <w:r w:rsidRPr="00731786">
        <w:t>également un investissement important dans l</w:t>
      </w:r>
      <w:r w:rsidR="00CA473A">
        <w:t>’</w:t>
      </w:r>
      <w:r w:rsidRPr="00731786">
        <w:t xml:space="preserve">accroissement de la sécurité générale en Bosnie-Herzégovine, </w:t>
      </w:r>
      <w:r>
        <w:t xml:space="preserve">y compris celle </w:t>
      </w:r>
      <w:r w:rsidRPr="00731786">
        <w:t>des rapatriés.</w:t>
      </w:r>
    </w:p>
    <w:p w:rsidR="00DE0C47" w:rsidRPr="00731786" w:rsidRDefault="00DE0C47" w:rsidP="00DE0C47">
      <w:pPr>
        <w:pStyle w:val="SingleTxtG"/>
      </w:pPr>
      <w:r w:rsidRPr="00731786">
        <w:t>38.</w:t>
      </w:r>
      <w:r w:rsidRPr="00731786">
        <w:tab/>
        <w:t>En outre, il importe de souligner que l</w:t>
      </w:r>
      <w:r w:rsidR="00CA473A">
        <w:t>’</w:t>
      </w:r>
      <w:r w:rsidRPr="00731786">
        <w:t>encouragement de la coopération mutuelle entre les institutions compétentes de la Bosnie-Herzégovine et leur coopération avec d</w:t>
      </w:r>
      <w:r w:rsidR="00CA473A">
        <w:t>’</w:t>
      </w:r>
      <w:r w:rsidRPr="00731786">
        <w:t>autres partenaires compétents dans ce domaine, à l</w:t>
      </w:r>
      <w:r w:rsidR="00CA473A">
        <w:t>’</w:t>
      </w:r>
      <w:r w:rsidRPr="00731786">
        <w:t>intérieur comme à l</w:t>
      </w:r>
      <w:r w:rsidR="00CA473A">
        <w:t>’</w:t>
      </w:r>
      <w:r w:rsidRPr="00731786">
        <w:t xml:space="preserve">extérieur du pays, ont largement contribué à créer un processus propice, surtout dans le domaine de la reconstruction, et à la sélection des priorités réelles. </w:t>
      </w:r>
    </w:p>
    <w:p w:rsidR="00DE0C47" w:rsidRPr="00731786" w:rsidRDefault="00DE0C47" w:rsidP="00DE0C47">
      <w:pPr>
        <w:pStyle w:val="SingleTxtG"/>
      </w:pPr>
      <w:r w:rsidRPr="00731786">
        <w:t>39.</w:t>
      </w:r>
      <w:r w:rsidRPr="00731786">
        <w:tab/>
        <w:t>Après 2002, le rythme des rapatriements a continué de baisser. Cependant, même si le nombre de rapatriés a considérablement diminué une dé</w:t>
      </w:r>
      <w:r>
        <w:t>cennie après la signature de l</w:t>
      </w:r>
      <w:r w:rsidR="00CA473A">
        <w:t>’</w:t>
      </w:r>
      <w:r>
        <w:t>A</w:t>
      </w:r>
      <w:r w:rsidRPr="00731786">
        <w:t>ccord de paix, il faut noter qu</w:t>
      </w:r>
      <w:r>
        <w:t xml:space="preserve">e </w:t>
      </w:r>
      <w:r w:rsidRPr="00731786">
        <w:t>le cap du million de rapatriés avait été franchi</w:t>
      </w:r>
      <w:r>
        <w:t xml:space="preserve"> en 2004</w:t>
      </w:r>
      <w:r w:rsidRPr="00731786">
        <w:t>.</w:t>
      </w:r>
    </w:p>
    <w:p w:rsidR="00DE0C47" w:rsidRPr="00731786" w:rsidRDefault="00DE0C47" w:rsidP="00DE0C47">
      <w:pPr>
        <w:pStyle w:val="SingleTxtG"/>
      </w:pPr>
      <w:r w:rsidRPr="00731786">
        <w:t>40.</w:t>
      </w:r>
      <w:r w:rsidRPr="00731786">
        <w:tab/>
        <w:t>À ce jour, un total de 1 032 895 rapatriés a été enregistré en Bosnie-Herzégovine, dont 447 136 réfugiés et 585 759 personnes déplacées. Sur le total, environ 72 % sont rentrés en Fédération de Bosnie-Herzégovine, environ 26 % en Republika Srpska, et quelque 2 % dans le district de Brcko. Au plan national, la répartition des rapatriés est la suivante: 62 % de Bosniaques, 13 % de Croates, 24 % de Serbes et 1 % d</w:t>
      </w:r>
      <w:r w:rsidR="00CA473A">
        <w:t>’</w:t>
      </w:r>
      <w:r w:rsidRPr="00731786">
        <w:t>autres nationalités.</w:t>
      </w:r>
    </w:p>
    <w:p w:rsidR="00DE0C47" w:rsidRPr="00731786" w:rsidRDefault="00DE0C47" w:rsidP="00DE0C47">
      <w:pPr>
        <w:pStyle w:val="SingleTxtG"/>
      </w:pPr>
      <w:r w:rsidRPr="00731786">
        <w:t>41.</w:t>
      </w:r>
      <w:r w:rsidRPr="00731786">
        <w:tab/>
        <w:t>Par ailleurs, les statistiques officielles ont enregistré environ 470 000 rapatriés dits «minorit</w:t>
      </w:r>
      <w:r>
        <w:t>aires». La proportion de</w:t>
      </w:r>
      <w:r w:rsidRPr="00731786">
        <w:t xml:space="preserve"> rapatriés «minoritaires»</w:t>
      </w:r>
      <w:r>
        <w:t>,</w:t>
      </w:r>
      <w:r w:rsidRPr="00731786">
        <w:t xml:space="preserve"> dont l</w:t>
      </w:r>
      <w:r w:rsidR="00CA473A">
        <w:t>’</w:t>
      </w:r>
      <w:r w:rsidRPr="00731786">
        <w:t>effectif est calculé sur la base de l</w:t>
      </w:r>
      <w:r w:rsidR="00CA473A">
        <w:t>’</w:t>
      </w:r>
      <w:r w:rsidRPr="00731786">
        <w:t>estimation du nombre de personnes ayant fui leur lieu de résidence d</w:t>
      </w:r>
      <w:r w:rsidR="00CA473A">
        <w:t>’</w:t>
      </w:r>
      <w:r w:rsidRPr="00731786">
        <w:t>avant guerre par rapport au nombre de rapatriés, est de 32 % pour la Fédération de Bosnie-Herzégovine et de 28,5 % pour la Republika Srpska. Le taux de rapatriement des Bosniaques en Republika Srpska est de 35 %, et celui des Croates de 8,5 %.</w:t>
      </w:r>
    </w:p>
    <w:p w:rsidR="00DE0C47" w:rsidRPr="00C451B9" w:rsidRDefault="00DE0C47" w:rsidP="00DE0C47">
      <w:pPr>
        <w:pStyle w:val="SingleTxtG"/>
      </w:pPr>
      <w:r w:rsidRPr="00731786">
        <w:t>42.</w:t>
      </w:r>
      <w:r w:rsidRPr="00731786">
        <w:tab/>
        <w:t xml:space="preserve">Enfin, il faut se féliciter des résultats </w:t>
      </w:r>
      <w:r>
        <w:t>obtenus</w:t>
      </w:r>
      <w:r w:rsidRPr="00731786">
        <w:t xml:space="preserve"> par la Bosnie-Herzégovine à cet égard, car cela représente indubitablement un succès significatif si l</w:t>
      </w:r>
      <w:r w:rsidR="00CA473A">
        <w:t>’</w:t>
      </w:r>
      <w:r w:rsidRPr="00731786">
        <w:t xml:space="preserve">on compare le taux de rapatriement </w:t>
      </w:r>
      <w:r>
        <w:t>dans ce pays</w:t>
      </w:r>
      <w:r w:rsidRPr="00731786">
        <w:t>, qui est d</w:t>
      </w:r>
      <w:r w:rsidR="00CA473A">
        <w:t>’</w:t>
      </w:r>
      <w:r w:rsidRPr="00731786">
        <w:t>envir</w:t>
      </w:r>
      <w:r>
        <w:t>on 50 %, aux situations d</w:t>
      </w:r>
      <w:r w:rsidR="00CA473A">
        <w:t>’</w:t>
      </w:r>
      <w:r>
        <w:t xml:space="preserve">après </w:t>
      </w:r>
      <w:r w:rsidRPr="00731786">
        <w:t xml:space="preserve">crise </w:t>
      </w:r>
      <w:r>
        <w:t>qu</w:t>
      </w:r>
      <w:r w:rsidR="00CA473A">
        <w:t>’</w:t>
      </w:r>
      <w:r>
        <w:t>ont connues</w:t>
      </w:r>
      <w:r w:rsidRPr="00731786">
        <w:t xml:space="preserve"> d</w:t>
      </w:r>
      <w:r w:rsidR="00CA473A">
        <w:t>’</w:t>
      </w:r>
      <w:r w:rsidRPr="00731786">
        <w:t>autres régions.</w:t>
      </w:r>
    </w:p>
    <w:p w:rsidR="00DE0C47" w:rsidRPr="00654BBD" w:rsidRDefault="00DE0C47" w:rsidP="00DE0C47">
      <w:pPr>
        <w:pStyle w:val="H1G"/>
      </w:pPr>
      <w:r>
        <w:tab/>
      </w:r>
      <w:r w:rsidRPr="00654BBD">
        <w:t>F.</w:t>
      </w:r>
      <w:r w:rsidRPr="00654BBD">
        <w:tab/>
        <w:t>Restitution des droits de propriété et d</w:t>
      </w:r>
      <w:r w:rsidR="00CA473A">
        <w:t>’</w:t>
      </w:r>
      <w:r w:rsidRPr="00654BBD">
        <w:t>occupation</w:t>
      </w:r>
    </w:p>
    <w:p w:rsidR="00DE0C47" w:rsidRPr="00654BBD" w:rsidRDefault="00DE0C47" w:rsidP="00DE0C47">
      <w:pPr>
        <w:pStyle w:val="SingleTxtG"/>
      </w:pPr>
      <w:r w:rsidRPr="00654BBD">
        <w:t>43.</w:t>
      </w:r>
      <w:r w:rsidRPr="00654BBD">
        <w:tab/>
        <w:t>En 1998 et 1999, conformément à l</w:t>
      </w:r>
      <w:r w:rsidR="00CA473A">
        <w:t>’</w:t>
      </w:r>
      <w:r w:rsidRPr="00654BBD">
        <w:t>annexe VII de l</w:t>
      </w:r>
      <w:r w:rsidR="00CA473A">
        <w:t>’</w:t>
      </w:r>
      <w:r w:rsidRPr="00654BBD">
        <w:t>Accord de paix de Dayton, les autorités compétentes des Entités, avec le concours des institutions et des organisations de la communauté internationale présentes en Bosnie-Herzégovine, et en coordination avec celles-ci, ont adopté une série de lois relatives à la propriété afin d</w:t>
      </w:r>
      <w:r w:rsidR="00CA473A">
        <w:t>’</w:t>
      </w:r>
      <w:r w:rsidRPr="00654BBD">
        <w:t>élaborer un cadre juridique qui devrait permettre l</w:t>
      </w:r>
      <w:r w:rsidR="00CA473A">
        <w:t>’</w:t>
      </w:r>
      <w:r w:rsidRPr="00654BBD">
        <w:t>exécution des obligations au titre de l</w:t>
      </w:r>
      <w:r w:rsidR="00CA473A">
        <w:t>’</w:t>
      </w:r>
      <w:r w:rsidRPr="00654BBD">
        <w:t>annexe</w:t>
      </w:r>
      <w:r>
        <w:t> </w:t>
      </w:r>
      <w:r w:rsidRPr="00654BBD">
        <w:t>VII (restitution de biens aux propriétaires et aux usagers d</w:t>
      </w:r>
      <w:r w:rsidR="00CA473A">
        <w:t>’</w:t>
      </w:r>
      <w:r>
        <w:t xml:space="preserve">avant </w:t>
      </w:r>
      <w:r w:rsidRPr="00654BBD">
        <w:t>guerre).</w:t>
      </w:r>
    </w:p>
    <w:p w:rsidR="00DE0C47" w:rsidRPr="00654BBD" w:rsidRDefault="00DE0C47" w:rsidP="00DE0C47">
      <w:pPr>
        <w:pStyle w:val="SingleTxtG"/>
      </w:pPr>
      <w:r w:rsidRPr="00654BBD">
        <w:t>44.</w:t>
      </w:r>
      <w:r w:rsidRPr="00654BBD">
        <w:tab/>
        <w:t>Le processus de restitution des biens aux réfugiés et aux personnes déplacées s</w:t>
      </w:r>
      <w:r w:rsidR="00CA473A">
        <w:t>’</w:t>
      </w:r>
      <w:r w:rsidRPr="00654BBD">
        <w:t>est déroulé conformément aux lois des Entités relatives à la propriété. Il a été achevé fin 2006.</w:t>
      </w:r>
    </w:p>
    <w:p w:rsidR="00DE0C47" w:rsidRPr="00654BBD" w:rsidRDefault="00DE0C47" w:rsidP="00DE0C47">
      <w:pPr>
        <w:pStyle w:val="SingleTxtG"/>
      </w:pPr>
      <w:r w:rsidRPr="00654BBD">
        <w:t>45.</w:t>
      </w:r>
      <w:r w:rsidRPr="00654BBD">
        <w:tab/>
        <w:t>Selon les statistiques publiées récemment par l</w:t>
      </w:r>
      <w:r w:rsidR="00CA473A">
        <w:t>’</w:t>
      </w:r>
      <w:r w:rsidRPr="00654BBD">
        <w:t>agence du Plan d</w:t>
      </w:r>
      <w:r w:rsidR="00CA473A">
        <w:t>’</w:t>
      </w:r>
      <w:r w:rsidRPr="00654BBD">
        <w:t>application de la loi sur les biens fonciers</w:t>
      </w:r>
      <w:r w:rsidRPr="00C003BF">
        <w:rPr>
          <w:rStyle w:val="FootnoteReference"/>
        </w:rPr>
        <w:footnoteReference w:id="10"/>
      </w:r>
      <w:r w:rsidRPr="00654BBD">
        <w:t>, le total des demandes de restitution des droits de propriété et d</w:t>
      </w:r>
      <w:r w:rsidR="00CA473A">
        <w:t>’</w:t>
      </w:r>
      <w:r w:rsidRPr="00654BBD">
        <w:t>occupation en Bosnie-Herzégovine s</w:t>
      </w:r>
      <w:r w:rsidR="00CA473A">
        <w:t>’</w:t>
      </w:r>
      <w:r w:rsidRPr="00654BBD">
        <w:t>élevait à 21</w:t>
      </w:r>
      <w:r>
        <w:t>1 791. Il a été délivré 197 815 </w:t>
      </w:r>
      <w:r w:rsidRPr="00654BBD">
        <w:t>décisions posit</w:t>
      </w:r>
      <w:r>
        <w:t>ives et 12 642 </w:t>
      </w:r>
      <w:r w:rsidRPr="00654BBD">
        <w:t xml:space="preserve">décisions négatives. </w:t>
      </w:r>
      <w:r>
        <w:t xml:space="preserve">Il y a eu </w:t>
      </w:r>
      <w:r w:rsidRPr="00654BBD">
        <w:t>197 688</w:t>
      </w:r>
      <w:r>
        <w:t> </w:t>
      </w:r>
      <w:r w:rsidRPr="00654BBD">
        <w:t>affaires classées. Dans l</w:t>
      </w:r>
      <w:r w:rsidR="00CA473A">
        <w:t>’</w:t>
      </w:r>
      <w:r w:rsidRPr="00654BBD">
        <w:t>ensemble, plus de 99</w:t>
      </w:r>
      <w:r>
        <w:t> </w:t>
      </w:r>
      <w:r w:rsidRPr="00654BBD">
        <w:t>% d</w:t>
      </w:r>
      <w:r>
        <w:t xml:space="preserve">es </w:t>
      </w:r>
      <w:r w:rsidRPr="00654BBD">
        <w:t>affaires sont considérées comme classées et le processus de restitution est dans la phase finale de mise en application en Bosnie-Herzégovine.</w:t>
      </w:r>
    </w:p>
    <w:p w:rsidR="00DE0C47" w:rsidRPr="00654BBD" w:rsidRDefault="00DE0C47" w:rsidP="00DE0C47">
      <w:pPr>
        <w:pStyle w:val="SingleTxtG"/>
      </w:pPr>
      <w:r w:rsidRPr="00654BBD">
        <w:t>46.</w:t>
      </w:r>
      <w:r w:rsidRPr="00654BBD">
        <w:tab/>
      </w:r>
      <w:r>
        <w:t xml:space="preserve">Vu les </w:t>
      </w:r>
      <w:r w:rsidRPr="00654BBD">
        <w:t>résultats de la restitution des droits de propriété et d</w:t>
      </w:r>
      <w:r w:rsidR="00CA473A">
        <w:t>’</w:t>
      </w:r>
      <w:r w:rsidRPr="00654BBD">
        <w:t>occupation, la Bosnie-Herzégovine est considérée comme étant un bon exemple aussi bien au niveau régional qu</w:t>
      </w:r>
      <w:r w:rsidR="00CA473A">
        <w:t>’</w:t>
      </w:r>
      <w:r w:rsidRPr="00654BBD">
        <w:t>international.</w:t>
      </w:r>
    </w:p>
    <w:p w:rsidR="00DE0C47" w:rsidRPr="00654BBD" w:rsidRDefault="00DE0C47" w:rsidP="00DE0C47">
      <w:pPr>
        <w:pStyle w:val="SingleTxtG"/>
        <w:rPr>
          <w:u w:val="single"/>
        </w:rPr>
      </w:pPr>
      <w:r w:rsidRPr="00654BBD">
        <w:t>47.</w:t>
      </w:r>
      <w:r w:rsidRPr="00654BBD">
        <w:tab/>
        <w:t>Puisque les propriétaires et les usagers doivent avoir récupéré leurs droits de propriété ou d</w:t>
      </w:r>
      <w:r w:rsidR="00CA473A">
        <w:t>’</w:t>
      </w:r>
      <w:r w:rsidRPr="00654BBD">
        <w:t>occupation pour que le processus soit considéré comme achevé, les affaires restantes font encore l</w:t>
      </w:r>
      <w:r w:rsidR="00CA473A">
        <w:t>’</w:t>
      </w:r>
      <w:r w:rsidRPr="00654BBD">
        <w:t xml:space="preserve">objet de procédures administratives, de contentieux ou de litiges </w:t>
      </w:r>
      <w:r>
        <w:t>engagés</w:t>
      </w:r>
      <w:r w:rsidRPr="00654BBD">
        <w:t xml:space="preserve"> auprès des juridictions compétentes en raison des divergences </w:t>
      </w:r>
      <w:r>
        <w:t xml:space="preserve">sur des questions de droit </w:t>
      </w:r>
      <w:r w:rsidRPr="00654BBD">
        <w:t>ou de fait.</w:t>
      </w:r>
    </w:p>
    <w:p w:rsidR="00DE0C47" w:rsidRPr="00654BBD" w:rsidRDefault="00DE0C47" w:rsidP="00DE0C47">
      <w:pPr>
        <w:pStyle w:val="H1G"/>
      </w:pPr>
      <w:r>
        <w:tab/>
      </w:r>
      <w:r w:rsidRPr="00654BBD">
        <w:t>G.</w:t>
      </w:r>
      <w:r w:rsidRPr="00654BBD">
        <w:tab/>
        <w:t>Situation actuelle des réfugiés de Bosnie-Herzégovine</w:t>
      </w:r>
    </w:p>
    <w:p w:rsidR="00DE0C47" w:rsidRPr="00654BBD" w:rsidRDefault="00DE0C47" w:rsidP="00DE0C47">
      <w:pPr>
        <w:pStyle w:val="SingleTxtG"/>
      </w:pPr>
      <w:r w:rsidRPr="00654BBD">
        <w:t>48.</w:t>
      </w:r>
      <w:r w:rsidRPr="00654BBD">
        <w:tab/>
        <w:t>D</w:t>
      </w:r>
      <w:r w:rsidR="00CA473A">
        <w:t>’</w:t>
      </w:r>
      <w:r w:rsidRPr="00654BBD">
        <w:t>après l</w:t>
      </w:r>
      <w:r>
        <w:t xml:space="preserve">es estimations, </w:t>
      </w:r>
      <w:r w:rsidRPr="00654BBD">
        <w:t>sur les 1,2 million qui ont quitté la Bosnie-Herzégovine entre 1992 et 1995,</w:t>
      </w:r>
      <w:r>
        <w:t xml:space="preserve"> près de 400 000 </w:t>
      </w:r>
      <w:r w:rsidRPr="00654BBD">
        <w:t>personnes résident encore hors du pays et sont enregistré</w:t>
      </w:r>
      <w:r>
        <w:t>e</w:t>
      </w:r>
      <w:r w:rsidRPr="00654BBD">
        <w:t>s comme réfugiés de Bosnie-Herzégovine. La plupart sont bien intégré</w:t>
      </w:r>
      <w:r>
        <w:t>e</w:t>
      </w:r>
      <w:r w:rsidRPr="00654BBD">
        <w:t>s dans leur pays d</w:t>
      </w:r>
      <w:r w:rsidR="00CA473A">
        <w:t>’</w:t>
      </w:r>
      <w:r w:rsidRPr="00654BBD">
        <w:t xml:space="preserve">accueil; toutefois, </w:t>
      </w:r>
      <w:r>
        <w:t xml:space="preserve">ou </w:t>
      </w:r>
      <w:r w:rsidRPr="00654BBD">
        <w:t>estim</w:t>
      </w:r>
      <w:r>
        <w:t>e que près de 80 000 </w:t>
      </w:r>
      <w:r w:rsidRPr="00654BBD">
        <w:t xml:space="preserve">réfugiés sont encore à la recherche de solutions durables, dont </w:t>
      </w:r>
      <w:r>
        <w:t xml:space="preserve">en premier lieu </w:t>
      </w:r>
      <w:r w:rsidRPr="00654BBD">
        <w:t>le retour en Bosnie-Herzégovine.</w:t>
      </w:r>
    </w:p>
    <w:p w:rsidR="00DE0C47" w:rsidRPr="00654BBD" w:rsidRDefault="00DE0C47" w:rsidP="00DE0C47">
      <w:pPr>
        <w:pStyle w:val="SingleTxtG"/>
      </w:pPr>
      <w:r w:rsidRPr="00654BBD">
        <w:t>49.</w:t>
      </w:r>
      <w:r w:rsidRPr="00654BBD">
        <w:tab/>
      </w:r>
      <w:r>
        <w:t>Environ</w:t>
      </w:r>
      <w:r w:rsidRPr="00654BBD">
        <w:t xml:space="preserve"> 6 500 familles se trouvant à l</w:t>
      </w:r>
      <w:r w:rsidR="00CA473A">
        <w:t>’</w:t>
      </w:r>
      <w:r w:rsidRPr="00654BBD">
        <w:t>étranger ont demandé de l</w:t>
      </w:r>
      <w:r w:rsidR="00CA473A">
        <w:t>’</w:t>
      </w:r>
      <w:r w:rsidRPr="00654BBD">
        <w:t xml:space="preserve">aide </w:t>
      </w:r>
      <w:r>
        <w:t xml:space="preserve">à la reconstruction </w:t>
      </w:r>
      <w:r w:rsidRPr="00654BBD">
        <w:t>pour le retour d</w:t>
      </w:r>
      <w:r w:rsidR="00CA473A">
        <w:t>’</w:t>
      </w:r>
      <w:r w:rsidRPr="00654BBD">
        <w:t>environ 23</w:t>
      </w:r>
      <w:r>
        <w:t> </w:t>
      </w:r>
      <w:r w:rsidRPr="00654BBD">
        <w:t>000</w:t>
      </w:r>
      <w:r>
        <w:t> </w:t>
      </w:r>
      <w:r w:rsidRPr="00654BBD">
        <w:t>réfugiés</w:t>
      </w:r>
      <w:r>
        <w:t>,</w:t>
      </w:r>
      <w:r w:rsidRPr="00654BBD">
        <w:t xml:space="preserve"> dont presque </w:t>
      </w:r>
      <w:r>
        <w:t xml:space="preserve">les </w:t>
      </w:r>
      <w:r w:rsidRPr="00654BBD">
        <w:t>trois quarts (75</w:t>
      </w:r>
      <w:r>
        <w:t> </w:t>
      </w:r>
      <w:r w:rsidRPr="00654BBD">
        <w:t xml:space="preserve">%) vivent dans </w:t>
      </w:r>
      <w:r>
        <w:t>d</w:t>
      </w:r>
      <w:r w:rsidRPr="00654BBD">
        <w:t xml:space="preserve">es pays </w:t>
      </w:r>
      <w:r>
        <w:t>limitrophes</w:t>
      </w:r>
      <w:r w:rsidRPr="00654BBD">
        <w:t xml:space="preserve"> et près de 20</w:t>
      </w:r>
      <w:r>
        <w:t> </w:t>
      </w:r>
      <w:r w:rsidRPr="00654BBD">
        <w:t>% dans les pays européens, tandis que près de 5</w:t>
      </w:r>
      <w:r>
        <w:t> </w:t>
      </w:r>
      <w:r w:rsidRPr="00654BBD">
        <w:t>% vivent dans les pays d</w:t>
      </w:r>
      <w:r w:rsidR="00CA473A">
        <w:t>’</w:t>
      </w:r>
      <w:r w:rsidRPr="00654BBD">
        <w:t>émigration d</w:t>
      </w:r>
      <w:r w:rsidR="00CA473A">
        <w:t>’</w:t>
      </w:r>
      <w:r w:rsidRPr="00654BBD">
        <w:t>outre-mer.</w:t>
      </w:r>
    </w:p>
    <w:p w:rsidR="00DE0C47" w:rsidRPr="00654BBD" w:rsidRDefault="00DE0C47" w:rsidP="00DE0C47">
      <w:pPr>
        <w:pStyle w:val="SingleTxtG"/>
      </w:pPr>
      <w:r w:rsidRPr="00654BBD">
        <w:t>50.</w:t>
      </w:r>
      <w:r w:rsidRPr="00654BBD">
        <w:tab/>
        <w:t>Un problème majeur est le retour, depuis les pays d</w:t>
      </w:r>
      <w:r w:rsidR="00CA473A">
        <w:t>’</w:t>
      </w:r>
      <w:r w:rsidRPr="00654BBD">
        <w:t xml:space="preserve">accueil, des catégories de réfugiés particulièrement vulnérables, car malgré les efforts bilatéraux qui ont été </w:t>
      </w:r>
      <w:r>
        <w:t>faits</w:t>
      </w:r>
      <w:r w:rsidRPr="00654BBD">
        <w:t xml:space="preserve"> dans ce sens durant de nombreuses années, la question épineuse de la Bosnie-Herzégovine n</w:t>
      </w:r>
      <w:r w:rsidR="00CA473A">
        <w:t>’</w:t>
      </w:r>
      <w:r w:rsidRPr="00654BBD">
        <w:t>a pas encore été résolu</w:t>
      </w:r>
      <w:r>
        <w:t>e</w:t>
      </w:r>
      <w:r w:rsidRPr="00654BBD">
        <w:t xml:space="preserve"> de manière systématique et dans son intégralité. Cela est particulièrement vrai en ce qui concerne le retour des personnes atteintes de troubles mentaux, </w:t>
      </w:r>
      <w:r>
        <w:t xml:space="preserve">qui </w:t>
      </w:r>
      <w:r w:rsidRPr="00654BBD">
        <w:t>dépend</w:t>
      </w:r>
      <w:r>
        <w:t>e</w:t>
      </w:r>
      <w:r w:rsidRPr="00654BBD">
        <w:t>nt entièrement de l</w:t>
      </w:r>
      <w:r w:rsidR="00CA473A">
        <w:t>’</w:t>
      </w:r>
      <w:r w:rsidRPr="00654BBD">
        <w:t>aide publique</w:t>
      </w:r>
      <w:r>
        <w:t xml:space="preserve"> pour leur rapatriement</w:t>
      </w:r>
      <w:r w:rsidRPr="00654BBD">
        <w:t>.</w:t>
      </w:r>
    </w:p>
    <w:p w:rsidR="00DE0C47" w:rsidRPr="00654BBD" w:rsidRDefault="00DE0C47" w:rsidP="00DE0C47">
      <w:pPr>
        <w:pStyle w:val="H1G"/>
      </w:pPr>
      <w:r>
        <w:tab/>
      </w:r>
      <w:r w:rsidRPr="00654BBD">
        <w:t>H.</w:t>
      </w:r>
      <w:r>
        <w:tab/>
      </w:r>
      <w:r w:rsidRPr="00654BBD">
        <w:t>Personnes déplacées en Bosnie-Herzégovine</w:t>
      </w:r>
    </w:p>
    <w:p w:rsidR="00DE0C47" w:rsidRPr="00654BBD" w:rsidRDefault="00DE0C47" w:rsidP="004D571D">
      <w:pPr>
        <w:pStyle w:val="SingleTxtG"/>
        <w:spacing w:after="80"/>
      </w:pPr>
      <w:r w:rsidRPr="00654BBD">
        <w:t>51.</w:t>
      </w:r>
      <w:r w:rsidRPr="00654BBD">
        <w:tab/>
        <w:t>Près d</w:t>
      </w:r>
      <w:r w:rsidR="00CA473A">
        <w:t>’</w:t>
      </w:r>
      <w:r w:rsidRPr="00654BBD">
        <w:t>un million de personnes déplacées ont salué la signature de l</w:t>
      </w:r>
      <w:r w:rsidR="00CA473A">
        <w:t>’</w:t>
      </w:r>
      <w:r w:rsidRPr="00654BBD">
        <w:t>Accord de paix fin 1995, ce qui représente pratiquement un quart de la population de Bosnie-Herzégovine d</w:t>
      </w:r>
      <w:r w:rsidR="00CA473A">
        <w:t>’</w:t>
      </w:r>
      <w:r w:rsidRPr="00654BBD">
        <w:t xml:space="preserve">avant guerre. </w:t>
      </w:r>
      <w:r>
        <w:t>Un tiers d</w:t>
      </w:r>
      <w:r w:rsidR="00CA473A">
        <w:t>’</w:t>
      </w:r>
      <w:r>
        <w:t xml:space="preserve">entre elles avaient </w:t>
      </w:r>
      <w:r w:rsidRPr="00654BBD">
        <w:t>été déplacé</w:t>
      </w:r>
      <w:r>
        <w:t>es</w:t>
      </w:r>
      <w:r w:rsidRPr="00654BBD">
        <w:t xml:space="preserve"> au sein de leur municipalité de résidence, ce qui laisse </w:t>
      </w:r>
      <w:r>
        <w:t>penser</w:t>
      </w:r>
      <w:r w:rsidRPr="00654BBD">
        <w:t xml:space="preserve"> que les raisons du déplacement ne résultaient pas uniquement des persécutions et/ou de la peur qu</w:t>
      </w:r>
      <w:r w:rsidR="00CA473A">
        <w:t>’</w:t>
      </w:r>
      <w:r w:rsidRPr="00654BBD">
        <w:t xml:space="preserve">elles suscitaient. Elles pouvaient aussi être directement liées aux conséquences des dommages </w:t>
      </w:r>
      <w:r>
        <w:t>causés</w:t>
      </w:r>
      <w:r w:rsidRPr="00654BBD">
        <w:t xml:space="preserve"> aux biens des personnes déplacées ou aux logements qu</w:t>
      </w:r>
      <w:r w:rsidR="00CA473A">
        <w:t>’</w:t>
      </w:r>
      <w:r w:rsidRPr="00654BBD">
        <w:t>elles occupaient avant la guerre.</w:t>
      </w:r>
    </w:p>
    <w:p w:rsidR="00DE0C47" w:rsidRPr="00654BBD" w:rsidRDefault="00DE0C47" w:rsidP="004D571D">
      <w:pPr>
        <w:pStyle w:val="SingleTxtG"/>
        <w:spacing w:after="80"/>
      </w:pPr>
      <w:r w:rsidRPr="00654BBD">
        <w:t>52.</w:t>
      </w:r>
      <w:r w:rsidRPr="00654BBD">
        <w:tab/>
        <w:t>La première liste de personnes déplacées en Bosnie-Herzégovine, exhaustive et officielle, a été établie en 2000</w:t>
      </w:r>
      <w:r>
        <w:t>,</w:t>
      </w:r>
      <w:r w:rsidRPr="00654BBD">
        <w:t xml:space="preserve"> lorsque 185 233</w:t>
      </w:r>
      <w:r>
        <w:t> </w:t>
      </w:r>
      <w:r w:rsidRPr="00654BBD">
        <w:t>familles déplacées ont été recensées (c</w:t>
      </w:r>
      <w:r w:rsidR="00CA473A">
        <w:t>’</w:t>
      </w:r>
      <w:r w:rsidR="00856606">
        <w:t>est</w:t>
      </w:r>
      <w:r w:rsidR="00856606">
        <w:noBreakHyphen/>
      </w:r>
      <w:r>
        <w:t>à-dire un total de 557 275 </w:t>
      </w:r>
      <w:r w:rsidRPr="00654BBD">
        <w:t>personnes), dont 93 422 (50,43%) de la Fédération de Bosnie-Herzégovine, 84 318 (45,52</w:t>
      </w:r>
      <w:r>
        <w:t> </w:t>
      </w:r>
      <w:r w:rsidRPr="00654BBD">
        <w:t>%) de la Republika Srpska et 7 493 (4,05</w:t>
      </w:r>
      <w:r>
        <w:t> </w:t>
      </w:r>
      <w:r w:rsidRPr="00654BBD">
        <w:t xml:space="preserve">%) du district de </w:t>
      </w:r>
      <w:r>
        <w:t>Brcko</w:t>
      </w:r>
      <w:r w:rsidRPr="00654BBD">
        <w:t>.</w:t>
      </w:r>
    </w:p>
    <w:p w:rsidR="00DE0C47" w:rsidRPr="00654BBD" w:rsidRDefault="00DE0C47" w:rsidP="004D571D">
      <w:pPr>
        <w:pStyle w:val="SingleTxtG"/>
        <w:spacing w:after="80"/>
        <w:rPr>
          <w:u w:val="single"/>
        </w:rPr>
      </w:pPr>
      <w:r w:rsidRPr="00654BBD">
        <w:t>53.</w:t>
      </w:r>
      <w:r w:rsidRPr="00654BBD">
        <w:tab/>
        <w:t xml:space="preserve">La composition </w:t>
      </w:r>
      <w:r>
        <w:t xml:space="preserve">de la population </w:t>
      </w:r>
      <w:r w:rsidRPr="00654BBD">
        <w:t>déplacée</w:t>
      </w:r>
      <w:r>
        <w:t xml:space="preserve"> enregistrée</w:t>
      </w:r>
      <w:r w:rsidRPr="00654BBD">
        <w:t xml:space="preserve"> par nationalité était</w:t>
      </w:r>
      <w:r>
        <w:t xml:space="preserve"> la suivante</w:t>
      </w:r>
      <w:r w:rsidRPr="00654BBD">
        <w:t>: 44,4</w:t>
      </w:r>
      <w:r>
        <w:t> </w:t>
      </w:r>
      <w:r w:rsidRPr="00654BBD">
        <w:t>% de Bosniaques, 47,7</w:t>
      </w:r>
      <w:r>
        <w:t> </w:t>
      </w:r>
      <w:r w:rsidRPr="00654BBD">
        <w:t>% de Serbes, 7,5</w:t>
      </w:r>
      <w:r>
        <w:t> </w:t>
      </w:r>
      <w:r w:rsidRPr="00654BBD">
        <w:t>% de Croates et</w:t>
      </w:r>
      <w:r>
        <w:t xml:space="preserve"> </w:t>
      </w:r>
      <w:r w:rsidRPr="00654BBD">
        <w:t>0,4</w:t>
      </w:r>
      <w:r>
        <w:t> </w:t>
      </w:r>
      <w:r w:rsidRPr="00654BBD">
        <w:t>%</w:t>
      </w:r>
      <w:r>
        <w:t xml:space="preserve"> </w:t>
      </w:r>
      <w:r w:rsidRPr="00654BBD">
        <w:t xml:space="preserve">de représentants des </w:t>
      </w:r>
      <w:r>
        <w:t>autres groupes</w:t>
      </w:r>
      <w:r w:rsidRPr="00654BBD">
        <w:t xml:space="preserve">. </w:t>
      </w:r>
    </w:p>
    <w:p w:rsidR="00DE0C47" w:rsidRPr="00654BBD" w:rsidRDefault="00DE0C47" w:rsidP="004D571D">
      <w:pPr>
        <w:pStyle w:val="SingleTxtG"/>
        <w:spacing w:after="80"/>
      </w:pPr>
      <w:r w:rsidRPr="00654BBD">
        <w:t>54.</w:t>
      </w:r>
      <w:r w:rsidRPr="00654BBD">
        <w:tab/>
        <w:t xml:space="preserve">La collecte de demandes </w:t>
      </w:r>
      <w:r>
        <w:t xml:space="preserve">de réexamen du </w:t>
      </w:r>
      <w:r w:rsidRPr="00654BBD">
        <w:t xml:space="preserve">statut </w:t>
      </w:r>
      <w:r>
        <w:t>de ces personnes sur l</w:t>
      </w:r>
      <w:r w:rsidR="00CA473A">
        <w:t>’</w:t>
      </w:r>
      <w:r>
        <w:t xml:space="preserve">ensemble </w:t>
      </w:r>
      <w:r w:rsidRPr="00654BBD">
        <w:t>du territoire de la Bosnie-Herzégovine</w:t>
      </w:r>
      <w:r>
        <w:t>,</w:t>
      </w:r>
      <w:r w:rsidRPr="00654BBD">
        <w:t xml:space="preserve"> qui s</w:t>
      </w:r>
      <w:r w:rsidR="00CA473A">
        <w:t>’</w:t>
      </w:r>
      <w:r w:rsidRPr="00654BBD">
        <w:t>est terminée le 31</w:t>
      </w:r>
      <w:r w:rsidR="00856606">
        <w:t> </w:t>
      </w:r>
      <w:r w:rsidRPr="00654BBD">
        <w:t>mars</w:t>
      </w:r>
      <w:r w:rsidR="00856606">
        <w:t> </w:t>
      </w:r>
      <w:r w:rsidRPr="00654BBD">
        <w:t xml:space="preserve">2005, </w:t>
      </w:r>
      <w:r>
        <w:t xml:space="preserve">a eu pour conséquence </w:t>
      </w:r>
      <w:r w:rsidRPr="00654BBD">
        <w:t xml:space="preserve">la révision du nombre et du statut des personnes déplacées. Sur le territoire de la Bosnie-Herzégovine, </w:t>
      </w:r>
      <w:r>
        <w:t xml:space="preserve">on a dénombré </w:t>
      </w:r>
      <w:r w:rsidRPr="00654BBD">
        <w:t>59 825</w:t>
      </w:r>
      <w:r>
        <w:t> </w:t>
      </w:r>
      <w:r w:rsidRPr="00654BBD">
        <w:t xml:space="preserve">demandes </w:t>
      </w:r>
      <w:r>
        <w:t xml:space="preserve">déposées </w:t>
      </w:r>
      <w:r w:rsidRPr="00654BBD">
        <w:t xml:space="preserve">en vue </w:t>
      </w:r>
      <w:r>
        <w:t>du (ré)enregistrement de 186 451 </w:t>
      </w:r>
      <w:r w:rsidRPr="00654BBD">
        <w:t xml:space="preserve">personnes déplacées. </w:t>
      </w:r>
    </w:p>
    <w:p w:rsidR="00DE0C47" w:rsidRPr="00654BBD" w:rsidRDefault="00DE0C47" w:rsidP="00DE0C47">
      <w:pPr>
        <w:pStyle w:val="SingleTxtG"/>
      </w:pPr>
      <w:r w:rsidRPr="00654BBD">
        <w:t>55.</w:t>
      </w:r>
      <w:r w:rsidRPr="00654BBD">
        <w:tab/>
        <w:t>Actuellement, 37 408</w:t>
      </w:r>
      <w:r>
        <w:t> </w:t>
      </w:r>
      <w:r w:rsidRPr="00654BBD">
        <w:t xml:space="preserve">familles ont le statut de personnes déplacées </w:t>
      </w:r>
      <w:r>
        <w:t>en Bosnie-Herzégovine</w:t>
      </w:r>
      <w:r w:rsidRPr="00654BBD">
        <w:t>, ce qui représente 113 642</w:t>
      </w:r>
      <w:r>
        <w:t> </w:t>
      </w:r>
      <w:r w:rsidRPr="00654BBD">
        <w:t>personnes déplacées dont 48 772 (43</w:t>
      </w:r>
      <w:r>
        <w:t> </w:t>
      </w:r>
      <w:r w:rsidRPr="00654BBD">
        <w:t>%) dans la Fédération de Bosnie-Herzégovine et 64</w:t>
      </w:r>
      <w:r>
        <w:t> </w:t>
      </w:r>
      <w:r w:rsidRPr="00654BBD">
        <w:t>624 (57</w:t>
      </w:r>
      <w:r>
        <w:t> </w:t>
      </w:r>
      <w:r w:rsidRPr="00654BBD">
        <w:t xml:space="preserve">%) en Republika Srpska. La </w:t>
      </w:r>
      <w:r>
        <w:t xml:space="preserve">composition par nationalité du groupe des </w:t>
      </w:r>
      <w:r w:rsidRPr="00654BBD">
        <w:t xml:space="preserve">personnes déplacées </w:t>
      </w:r>
      <w:r>
        <w:t xml:space="preserve">est la suivante: </w:t>
      </w:r>
      <w:r w:rsidRPr="00654BBD">
        <w:t>65</w:t>
      </w:r>
      <w:r>
        <w:t> </w:t>
      </w:r>
      <w:r w:rsidRPr="00654BBD">
        <w:t>642</w:t>
      </w:r>
      <w:r>
        <w:t> </w:t>
      </w:r>
      <w:r w:rsidRPr="00654BBD">
        <w:t>Serbes (57,8</w:t>
      </w:r>
      <w:r>
        <w:t> </w:t>
      </w:r>
      <w:r w:rsidRPr="00654BBD">
        <w:t>%), 40</w:t>
      </w:r>
      <w:r>
        <w:t> </w:t>
      </w:r>
      <w:r w:rsidRPr="00654BBD">
        <w:t>399</w:t>
      </w:r>
      <w:r>
        <w:t> </w:t>
      </w:r>
      <w:r w:rsidRPr="00654BBD">
        <w:t>Bosniaques (35,5</w:t>
      </w:r>
      <w:r>
        <w:t> </w:t>
      </w:r>
      <w:r w:rsidRPr="00654BBD">
        <w:t>%), 7</w:t>
      </w:r>
      <w:r>
        <w:t> 006 Croates (6,2%) et 561 </w:t>
      </w:r>
      <w:r w:rsidRPr="00654BBD">
        <w:t>membres des autres groupes nationaux (0,5</w:t>
      </w:r>
      <w:r>
        <w:t> </w:t>
      </w:r>
      <w:r w:rsidRPr="00654BBD">
        <w:t>%).</w:t>
      </w:r>
    </w:p>
    <w:p w:rsidR="00DE0C47" w:rsidRPr="00654BBD" w:rsidRDefault="00DE0C47" w:rsidP="00DE0C47">
      <w:pPr>
        <w:pStyle w:val="H1G"/>
      </w:pPr>
      <w:r>
        <w:tab/>
      </w:r>
      <w:r w:rsidRPr="00654BBD">
        <w:t>I.</w:t>
      </w:r>
      <w:r>
        <w:tab/>
      </w:r>
      <w:r w:rsidRPr="00654BBD">
        <w:t>État des logements</w:t>
      </w:r>
    </w:p>
    <w:p w:rsidR="00DE0C47" w:rsidRPr="00654BBD" w:rsidRDefault="00DE0C47" w:rsidP="004D571D">
      <w:pPr>
        <w:pStyle w:val="SingleTxtG"/>
        <w:spacing w:after="100"/>
      </w:pPr>
      <w:r w:rsidRPr="00654BBD">
        <w:t>56.</w:t>
      </w:r>
      <w:r w:rsidRPr="00654BBD">
        <w:tab/>
        <w:t>S</w:t>
      </w:r>
      <w:r>
        <w:t>ur le total approximatif de 1,2 </w:t>
      </w:r>
      <w:r w:rsidRPr="00654BBD">
        <w:t>million de logements enregistrés lors du dernier recensement en 1991, environ 322 000 ont été reconstruits à ce jour, ce qui représente un taux de réhabilitation de 70</w:t>
      </w:r>
      <w:r>
        <w:t> </w:t>
      </w:r>
      <w:r w:rsidRPr="00654BBD">
        <w:t>%. Ce</w:t>
      </w:r>
      <w:r>
        <w:t xml:space="preserve"> chiffre comprend près de 236 200 </w:t>
      </w:r>
      <w:r w:rsidRPr="00654BBD">
        <w:t>logements reconstruits en Fédération de Bosnie-Herzégovine, près de 73 000 en Republika Srpska et près de 12</w:t>
      </w:r>
      <w:r>
        <w:t> </w:t>
      </w:r>
      <w:r w:rsidRPr="00654BBD">
        <w:t xml:space="preserve">600 dans le district de </w:t>
      </w:r>
      <w:r>
        <w:t>Brcko</w:t>
      </w:r>
      <w:r w:rsidRPr="00654BBD">
        <w:t>.</w:t>
      </w:r>
    </w:p>
    <w:p w:rsidR="00DE0C47" w:rsidRPr="00654BBD" w:rsidRDefault="00DE0C47" w:rsidP="004D571D">
      <w:pPr>
        <w:pStyle w:val="SingleTxtG"/>
        <w:spacing w:after="100"/>
      </w:pPr>
      <w:r w:rsidRPr="00654BBD">
        <w:t>57.</w:t>
      </w:r>
      <w:r w:rsidRPr="00654BBD">
        <w:tab/>
        <w:t>Selon les estimations, environ deux tiers, c</w:t>
      </w:r>
      <w:r w:rsidR="00CA473A">
        <w:t>’</w:t>
      </w:r>
      <w:r>
        <w:t>est-à-dire près de 200 000 </w:t>
      </w:r>
      <w:r w:rsidRPr="00654BBD">
        <w:t xml:space="preserve">logements, ont été réhabilités grâce à des aides internationales et locales, tandis que le tiers restant, majoritairement les immeubles les moins endommagés, </w:t>
      </w:r>
      <w:r>
        <w:t>a</w:t>
      </w:r>
      <w:r w:rsidRPr="00654BBD">
        <w:t xml:space="preserve"> été remis en état grâce aux fonds privés des propriétaires ou des titulaires de droits d</w:t>
      </w:r>
      <w:r w:rsidR="00CA473A">
        <w:t>’</w:t>
      </w:r>
      <w:r w:rsidRPr="00654BBD">
        <w:t>occupation.</w:t>
      </w:r>
    </w:p>
    <w:p w:rsidR="00DE0C47" w:rsidRDefault="00DE0C47" w:rsidP="004D571D">
      <w:pPr>
        <w:pStyle w:val="SingleTxtG"/>
        <w:spacing w:after="100"/>
      </w:pPr>
      <w:r w:rsidRPr="00654BBD">
        <w:t>58.</w:t>
      </w:r>
      <w:r w:rsidRPr="00654BBD">
        <w:tab/>
        <w:t xml:space="preserve">Sur la base des données collectées </w:t>
      </w:r>
      <w:r>
        <w:t xml:space="preserve">sur le terrain </w:t>
      </w:r>
      <w:r w:rsidRPr="00654BBD">
        <w:t xml:space="preserve">auprès des services municipaux concernés, il reste encore près de 146 000 logements à reconstruire en Bosnie-Herzégovine, </w:t>
      </w:r>
      <w:r>
        <w:t>c</w:t>
      </w:r>
      <w:r w:rsidR="00CA473A">
        <w:t>’</w:t>
      </w:r>
      <w:r>
        <w:t xml:space="preserve">est-à-dire </w:t>
      </w:r>
      <w:r w:rsidRPr="00654BBD">
        <w:t>30</w:t>
      </w:r>
      <w:r>
        <w:t> </w:t>
      </w:r>
      <w:r w:rsidRPr="00654BBD">
        <w:t>% de l</w:t>
      </w:r>
      <w:r w:rsidR="00CA473A">
        <w:t>’</w:t>
      </w:r>
      <w:r w:rsidRPr="00654BBD">
        <w:t>ensemble du parc de logements endommagé</w:t>
      </w:r>
      <w:r>
        <w:t>s</w:t>
      </w:r>
      <w:r w:rsidRPr="00654BBD">
        <w:t xml:space="preserve"> ou détruit</w:t>
      </w:r>
      <w:r>
        <w:t>s</w:t>
      </w:r>
      <w:r w:rsidRPr="00654BBD">
        <w:t xml:space="preserve">. La plupart de ces logements sont gravement endommagés ou se trouvent </w:t>
      </w:r>
      <w:r>
        <w:t>presque détruits</w:t>
      </w:r>
      <w:r w:rsidRPr="00654BBD">
        <w:t>.</w:t>
      </w:r>
    </w:p>
    <w:p w:rsidR="004D571D" w:rsidRPr="00654BBD" w:rsidRDefault="004D571D" w:rsidP="00DE0C47">
      <w:pPr>
        <w:pStyle w:val="SingleTxtG"/>
      </w:pPr>
      <w:r>
        <w:t>59.</w:t>
      </w:r>
      <w:r>
        <w:tab/>
        <w:t>Dans la zone de la Fédération de Bosnie-Herzégovine, il y a encore environ 78 500 logements qui n’ont pas été reconstruits, soit 25 % des logements détruits et endommagés dans la Fédération; dans la Republika Srpska, on compte environ 65 000 (47 %) logements détruits ou endommagés, alors que dans le district de Brcko, on dénombre environ 2 700 logements non réhabilités, soit 18 % des logements détruits et endommagés dans cette zone</w:t>
      </w:r>
    </w:p>
    <w:p w:rsidR="00DE0C47" w:rsidRPr="00654BBD" w:rsidRDefault="00DE0C47" w:rsidP="00DE0C47">
      <w:pPr>
        <w:pStyle w:val="H1G"/>
      </w:pPr>
      <w:r>
        <w:tab/>
      </w:r>
      <w:r w:rsidRPr="00654BBD">
        <w:t>J.</w:t>
      </w:r>
      <w:r w:rsidRPr="00654BBD">
        <w:tab/>
        <w:t>Emploi en Bosnie-Herzégovine</w:t>
      </w:r>
    </w:p>
    <w:p w:rsidR="00DE0C47" w:rsidRPr="00654BBD" w:rsidRDefault="00DE0C47" w:rsidP="003A53B4">
      <w:pPr>
        <w:pStyle w:val="SingleTxtG"/>
        <w:keepLines/>
      </w:pPr>
      <w:r w:rsidRPr="00654BBD">
        <w:t>60.</w:t>
      </w:r>
      <w:r w:rsidRPr="00654BBD">
        <w:tab/>
        <w:t>L</w:t>
      </w:r>
      <w:r w:rsidR="00CA473A">
        <w:t>’</w:t>
      </w:r>
      <w:r w:rsidRPr="00654BBD">
        <w:t>Agence pour le travail et l</w:t>
      </w:r>
      <w:r w:rsidR="00CA473A">
        <w:t>’</w:t>
      </w:r>
      <w:r w:rsidRPr="00654BBD">
        <w:t xml:space="preserve">emploi de la Bosnie-Herzégovine a été créée en 2003 en tant que structure administrative indépendante parmi les institutions du pays, par la </w:t>
      </w:r>
      <w:r>
        <w:t>l</w:t>
      </w:r>
      <w:r w:rsidRPr="00654BBD">
        <w:t>oi relative à l</w:t>
      </w:r>
      <w:r w:rsidR="00CA473A">
        <w:t>’</w:t>
      </w:r>
      <w:r w:rsidRPr="00654BBD">
        <w:t>Agence pour le travail et l</w:t>
      </w:r>
      <w:r w:rsidR="00CA473A">
        <w:t>’</w:t>
      </w:r>
      <w:r w:rsidRPr="00654BBD">
        <w:t>emploi de la Bosnie-Herzégovine (Journal officiel de la République de Bosnie</w:t>
      </w:r>
      <w:r>
        <w:t>-</w:t>
      </w:r>
      <w:r w:rsidRPr="00654BBD">
        <w:t xml:space="preserve">Herzégovine, </w:t>
      </w:r>
      <w:r>
        <w:rPr>
          <w:rFonts w:eastAsia="MS Mincho"/>
        </w:rPr>
        <w:t>n</w:t>
      </w:r>
      <w:r>
        <w:rPr>
          <w:rFonts w:eastAsia="MS Mincho"/>
          <w:vertAlign w:val="superscript"/>
        </w:rPr>
        <w:t>o</w:t>
      </w:r>
      <w:r>
        <w:t> </w:t>
      </w:r>
      <w:r w:rsidRPr="00654BBD">
        <w:t>21/03).</w:t>
      </w:r>
    </w:p>
    <w:p w:rsidR="00DE0C47" w:rsidRPr="00654BBD" w:rsidRDefault="00DE0C47" w:rsidP="00DE0C47">
      <w:pPr>
        <w:pStyle w:val="SingleTxtG"/>
      </w:pPr>
      <w:r w:rsidRPr="00654BBD">
        <w:t>61.</w:t>
      </w:r>
      <w:r w:rsidRPr="00654BBD">
        <w:tab/>
        <w:t xml:space="preserve">En vertu de la </w:t>
      </w:r>
      <w:r>
        <w:t>l</w:t>
      </w:r>
      <w:r w:rsidRPr="00654BBD">
        <w:t>oi portant modification</w:t>
      </w:r>
      <w:r>
        <w:t xml:space="preserve"> de la l</w:t>
      </w:r>
      <w:r w:rsidRPr="00654BBD">
        <w:t xml:space="preserve">oi relative à </w:t>
      </w:r>
      <w:r>
        <w:t>l</w:t>
      </w:r>
      <w:r w:rsidR="00CA473A">
        <w:t>’</w:t>
      </w:r>
      <w:r w:rsidRPr="00654BBD">
        <w:t>Agence pour le travail et l</w:t>
      </w:r>
      <w:r w:rsidR="00CA473A">
        <w:t>’</w:t>
      </w:r>
      <w:r w:rsidRPr="00654BBD">
        <w:t>emploi de la Bosnie-Herzégovine, l</w:t>
      </w:r>
      <w:r w:rsidR="00CA473A">
        <w:t>’</w:t>
      </w:r>
      <w:r w:rsidRPr="00654BBD">
        <w:t xml:space="preserve">Agence </w:t>
      </w:r>
      <w:r>
        <w:t>a pour fonctions</w:t>
      </w:r>
      <w:r w:rsidRPr="00654BBD">
        <w:t xml:space="preserve"> de:</w:t>
      </w:r>
    </w:p>
    <w:p w:rsidR="00DE0C47" w:rsidRPr="00654BBD" w:rsidRDefault="00DE0C47" w:rsidP="00DE0C47">
      <w:pPr>
        <w:pStyle w:val="SingleTxtG"/>
        <w:ind w:firstLine="567"/>
      </w:pPr>
      <w:r w:rsidRPr="00654BBD">
        <w:t>a)</w:t>
      </w:r>
      <w:r w:rsidRPr="00654BBD">
        <w:tab/>
      </w:r>
      <w:r>
        <w:t xml:space="preserve">Agir </w:t>
      </w:r>
      <w:r w:rsidRPr="00654BBD">
        <w:t>dans les domaines de l</w:t>
      </w:r>
      <w:r w:rsidR="00CA473A">
        <w:t>’</w:t>
      </w:r>
      <w:r w:rsidRPr="00654BBD">
        <w:t>emploi relevant de sa compétence et coopérer</w:t>
      </w:r>
      <w:r>
        <w:t xml:space="preserve"> </w:t>
      </w:r>
      <w:r w:rsidRPr="00654BBD">
        <w:t>avec d</w:t>
      </w:r>
      <w:r w:rsidR="00CA473A">
        <w:t>’</w:t>
      </w:r>
      <w:r w:rsidRPr="00654BBD">
        <w:t xml:space="preserve">autres organismes, institutions et organisations internationales compétents dans </w:t>
      </w:r>
      <w:r>
        <w:t xml:space="preserve">les </w:t>
      </w:r>
      <w:r w:rsidRPr="00654BBD">
        <w:t>domaine</w:t>
      </w:r>
      <w:r>
        <w:t>s en question</w:t>
      </w:r>
      <w:r w:rsidRPr="00654BBD">
        <w:t>;</w:t>
      </w:r>
    </w:p>
    <w:p w:rsidR="00DE0C47" w:rsidRPr="00654BBD" w:rsidRDefault="00DE0C47" w:rsidP="00DE0C47">
      <w:pPr>
        <w:pStyle w:val="SingleTxtG"/>
        <w:ind w:firstLine="567"/>
      </w:pPr>
      <w:r w:rsidRPr="00654BBD">
        <w:t>b)</w:t>
      </w:r>
      <w:r w:rsidRPr="00654BBD">
        <w:tab/>
        <w:t>S</w:t>
      </w:r>
      <w:r w:rsidR="00CA473A">
        <w:t>’</w:t>
      </w:r>
      <w:r w:rsidRPr="00654BBD">
        <w:t xml:space="preserve">acquitter, en coordination avec le </w:t>
      </w:r>
      <w:r>
        <w:t>M</w:t>
      </w:r>
      <w:r w:rsidRPr="00654BBD">
        <w:t xml:space="preserve">inistère des </w:t>
      </w:r>
      <w:r>
        <w:t>a</w:t>
      </w:r>
      <w:r w:rsidRPr="00654BBD">
        <w:t>ffaires civiles de Bosnie-Herzégovine (ci-après</w:t>
      </w:r>
      <w:r>
        <w:t xml:space="preserve"> dénommé le </w:t>
      </w:r>
      <w:r w:rsidRPr="00654BBD">
        <w:t>ministère compétent de Bosnie-Herzégovine), des obligations internationales contractées dans le domaine de l</w:t>
      </w:r>
      <w:r w:rsidR="00CA473A">
        <w:t>’</w:t>
      </w:r>
      <w:r w:rsidRPr="00654BBD">
        <w:t>emploi, en coopération avec les Bureaux pour l</w:t>
      </w:r>
      <w:r w:rsidR="00CA473A">
        <w:t>’</w:t>
      </w:r>
      <w:r w:rsidRPr="00654BBD">
        <w:t>emploi des Entités et du district de Brcko;</w:t>
      </w:r>
    </w:p>
    <w:p w:rsidR="00DE0C47" w:rsidRPr="00654BBD" w:rsidRDefault="00DE0C47" w:rsidP="00DE0C47">
      <w:pPr>
        <w:pStyle w:val="SingleTxtG"/>
        <w:ind w:firstLine="567"/>
      </w:pPr>
      <w:r w:rsidRPr="00654BBD">
        <w:t>c)</w:t>
      </w:r>
      <w:r w:rsidRPr="00654BBD">
        <w:tab/>
      </w:r>
      <w:r>
        <w:t xml:space="preserve">Surveiller </w:t>
      </w:r>
      <w:r w:rsidRPr="00654BBD">
        <w:t>la mise en place des normes et des politiques internationales dans le domaine de l</w:t>
      </w:r>
      <w:r w:rsidR="00CA473A">
        <w:t>’</w:t>
      </w:r>
      <w:r w:rsidRPr="00654BBD">
        <w:t xml:space="preserve">emploi et participer à leur mise en application en coopération avec </w:t>
      </w:r>
      <w:r>
        <w:t xml:space="preserve">les </w:t>
      </w:r>
      <w:r w:rsidRPr="00654BBD">
        <w:t>Bureaux pour l</w:t>
      </w:r>
      <w:r w:rsidR="00CA473A">
        <w:t>’</w:t>
      </w:r>
      <w:r w:rsidRPr="00654BBD">
        <w:t>emploi des Entités et du district de Brcko;</w:t>
      </w:r>
    </w:p>
    <w:p w:rsidR="00DE0C47" w:rsidRPr="00654BBD" w:rsidRDefault="00DE0C47" w:rsidP="00DE0C47">
      <w:pPr>
        <w:pStyle w:val="SingleTxtG"/>
        <w:ind w:firstLine="567"/>
      </w:pPr>
      <w:r w:rsidRPr="00654BBD">
        <w:t>d)</w:t>
      </w:r>
      <w:r w:rsidRPr="00654BBD">
        <w:tab/>
      </w:r>
      <w:r>
        <w:t>Prendre l</w:t>
      </w:r>
      <w:r w:rsidR="00CA473A">
        <w:t>’</w:t>
      </w:r>
      <w:r>
        <w:t xml:space="preserve">initiative de conclure </w:t>
      </w:r>
      <w:r w:rsidRPr="00654BBD">
        <w:t>des accords internationaux liés à l</w:t>
      </w:r>
      <w:r w:rsidR="00CA473A">
        <w:t>’</w:t>
      </w:r>
      <w:r w:rsidRPr="00654BBD">
        <w:t xml:space="preserve">emploi, participer aux négociations en vue de leur conclusion dans le domaine de la sécurité sociale liée au chômage et </w:t>
      </w:r>
      <w:r>
        <w:t xml:space="preserve">surveiller </w:t>
      </w:r>
      <w:r w:rsidRPr="00654BBD">
        <w:t>leur mise en application en coopération avec les Bureaux pour l</w:t>
      </w:r>
      <w:r w:rsidR="00CA473A">
        <w:t>’</w:t>
      </w:r>
      <w:r w:rsidRPr="00654BBD">
        <w:t xml:space="preserve">emploi des Entités et du district de </w:t>
      </w:r>
      <w:r>
        <w:t>Brcko</w:t>
      </w:r>
      <w:r w:rsidRPr="00654BBD">
        <w:t>;</w:t>
      </w:r>
    </w:p>
    <w:p w:rsidR="00DE0C47" w:rsidRPr="00654BBD" w:rsidRDefault="00DE0C47" w:rsidP="00DE0C47">
      <w:pPr>
        <w:pStyle w:val="SingleTxtG"/>
        <w:ind w:firstLine="567"/>
      </w:pPr>
      <w:r w:rsidRPr="00654BBD">
        <w:t>e)</w:t>
      </w:r>
      <w:r w:rsidRPr="00654BBD">
        <w:tab/>
        <w:t>Coordonner les activités liées aux projets nationaux et internationaux dans le domaine de l</w:t>
      </w:r>
      <w:r w:rsidR="00CA473A">
        <w:t>’</w:t>
      </w:r>
      <w:r w:rsidRPr="00654BBD">
        <w:t>emploi qui revêtent de l</w:t>
      </w:r>
      <w:r w:rsidR="00CA473A">
        <w:t>’</w:t>
      </w:r>
      <w:r w:rsidRPr="00654BBD">
        <w:t>intérêt pour la Bosnie-Herzégovine et coopérer avec les Bureaux pour l</w:t>
      </w:r>
      <w:r w:rsidR="00CA473A">
        <w:t>’</w:t>
      </w:r>
      <w:r w:rsidRPr="00654BBD">
        <w:t xml:space="preserve">emploi des Entités et du district de </w:t>
      </w:r>
      <w:r>
        <w:t>Brcko</w:t>
      </w:r>
      <w:r w:rsidRPr="00654BBD">
        <w:t>;</w:t>
      </w:r>
    </w:p>
    <w:p w:rsidR="00DE0C47" w:rsidRPr="00616767" w:rsidRDefault="00DE0C47" w:rsidP="00DE0C47">
      <w:pPr>
        <w:pStyle w:val="SingleTxtG"/>
        <w:ind w:firstLine="567"/>
      </w:pPr>
      <w:r w:rsidRPr="00654BBD">
        <w:t>f)</w:t>
      </w:r>
      <w:r w:rsidRPr="00654BBD">
        <w:tab/>
        <w:t xml:space="preserve">Collecter les demandes et les </w:t>
      </w:r>
      <w:r>
        <w:t xml:space="preserve">informations </w:t>
      </w:r>
      <w:r w:rsidRPr="00654BBD">
        <w:t>étrangères et nationales relatives à l</w:t>
      </w:r>
      <w:r w:rsidR="00CA473A">
        <w:t>’</w:t>
      </w:r>
      <w:r>
        <w:t>offre et à la demande de main-</w:t>
      </w:r>
      <w:r w:rsidRPr="00654BBD">
        <w:t>d</w:t>
      </w:r>
      <w:r w:rsidR="00CA473A">
        <w:t>’</w:t>
      </w:r>
      <w:r w:rsidRPr="00654BBD">
        <w:t xml:space="preserve">œuvre nationale et étrangère et leur donner suite dans la mesure de ses compétences et des </w:t>
      </w:r>
      <w:r>
        <w:t xml:space="preserve">possibilités </w:t>
      </w:r>
      <w:r w:rsidRPr="00654BBD">
        <w:t>du marché du travail en coopération avec les Bureaux pour l</w:t>
      </w:r>
      <w:r w:rsidR="00CA473A">
        <w:t>’</w:t>
      </w:r>
      <w:r w:rsidRPr="00654BBD">
        <w:t xml:space="preserve">emploi des Entités et du district de </w:t>
      </w:r>
      <w:r>
        <w:t>Brcko;</w:t>
      </w:r>
    </w:p>
    <w:p w:rsidR="00DE0C47" w:rsidRPr="00654BBD" w:rsidRDefault="00DE0C47" w:rsidP="00DE0C47">
      <w:pPr>
        <w:pStyle w:val="SingleTxtG"/>
        <w:ind w:firstLine="567"/>
      </w:pPr>
      <w:r w:rsidRPr="00654BBD">
        <w:t>g)</w:t>
      </w:r>
      <w:r w:rsidRPr="00654BBD">
        <w:tab/>
      </w:r>
      <w:r>
        <w:t>Surveiller</w:t>
      </w:r>
      <w:r w:rsidRPr="00654BBD">
        <w:t xml:space="preserve">, analyser et étudier les tendances </w:t>
      </w:r>
      <w:r>
        <w:t xml:space="preserve">sur le plan </w:t>
      </w:r>
      <w:r w:rsidRPr="00654BBD">
        <w:t>économique, social et autres, les données sur l</w:t>
      </w:r>
      <w:r w:rsidR="00CA473A">
        <w:t>’</w:t>
      </w:r>
      <w:r w:rsidRPr="00654BBD">
        <w:t>emploi et le chômage ainsi que la manière dont les unes influencent les autres, en coopération avec les Bureaux pour l</w:t>
      </w:r>
      <w:r w:rsidR="00CA473A">
        <w:t>’</w:t>
      </w:r>
      <w:r w:rsidRPr="00654BBD">
        <w:t xml:space="preserve">emploi des Entités et du district de </w:t>
      </w:r>
      <w:r>
        <w:t>Brcko</w:t>
      </w:r>
      <w:r w:rsidRPr="00654BBD">
        <w:t xml:space="preserve">, et proposer, sur la base de ces informations, </w:t>
      </w:r>
      <w:r>
        <w:t>l</w:t>
      </w:r>
      <w:r w:rsidRPr="00654BBD">
        <w:t>es mesures et activités nécessaires pour favoriser l</w:t>
      </w:r>
      <w:r w:rsidR="00CA473A">
        <w:t>’</w:t>
      </w:r>
      <w:r w:rsidRPr="00654BBD">
        <w:t>emploi;</w:t>
      </w:r>
    </w:p>
    <w:p w:rsidR="00DE0C47" w:rsidRPr="00654BBD" w:rsidRDefault="00DE0C47" w:rsidP="00DE0C47">
      <w:pPr>
        <w:pStyle w:val="SingleTxtG"/>
        <w:ind w:firstLine="567"/>
      </w:pPr>
      <w:r w:rsidRPr="00654BBD">
        <w:t>h)</w:t>
      </w:r>
      <w:r w:rsidRPr="00654BBD">
        <w:tab/>
      </w:r>
      <w:r>
        <w:t xml:space="preserve">Lancer, </w:t>
      </w:r>
      <w:r w:rsidRPr="00654BBD">
        <w:t>au sein des Bureaux pour l</w:t>
      </w:r>
      <w:r w:rsidR="00CA473A">
        <w:t>’</w:t>
      </w:r>
      <w:r w:rsidRPr="00654BBD">
        <w:t xml:space="preserve">emploi des Entités et du district de </w:t>
      </w:r>
      <w:r>
        <w:t xml:space="preserve">Brcko, </w:t>
      </w:r>
      <w:r w:rsidRPr="00654BBD">
        <w:t xml:space="preserve">les activités nécessaires </w:t>
      </w:r>
      <w:r>
        <w:t xml:space="preserve">pour travailler </w:t>
      </w:r>
      <w:r w:rsidRPr="00654BBD">
        <w:t>en coopération avec les employeurs, les syndicats, les établissements de formation et d</w:t>
      </w:r>
      <w:r w:rsidR="00CA473A">
        <w:t>’</w:t>
      </w:r>
      <w:r w:rsidRPr="00654BBD">
        <w:t xml:space="preserve">autres associations, </w:t>
      </w:r>
      <w:r>
        <w:t xml:space="preserve">et pour </w:t>
      </w:r>
      <w:r w:rsidRPr="00654BBD">
        <w:t>organiser et exécuter des programmes d</w:t>
      </w:r>
      <w:r w:rsidR="00CA473A">
        <w:t>’</w:t>
      </w:r>
      <w:r w:rsidRPr="00654BBD">
        <w:t>orientation professionnelle et d</w:t>
      </w:r>
      <w:r w:rsidR="00CA473A">
        <w:t>’</w:t>
      </w:r>
      <w:r w:rsidRPr="00654BBD">
        <w:t>éducation afin de favoriser l</w:t>
      </w:r>
      <w:r w:rsidR="00CA473A">
        <w:t>’</w:t>
      </w:r>
      <w:r w:rsidRPr="00654BBD">
        <w:t>emploi et les autres formes de politique active dans ce domaine;</w:t>
      </w:r>
    </w:p>
    <w:p w:rsidR="00DE0C47" w:rsidRPr="00616767" w:rsidRDefault="00DE0C47" w:rsidP="00DE0C47">
      <w:pPr>
        <w:pStyle w:val="SingleTxtG"/>
        <w:ind w:firstLine="567"/>
      </w:pPr>
      <w:r w:rsidRPr="00654BBD">
        <w:t>i)</w:t>
      </w:r>
      <w:r w:rsidRPr="00654BBD">
        <w:tab/>
        <w:t xml:space="preserve">Coordonner le recrutement </w:t>
      </w:r>
      <w:r>
        <w:t>à l</w:t>
      </w:r>
      <w:r w:rsidR="00CA473A">
        <w:t>’</w:t>
      </w:r>
      <w:r>
        <w:t xml:space="preserve">étranger </w:t>
      </w:r>
      <w:r w:rsidRPr="00654BBD">
        <w:t>de ressortissants de Bosnie-Herzégovine dans le cadre des compétences que lui confère la loi et en coopération avec les Bureaux pour l</w:t>
      </w:r>
      <w:r w:rsidR="00CA473A">
        <w:t>’</w:t>
      </w:r>
      <w:r w:rsidRPr="00654BBD">
        <w:t xml:space="preserve">emploi des Entités et du district de </w:t>
      </w:r>
      <w:r>
        <w:t>Brcko;</w:t>
      </w:r>
    </w:p>
    <w:p w:rsidR="00DE0C47" w:rsidRPr="00654BBD" w:rsidRDefault="00DE0C47" w:rsidP="00DE0C47">
      <w:pPr>
        <w:pStyle w:val="SingleTxtG"/>
        <w:ind w:firstLine="567"/>
      </w:pPr>
      <w:r w:rsidRPr="00654BBD">
        <w:t>j)</w:t>
      </w:r>
      <w:r w:rsidRPr="00654BBD">
        <w:tab/>
        <w:t>Effectuer l</w:t>
      </w:r>
      <w:r>
        <w:t xml:space="preserve">es </w:t>
      </w:r>
      <w:r w:rsidRPr="00654BBD">
        <w:t>analyse</w:t>
      </w:r>
      <w:r>
        <w:t>s</w:t>
      </w:r>
      <w:r w:rsidRPr="00654BBD">
        <w:t xml:space="preserve"> nécessaire</w:t>
      </w:r>
      <w:r>
        <w:t>s</w:t>
      </w:r>
      <w:r w:rsidRPr="00654BBD">
        <w:t xml:space="preserve"> et publier des rapports des projets, des propositions, des documents de travail et d</w:t>
      </w:r>
      <w:r w:rsidR="00CA473A">
        <w:t>’</w:t>
      </w:r>
      <w:r w:rsidRPr="00654BBD">
        <w:t>autres documents relatifs à l</w:t>
      </w:r>
      <w:r w:rsidR="00CA473A">
        <w:t>’</w:t>
      </w:r>
      <w:r w:rsidRPr="00654BBD">
        <w:t xml:space="preserve">emploi, qui devront </w:t>
      </w:r>
      <w:r>
        <w:t>ê</w:t>
      </w:r>
      <w:r w:rsidRPr="00654BBD">
        <w:t xml:space="preserve">tre approuvés et adoptés par les autorités de la Bosnie-Herzégovine, </w:t>
      </w:r>
      <w:r>
        <w:t xml:space="preserve">en réponse aux demandes </w:t>
      </w:r>
      <w:r w:rsidRPr="00654BBD">
        <w:t xml:space="preserve">du Conseil des ministres et du ministère compétent et, si nécessaire, en coordination avec </w:t>
      </w:r>
      <w:r>
        <w:t xml:space="preserve">les </w:t>
      </w:r>
      <w:r w:rsidRPr="00654BBD">
        <w:t>Bureaux pour l</w:t>
      </w:r>
      <w:r w:rsidR="00CA473A">
        <w:t>’</w:t>
      </w:r>
      <w:r w:rsidRPr="00654BBD">
        <w:t xml:space="preserve">emploi des Entités et du district de </w:t>
      </w:r>
      <w:r>
        <w:t>Brcko</w:t>
      </w:r>
      <w:r w:rsidRPr="00654BBD">
        <w:t>;</w:t>
      </w:r>
    </w:p>
    <w:p w:rsidR="00DE0C47" w:rsidRPr="00654BBD" w:rsidRDefault="00DE0C47" w:rsidP="00DE0C47">
      <w:pPr>
        <w:pStyle w:val="SingleTxtG"/>
        <w:ind w:firstLine="567"/>
      </w:pPr>
      <w:r w:rsidRPr="00654BBD">
        <w:t>k)</w:t>
      </w:r>
      <w:r w:rsidRPr="00654BBD">
        <w:tab/>
        <w:t xml:space="preserve">Proposer au Conseil des ministres des </w:t>
      </w:r>
      <w:r>
        <w:t xml:space="preserve">plans </w:t>
      </w:r>
      <w:r w:rsidRPr="00654BBD">
        <w:t>annuels</w:t>
      </w:r>
      <w:r>
        <w:t>,</w:t>
      </w:r>
      <w:r w:rsidRPr="00654BBD">
        <w:t xml:space="preserve"> à long et </w:t>
      </w:r>
      <w:r>
        <w:t xml:space="preserve">à </w:t>
      </w:r>
      <w:r w:rsidRPr="00654BBD">
        <w:t>moyen terme</w:t>
      </w:r>
      <w:r>
        <w:t xml:space="preserve"> pour orienter </w:t>
      </w:r>
      <w:r w:rsidRPr="00654BBD">
        <w:t xml:space="preserve">la politique du marché du travail ainsi que des mesures </w:t>
      </w:r>
      <w:r>
        <w:t xml:space="preserve">dynamiques en teneur de </w:t>
      </w:r>
      <w:r w:rsidRPr="00654BBD">
        <w:t>l</w:t>
      </w:r>
      <w:r w:rsidR="00CA473A">
        <w:t>’</w:t>
      </w:r>
      <w:r w:rsidRPr="00654BBD">
        <w:t>emploi, conjointement avec les Bureaux pour l</w:t>
      </w:r>
      <w:r w:rsidR="00CA473A">
        <w:t>’</w:t>
      </w:r>
      <w:r w:rsidRPr="00654BBD">
        <w:t xml:space="preserve">emploi des Entités et du district de </w:t>
      </w:r>
      <w:r>
        <w:t>Brcko</w:t>
      </w:r>
      <w:r w:rsidRPr="00654BBD">
        <w:t xml:space="preserve"> sous l</w:t>
      </w:r>
      <w:r w:rsidR="00CA473A">
        <w:t>’</w:t>
      </w:r>
      <w:r w:rsidRPr="00654BBD">
        <w:t>autorité du ministère compétent;</w:t>
      </w:r>
    </w:p>
    <w:p w:rsidR="00DE0C47" w:rsidRDefault="00DE0C47" w:rsidP="00DE0C47">
      <w:pPr>
        <w:pStyle w:val="SingleTxtG"/>
        <w:ind w:firstLine="567"/>
      </w:pPr>
      <w:r w:rsidRPr="00654BBD">
        <w:t>l)</w:t>
      </w:r>
      <w:r w:rsidRPr="00654BBD">
        <w:tab/>
        <w:t xml:space="preserve">Soumettre des </w:t>
      </w:r>
      <w:r>
        <w:t xml:space="preserve">avis </w:t>
      </w:r>
      <w:r w:rsidRPr="00654BBD">
        <w:t>et suggestions concernant l</w:t>
      </w:r>
      <w:r w:rsidR="00CA473A">
        <w:t>’</w:t>
      </w:r>
      <w:r w:rsidRPr="00654BBD">
        <w:t>emploi d</w:t>
      </w:r>
      <w:r w:rsidR="00CA473A">
        <w:t>’</w:t>
      </w:r>
      <w:r w:rsidRPr="00654BBD">
        <w:t>étrangers en Bosnie-Herzégovine (quotas) au ministère compétent, en coordination avec les Bureaux pour l</w:t>
      </w:r>
      <w:r w:rsidR="00CA473A">
        <w:t>’</w:t>
      </w:r>
      <w:r w:rsidRPr="00654BBD">
        <w:t xml:space="preserve">emploi des Entités et du district de </w:t>
      </w:r>
      <w:r>
        <w:t>Brcko</w:t>
      </w:r>
      <w:r w:rsidRPr="00654BBD">
        <w:t>;</w:t>
      </w:r>
    </w:p>
    <w:p w:rsidR="00DE0C47" w:rsidRDefault="00DE0C47" w:rsidP="00DE0C47">
      <w:pPr>
        <w:pStyle w:val="SingleTxtG"/>
        <w:ind w:firstLine="567"/>
      </w:pPr>
      <w:r w:rsidRPr="00D1286C">
        <w:t>m)</w:t>
      </w:r>
      <w:r w:rsidRPr="00D1286C">
        <w:tab/>
        <w:t>Fournir les données nécessaires dans le domaine du chômage, notamment celles concernant l</w:t>
      </w:r>
      <w:r w:rsidR="00CA473A">
        <w:t>’</w:t>
      </w:r>
      <w:r w:rsidRPr="00D1286C">
        <w:t>exécution des obligations internationales</w:t>
      </w:r>
      <w:r>
        <w:t>,</w:t>
      </w:r>
      <w:r w:rsidRPr="00D1286C">
        <w:t xml:space="preserve"> en coopération avec les Bureaux pour l</w:t>
      </w:r>
      <w:r w:rsidR="00CA473A">
        <w:t>’</w:t>
      </w:r>
      <w:r w:rsidRPr="00D1286C">
        <w:t>emploi des Entités et du district de Br</w:t>
      </w:r>
      <w:r>
        <w:t>c</w:t>
      </w:r>
      <w:r w:rsidRPr="00D1286C">
        <w:t>ko;</w:t>
      </w:r>
    </w:p>
    <w:p w:rsidR="00DE0C47" w:rsidRDefault="00DE0C47" w:rsidP="00DE0C47">
      <w:pPr>
        <w:pStyle w:val="SingleTxtG"/>
        <w:ind w:firstLine="567"/>
      </w:pPr>
      <w:r w:rsidRPr="00D1286C">
        <w:t>n)</w:t>
      </w:r>
      <w:r w:rsidRPr="00D1286C">
        <w:tab/>
        <w:t>Présenter un rapport et un programme de travail annuels au Conseil des ministres de la Bosnie-Herzégovine;</w:t>
      </w:r>
    </w:p>
    <w:p w:rsidR="00DE0C47" w:rsidRPr="00D1286C" w:rsidRDefault="00DE0C47" w:rsidP="00DE0C47">
      <w:pPr>
        <w:pStyle w:val="SingleTxtG"/>
        <w:ind w:firstLine="567"/>
      </w:pPr>
      <w:r w:rsidRPr="00D1286C">
        <w:t>o)</w:t>
      </w:r>
      <w:r w:rsidRPr="00D1286C">
        <w:tab/>
        <w:t xml:space="preserve">Former son personnel afin de </w:t>
      </w:r>
      <w:r>
        <w:t xml:space="preserve">pouvoir </w:t>
      </w:r>
      <w:r w:rsidRPr="00D1286C">
        <w:t xml:space="preserve">satisfaire aux exigences </w:t>
      </w:r>
      <w:r>
        <w:t xml:space="preserve">découlant </w:t>
      </w:r>
      <w:r w:rsidRPr="00D1286C">
        <w:t>des obligations internationales et des processus d</w:t>
      </w:r>
      <w:r w:rsidR="00CA473A">
        <w:t>’</w:t>
      </w:r>
      <w:r w:rsidRPr="00D1286C">
        <w:t>intégration, en coopération avec les Bureaux pour l</w:t>
      </w:r>
      <w:r w:rsidR="00CA473A">
        <w:t>’</w:t>
      </w:r>
      <w:r w:rsidRPr="00D1286C">
        <w:t>emploi des Entités et du district de Br</w:t>
      </w:r>
      <w:r>
        <w:t>c</w:t>
      </w:r>
      <w:r w:rsidRPr="00D1286C">
        <w:t>ko;</w:t>
      </w:r>
    </w:p>
    <w:p w:rsidR="00DE0C47" w:rsidRDefault="00DE0C47" w:rsidP="00DE0C47">
      <w:pPr>
        <w:pStyle w:val="SingleTxtG"/>
      </w:pPr>
      <w:r w:rsidRPr="00D1286C">
        <w:t>62.</w:t>
      </w:r>
      <w:r w:rsidRPr="00D1286C">
        <w:tab/>
        <w:t>Selon l</w:t>
      </w:r>
      <w:r w:rsidR="00CA473A">
        <w:t>’</w:t>
      </w:r>
      <w:r w:rsidRPr="00414DAF">
        <w:rPr>
          <w:i/>
        </w:rPr>
        <w:t>Annuaire statistique</w:t>
      </w:r>
      <w:r w:rsidRPr="00D1286C">
        <w:t xml:space="preserve"> de 1991, la Bosnie-Herzégovine comptait 1 054 000 personnes actives occupées </w:t>
      </w:r>
      <w:r>
        <w:t>(salariées)</w:t>
      </w:r>
      <w:r w:rsidRPr="00D1286C">
        <w:t xml:space="preserve"> au deuxième trimestre de 1990. Le secteur de l</w:t>
      </w:r>
      <w:r w:rsidR="00CA473A">
        <w:t>’</w:t>
      </w:r>
      <w:r w:rsidRPr="00D1286C">
        <w:t>industrie en employait 85</w:t>
      </w:r>
      <w:r>
        <w:t xml:space="preserve"> </w:t>
      </w:r>
      <w:r w:rsidRPr="00D1286C">
        <w:t>% et le secteur public 15</w:t>
      </w:r>
      <w:r>
        <w:t xml:space="preserve"> </w:t>
      </w:r>
      <w:r w:rsidRPr="00D1286C">
        <w:t>%.</w:t>
      </w:r>
    </w:p>
    <w:p w:rsidR="00DE0C47" w:rsidRPr="00C303EB" w:rsidRDefault="00DE0C47" w:rsidP="00DE0C47">
      <w:pPr>
        <w:pStyle w:val="Heading1"/>
        <w:spacing w:after="120"/>
        <w:rPr>
          <w:b/>
        </w:rPr>
      </w:pPr>
      <w:r w:rsidRPr="00D1286C">
        <w:t>Tableau 10</w:t>
      </w:r>
      <w:r>
        <w:br/>
      </w:r>
      <w:r w:rsidRPr="00C303EB">
        <w:rPr>
          <w:b/>
        </w:rPr>
        <w:t>Population active recensée</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969"/>
        <w:gridCol w:w="1134"/>
        <w:gridCol w:w="1134"/>
        <w:gridCol w:w="1134"/>
      </w:tblGrid>
      <w:tr w:rsidR="00DE0C47" w:rsidRPr="00D1286C" w:rsidTr="00CA473A">
        <w:trPr>
          <w:tblHeader/>
        </w:trPr>
        <w:tc>
          <w:tcPr>
            <w:tcW w:w="3969" w:type="dxa"/>
            <w:tcBorders>
              <w:top w:val="single" w:sz="4" w:space="0" w:color="auto"/>
              <w:bottom w:val="single" w:sz="12" w:space="0" w:color="auto"/>
            </w:tcBorders>
            <w:shd w:val="clear" w:color="auto" w:fill="auto"/>
            <w:vAlign w:val="bottom"/>
          </w:tcPr>
          <w:p w:rsidR="00DE0C47" w:rsidRPr="00D1286C" w:rsidRDefault="00DE0C47" w:rsidP="00CA473A">
            <w:pPr>
              <w:keepNext/>
              <w:keepLines/>
              <w:suppressAutoHyphens w:val="0"/>
              <w:spacing w:before="80" w:after="80" w:line="200" w:lineRule="exact"/>
              <w:rPr>
                <w:i/>
                <w:sz w:val="16"/>
              </w:rPr>
            </w:pPr>
          </w:p>
        </w:tc>
        <w:tc>
          <w:tcPr>
            <w:tcW w:w="1134" w:type="dxa"/>
            <w:tcBorders>
              <w:top w:val="single" w:sz="4" w:space="0" w:color="auto"/>
              <w:bottom w:val="single" w:sz="12" w:space="0" w:color="auto"/>
            </w:tcBorders>
            <w:shd w:val="clear" w:color="auto" w:fill="auto"/>
            <w:vAlign w:val="bottom"/>
          </w:tcPr>
          <w:p w:rsidR="00DE0C47" w:rsidRPr="00D1286C" w:rsidRDefault="00DE0C47" w:rsidP="00CA473A">
            <w:pPr>
              <w:keepNext/>
              <w:keepLines/>
              <w:suppressAutoHyphens w:val="0"/>
              <w:spacing w:before="80" w:after="80" w:line="200" w:lineRule="exact"/>
              <w:jc w:val="right"/>
              <w:rPr>
                <w:i/>
                <w:sz w:val="16"/>
              </w:rPr>
            </w:pPr>
            <w:r w:rsidRPr="00D1286C">
              <w:rPr>
                <w:i/>
                <w:sz w:val="16"/>
              </w:rPr>
              <w:t>1971</w:t>
            </w:r>
          </w:p>
        </w:tc>
        <w:tc>
          <w:tcPr>
            <w:tcW w:w="1134" w:type="dxa"/>
            <w:tcBorders>
              <w:top w:val="single" w:sz="4" w:space="0" w:color="auto"/>
              <w:bottom w:val="single" w:sz="12" w:space="0" w:color="auto"/>
            </w:tcBorders>
            <w:shd w:val="clear" w:color="auto" w:fill="auto"/>
            <w:vAlign w:val="bottom"/>
          </w:tcPr>
          <w:p w:rsidR="00DE0C47" w:rsidRPr="00D1286C" w:rsidRDefault="00DE0C47" w:rsidP="00CA473A">
            <w:pPr>
              <w:keepNext/>
              <w:keepLines/>
              <w:suppressAutoHyphens w:val="0"/>
              <w:spacing w:before="80" w:after="80" w:line="200" w:lineRule="exact"/>
              <w:jc w:val="right"/>
              <w:rPr>
                <w:i/>
                <w:sz w:val="16"/>
              </w:rPr>
            </w:pPr>
            <w:r w:rsidRPr="00D1286C">
              <w:rPr>
                <w:i/>
                <w:sz w:val="16"/>
              </w:rPr>
              <w:t>1981</w:t>
            </w:r>
          </w:p>
        </w:tc>
        <w:tc>
          <w:tcPr>
            <w:tcW w:w="1134" w:type="dxa"/>
            <w:tcBorders>
              <w:top w:val="single" w:sz="4" w:space="0" w:color="auto"/>
              <w:bottom w:val="single" w:sz="12" w:space="0" w:color="auto"/>
            </w:tcBorders>
            <w:shd w:val="clear" w:color="auto" w:fill="auto"/>
            <w:vAlign w:val="bottom"/>
          </w:tcPr>
          <w:p w:rsidR="00DE0C47" w:rsidRPr="00D1286C" w:rsidRDefault="00DE0C47" w:rsidP="00CA473A">
            <w:pPr>
              <w:keepNext/>
              <w:keepLines/>
              <w:suppressAutoHyphens w:val="0"/>
              <w:spacing w:before="80" w:after="80" w:line="200" w:lineRule="exact"/>
              <w:jc w:val="right"/>
              <w:rPr>
                <w:i/>
                <w:sz w:val="16"/>
              </w:rPr>
            </w:pPr>
            <w:r w:rsidRPr="00D1286C">
              <w:rPr>
                <w:i/>
                <w:sz w:val="16"/>
              </w:rPr>
              <w:t>1991</w:t>
            </w:r>
          </w:p>
        </w:tc>
      </w:tr>
      <w:tr w:rsidR="00DE0C47" w:rsidRPr="00D1286C" w:rsidTr="00CA473A">
        <w:tc>
          <w:tcPr>
            <w:tcW w:w="3969" w:type="dxa"/>
            <w:tcBorders>
              <w:top w:val="single" w:sz="12" w:space="0" w:color="auto"/>
              <w:bottom w:val="single" w:sz="4" w:space="0" w:color="auto"/>
            </w:tcBorders>
            <w:shd w:val="clear" w:color="auto" w:fill="auto"/>
            <w:vAlign w:val="bottom"/>
          </w:tcPr>
          <w:p w:rsidR="00DE0C47" w:rsidRPr="00D1286C" w:rsidRDefault="00DE0C47" w:rsidP="00CA473A">
            <w:pPr>
              <w:keepNext/>
              <w:keepLines/>
              <w:suppressAutoHyphens w:val="0"/>
              <w:spacing w:before="80" w:after="80" w:line="220" w:lineRule="atLeast"/>
              <w:ind w:firstLine="284"/>
              <w:rPr>
                <w:b/>
                <w:sz w:val="18"/>
              </w:rPr>
            </w:pPr>
            <w:r w:rsidRPr="00D1286C">
              <w:rPr>
                <w:b/>
                <w:sz w:val="18"/>
              </w:rPr>
              <w:t>Total</w:t>
            </w:r>
          </w:p>
        </w:tc>
        <w:tc>
          <w:tcPr>
            <w:tcW w:w="1134" w:type="dxa"/>
            <w:tcBorders>
              <w:top w:val="single" w:sz="12" w:space="0" w:color="auto"/>
              <w:bottom w:val="single" w:sz="4" w:space="0" w:color="auto"/>
            </w:tcBorders>
            <w:shd w:val="clear" w:color="auto" w:fill="auto"/>
            <w:vAlign w:val="bottom"/>
          </w:tcPr>
          <w:p w:rsidR="00DE0C47" w:rsidRPr="00D1286C" w:rsidRDefault="00DE0C47" w:rsidP="00CA473A">
            <w:pPr>
              <w:keepNext/>
              <w:keepLines/>
              <w:suppressAutoHyphens w:val="0"/>
              <w:spacing w:before="80" w:after="80" w:line="220" w:lineRule="atLeast"/>
              <w:jc w:val="right"/>
              <w:rPr>
                <w:b/>
                <w:sz w:val="18"/>
              </w:rPr>
            </w:pPr>
            <w:r w:rsidRPr="00D1286C">
              <w:rPr>
                <w:b/>
                <w:sz w:val="18"/>
              </w:rPr>
              <w:t>2 205 536</w:t>
            </w:r>
          </w:p>
        </w:tc>
        <w:tc>
          <w:tcPr>
            <w:tcW w:w="1134" w:type="dxa"/>
            <w:tcBorders>
              <w:top w:val="single" w:sz="12" w:space="0" w:color="auto"/>
              <w:bottom w:val="single" w:sz="4" w:space="0" w:color="auto"/>
            </w:tcBorders>
            <w:shd w:val="clear" w:color="auto" w:fill="auto"/>
            <w:vAlign w:val="bottom"/>
          </w:tcPr>
          <w:p w:rsidR="00DE0C47" w:rsidRPr="00D1286C" w:rsidRDefault="00DE0C47" w:rsidP="00CA473A">
            <w:pPr>
              <w:keepNext/>
              <w:keepLines/>
              <w:suppressAutoHyphens w:val="0"/>
              <w:spacing w:before="80" w:after="80" w:line="220" w:lineRule="atLeast"/>
              <w:jc w:val="right"/>
              <w:rPr>
                <w:b/>
                <w:sz w:val="18"/>
              </w:rPr>
            </w:pPr>
            <w:r w:rsidRPr="00D1286C">
              <w:rPr>
                <w:b/>
                <w:sz w:val="18"/>
              </w:rPr>
              <w:t>2 675 096</w:t>
            </w:r>
          </w:p>
        </w:tc>
        <w:tc>
          <w:tcPr>
            <w:tcW w:w="1134" w:type="dxa"/>
            <w:tcBorders>
              <w:top w:val="single" w:sz="12" w:space="0" w:color="auto"/>
              <w:bottom w:val="single" w:sz="4" w:space="0" w:color="auto"/>
            </w:tcBorders>
            <w:shd w:val="clear" w:color="auto" w:fill="auto"/>
            <w:vAlign w:val="bottom"/>
          </w:tcPr>
          <w:p w:rsidR="00DE0C47" w:rsidRPr="00D1286C" w:rsidRDefault="00DE0C47" w:rsidP="00CA473A">
            <w:pPr>
              <w:keepNext/>
              <w:keepLines/>
              <w:suppressAutoHyphens w:val="0"/>
              <w:spacing w:before="80" w:after="80" w:line="220" w:lineRule="atLeast"/>
              <w:jc w:val="right"/>
              <w:rPr>
                <w:b/>
                <w:sz w:val="18"/>
              </w:rPr>
            </w:pPr>
            <w:r w:rsidRPr="00D1286C">
              <w:rPr>
                <w:b/>
                <w:sz w:val="18"/>
              </w:rPr>
              <w:t>2 857 092</w:t>
            </w:r>
          </w:p>
        </w:tc>
      </w:tr>
      <w:tr w:rsidR="00DE0C47" w:rsidRPr="00D1286C" w:rsidTr="00CA473A">
        <w:tc>
          <w:tcPr>
            <w:tcW w:w="3969" w:type="dxa"/>
            <w:tcBorders>
              <w:top w:val="single" w:sz="4" w:space="0" w:color="auto"/>
            </w:tcBorders>
            <w:shd w:val="clear" w:color="auto" w:fill="auto"/>
            <w:vAlign w:val="bottom"/>
          </w:tcPr>
          <w:p w:rsidR="00DE0C47" w:rsidRPr="00D1286C" w:rsidRDefault="00DE0C47" w:rsidP="00CA473A">
            <w:pPr>
              <w:keepNext/>
              <w:keepLines/>
              <w:suppressAutoHyphens w:val="0"/>
              <w:spacing w:before="40" w:after="40" w:line="220" w:lineRule="atLeast"/>
              <w:rPr>
                <w:sz w:val="18"/>
              </w:rPr>
            </w:pPr>
            <w:r w:rsidRPr="00D1286C">
              <w:rPr>
                <w:sz w:val="18"/>
              </w:rPr>
              <w:t>Hommes (15</w:t>
            </w:r>
            <w:r>
              <w:rPr>
                <w:sz w:val="18"/>
              </w:rPr>
              <w:t>-</w:t>
            </w:r>
            <w:r w:rsidRPr="00D1286C">
              <w:rPr>
                <w:sz w:val="18"/>
              </w:rPr>
              <w:t>64 ans)</w:t>
            </w:r>
          </w:p>
        </w:tc>
        <w:tc>
          <w:tcPr>
            <w:tcW w:w="1134" w:type="dxa"/>
            <w:tcBorders>
              <w:top w:val="single" w:sz="4" w:space="0" w:color="auto"/>
            </w:tcBorders>
            <w:shd w:val="clear" w:color="auto" w:fill="auto"/>
            <w:vAlign w:val="bottom"/>
          </w:tcPr>
          <w:p w:rsidR="00DE0C47" w:rsidRPr="00D1286C" w:rsidRDefault="00DE0C47" w:rsidP="00CA473A">
            <w:pPr>
              <w:keepNext/>
              <w:keepLines/>
              <w:suppressAutoHyphens w:val="0"/>
              <w:spacing w:before="40" w:after="40" w:line="220" w:lineRule="atLeast"/>
              <w:jc w:val="right"/>
              <w:rPr>
                <w:sz w:val="18"/>
              </w:rPr>
            </w:pPr>
            <w:r w:rsidRPr="00D1286C">
              <w:rPr>
                <w:sz w:val="18"/>
              </w:rPr>
              <w:t>1 092 781</w:t>
            </w:r>
          </w:p>
        </w:tc>
        <w:tc>
          <w:tcPr>
            <w:tcW w:w="1134" w:type="dxa"/>
            <w:tcBorders>
              <w:top w:val="single" w:sz="4" w:space="0" w:color="auto"/>
            </w:tcBorders>
            <w:shd w:val="clear" w:color="auto" w:fill="auto"/>
            <w:vAlign w:val="bottom"/>
          </w:tcPr>
          <w:p w:rsidR="00DE0C47" w:rsidRPr="00D1286C" w:rsidRDefault="00DE0C47" w:rsidP="00CA473A">
            <w:pPr>
              <w:keepNext/>
              <w:keepLines/>
              <w:suppressAutoHyphens w:val="0"/>
              <w:spacing w:before="40" w:after="40" w:line="220" w:lineRule="atLeast"/>
              <w:jc w:val="right"/>
              <w:rPr>
                <w:sz w:val="18"/>
              </w:rPr>
            </w:pPr>
            <w:r w:rsidRPr="00D1286C">
              <w:rPr>
                <w:sz w:val="18"/>
              </w:rPr>
              <w:t>1 360 016</w:t>
            </w:r>
          </w:p>
        </w:tc>
        <w:tc>
          <w:tcPr>
            <w:tcW w:w="1134" w:type="dxa"/>
            <w:tcBorders>
              <w:top w:val="single" w:sz="4" w:space="0" w:color="auto"/>
            </w:tcBorders>
            <w:shd w:val="clear" w:color="auto" w:fill="auto"/>
            <w:vAlign w:val="bottom"/>
          </w:tcPr>
          <w:p w:rsidR="00DE0C47" w:rsidRPr="00D1286C" w:rsidRDefault="00DE0C47" w:rsidP="00CA473A">
            <w:pPr>
              <w:keepNext/>
              <w:keepLines/>
              <w:suppressAutoHyphens w:val="0"/>
              <w:spacing w:before="40" w:after="40" w:line="220" w:lineRule="atLeast"/>
              <w:jc w:val="right"/>
              <w:rPr>
                <w:sz w:val="18"/>
              </w:rPr>
            </w:pPr>
            <w:r w:rsidRPr="00D1286C">
              <w:rPr>
                <w:sz w:val="18"/>
              </w:rPr>
              <w:t>1 500 378</w:t>
            </w:r>
          </w:p>
        </w:tc>
      </w:tr>
      <w:tr w:rsidR="00DE0C47" w:rsidRPr="00D1286C" w:rsidTr="00CA473A">
        <w:tc>
          <w:tcPr>
            <w:tcW w:w="3969" w:type="dxa"/>
            <w:shd w:val="clear" w:color="auto" w:fill="auto"/>
            <w:vAlign w:val="bottom"/>
          </w:tcPr>
          <w:p w:rsidR="00DE0C47" w:rsidRPr="00D1286C" w:rsidRDefault="00DE0C47" w:rsidP="00CA473A">
            <w:pPr>
              <w:keepNext/>
              <w:keepLines/>
              <w:suppressAutoHyphens w:val="0"/>
              <w:spacing w:before="40" w:after="40" w:line="220" w:lineRule="atLeast"/>
              <w:rPr>
                <w:sz w:val="18"/>
              </w:rPr>
            </w:pPr>
            <w:r w:rsidRPr="00D1286C">
              <w:rPr>
                <w:sz w:val="18"/>
              </w:rPr>
              <w:t>Femmes (15</w:t>
            </w:r>
            <w:r>
              <w:rPr>
                <w:sz w:val="18"/>
              </w:rPr>
              <w:t>-</w:t>
            </w:r>
            <w:r w:rsidRPr="00D1286C">
              <w:rPr>
                <w:sz w:val="18"/>
              </w:rPr>
              <w:t>59 ans)</w:t>
            </w:r>
          </w:p>
        </w:tc>
        <w:tc>
          <w:tcPr>
            <w:tcW w:w="1134" w:type="dxa"/>
            <w:shd w:val="clear" w:color="auto" w:fill="auto"/>
            <w:vAlign w:val="bottom"/>
          </w:tcPr>
          <w:p w:rsidR="00DE0C47" w:rsidRPr="00D1286C" w:rsidRDefault="00DE0C47" w:rsidP="00CA473A">
            <w:pPr>
              <w:keepNext/>
              <w:keepLines/>
              <w:suppressAutoHyphens w:val="0"/>
              <w:spacing w:before="40" w:after="40" w:line="220" w:lineRule="atLeast"/>
              <w:jc w:val="right"/>
              <w:rPr>
                <w:sz w:val="18"/>
              </w:rPr>
            </w:pPr>
            <w:r w:rsidRPr="00D1286C">
              <w:rPr>
                <w:sz w:val="18"/>
              </w:rPr>
              <w:t>1 112 755</w:t>
            </w:r>
          </w:p>
        </w:tc>
        <w:tc>
          <w:tcPr>
            <w:tcW w:w="1134" w:type="dxa"/>
            <w:shd w:val="clear" w:color="auto" w:fill="auto"/>
            <w:vAlign w:val="bottom"/>
          </w:tcPr>
          <w:p w:rsidR="00DE0C47" w:rsidRPr="00D1286C" w:rsidRDefault="00DE0C47" w:rsidP="00CA473A">
            <w:pPr>
              <w:keepNext/>
              <w:keepLines/>
              <w:suppressAutoHyphens w:val="0"/>
              <w:spacing w:before="40" w:after="40" w:line="220" w:lineRule="atLeast"/>
              <w:jc w:val="right"/>
              <w:rPr>
                <w:sz w:val="18"/>
              </w:rPr>
            </w:pPr>
            <w:r w:rsidRPr="00D1286C">
              <w:rPr>
                <w:sz w:val="18"/>
              </w:rPr>
              <w:t>1 315 080</w:t>
            </w:r>
          </w:p>
        </w:tc>
        <w:tc>
          <w:tcPr>
            <w:tcW w:w="1134" w:type="dxa"/>
            <w:shd w:val="clear" w:color="auto" w:fill="auto"/>
            <w:vAlign w:val="bottom"/>
          </w:tcPr>
          <w:p w:rsidR="00DE0C47" w:rsidRPr="00D1286C" w:rsidRDefault="00DE0C47" w:rsidP="00CA473A">
            <w:pPr>
              <w:keepNext/>
              <w:keepLines/>
              <w:suppressAutoHyphens w:val="0"/>
              <w:spacing w:before="40" w:after="40" w:line="220" w:lineRule="atLeast"/>
              <w:jc w:val="right"/>
              <w:rPr>
                <w:sz w:val="18"/>
              </w:rPr>
            </w:pPr>
            <w:r w:rsidRPr="00D1286C">
              <w:rPr>
                <w:sz w:val="18"/>
              </w:rPr>
              <w:t>1 356 719</w:t>
            </w:r>
          </w:p>
        </w:tc>
      </w:tr>
      <w:tr w:rsidR="00DE0C47" w:rsidRPr="00D1286C" w:rsidTr="00CA473A">
        <w:tc>
          <w:tcPr>
            <w:tcW w:w="3969" w:type="dxa"/>
            <w:shd w:val="clear" w:color="auto" w:fill="auto"/>
            <w:vAlign w:val="bottom"/>
          </w:tcPr>
          <w:p w:rsidR="00DE0C47" w:rsidRPr="00D1286C" w:rsidRDefault="00DE0C47" w:rsidP="00CA473A">
            <w:pPr>
              <w:suppressAutoHyphens w:val="0"/>
              <w:spacing w:before="40" w:after="40" w:line="220" w:lineRule="atLeast"/>
              <w:rPr>
                <w:sz w:val="18"/>
                <w:lang w:val="fr-FR"/>
              </w:rPr>
            </w:pPr>
            <w:r w:rsidRPr="00D1286C">
              <w:rPr>
                <w:sz w:val="18"/>
                <w:lang w:val="fr-FR"/>
              </w:rPr>
              <w:t xml:space="preserve">Part de la population active </w:t>
            </w:r>
            <w:r>
              <w:rPr>
                <w:sz w:val="18"/>
                <w:lang w:val="fr-FR"/>
              </w:rPr>
              <w:t>dans</w:t>
            </w:r>
            <w:r w:rsidRPr="00D1286C">
              <w:rPr>
                <w:sz w:val="18"/>
                <w:lang w:val="fr-FR"/>
              </w:rPr>
              <w:t xml:space="preserve"> l</w:t>
            </w:r>
            <w:r w:rsidR="00CA473A">
              <w:rPr>
                <w:sz w:val="18"/>
                <w:lang w:val="fr-FR"/>
              </w:rPr>
              <w:t>’</w:t>
            </w:r>
            <w:r w:rsidRPr="00D1286C">
              <w:rPr>
                <w:sz w:val="18"/>
                <w:lang w:val="fr-FR"/>
              </w:rPr>
              <w:t>ensemble de</w:t>
            </w:r>
            <w:r>
              <w:rPr>
                <w:sz w:val="18"/>
                <w:lang w:val="fr-FR"/>
              </w:rPr>
              <w:br/>
            </w:r>
            <w:r w:rsidRPr="00D1286C">
              <w:rPr>
                <w:sz w:val="18"/>
                <w:lang w:val="fr-FR"/>
              </w:rPr>
              <w:t>la population en pourcentage (%)</w:t>
            </w:r>
          </w:p>
        </w:tc>
        <w:tc>
          <w:tcPr>
            <w:tcW w:w="1134" w:type="dxa"/>
            <w:shd w:val="clear" w:color="auto" w:fill="auto"/>
            <w:vAlign w:val="bottom"/>
          </w:tcPr>
          <w:p w:rsidR="00DE0C47" w:rsidRPr="00D1286C" w:rsidRDefault="00DE0C47" w:rsidP="00CA473A">
            <w:pPr>
              <w:suppressAutoHyphens w:val="0"/>
              <w:spacing w:before="40" w:after="40" w:line="220" w:lineRule="atLeast"/>
              <w:jc w:val="right"/>
              <w:rPr>
                <w:sz w:val="18"/>
              </w:rPr>
            </w:pPr>
            <w:r w:rsidRPr="00D1286C">
              <w:rPr>
                <w:sz w:val="18"/>
              </w:rPr>
              <w:t>58</w:t>
            </w:r>
            <w:r>
              <w:rPr>
                <w:sz w:val="18"/>
              </w:rPr>
              <w:t>,</w:t>
            </w:r>
            <w:r w:rsidRPr="00D1286C">
              <w:rPr>
                <w:sz w:val="18"/>
              </w:rPr>
              <w:t>9</w:t>
            </w:r>
          </w:p>
        </w:tc>
        <w:tc>
          <w:tcPr>
            <w:tcW w:w="1134" w:type="dxa"/>
            <w:shd w:val="clear" w:color="auto" w:fill="auto"/>
            <w:vAlign w:val="bottom"/>
          </w:tcPr>
          <w:p w:rsidR="00DE0C47" w:rsidRPr="00D1286C" w:rsidRDefault="00DE0C47" w:rsidP="00CA473A">
            <w:pPr>
              <w:suppressAutoHyphens w:val="0"/>
              <w:spacing w:before="40" w:after="40" w:line="220" w:lineRule="atLeast"/>
              <w:jc w:val="right"/>
              <w:rPr>
                <w:sz w:val="18"/>
              </w:rPr>
            </w:pPr>
            <w:r w:rsidRPr="00D1286C">
              <w:rPr>
                <w:sz w:val="18"/>
              </w:rPr>
              <w:t>64</w:t>
            </w:r>
            <w:r>
              <w:rPr>
                <w:sz w:val="18"/>
              </w:rPr>
              <w:t>,</w:t>
            </w:r>
            <w:r w:rsidRPr="00D1286C">
              <w:rPr>
                <w:sz w:val="18"/>
              </w:rPr>
              <w:t>9</w:t>
            </w:r>
          </w:p>
        </w:tc>
        <w:tc>
          <w:tcPr>
            <w:tcW w:w="1134" w:type="dxa"/>
            <w:shd w:val="clear" w:color="auto" w:fill="auto"/>
            <w:vAlign w:val="bottom"/>
          </w:tcPr>
          <w:p w:rsidR="00DE0C47" w:rsidRPr="00D1286C" w:rsidRDefault="00DE0C47" w:rsidP="00CA473A">
            <w:pPr>
              <w:suppressAutoHyphens w:val="0"/>
              <w:spacing w:before="40" w:after="40" w:line="220" w:lineRule="atLeast"/>
              <w:jc w:val="right"/>
              <w:rPr>
                <w:sz w:val="18"/>
              </w:rPr>
            </w:pPr>
            <w:r w:rsidRPr="00D1286C">
              <w:rPr>
                <w:sz w:val="18"/>
              </w:rPr>
              <w:t>65</w:t>
            </w:r>
            <w:r>
              <w:rPr>
                <w:sz w:val="18"/>
              </w:rPr>
              <w:t>,</w:t>
            </w:r>
            <w:r w:rsidRPr="00D1286C">
              <w:rPr>
                <w:sz w:val="18"/>
              </w:rPr>
              <w:t>3</w:t>
            </w:r>
          </w:p>
        </w:tc>
      </w:tr>
    </w:tbl>
    <w:p w:rsidR="00DE0C47" w:rsidRDefault="00DE0C47" w:rsidP="00DE0C47">
      <w:pPr>
        <w:pStyle w:val="SingleTxtG"/>
        <w:spacing w:before="240"/>
      </w:pPr>
      <w:r w:rsidRPr="00D1286C">
        <w:t>63.</w:t>
      </w:r>
      <w:r w:rsidRPr="00D1286C">
        <w:tab/>
        <w:t xml:space="preserve">Fin 2001, </w:t>
      </w:r>
      <w:r>
        <w:t xml:space="preserve">on a </w:t>
      </w:r>
      <w:r w:rsidRPr="00D1286C">
        <w:t>recensé 633 860 personnes ayant un emploi, dont 75</w:t>
      </w:r>
      <w:r>
        <w:t xml:space="preserve"> </w:t>
      </w:r>
      <w:r w:rsidRPr="00D1286C">
        <w:t>% dans le secteur industrie</w:t>
      </w:r>
      <w:r>
        <w:t>l</w:t>
      </w:r>
      <w:r w:rsidRPr="00D1286C">
        <w:t xml:space="preserve"> et 25</w:t>
      </w:r>
      <w:r>
        <w:t> </w:t>
      </w:r>
      <w:r w:rsidRPr="00D1286C">
        <w:t>% dans le secteur public.</w:t>
      </w:r>
    </w:p>
    <w:p w:rsidR="00DE0C47" w:rsidRDefault="00DE0C47" w:rsidP="00DE0C47">
      <w:pPr>
        <w:pStyle w:val="SingleTxtG"/>
      </w:pPr>
      <w:r w:rsidRPr="00D1286C">
        <w:t>64.</w:t>
      </w:r>
      <w:r w:rsidRPr="00D1286C">
        <w:tab/>
        <w:t xml:space="preserve">Selon les enquêtes réalisées en 2006 et en 2007, la population active a diminué de 8 000 personnes, ce qui est </w:t>
      </w:r>
      <w:r>
        <w:t xml:space="preserve">le </w:t>
      </w:r>
      <w:r w:rsidRPr="00D1286C">
        <w:t>signe du vieillissement de la population.</w:t>
      </w:r>
    </w:p>
    <w:p w:rsidR="00DE0C47" w:rsidRPr="00643AA0" w:rsidRDefault="00DE0C47" w:rsidP="00DE0C47">
      <w:pPr>
        <w:pStyle w:val="Heading1"/>
        <w:spacing w:before="240" w:after="120"/>
        <w:rPr>
          <w:sz w:val="16"/>
          <w:szCs w:val="16"/>
        </w:rPr>
      </w:pPr>
      <w:r w:rsidRPr="00D1286C">
        <w:t>Tableau 11</w:t>
      </w:r>
      <w:r>
        <w:br/>
      </w:r>
      <w:r w:rsidRPr="00643AA0">
        <w:rPr>
          <w:b/>
        </w:rPr>
        <w:t>Population active par activité, groupe d</w:t>
      </w:r>
      <w:r w:rsidR="00CA473A">
        <w:rPr>
          <w:b/>
        </w:rPr>
        <w:t>’</w:t>
      </w:r>
      <w:r w:rsidRPr="00643AA0">
        <w:rPr>
          <w:b/>
        </w:rPr>
        <w:t>âge et sexe en Bosnie-Herzégovine</w:t>
      </w:r>
      <w:r>
        <w:rPr>
          <w:b/>
        </w:rPr>
        <w:br/>
      </w:r>
      <w:r w:rsidRPr="00643AA0">
        <w:rPr>
          <w:sz w:val="16"/>
          <w:szCs w:val="16"/>
        </w:rPr>
        <w:t>(En milliers)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73"/>
        <w:gridCol w:w="729"/>
        <w:gridCol w:w="729"/>
        <w:gridCol w:w="729"/>
        <w:gridCol w:w="729"/>
        <w:gridCol w:w="729"/>
        <w:gridCol w:w="729"/>
        <w:gridCol w:w="729"/>
        <w:gridCol w:w="729"/>
      </w:tblGrid>
      <w:tr w:rsidR="00DE0C47" w:rsidRPr="00D1286C" w:rsidTr="00CA473A">
        <w:trPr>
          <w:tblHeader/>
        </w:trPr>
        <w:tc>
          <w:tcPr>
            <w:tcW w:w="2673" w:type="dxa"/>
            <w:vMerge w:val="restart"/>
            <w:tcBorders>
              <w:top w:val="single" w:sz="4" w:space="0" w:color="auto"/>
              <w:right w:val="nil"/>
            </w:tcBorders>
            <w:shd w:val="clear" w:color="auto" w:fill="auto"/>
            <w:vAlign w:val="bottom"/>
          </w:tcPr>
          <w:p w:rsidR="00DE0C47" w:rsidRPr="00D1286C" w:rsidRDefault="00DE0C47" w:rsidP="00CA473A">
            <w:pPr>
              <w:suppressAutoHyphens w:val="0"/>
              <w:spacing w:before="80" w:after="80" w:line="200" w:lineRule="exact"/>
              <w:rPr>
                <w:i/>
                <w:sz w:val="16"/>
              </w:rPr>
            </w:pPr>
          </w:p>
        </w:tc>
        <w:tc>
          <w:tcPr>
            <w:tcW w:w="1458" w:type="dxa"/>
            <w:gridSpan w:val="2"/>
            <w:tcBorders>
              <w:top w:val="single" w:sz="4" w:space="0" w:color="auto"/>
              <w:left w:val="nil"/>
              <w:bottom w:val="single" w:sz="4" w:space="0" w:color="auto"/>
              <w:right w:val="single" w:sz="24" w:space="0" w:color="FFFFFF"/>
            </w:tcBorders>
            <w:shd w:val="clear" w:color="auto" w:fill="auto"/>
            <w:vAlign w:val="bottom"/>
          </w:tcPr>
          <w:p w:rsidR="00DE0C47" w:rsidRPr="00D1286C" w:rsidRDefault="00DE0C47" w:rsidP="00CA473A">
            <w:pPr>
              <w:suppressAutoHyphens w:val="0"/>
              <w:spacing w:before="80" w:after="80" w:line="200" w:lineRule="exact"/>
              <w:jc w:val="center"/>
              <w:rPr>
                <w:i/>
                <w:sz w:val="16"/>
              </w:rPr>
            </w:pPr>
            <w:r w:rsidRPr="00D1286C">
              <w:rPr>
                <w:i/>
                <w:sz w:val="16"/>
              </w:rPr>
              <w:t>Population active</w:t>
            </w:r>
          </w:p>
        </w:tc>
        <w:tc>
          <w:tcPr>
            <w:tcW w:w="1458"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DE0C47" w:rsidRPr="00D1286C" w:rsidRDefault="00DE0C47" w:rsidP="00CA473A">
            <w:pPr>
              <w:suppressAutoHyphens w:val="0"/>
              <w:spacing w:before="80" w:after="80" w:line="200" w:lineRule="exact"/>
              <w:jc w:val="center"/>
              <w:rPr>
                <w:b/>
                <w:i/>
                <w:sz w:val="16"/>
              </w:rPr>
            </w:pPr>
            <w:r w:rsidRPr="00D1286C">
              <w:rPr>
                <w:b/>
                <w:i/>
                <w:sz w:val="16"/>
              </w:rPr>
              <w:t>Total</w:t>
            </w:r>
          </w:p>
        </w:tc>
        <w:tc>
          <w:tcPr>
            <w:tcW w:w="1458"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DE0C47" w:rsidRPr="00D1286C" w:rsidRDefault="00DE0C47" w:rsidP="00CA473A">
            <w:pPr>
              <w:suppressAutoHyphens w:val="0"/>
              <w:spacing w:before="80" w:after="80" w:line="200" w:lineRule="exact"/>
              <w:jc w:val="center"/>
              <w:rPr>
                <w:i/>
                <w:sz w:val="16"/>
              </w:rPr>
            </w:pPr>
            <w:r w:rsidRPr="00D1286C">
              <w:rPr>
                <w:i/>
                <w:sz w:val="16"/>
              </w:rPr>
              <w:t>Population active occupée</w:t>
            </w:r>
          </w:p>
        </w:tc>
        <w:tc>
          <w:tcPr>
            <w:tcW w:w="1458" w:type="dxa"/>
            <w:gridSpan w:val="2"/>
            <w:tcBorders>
              <w:top w:val="single" w:sz="4" w:space="0" w:color="auto"/>
              <w:left w:val="single" w:sz="24" w:space="0" w:color="FFFFFF"/>
              <w:bottom w:val="single" w:sz="4" w:space="0" w:color="auto"/>
            </w:tcBorders>
            <w:shd w:val="clear" w:color="auto" w:fill="auto"/>
            <w:vAlign w:val="bottom"/>
          </w:tcPr>
          <w:p w:rsidR="00DE0C47" w:rsidRPr="00D1286C" w:rsidRDefault="00DE0C47" w:rsidP="00CA473A">
            <w:pPr>
              <w:suppressAutoHyphens w:val="0"/>
              <w:spacing w:before="80" w:after="80" w:line="200" w:lineRule="exact"/>
              <w:jc w:val="center"/>
              <w:rPr>
                <w:i/>
                <w:sz w:val="16"/>
              </w:rPr>
            </w:pPr>
            <w:r w:rsidRPr="00D1286C">
              <w:rPr>
                <w:i/>
                <w:sz w:val="16"/>
              </w:rPr>
              <w:t>Chômeurs</w:t>
            </w:r>
          </w:p>
        </w:tc>
      </w:tr>
      <w:tr w:rsidR="00DE0C47" w:rsidRPr="00D1286C" w:rsidTr="00CA473A">
        <w:tc>
          <w:tcPr>
            <w:tcW w:w="2673" w:type="dxa"/>
            <w:vMerge/>
            <w:tcBorders>
              <w:bottom w:val="single" w:sz="12" w:space="0" w:color="auto"/>
              <w:right w:val="nil"/>
            </w:tcBorders>
            <w:shd w:val="clear" w:color="auto" w:fill="auto"/>
            <w:vAlign w:val="bottom"/>
          </w:tcPr>
          <w:p w:rsidR="00DE0C47" w:rsidRPr="00D1286C" w:rsidRDefault="00DE0C47" w:rsidP="00CA473A">
            <w:pPr>
              <w:suppressAutoHyphens w:val="0"/>
              <w:spacing w:before="80" w:after="80" w:line="200" w:lineRule="exact"/>
              <w:rPr>
                <w:i/>
                <w:sz w:val="18"/>
              </w:rPr>
            </w:pPr>
          </w:p>
        </w:tc>
        <w:tc>
          <w:tcPr>
            <w:tcW w:w="729" w:type="dxa"/>
            <w:tcBorders>
              <w:top w:val="single" w:sz="4" w:space="0" w:color="auto"/>
              <w:left w:val="nil"/>
              <w:bottom w:val="single" w:sz="12" w:space="0" w:color="auto"/>
            </w:tcBorders>
            <w:shd w:val="clear" w:color="auto" w:fill="auto"/>
            <w:vAlign w:val="bottom"/>
          </w:tcPr>
          <w:p w:rsidR="00DE0C47" w:rsidRPr="00CD73F3" w:rsidRDefault="00DE0C47" w:rsidP="00CA473A">
            <w:pPr>
              <w:suppressAutoHyphens w:val="0"/>
              <w:spacing w:before="80" w:after="80" w:line="200" w:lineRule="exact"/>
              <w:jc w:val="right"/>
              <w:rPr>
                <w:i/>
                <w:sz w:val="16"/>
                <w:szCs w:val="16"/>
              </w:rPr>
            </w:pPr>
            <w:r w:rsidRPr="00CD73F3">
              <w:rPr>
                <w:i/>
                <w:sz w:val="16"/>
                <w:szCs w:val="16"/>
              </w:rPr>
              <w:t>2006</w:t>
            </w:r>
          </w:p>
        </w:tc>
        <w:tc>
          <w:tcPr>
            <w:tcW w:w="729" w:type="dxa"/>
            <w:tcBorders>
              <w:top w:val="single" w:sz="4" w:space="0" w:color="auto"/>
              <w:bottom w:val="single" w:sz="12" w:space="0" w:color="auto"/>
              <w:right w:val="single" w:sz="24" w:space="0" w:color="FFFFFF"/>
            </w:tcBorders>
            <w:shd w:val="clear" w:color="auto" w:fill="auto"/>
            <w:vAlign w:val="bottom"/>
          </w:tcPr>
          <w:p w:rsidR="00DE0C47" w:rsidRPr="00CD73F3" w:rsidRDefault="00DE0C47" w:rsidP="00CA473A">
            <w:pPr>
              <w:suppressAutoHyphens w:val="0"/>
              <w:spacing w:before="80" w:after="80" w:line="200" w:lineRule="exact"/>
              <w:jc w:val="right"/>
              <w:rPr>
                <w:i/>
                <w:sz w:val="16"/>
                <w:szCs w:val="16"/>
              </w:rPr>
            </w:pPr>
            <w:r w:rsidRPr="00CD73F3">
              <w:rPr>
                <w:i/>
                <w:sz w:val="16"/>
                <w:szCs w:val="16"/>
              </w:rPr>
              <w:t>2007</w:t>
            </w:r>
          </w:p>
        </w:tc>
        <w:tc>
          <w:tcPr>
            <w:tcW w:w="729" w:type="dxa"/>
            <w:tcBorders>
              <w:top w:val="single" w:sz="4" w:space="0" w:color="auto"/>
              <w:left w:val="single" w:sz="24" w:space="0" w:color="FFFFFF"/>
              <w:bottom w:val="single" w:sz="12" w:space="0" w:color="auto"/>
            </w:tcBorders>
            <w:shd w:val="clear" w:color="auto" w:fill="auto"/>
            <w:vAlign w:val="bottom"/>
          </w:tcPr>
          <w:p w:rsidR="00DE0C47" w:rsidRPr="00CD73F3" w:rsidRDefault="00DE0C47" w:rsidP="00CA473A">
            <w:pPr>
              <w:suppressAutoHyphens w:val="0"/>
              <w:spacing w:before="80" w:after="80" w:line="200" w:lineRule="exact"/>
              <w:jc w:val="right"/>
              <w:rPr>
                <w:b/>
                <w:i/>
                <w:sz w:val="16"/>
                <w:szCs w:val="16"/>
              </w:rPr>
            </w:pPr>
            <w:r w:rsidRPr="00CD73F3">
              <w:rPr>
                <w:b/>
                <w:i/>
                <w:sz w:val="16"/>
                <w:szCs w:val="16"/>
              </w:rPr>
              <w:t>2006</w:t>
            </w:r>
          </w:p>
        </w:tc>
        <w:tc>
          <w:tcPr>
            <w:tcW w:w="729" w:type="dxa"/>
            <w:tcBorders>
              <w:top w:val="single" w:sz="4" w:space="0" w:color="auto"/>
              <w:bottom w:val="single" w:sz="12" w:space="0" w:color="auto"/>
              <w:right w:val="single" w:sz="24" w:space="0" w:color="FFFFFF"/>
            </w:tcBorders>
            <w:shd w:val="clear" w:color="auto" w:fill="auto"/>
            <w:vAlign w:val="bottom"/>
          </w:tcPr>
          <w:p w:rsidR="00DE0C47" w:rsidRPr="00CD73F3" w:rsidRDefault="00DE0C47" w:rsidP="00CA473A">
            <w:pPr>
              <w:suppressAutoHyphens w:val="0"/>
              <w:spacing w:before="80" w:after="80" w:line="200" w:lineRule="exact"/>
              <w:jc w:val="right"/>
              <w:rPr>
                <w:b/>
                <w:i/>
                <w:sz w:val="16"/>
                <w:szCs w:val="16"/>
              </w:rPr>
            </w:pPr>
            <w:r w:rsidRPr="00CD73F3">
              <w:rPr>
                <w:b/>
                <w:i/>
                <w:sz w:val="16"/>
                <w:szCs w:val="16"/>
              </w:rPr>
              <w:t>2007</w:t>
            </w:r>
          </w:p>
        </w:tc>
        <w:tc>
          <w:tcPr>
            <w:tcW w:w="729" w:type="dxa"/>
            <w:tcBorders>
              <w:top w:val="single" w:sz="4" w:space="0" w:color="auto"/>
              <w:left w:val="single" w:sz="24" w:space="0" w:color="FFFFFF"/>
              <w:bottom w:val="single" w:sz="12" w:space="0" w:color="auto"/>
            </w:tcBorders>
            <w:shd w:val="clear" w:color="auto" w:fill="auto"/>
            <w:vAlign w:val="bottom"/>
          </w:tcPr>
          <w:p w:rsidR="00DE0C47" w:rsidRPr="00CD73F3" w:rsidRDefault="00DE0C47" w:rsidP="00CA473A">
            <w:pPr>
              <w:suppressAutoHyphens w:val="0"/>
              <w:spacing w:before="80" w:after="80" w:line="200" w:lineRule="exact"/>
              <w:jc w:val="right"/>
              <w:rPr>
                <w:i/>
                <w:sz w:val="16"/>
                <w:szCs w:val="16"/>
              </w:rPr>
            </w:pPr>
            <w:r w:rsidRPr="00CD73F3">
              <w:rPr>
                <w:i/>
                <w:sz w:val="16"/>
                <w:szCs w:val="16"/>
              </w:rPr>
              <w:t>2006</w:t>
            </w:r>
          </w:p>
        </w:tc>
        <w:tc>
          <w:tcPr>
            <w:tcW w:w="729" w:type="dxa"/>
            <w:tcBorders>
              <w:top w:val="single" w:sz="4" w:space="0" w:color="auto"/>
              <w:bottom w:val="single" w:sz="12" w:space="0" w:color="auto"/>
              <w:right w:val="single" w:sz="24" w:space="0" w:color="FFFFFF"/>
            </w:tcBorders>
            <w:shd w:val="clear" w:color="auto" w:fill="auto"/>
            <w:vAlign w:val="bottom"/>
          </w:tcPr>
          <w:p w:rsidR="00DE0C47" w:rsidRPr="00CD73F3" w:rsidRDefault="00DE0C47" w:rsidP="00CA473A">
            <w:pPr>
              <w:suppressAutoHyphens w:val="0"/>
              <w:spacing w:before="80" w:after="80" w:line="200" w:lineRule="exact"/>
              <w:jc w:val="right"/>
              <w:rPr>
                <w:i/>
                <w:sz w:val="16"/>
                <w:szCs w:val="16"/>
              </w:rPr>
            </w:pPr>
            <w:r w:rsidRPr="00CD73F3">
              <w:rPr>
                <w:i/>
                <w:sz w:val="16"/>
                <w:szCs w:val="16"/>
              </w:rPr>
              <w:t>2007</w:t>
            </w:r>
          </w:p>
        </w:tc>
        <w:tc>
          <w:tcPr>
            <w:tcW w:w="729" w:type="dxa"/>
            <w:tcBorders>
              <w:top w:val="single" w:sz="4" w:space="0" w:color="auto"/>
              <w:left w:val="single" w:sz="24" w:space="0" w:color="FFFFFF"/>
              <w:bottom w:val="single" w:sz="12" w:space="0" w:color="auto"/>
            </w:tcBorders>
            <w:shd w:val="clear" w:color="auto" w:fill="auto"/>
            <w:vAlign w:val="bottom"/>
          </w:tcPr>
          <w:p w:rsidR="00DE0C47" w:rsidRPr="00CD73F3" w:rsidRDefault="00DE0C47" w:rsidP="00CA473A">
            <w:pPr>
              <w:suppressAutoHyphens w:val="0"/>
              <w:spacing w:before="80" w:after="80" w:line="200" w:lineRule="exact"/>
              <w:jc w:val="right"/>
              <w:rPr>
                <w:i/>
                <w:sz w:val="16"/>
                <w:szCs w:val="16"/>
              </w:rPr>
            </w:pPr>
            <w:r w:rsidRPr="00CD73F3">
              <w:rPr>
                <w:i/>
                <w:sz w:val="16"/>
                <w:szCs w:val="16"/>
              </w:rPr>
              <w:t>2006</w:t>
            </w:r>
          </w:p>
        </w:tc>
        <w:tc>
          <w:tcPr>
            <w:tcW w:w="729" w:type="dxa"/>
            <w:tcBorders>
              <w:top w:val="single" w:sz="4" w:space="0" w:color="auto"/>
              <w:bottom w:val="single" w:sz="12" w:space="0" w:color="auto"/>
            </w:tcBorders>
            <w:shd w:val="clear" w:color="auto" w:fill="auto"/>
            <w:vAlign w:val="bottom"/>
          </w:tcPr>
          <w:p w:rsidR="00DE0C47" w:rsidRPr="00CD73F3" w:rsidRDefault="00DE0C47" w:rsidP="00CA473A">
            <w:pPr>
              <w:suppressAutoHyphens w:val="0"/>
              <w:spacing w:before="80" w:after="80" w:line="200" w:lineRule="exact"/>
              <w:jc w:val="right"/>
              <w:rPr>
                <w:i/>
                <w:sz w:val="16"/>
                <w:szCs w:val="16"/>
              </w:rPr>
            </w:pPr>
            <w:r w:rsidRPr="00CD73F3">
              <w:rPr>
                <w:i/>
                <w:sz w:val="16"/>
                <w:szCs w:val="16"/>
              </w:rPr>
              <w:t>2007</w:t>
            </w:r>
          </w:p>
        </w:tc>
      </w:tr>
      <w:tr w:rsidR="00DE0C47" w:rsidRPr="00D1286C" w:rsidTr="00CA473A">
        <w:tc>
          <w:tcPr>
            <w:tcW w:w="2673" w:type="dxa"/>
            <w:tcBorders>
              <w:top w:val="single" w:sz="12" w:space="0" w:color="auto"/>
              <w:bottom w:val="single" w:sz="4" w:space="0" w:color="auto"/>
            </w:tcBorders>
            <w:shd w:val="clear" w:color="auto" w:fill="auto"/>
            <w:vAlign w:val="bottom"/>
          </w:tcPr>
          <w:p w:rsidR="00DE0C47" w:rsidRPr="00D1286C" w:rsidRDefault="00DE0C47" w:rsidP="00CA473A">
            <w:pPr>
              <w:suppressAutoHyphens w:val="0"/>
              <w:spacing w:before="80" w:after="80" w:line="220" w:lineRule="atLeast"/>
              <w:ind w:left="284"/>
              <w:rPr>
                <w:b/>
                <w:sz w:val="18"/>
              </w:rPr>
            </w:pPr>
            <w:r w:rsidRPr="00D1286C">
              <w:rPr>
                <w:b/>
                <w:sz w:val="18"/>
              </w:rPr>
              <w:t>Total</w:t>
            </w:r>
          </w:p>
        </w:tc>
        <w:tc>
          <w:tcPr>
            <w:tcW w:w="729" w:type="dxa"/>
            <w:tcBorders>
              <w:top w:val="single" w:sz="12" w:space="0" w:color="auto"/>
              <w:bottom w:val="single" w:sz="4" w:space="0" w:color="auto"/>
            </w:tcBorders>
            <w:shd w:val="clear" w:color="auto" w:fill="auto"/>
            <w:vAlign w:val="bottom"/>
          </w:tcPr>
          <w:p w:rsidR="00DE0C47" w:rsidRPr="00D1286C" w:rsidRDefault="00DE0C47" w:rsidP="00CA473A">
            <w:pPr>
              <w:suppressAutoHyphens w:val="0"/>
              <w:spacing w:before="80" w:after="80" w:line="220" w:lineRule="atLeast"/>
              <w:jc w:val="right"/>
              <w:rPr>
                <w:b/>
                <w:sz w:val="18"/>
              </w:rPr>
            </w:pPr>
            <w:r w:rsidRPr="00D1286C">
              <w:rPr>
                <w:b/>
                <w:sz w:val="18"/>
              </w:rPr>
              <w:t>2 733</w:t>
            </w:r>
          </w:p>
        </w:tc>
        <w:tc>
          <w:tcPr>
            <w:tcW w:w="729" w:type="dxa"/>
            <w:tcBorders>
              <w:top w:val="single" w:sz="12" w:space="0" w:color="auto"/>
              <w:bottom w:val="single" w:sz="4" w:space="0" w:color="auto"/>
            </w:tcBorders>
            <w:shd w:val="clear" w:color="auto" w:fill="auto"/>
            <w:vAlign w:val="bottom"/>
          </w:tcPr>
          <w:p w:rsidR="00DE0C47" w:rsidRPr="00D1286C" w:rsidRDefault="00DE0C47" w:rsidP="00CA473A">
            <w:pPr>
              <w:suppressAutoHyphens w:val="0"/>
              <w:spacing w:before="80" w:after="80" w:line="220" w:lineRule="atLeast"/>
              <w:jc w:val="right"/>
              <w:rPr>
                <w:b/>
                <w:sz w:val="18"/>
              </w:rPr>
            </w:pPr>
            <w:r w:rsidRPr="00D1286C">
              <w:rPr>
                <w:b/>
                <w:sz w:val="18"/>
              </w:rPr>
              <w:t>2 725</w:t>
            </w:r>
          </w:p>
        </w:tc>
        <w:tc>
          <w:tcPr>
            <w:tcW w:w="729" w:type="dxa"/>
            <w:tcBorders>
              <w:top w:val="single" w:sz="12" w:space="0" w:color="auto"/>
              <w:bottom w:val="single" w:sz="4" w:space="0" w:color="auto"/>
            </w:tcBorders>
            <w:shd w:val="clear" w:color="auto" w:fill="auto"/>
            <w:vAlign w:val="bottom"/>
          </w:tcPr>
          <w:p w:rsidR="00DE0C47" w:rsidRPr="00D1286C" w:rsidRDefault="00DE0C47" w:rsidP="00CA473A">
            <w:pPr>
              <w:suppressAutoHyphens w:val="0"/>
              <w:spacing w:before="80" w:after="80" w:line="220" w:lineRule="atLeast"/>
              <w:jc w:val="right"/>
              <w:rPr>
                <w:b/>
                <w:sz w:val="18"/>
              </w:rPr>
            </w:pPr>
            <w:r w:rsidRPr="00D1286C">
              <w:rPr>
                <w:b/>
                <w:sz w:val="18"/>
              </w:rPr>
              <w:t>1 177</w:t>
            </w:r>
          </w:p>
        </w:tc>
        <w:tc>
          <w:tcPr>
            <w:tcW w:w="729" w:type="dxa"/>
            <w:tcBorders>
              <w:top w:val="single" w:sz="12" w:space="0" w:color="auto"/>
              <w:bottom w:val="single" w:sz="4" w:space="0" w:color="auto"/>
            </w:tcBorders>
            <w:shd w:val="clear" w:color="auto" w:fill="auto"/>
            <w:vAlign w:val="bottom"/>
          </w:tcPr>
          <w:p w:rsidR="00DE0C47" w:rsidRPr="00D1286C" w:rsidRDefault="00DE0C47" w:rsidP="00CA473A">
            <w:pPr>
              <w:suppressAutoHyphens w:val="0"/>
              <w:spacing w:before="80" w:after="80" w:line="220" w:lineRule="atLeast"/>
              <w:jc w:val="right"/>
              <w:rPr>
                <w:b/>
                <w:sz w:val="18"/>
              </w:rPr>
            </w:pPr>
            <w:r w:rsidRPr="00D1286C">
              <w:rPr>
                <w:b/>
                <w:sz w:val="18"/>
              </w:rPr>
              <w:t>1 196</w:t>
            </w:r>
          </w:p>
        </w:tc>
        <w:tc>
          <w:tcPr>
            <w:tcW w:w="729" w:type="dxa"/>
            <w:tcBorders>
              <w:top w:val="single" w:sz="12" w:space="0" w:color="auto"/>
              <w:bottom w:val="single" w:sz="4" w:space="0" w:color="auto"/>
            </w:tcBorders>
            <w:shd w:val="clear" w:color="auto" w:fill="auto"/>
            <w:vAlign w:val="bottom"/>
          </w:tcPr>
          <w:p w:rsidR="00DE0C47" w:rsidRPr="00D1286C" w:rsidRDefault="00DE0C47" w:rsidP="00CA473A">
            <w:pPr>
              <w:suppressAutoHyphens w:val="0"/>
              <w:spacing w:before="80" w:after="80" w:line="220" w:lineRule="atLeast"/>
              <w:jc w:val="right"/>
              <w:rPr>
                <w:b/>
                <w:sz w:val="18"/>
              </w:rPr>
            </w:pPr>
            <w:r w:rsidRPr="00D1286C">
              <w:rPr>
                <w:b/>
                <w:sz w:val="18"/>
              </w:rPr>
              <w:t>811</w:t>
            </w:r>
          </w:p>
        </w:tc>
        <w:tc>
          <w:tcPr>
            <w:tcW w:w="729" w:type="dxa"/>
            <w:tcBorders>
              <w:top w:val="single" w:sz="12" w:space="0" w:color="auto"/>
              <w:bottom w:val="single" w:sz="4" w:space="0" w:color="auto"/>
            </w:tcBorders>
            <w:shd w:val="clear" w:color="auto" w:fill="auto"/>
            <w:vAlign w:val="bottom"/>
          </w:tcPr>
          <w:p w:rsidR="00DE0C47" w:rsidRPr="00D1286C" w:rsidRDefault="00DE0C47" w:rsidP="00CA473A">
            <w:pPr>
              <w:suppressAutoHyphens w:val="0"/>
              <w:spacing w:before="80" w:after="80" w:line="220" w:lineRule="atLeast"/>
              <w:jc w:val="right"/>
              <w:rPr>
                <w:b/>
                <w:sz w:val="18"/>
              </w:rPr>
            </w:pPr>
            <w:r w:rsidRPr="00D1286C">
              <w:rPr>
                <w:b/>
                <w:sz w:val="18"/>
              </w:rPr>
              <w:t>850</w:t>
            </w:r>
          </w:p>
        </w:tc>
        <w:tc>
          <w:tcPr>
            <w:tcW w:w="729" w:type="dxa"/>
            <w:tcBorders>
              <w:top w:val="single" w:sz="12" w:space="0" w:color="auto"/>
              <w:bottom w:val="single" w:sz="4" w:space="0" w:color="auto"/>
            </w:tcBorders>
            <w:shd w:val="clear" w:color="auto" w:fill="auto"/>
            <w:vAlign w:val="bottom"/>
          </w:tcPr>
          <w:p w:rsidR="00DE0C47" w:rsidRPr="00D1286C" w:rsidRDefault="00DE0C47" w:rsidP="00CA473A">
            <w:pPr>
              <w:suppressAutoHyphens w:val="0"/>
              <w:spacing w:before="80" w:after="80" w:line="220" w:lineRule="atLeast"/>
              <w:jc w:val="right"/>
              <w:rPr>
                <w:b/>
                <w:sz w:val="18"/>
              </w:rPr>
            </w:pPr>
            <w:r w:rsidRPr="00D1286C">
              <w:rPr>
                <w:b/>
                <w:sz w:val="18"/>
              </w:rPr>
              <w:t>366</w:t>
            </w:r>
          </w:p>
        </w:tc>
        <w:tc>
          <w:tcPr>
            <w:tcW w:w="729" w:type="dxa"/>
            <w:tcBorders>
              <w:top w:val="single" w:sz="12" w:space="0" w:color="auto"/>
              <w:bottom w:val="single" w:sz="4" w:space="0" w:color="auto"/>
            </w:tcBorders>
            <w:shd w:val="clear" w:color="auto" w:fill="auto"/>
            <w:vAlign w:val="bottom"/>
          </w:tcPr>
          <w:p w:rsidR="00DE0C47" w:rsidRPr="00D1286C" w:rsidRDefault="00DE0C47" w:rsidP="00CA473A">
            <w:pPr>
              <w:suppressAutoHyphens w:val="0"/>
              <w:spacing w:before="80" w:after="80" w:line="220" w:lineRule="atLeast"/>
              <w:jc w:val="right"/>
              <w:rPr>
                <w:b/>
                <w:sz w:val="18"/>
              </w:rPr>
            </w:pPr>
            <w:r w:rsidRPr="00D1286C">
              <w:rPr>
                <w:b/>
                <w:sz w:val="18"/>
              </w:rPr>
              <w:t>347</w:t>
            </w:r>
          </w:p>
        </w:tc>
      </w:tr>
      <w:tr w:rsidR="00DE0C47" w:rsidRPr="00D1286C" w:rsidTr="00CA473A">
        <w:tc>
          <w:tcPr>
            <w:tcW w:w="2673" w:type="dxa"/>
            <w:tcBorders>
              <w:top w:val="single" w:sz="4" w:space="0" w:color="auto"/>
            </w:tcBorders>
            <w:shd w:val="clear" w:color="auto" w:fill="auto"/>
            <w:vAlign w:val="bottom"/>
          </w:tcPr>
          <w:p w:rsidR="00DE0C47" w:rsidRPr="00D1286C" w:rsidRDefault="00DE0C47" w:rsidP="00CA473A">
            <w:pPr>
              <w:suppressAutoHyphens w:val="0"/>
              <w:spacing w:before="40" w:after="40" w:line="220" w:lineRule="atLeast"/>
              <w:rPr>
                <w:sz w:val="18"/>
              </w:rPr>
            </w:pPr>
            <w:r w:rsidRPr="00D1286C">
              <w:rPr>
                <w:sz w:val="18"/>
              </w:rPr>
              <w:t>Hommes</w:t>
            </w:r>
          </w:p>
        </w:tc>
        <w:tc>
          <w:tcPr>
            <w:tcW w:w="729" w:type="dxa"/>
            <w:tcBorders>
              <w:top w:val="single" w:sz="4" w:space="0" w:color="auto"/>
            </w:tcBorders>
            <w:shd w:val="clear" w:color="auto" w:fill="auto"/>
            <w:vAlign w:val="bottom"/>
          </w:tcPr>
          <w:p w:rsidR="00DE0C47" w:rsidRPr="00D1286C" w:rsidRDefault="00DE0C47" w:rsidP="00CA473A">
            <w:pPr>
              <w:suppressAutoHyphens w:val="0"/>
              <w:spacing w:before="40" w:after="40" w:line="220" w:lineRule="atLeast"/>
              <w:jc w:val="right"/>
              <w:rPr>
                <w:sz w:val="18"/>
              </w:rPr>
            </w:pPr>
            <w:r w:rsidRPr="00D1286C">
              <w:rPr>
                <w:sz w:val="18"/>
              </w:rPr>
              <w:t>1 322</w:t>
            </w:r>
          </w:p>
        </w:tc>
        <w:tc>
          <w:tcPr>
            <w:tcW w:w="729" w:type="dxa"/>
            <w:tcBorders>
              <w:top w:val="single" w:sz="4" w:space="0" w:color="auto"/>
            </w:tcBorders>
            <w:shd w:val="clear" w:color="auto" w:fill="auto"/>
            <w:vAlign w:val="bottom"/>
          </w:tcPr>
          <w:p w:rsidR="00DE0C47" w:rsidRPr="00D1286C" w:rsidRDefault="00DE0C47" w:rsidP="00CA473A">
            <w:pPr>
              <w:suppressAutoHyphens w:val="0"/>
              <w:spacing w:before="40" w:after="40" w:line="220" w:lineRule="atLeast"/>
              <w:jc w:val="right"/>
              <w:rPr>
                <w:sz w:val="18"/>
              </w:rPr>
            </w:pPr>
            <w:r w:rsidRPr="00D1286C">
              <w:rPr>
                <w:sz w:val="18"/>
              </w:rPr>
              <w:t>1 317</w:t>
            </w:r>
          </w:p>
        </w:tc>
        <w:tc>
          <w:tcPr>
            <w:tcW w:w="729" w:type="dxa"/>
            <w:tcBorders>
              <w:top w:val="single" w:sz="4" w:space="0" w:color="auto"/>
            </w:tcBorders>
            <w:shd w:val="clear" w:color="auto" w:fill="auto"/>
            <w:vAlign w:val="bottom"/>
          </w:tcPr>
          <w:p w:rsidR="00DE0C47" w:rsidRPr="00D1286C" w:rsidRDefault="00DE0C47" w:rsidP="00CA473A">
            <w:pPr>
              <w:suppressAutoHyphens w:val="0"/>
              <w:spacing w:before="40" w:after="40" w:line="220" w:lineRule="atLeast"/>
              <w:jc w:val="right"/>
              <w:rPr>
                <w:b/>
                <w:sz w:val="18"/>
              </w:rPr>
            </w:pPr>
            <w:r w:rsidRPr="00D1286C">
              <w:rPr>
                <w:b/>
                <w:sz w:val="18"/>
              </w:rPr>
              <w:t>743</w:t>
            </w:r>
          </w:p>
        </w:tc>
        <w:tc>
          <w:tcPr>
            <w:tcW w:w="729" w:type="dxa"/>
            <w:tcBorders>
              <w:top w:val="single" w:sz="4" w:space="0" w:color="auto"/>
            </w:tcBorders>
            <w:shd w:val="clear" w:color="auto" w:fill="auto"/>
            <w:vAlign w:val="bottom"/>
          </w:tcPr>
          <w:p w:rsidR="00DE0C47" w:rsidRPr="00D1286C" w:rsidRDefault="00DE0C47" w:rsidP="00CA473A">
            <w:pPr>
              <w:suppressAutoHyphens w:val="0"/>
              <w:spacing w:before="40" w:after="40" w:line="220" w:lineRule="atLeast"/>
              <w:jc w:val="right"/>
              <w:rPr>
                <w:b/>
                <w:sz w:val="18"/>
              </w:rPr>
            </w:pPr>
            <w:r w:rsidRPr="00D1286C">
              <w:rPr>
                <w:b/>
                <w:sz w:val="18"/>
              </w:rPr>
              <w:t>760</w:t>
            </w:r>
          </w:p>
        </w:tc>
        <w:tc>
          <w:tcPr>
            <w:tcW w:w="729" w:type="dxa"/>
            <w:tcBorders>
              <w:top w:val="single" w:sz="4" w:space="0" w:color="auto"/>
            </w:tcBorders>
            <w:shd w:val="clear" w:color="auto" w:fill="auto"/>
            <w:vAlign w:val="bottom"/>
          </w:tcPr>
          <w:p w:rsidR="00DE0C47" w:rsidRPr="00D1286C" w:rsidRDefault="00DE0C47" w:rsidP="00CA473A">
            <w:pPr>
              <w:suppressAutoHyphens w:val="0"/>
              <w:spacing w:before="40" w:after="40" w:line="220" w:lineRule="atLeast"/>
              <w:jc w:val="right"/>
              <w:rPr>
                <w:sz w:val="18"/>
              </w:rPr>
            </w:pPr>
            <w:r w:rsidRPr="00D1286C">
              <w:rPr>
                <w:sz w:val="18"/>
              </w:rPr>
              <w:t>528</w:t>
            </w:r>
          </w:p>
        </w:tc>
        <w:tc>
          <w:tcPr>
            <w:tcW w:w="729" w:type="dxa"/>
            <w:tcBorders>
              <w:top w:val="single" w:sz="4" w:space="0" w:color="auto"/>
            </w:tcBorders>
            <w:shd w:val="clear" w:color="auto" w:fill="auto"/>
            <w:vAlign w:val="bottom"/>
          </w:tcPr>
          <w:p w:rsidR="00DE0C47" w:rsidRPr="00D1286C" w:rsidRDefault="00DE0C47" w:rsidP="00CA473A">
            <w:pPr>
              <w:suppressAutoHyphens w:val="0"/>
              <w:spacing w:before="40" w:after="40" w:line="220" w:lineRule="atLeast"/>
              <w:jc w:val="right"/>
              <w:rPr>
                <w:sz w:val="18"/>
              </w:rPr>
            </w:pPr>
            <w:r w:rsidRPr="00D1286C">
              <w:rPr>
                <w:sz w:val="18"/>
              </w:rPr>
              <w:t>557</w:t>
            </w:r>
          </w:p>
        </w:tc>
        <w:tc>
          <w:tcPr>
            <w:tcW w:w="729" w:type="dxa"/>
            <w:tcBorders>
              <w:top w:val="single" w:sz="4" w:space="0" w:color="auto"/>
            </w:tcBorders>
            <w:shd w:val="clear" w:color="auto" w:fill="auto"/>
            <w:vAlign w:val="bottom"/>
          </w:tcPr>
          <w:p w:rsidR="00DE0C47" w:rsidRPr="00D1286C" w:rsidRDefault="00DE0C47" w:rsidP="00CA473A">
            <w:pPr>
              <w:suppressAutoHyphens w:val="0"/>
              <w:spacing w:before="40" w:after="40" w:line="220" w:lineRule="atLeast"/>
              <w:jc w:val="right"/>
              <w:rPr>
                <w:sz w:val="18"/>
              </w:rPr>
            </w:pPr>
            <w:r w:rsidRPr="00D1286C">
              <w:rPr>
                <w:sz w:val="18"/>
              </w:rPr>
              <w:t>283</w:t>
            </w:r>
          </w:p>
        </w:tc>
        <w:tc>
          <w:tcPr>
            <w:tcW w:w="729" w:type="dxa"/>
            <w:tcBorders>
              <w:top w:val="single" w:sz="4" w:space="0" w:color="auto"/>
            </w:tcBorders>
            <w:shd w:val="clear" w:color="auto" w:fill="auto"/>
            <w:vAlign w:val="bottom"/>
          </w:tcPr>
          <w:p w:rsidR="00DE0C47" w:rsidRPr="00D1286C" w:rsidRDefault="00DE0C47" w:rsidP="00CA473A">
            <w:pPr>
              <w:suppressAutoHyphens w:val="0"/>
              <w:spacing w:before="40" w:after="40" w:line="220" w:lineRule="atLeast"/>
              <w:jc w:val="right"/>
              <w:rPr>
                <w:sz w:val="18"/>
              </w:rPr>
            </w:pPr>
            <w:r w:rsidRPr="00D1286C">
              <w:rPr>
                <w:sz w:val="18"/>
              </w:rPr>
              <w:t>292</w:t>
            </w:r>
          </w:p>
        </w:tc>
      </w:tr>
      <w:tr w:rsidR="00DE0C47" w:rsidRPr="00D1286C" w:rsidTr="00CA473A">
        <w:tc>
          <w:tcPr>
            <w:tcW w:w="2673" w:type="dxa"/>
            <w:shd w:val="clear" w:color="auto" w:fill="auto"/>
            <w:vAlign w:val="bottom"/>
          </w:tcPr>
          <w:p w:rsidR="00DE0C47" w:rsidRPr="00D1286C" w:rsidRDefault="00DE0C47" w:rsidP="00CA473A">
            <w:pPr>
              <w:suppressAutoHyphens w:val="0"/>
              <w:spacing w:before="40" w:after="40" w:line="220" w:lineRule="atLeast"/>
              <w:rPr>
                <w:sz w:val="18"/>
              </w:rPr>
            </w:pPr>
            <w:r w:rsidRPr="00D1286C">
              <w:rPr>
                <w:sz w:val="18"/>
              </w:rPr>
              <w:t>Femmes</w:t>
            </w:r>
          </w:p>
        </w:tc>
        <w:tc>
          <w:tcPr>
            <w:tcW w:w="729" w:type="dxa"/>
            <w:shd w:val="clear" w:color="auto" w:fill="auto"/>
            <w:vAlign w:val="bottom"/>
          </w:tcPr>
          <w:p w:rsidR="00DE0C47" w:rsidRPr="00D1286C" w:rsidRDefault="00DE0C47" w:rsidP="00CA473A">
            <w:pPr>
              <w:suppressAutoHyphens w:val="0"/>
              <w:spacing w:before="40" w:after="40" w:line="220" w:lineRule="atLeast"/>
              <w:jc w:val="right"/>
              <w:rPr>
                <w:sz w:val="18"/>
              </w:rPr>
            </w:pPr>
            <w:r w:rsidRPr="00D1286C">
              <w:rPr>
                <w:sz w:val="18"/>
              </w:rPr>
              <w:t>1 410</w:t>
            </w:r>
          </w:p>
        </w:tc>
        <w:tc>
          <w:tcPr>
            <w:tcW w:w="729" w:type="dxa"/>
            <w:shd w:val="clear" w:color="auto" w:fill="auto"/>
            <w:vAlign w:val="bottom"/>
          </w:tcPr>
          <w:p w:rsidR="00DE0C47" w:rsidRPr="00D1286C" w:rsidRDefault="00DE0C47" w:rsidP="00CA473A">
            <w:pPr>
              <w:suppressAutoHyphens w:val="0"/>
              <w:spacing w:before="40" w:after="40" w:line="220" w:lineRule="atLeast"/>
              <w:jc w:val="right"/>
              <w:rPr>
                <w:sz w:val="18"/>
              </w:rPr>
            </w:pPr>
            <w:r w:rsidRPr="00D1286C">
              <w:rPr>
                <w:sz w:val="18"/>
              </w:rPr>
              <w:t>1 408</w:t>
            </w:r>
          </w:p>
        </w:tc>
        <w:tc>
          <w:tcPr>
            <w:tcW w:w="729" w:type="dxa"/>
            <w:shd w:val="clear" w:color="auto" w:fill="auto"/>
            <w:vAlign w:val="bottom"/>
          </w:tcPr>
          <w:p w:rsidR="00DE0C47" w:rsidRPr="00D1286C" w:rsidRDefault="00DE0C47" w:rsidP="00CA473A">
            <w:pPr>
              <w:suppressAutoHyphens w:val="0"/>
              <w:spacing w:before="40" w:after="40" w:line="220" w:lineRule="atLeast"/>
              <w:jc w:val="right"/>
              <w:rPr>
                <w:b/>
                <w:sz w:val="18"/>
              </w:rPr>
            </w:pPr>
            <w:r w:rsidRPr="00D1286C">
              <w:rPr>
                <w:b/>
                <w:sz w:val="18"/>
              </w:rPr>
              <w:t>434</w:t>
            </w:r>
          </w:p>
        </w:tc>
        <w:tc>
          <w:tcPr>
            <w:tcW w:w="729" w:type="dxa"/>
            <w:shd w:val="clear" w:color="auto" w:fill="auto"/>
            <w:vAlign w:val="bottom"/>
          </w:tcPr>
          <w:p w:rsidR="00DE0C47" w:rsidRPr="00D1286C" w:rsidRDefault="00DE0C47" w:rsidP="00CA473A">
            <w:pPr>
              <w:suppressAutoHyphens w:val="0"/>
              <w:spacing w:before="40" w:after="40" w:line="220" w:lineRule="atLeast"/>
              <w:jc w:val="right"/>
              <w:rPr>
                <w:b/>
                <w:sz w:val="18"/>
              </w:rPr>
            </w:pPr>
            <w:r w:rsidRPr="00D1286C">
              <w:rPr>
                <w:b/>
                <w:sz w:val="18"/>
              </w:rPr>
              <w:t>436</w:t>
            </w:r>
          </w:p>
        </w:tc>
        <w:tc>
          <w:tcPr>
            <w:tcW w:w="729" w:type="dxa"/>
            <w:shd w:val="clear" w:color="auto" w:fill="auto"/>
            <w:vAlign w:val="bottom"/>
          </w:tcPr>
          <w:p w:rsidR="00DE0C47" w:rsidRPr="00D1286C" w:rsidRDefault="00DE0C47" w:rsidP="00CA473A">
            <w:pPr>
              <w:suppressAutoHyphens w:val="0"/>
              <w:spacing w:before="40" w:after="40" w:line="220" w:lineRule="atLeast"/>
              <w:jc w:val="right"/>
              <w:rPr>
                <w:sz w:val="18"/>
              </w:rPr>
            </w:pPr>
            <w:r w:rsidRPr="00D1286C">
              <w:rPr>
                <w:sz w:val="18"/>
              </w:rPr>
              <w:t>283</w:t>
            </w:r>
          </w:p>
        </w:tc>
        <w:tc>
          <w:tcPr>
            <w:tcW w:w="729" w:type="dxa"/>
            <w:shd w:val="clear" w:color="auto" w:fill="auto"/>
            <w:vAlign w:val="bottom"/>
          </w:tcPr>
          <w:p w:rsidR="00DE0C47" w:rsidRPr="00D1286C" w:rsidRDefault="00DE0C47" w:rsidP="00CA473A">
            <w:pPr>
              <w:suppressAutoHyphens w:val="0"/>
              <w:spacing w:before="40" w:after="40" w:line="220" w:lineRule="atLeast"/>
              <w:jc w:val="right"/>
              <w:rPr>
                <w:sz w:val="18"/>
              </w:rPr>
            </w:pPr>
            <w:r w:rsidRPr="00D1286C">
              <w:rPr>
                <w:sz w:val="18"/>
              </w:rPr>
              <w:t>292</w:t>
            </w:r>
          </w:p>
        </w:tc>
        <w:tc>
          <w:tcPr>
            <w:tcW w:w="729" w:type="dxa"/>
            <w:shd w:val="clear" w:color="auto" w:fill="auto"/>
            <w:vAlign w:val="bottom"/>
          </w:tcPr>
          <w:p w:rsidR="00DE0C47" w:rsidRPr="00D1286C" w:rsidRDefault="00DE0C47" w:rsidP="00CA473A">
            <w:pPr>
              <w:suppressAutoHyphens w:val="0"/>
              <w:spacing w:before="40" w:after="40" w:line="220" w:lineRule="atLeast"/>
              <w:jc w:val="right"/>
              <w:rPr>
                <w:sz w:val="18"/>
              </w:rPr>
            </w:pPr>
            <w:r w:rsidRPr="00D1286C">
              <w:rPr>
                <w:sz w:val="18"/>
              </w:rPr>
              <w:t>151</w:t>
            </w:r>
          </w:p>
        </w:tc>
        <w:tc>
          <w:tcPr>
            <w:tcW w:w="729" w:type="dxa"/>
            <w:shd w:val="clear" w:color="auto" w:fill="auto"/>
            <w:vAlign w:val="bottom"/>
          </w:tcPr>
          <w:p w:rsidR="00DE0C47" w:rsidRPr="00D1286C" w:rsidRDefault="00DE0C47" w:rsidP="00CA473A">
            <w:pPr>
              <w:suppressAutoHyphens w:val="0"/>
              <w:spacing w:before="40" w:after="40" w:line="220" w:lineRule="atLeast"/>
              <w:jc w:val="right"/>
              <w:rPr>
                <w:sz w:val="18"/>
              </w:rPr>
            </w:pPr>
            <w:r w:rsidRPr="00D1286C">
              <w:rPr>
                <w:sz w:val="18"/>
              </w:rPr>
              <w:t>144</w:t>
            </w:r>
          </w:p>
        </w:tc>
      </w:tr>
      <w:tr w:rsidR="00DE0C47" w:rsidRPr="00D1286C" w:rsidTr="00CA473A">
        <w:tc>
          <w:tcPr>
            <w:tcW w:w="2673" w:type="dxa"/>
            <w:tcBorders>
              <w:bottom w:val="single" w:sz="12" w:space="0" w:color="auto"/>
            </w:tcBorders>
            <w:shd w:val="clear" w:color="auto" w:fill="auto"/>
            <w:vAlign w:val="bottom"/>
          </w:tcPr>
          <w:p w:rsidR="00DE0C47" w:rsidRPr="00D1286C" w:rsidRDefault="00DE0C47" w:rsidP="00CA473A">
            <w:pPr>
              <w:suppressAutoHyphens w:val="0"/>
              <w:spacing w:before="40" w:after="40" w:line="220" w:lineRule="atLeast"/>
              <w:rPr>
                <w:sz w:val="18"/>
                <w:lang w:val="fr-FR"/>
              </w:rPr>
            </w:pPr>
            <w:r w:rsidRPr="00D1286C">
              <w:rPr>
                <w:sz w:val="18"/>
                <w:lang w:val="fr-FR"/>
              </w:rPr>
              <w:t xml:space="preserve">Part de la population active </w:t>
            </w:r>
            <w:r>
              <w:rPr>
                <w:sz w:val="18"/>
                <w:lang w:val="fr-FR"/>
              </w:rPr>
              <w:t xml:space="preserve">dans </w:t>
            </w:r>
            <w:r w:rsidRPr="00D1286C">
              <w:rPr>
                <w:sz w:val="18"/>
                <w:lang w:val="fr-FR"/>
              </w:rPr>
              <w:t>l</w:t>
            </w:r>
            <w:r w:rsidR="00CA473A">
              <w:rPr>
                <w:sz w:val="18"/>
                <w:lang w:val="fr-FR"/>
              </w:rPr>
              <w:t>’</w:t>
            </w:r>
            <w:r w:rsidRPr="00D1286C">
              <w:rPr>
                <w:sz w:val="18"/>
                <w:lang w:val="fr-FR"/>
              </w:rPr>
              <w:t>ensemble de la population</w:t>
            </w:r>
            <w:r>
              <w:rPr>
                <w:sz w:val="18"/>
                <w:lang w:val="fr-FR"/>
              </w:rPr>
              <w:t>,</w:t>
            </w:r>
            <w:r w:rsidRPr="00D1286C">
              <w:rPr>
                <w:sz w:val="18"/>
                <w:lang w:val="fr-FR"/>
              </w:rPr>
              <w:t xml:space="preserve"> en pourcentage (%)</w:t>
            </w:r>
          </w:p>
        </w:tc>
        <w:tc>
          <w:tcPr>
            <w:tcW w:w="729" w:type="dxa"/>
            <w:tcBorders>
              <w:bottom w:val="single" w:sz="12" w:space="0" w:color="auto"/>
            </w:tcBorders>
            <w:shd w:val="clear" w:color="auto" w:fill="auto"/>
            <w:vAlign w:val="bottom"/>
          </w:tcPr>
          <w:p w:rsidR="00DE0C47" w:rsidRPr="00D1286C" w:rsidRDefault="00DE0C47" w:rsidP="00CA473A">
            <w:pPr>
              <w:suppressAutoHyphens w:val="0"/>
              <w:spacing w:before="40" w:after="40" w:line="220" w:lineRule="atLeast"/>
              <w:jc w:val="right"/>
              <w:rPr>
                <w:sz w:val="18"/>
                <w:lang w:val="fr-FR"/>
              </w:rPr>
            </w:pPr>
          </w:p>
        </w:tc>
        <w:tc>
          <w:tcPr>
            <w:tcW w:w="729" w:type="dxa"/>
            <w:tcBorders>
              <w:bottom w:val="single" w:sz="12" w:space="0" w:color="auto"/>
            </w:tcBorders>
            <w:shd w:val="clear" w:color="auto" w:fill="auto"/>
            <w:vAlign w:val="bottom"/>
          </w:tcPr>
          <w:p w:rsidR="00DE0C47" w:rsidRPr="00D1286C" w:rsidRDefault="00DE0C47" w:rsidP="00CA473A">
            <w:pPr>
              <w:suppressAutoHyphens w:val="0"/>
              <w:spacing w:before="40" w:after="40" w:line="220" w:lineRule="atLeast"/>
              <w:jc w:val="right"/>
              <w:rPr>
                <w:sz w:val="18"/>
                <w:lang w:val="fr-FR"/>
              </w:rPr>
            </w:pPr>
          </w:p>
        </w:tc>
        <w:tc>
          <w:tcPr>
            <w:tcW w:w="729" w:type="dxa"/>
            <w:tcBorders>
              <w:bottom w:val="single" w:sz="12" w:space="0" w:color="auto"/>
            </w:tcBorders>
            <w:shd w:val="clear" w:color="auto" w:fill="auto"/>
            <w:vAlign w:val="bottom"/>
          </w:tcPr>
          <w:p w:rsidR="00DE0C47" w:rsidRPr="00D1286C" w:rsidRDefault="00DE0C47" w:rsidP="00CA473A">
            <w:pPr>
              <w:suppressAutoHyphens w:val="0"/>
              <w:spacing w:before="40" w:after="40" w:line="220" w:lineRule="atLeast"/>
              <w:jc w:val="right"/>
              <w:rPr>
                <w:b/>
                <w:sz w:val="18"/>
              </w:rPr>
            </w:pPr>
            <w:r>
              <w:rPr>
                <w:b/>
                <w:sz w:val="18"/>
              </w:rPr>
              <w:t>66,</w:t>
            </w:r>
            <w:r w:rsidRPr="00D1286C">
              <w:rPr>
                <w:b/>
                <w:sz w:val="18"/>
              </w:rPr>
              <w:t>5</w:t>
            </w:r>
          </w:p>
        </w:tc>
        <w:tc>
          <w:tcPr>
            <w:tcW w:w="729" w:type="dxa"/>
            <w:tcBorders>
              <w:bottom w:val="single" w:sz="12" w:space="0" w:color="auto"/>
            </w:tcBorders>
            <w:shd w:val="clear" w:color="auto" w:fill="auto"/>
            <w:vAlign w:val="bottom"/>
          </w:tcPr>
          <w:p w:rsidR="00DE0C47" w:rsidRPr="00D1286C" w:rsidRDefault="00DE0C47" w:rsidP="00CA473A">
            <w:pPr>
              <w:suppressAutoHyphens w:val="0"/>
              <w:spacing w:before="40" w:after="40" w:line="220" w:lineRule="atLeast"/>
              <w:jc w:val="right"/>
              <w:rPr>
                <w:b/>
                <w:sz w:val="18"/>
              </w:rPr>
            </w:pPr>
            <w:r w:rsidRPr="00D1286C">
              <w:rPr>
                <w:b/>
                <w:sz w:val="18"/>
              </w:rPr>
              <w:t>67</w:t>
            </w:r>
            <w:r>
              <w:rPr>
                <w:b/>
                <w:sz w:val="18"/>
              </w:rPr>
              <w:t>,</w:t>
            </w:r>
            <w:r w:rsidRPr="00D1286C">
              <w:rPr>
                <w:b/>
                <w:sz w:val="18"/>
              </w:rPr>
              <w:t>4</w:t>
            </w:r>
          </w:p>
        </w:tc>
        <w:tc>
          <w:tcPr>
            <w:tcW w:w="729" w:type="dxa"/>
            <w:tcBorders>
              <w:bottom w:val="single" w:sz="12" w:space="0" w:color="auto"/>
            </w:tcBorders>
            <w:shd w:val="clear" w:color="auto" w:fill="auto"/>
            <w:vAlign w:val="bottom"/>
          </w:tcPr>
          <w:p w:rsidR="00DE0C47" w:rsidRPr="00D1286C" w:rsidRDefault="00DE0C47" w:rsidP="00CA473A">
            <w:pPr>
              <w:suppressAutoHyphens w:val="0"/>
              <w:spacing w:before="40" w:after="40" w:line="220" w:lineRule="atLeast"/>
              <w:jc w:val="right"/>
              <w:rPr>
                <w:sz w:val="18"/>
              </w:rPr>
            </w:pPr>
            <w:r w:rsidRPr="00D1286C">
              <w:rPr>
                <w:sz w:val="18"/>
              </w:rPr>
              <w:t>67</w:t>
            </w:r>
            <w:r>
              <w:rPr>
                <w:sz w:val="18"/>
              </w:rPr>
              <w:t>,</w:t>
            </w:r>
            <w:r w:rsidRPr="00D1286C">
              <w:rPr>
                <w:sz w:val="18"/>
              </w:rPr>
              <w:t>4</w:t>
            </w:r>
          </w:p>
        </w:tc>
        <w:tc>
          <w:tcPr>
            <w:tcW w:w="729" w:type="dxa"/>
            <w:tcBorders>
              <w:bottom w:val="single" w:sz="12" w:space="0" w:color="auto"/>
            </w:tcBorders>
            <w:shd w:val="clear" w:color="auto" w:fill="auto"/>
            <w:vAlign w:val="bottom"/>
          </w:tcPr>
          <w:p w:rsidR="00DE0C47" w:rsidRPr="00D1286C" w:rsidRDefault="00DE0C47" w:rsidP="00CA473A">
            <w:pPr>
              <w:suppressAutoHyphens w:val="0"/>
              <w:spacing w:before="40" w:after="40" w:line="220" w:lineRule="atLeast"/>
              <w:jc w:val="right"/>
              <w:rPr>
                <w:sz w:val="18"/>
              </w:rPr>
            </w:pPr>
            <w:r w:rsidRPr="00D1286C">
              <w:rPr>
                <w:sz w:val="18"/>
              </w:rPr>
              <w:t>68</w:t>
            </w:r>
            <w:r>
              <w:rPr>
                <w:sz w:val="18"/>
              </w:rPr>
              <w:t>,</w:t>
            </w:r>
            <w:r w:rsidRPr="00D1286C">
              <w:rPr>
                <w:sz w:val="18"/>
              </w:rPr>
              <w:t>6</w:t>
            </w:r>
          </w:p>
        </w:tc>
        <w:tc>
          <w:tcPr>
            <w:tcW w:w="729" w:type="dxa"/>
            <w:tcBorders>
              <w:bottom w:val="single" w:sz="12" w:space="0" w:color="auto"/>
            </w:tcBorders>
            <w:shd w:val="clear" w:color="auto" w:fill="auto"/>
            <w:vAlign w:val="bottom"/>
          </w:tcPr>
          <w:p w:rsidR="00DE0C47" w:rsidRPr="00D1286C" w:rsidRDefault="00DE0C47" w:rsidP="00CA473A">
            <w:pPr>
              <w:suppressAutoHyphens w:val="0"/>
              <w:spacing w:before="40" w:after="40" w:line="220" w:lineRule="atLeast"/>
              <w:jc w:val="right"/>
              <w:rPr>
                <w:sz w:val="18"/>
              </w:rPr>
            </w:pPr>
            <w:r w:rsidRPr="00D1286C">
              <w:rPr>
                <w:sz w:val="18"/>
              </w:rPr>
              <w:t>65</w:t>
            </w:r>
            <w:r>
              <w:rPr>
                <w:sz w:val="18"/>
              </w:rPr>
              <w:t>,</w:t>
            </w:r>
            <w:r w:rsidRPr="00D1286C">
              <w:rPr>
                <w:sz w:val="18"/>
              </w:rPr>
              <w:t>7</w:t>
            </w:r>
          </w:p>
        </w:tc>
        <w:tc>
          <w:tcPr>
            <w:tcW w:w="729" w:type="dxa"/>
            <w:tcBorders>
              <w:bottom w:val="single" w:sz="12" w:space="0" w:color="auto"/>
            </w:tcBorders>
            <w:shd w:val="clear" w:color="auto" w:fill="auto"/>
            <w:vAlign w:val="bottom"/>
          </w:tcPr>
          <w:p w:rsidR="00DE0C47" w:rsidRPr="00D1286C" w:rsidRDefault="00DE0C47" w:rsidP="00CA473A">
            <w:pPr>
              <w:suppressAutoHyphens w:val="0"/>
              <w:spacing w:before="40" w:after="40" w:line="220" w:lineRule="atLeast"/>
              <w:jc w:val="right"/>
              <w:rPr>
                <w:sz w:val="18"/>
              </w:rPr>
            </w:pPr>
            <w:r w:rsidRPr="00D1286C">
              <w:rPr>
                <w:sz w:val="18"/>
              </w:rPr>
              <w:t>66</w:t>
            </w:r>
            <w:r>
              <w:rPr>
                <w:sz w:val="18"/>
              </w:rPr>
              <w:t>,</w:t>
            </w:r>
            <w:r w:rsidRPr="00D1286C">
              <w:rPr>
                <w:sz w:val="18"/>
              </w:rPr>
              <w:t>2</w:t>
            </w:r>
          </w:p>
        </w:tc>
      </w:tr>
    </w:tbl>
    <w:p w:rsidR="00DE0C47" w:rsidRPr="001804A5" w:rsidRDefault="00DE0C47" w:rsidP="00DE0C47">
      <w:pPr>
        <w:pStyle w:val="Heading1"/>
        <w:spacing w:before="240" w:after="120"/>
        <w:rPr>
          <w:b/>
        </w:rPr>
      </w:pPr>
      <w:r w:rsidRPr="00D1286C">
        <w:t>Tableau 12</w:t>
      </w:r>
      <w:r>
        <w:br/>
      </w:r>
      <w:r w:rsidRPr="001804A5">
        <w:rPr>
          <w:b/>
        </w:rPr>
        <w:t>Situation sur le marché du travail en Bosnie-Herzégovine (au 31 décembre 2009)</w:t>
      </w:r>
    </w:p>
    <w:tbl>
      <w:tblPr>
        <w:tblW w:w="7371" w:type="dxa"/>
        <w:tblInd w:w="1134" w:type="dxa"/>
        <w:tblLayout w:type="fixed"/>
        <w:tblCellMar>
          <w:left w:w="0" w:type="dxa"/>
          <w:right w:w="0" w:type="dxa"/>
        </w:tblCellMar>
        <w:tblLook w:val="01E0" w:firstRow="1" w:lastRow="1" w:firstColumn="1" w:lastColumn="1" w:noHBand="0" w:noVBand="0"/>
      </w:tblPr>
      <w:tblGrid>
        <w:gridCol w:w="3595"/>
        <w:gridCol w:w="3776"/>
      </w:tblGrid>
      <w:tr w:rsidR="00DE0C47" w:rsidRPr="001804A5" w:rsidTr="00CA473A">
        <w:tc>
          <w:tcPr>
            <w:tcW w:w="5630" w:type="dxa"/>
            <w:gridSpan w:val="2"/>
            <w:tcBorders>
              <w:top w:val="single" w:sz="4" w:space="0" w:color="auto"/>
              <w:bottom w:val="single" w:sz="12" w:space="0" w:color="auto"/>
            </w:tcBorders>
            <w:shd w:val="clear" w:color="auto" w:fill="auto"/>
            <w:vAlign w:val="bottom"/>
          </w:tcPr>
          <w:p w:rsidR="00DE0C47" w:rsidRPr="001804A5" w:rsidRDefault="00DE0C47" w:rsidP="00CA473A">
            <w:pPr>
              <w:spacing w:before="80" w:after="80" w:line="200" w:lineRule="exact"/>
              <w:ind w:right="113"/>
              <w:rPr>
                <w:sz w:val="16"/>
                <w:szCs w:val="16"/>
                <w:lang w:val="fr-FR"/>
              </w:rPr>
            </w:pPr>
            <w:r w:rsidRPr="001804A5">
              <w:rPr>
                <w:i/>
                <w:sz w:val="16"/>
                <w:szCs w:val="16"/>
                <w:lang w:val="fr-FR"/>
              </w:rPr>
              <w:t>Emplois déclarés, chômeurs et taux de chômage d</w:t>
            </w:r>
            <w:r w:rsidR="00CA473A">
              <w:rPr>
                <w:i/>
                <w:sz w:val="16"/>
                <w:szCs w:val="16"/>
                <w:lang w:val="fr-FR"/>
              </w:rPr>
              <w:t>’</w:t>
            </w:r>
            <w:r w:rsidRPr="001804A5">
              <w:rPr>
                <w:i/>
                <w:sz w:val="16"/>
                <w:szCs w:val="16"/>
                <w:lang w:val="fr-FR"/>
              </w:rPr>
              <w:t>après les données de l</w:t>
            </w:r>
            <w:r w:rsidR="00CA473A">
              <w:rPr>
                <w:i/>
                <w:sz w:val="16"/>
                <w:szCs w:val="16"/>
                <w:lang w:val="fr-FR"/>
              </w:rPr>
              <w:t>’</w:t>
            </w:r>
            <w:r w:rsidRPr="001804A5">
              <w:rPr>
                <w:i/>
                <w:sz w:val="16"/>
                <w:szCs w:val="16"/>
                <w:lang w:val="fr-FR"/>
              </w:rPr>
              <w:t>Agence de statistique</w:t>
            </w:r>
            <w:r>
              <w:rPr>
                <w:i/>
                <w:sz w:val="16"/>
                <w:szCs w:val="16"/>
                <w:lang w:val="fr-FR"/>
              </w:rPr>
              <w:br/>
            </w:r>
            <w:r w:rsidRPr="001804A5">
              <w:rPr>
                <w:i/>
                <w:sz w:val="16"/>
                <w:szCs w:val="16"/>
                <w:lang w:val="fr-FR"/>
              </w:rPr>
              <w:t>de Bosnie-Herzégovine, novembre 2009</w:t>
            </w:r>
            <w:r w:rsidRPr="00414DAF">
              <w:rPr>
                <w:rStyle w:val="FootnoteReference"/>
                <w:szCs w:val="16"/>
              </w:rPr>
              <w:footnoteReference w:id="11"/>
            </w:r>
          </w:p>
        </w:tc>
      </w:tr>
      <w:tr w:rsidR="00DE0C47" w:rsidRPr="00D1286C" w:rsidTr="00CA473A">
        <w:tc>
          <w:tcPr>
            <w:tcW w:w="5630" w:type="dxa"/>
            <w:tcBorders>
              <w:top w:val="single" w:sz="12" w:space="0" w:color="auto"/>
            </w:tcBorders>
            <w:shd w:val="clear" w:color="auto" w:fill="auto"/>
            <w:vAlign w:val="bottom"/>
          </w:tcPr>
          <w:p w:rsidR="00DE0C47" w:rsidRPr="00D1286C" w:rsidRDefault="00DE0C47" w:rsidP="00CA473A">
            <w:pPr>
              <w:spacing w:before="80" w:after="80" w:line="220" w:lineRule="atLeast"/>
              <w:rPr>
                <w:i/>
                <w:sz w:val="16"/>
              </w:rPr>
            </w:pPr>
            <w:r w:rsidRPr="00D1286C">
              <w:rPr>
                <w:sz w:val="18"/>
              </w:rPr>
              <w:t>Actifs occupés recensés</w:t>
            </w:r>
          </w:p>
        </w:tc>
        <w:tc>
          <w:tcPr>
            <w:tcW w:w="5915" w:type="dxa"/>
            <w:tcBorders>
              <w:top w:val="single" w:sz="12" w:space="0" w:color="auto"/>
            </w:tcBorders>
            <w:shd w:val="clear" w:color="auto" w:fill="auto"/>
            <w:vAlign w:val="bottom"/>
          </w:tcPr>
          <w:p w:rsidR="00DE0C47" w:rsidRPr="00D1286C" w:rsidRDefault="00DE0C47" w:rsidP="00CA473A">
            <w:pPr>
              <w:spacing w:before="80" w:after="80" w:line="220" w:lineRule="atLeast"/>
              <w:jc w:val="right"/>
              <w:rPr>
                <w:i/>
                <w:sz w:val="18"/>
                <w:szCs w:val="18"/>
              </w:rPr>
            </w:pPr>
            <w:r w:rsidRPr="00D1286C">
              <w:rPr>
                <w:sz w:val="18"/>
                <w:szCs w:val="18"/>
              </w:rPr>
              <w:t>687 309</w:t>
            </w:r>
          </w:p>
        </w:tc>
      </w:tr>
      <w:tr w:rsidR="00DE0C47" w:rsidRPr="00D1286C" w:rsidTr="00CA473A">
        <w:tc>
          <w:tcPr>
            <w:tcW w:w="5630" w:type="dxa"/>
            <w:shd w:val="clear" w:color="auto" w:fill="auto"/>
            <w:vAlign w:val="bottom"/>
          </w:tcPr>
          <w:p w:rsidR="00DE0C47" w:rsidRPr="00D1286C" w:rsidRDefault="00DE0C47" w:rsidP="00CA473A">
            <w:pPr>
              <w:suppressAutoHyphens w:val="0"/>
              <w:spacing w:before="40" w:after="40" w:line="220" w:lineRule="atLeast"/>
              <w:rPr>
                <w:sz w:val="18"/>
              </w:rPr>
            </w:pPr>
            <w:r w:rsidRPr="00D1286C">
              <w:rPr>
                <w:sz w:val="18"/>
              </w:rPr>
              <w:t>Chômeurs recensés</w:t>
            </w:r>
          </w:p>
        </w:tc>
        <w:tc>
          <w:tcPr>
            <w:tcW w:w="5915" w:type="dxa"/>
            <w:shd w:val="clear" w:color="auto" w:fill="auto"/>
            <w:vAlign w:val="bottom"/>
          </w:tcPr>
          <w:p w:rsidR="00DE0C47" w:rsidRPr="00D1286C" w:rsidRDefault="00DE0C47" w:rsidP="00CA473A">
            <w:pPr>
              <w:suppressAutoHyphens w:val="0"/>
              <w:spacing w:before="40" w:after="40" w:line="220" w:lineRule="atLeast"/>
              <w:jc w:val="right"/>
              <w:rPr>
                <w:sz w:val="18"/>
                <w:szCs w:val="18"/>
              </w:rPr>
            </w:pPr>
            <w:r w:rsidRPr="00D1286C">
              <w:rPr>
                <w:sz w:val="18"/>
                <w:szCs w:val="18"/>
              </w:rPr>
              <w:t>506 460</w:t>
            </w:r>
          </w:p>
        </w:tc>
      </w:tr>
      <w:tr w:rsidR="00DE0C47" w:rsidRPr="00D1286C" w:rsidTr="00CA473A">
        <w:tc>
          <w:tcPr>
            <w:tcW w:w="5630" w:type="dxa"/>
            <w:shd w:val="clear" w:color="auto" w:fill="auto"/>
            <w:vAlign w:val="bottom"/>
          </w:tcPr>
          <w:p w:rsidR="00DE0C47" w:rsidRPr="00D1286C" w:rsidRDefault="00DE0C47" w:rsidP="00CA473A">
            <w:pPr>
              <w:suppressAutoHyphens w:val="0"/>
              <w:spacing w:before="40" w:after="40" w:line="220" w:lineRule="atLeast"/>
              <w:rPr>
                <w:sz w:val="18"/>
              </w:rPr>
            </w:pPr>
            <w:r w:rsidRPr="00D1286C">
              <w:rPr>
                <w:sz w:val="18"/>
              </w:rPr>
              <w:t>Taux de chômage enregistré</w:t>
            </w:r>
          </w:p>
        </w:tc>
        <w:tc>
          <w:tcPr>
            <w:tcW w:w="5915" w:type="dxa"/>
            <w:shd w:val="clear" w:color="auto" w:fill="auto"/>
            <w:vAlign w:val="bottom"/>
          </w:tcPr>
          <w:p w:rsidR="00DE0C47" w:rsidRPr="00D1286C" w:rsidRDefault="00DE0C47" w:rsidP="00CA473A">
            <w:pPr>
              <w:suppressAutoHyphens w:val="0"/>
              <w:spacing w:before="40" w:after="40" w:line="220" w:lineRule="atLeast"/>
              <w:jc w:val="right"/>
              <w:rPr>
                <w:sz w:val="18"/>
                <w:szCs w:val="18"/>
              </w:rPr>
            </w:pPr>
            <w:r w:rsidRPr="00D1286C">
              <w:rPr>
                <w:sz w:val="18"/>
                <w:szCs w:val="18"/>
              </w:rPr>
              <w:t>42</w:t>
            </w:r>
            <w:r>
              <w:rPr>
                <w:sz w:val="18"/>
                <w:szCs w:val="18"/>
              </w:rPr>
              <w:t>,</w:t>
            </w:r>
            <w:r w:rsidRPr="00D1286C">
              <w:rPr>
                <w:sz w:val="18"/>
                <w:szCs w:val="18"/>
              </w:rPr>
              <w:t>4</w:t>
            </w:r>
            <w:r>
              <w:rPr>
                <w:sz w:val="18"/>
                <w:szCs w:val="18"/>
              </w:rPr>
              <w:t> </w:t>
            </w:r>
            <w:r w:rsidRPr="00D1286C">
              <w:rPr>
                <w:sz w:val="18"/>
                <w:szCs w:val="18"/>
              </w:rPr>
              <w:t>%</w:t>
            </w:r>
          </w:p>
        </w:tc>
      </w:tr>
      <w:tr w:rsidR="00DE0C47" w:rsidRPr="00D1286C" w:rsidTr="00CA473A">
        <w:tc>
          <w:tcPr>
            <w:tcW w:w="5630" w:type="dxa"/>
            <w:tcBorders>
              <w:bottom w:val="single" w:sz="12" w:space="0" w:color="auto"/>
            </w:tcBorders>
            <w:shd w:val="clear" w:color="auto" w:fill="auto"/>
            <w:vAlign w:val="bottom"/>
          </w:tcPr>
          <w:p w:rsidR="00DE0C47" w:rsidRPr="00D1286C" w:rsidRDefault="00DE0C47" w:rsidP="00CA473A">
            <w:pPr>
              <w:suppressAutoHyphens w:val="0"/>
              <w:spacing w:before="40" w:after="40" w:line="220" w:lineRule="atLeast"/>
              <w:rPr>
                <w:sz w:val="18"/>
              </w:rPr>
            </w:pPr>
            <w:r w:rsidRPr="00D1286C">
              <w:rPr>
                <w:sz w:val="18"/>
              </w:rPr>
              <w:t>Taux de chômage en 2009 selon enquête</w:t>
            </w:r>
          </w:p>
        </w:tc>
        <w:tc>
          <w:tcPr>
            <w:tcW w:w="5915" w:type="dxa"/>
            <w:tcBorders>
              <w:bottom w:val="single" w:sz="12" w:space="0" w:color="auto"/>
            </w:tcBorders>
            <w:shd w:val="clear" w:color="auto" w:fill="auto"/>
            <w:vAlign w:val="bottom"/>
          </w:tcPr>
          <w:p w:rsidR="00DE0C47" w:rsidRPr="00D1286C" w:rsidRDefault="00DE0C47" w:rsidP="00CA473A">
            <w:pPr>
              <w:suppressAutoHyphens w:val="0"/>
              <w:spacing w:before="40" w:after="40" w:line="220" w:lineRule="atLeast"/>
              <w:jc w:val="right"/>
              <w:rPr>
                <w:sz w:val="18"/>
                <w:szCs w:val="18"/>
              </w:rPr>
            </w:pPr>
            <w:r w:rsidRPr="00D1286C">
              <w:rPr>
                <w:sz w:val="18"/>
                <w:szCs w:val="18"/>
              </w:rPr>
              <w:t>24</w:t>
            </w:r>
            <w:r>
              <w:rPr>
                <w:sz w:val="18"/>
                <w:szCs w:val="18"/>
              </w:rPr>
              <w:t>,</w:t>
            </w:r>
            <w:r w:rsidRPr="00D1286C">
              <w:rPr>
                <w:sz w:val="18"/>
                <w:szCs w:val="18"/>
              </w:rPr>
              <w:t>1</w:t>
            </w:r>
            <w:r>
              <w:rPr>
                <w:sz w:val="18"/>
                <w:szCs w:val="18"/>
              </w:rPr>
              <w:t> </w:t>
            </w:r>
            <w:r w:rsidRPr="00D1286C">
              <w:rPr>
                <w:sz w:val="18"/>
                <w:szCs w:val="18"/>
              </w:rPr>
              <w:t>%</w:t>
            </w:r>
          </w:p>
        </w:tc>
      </w:tr>
    </w:tbl>
    <w:p w:rsidR="00DE0C47" w:rsidRPr="001804A5" w:rsidRDefault="00DE0C47" w:rsidP="00DE0C47">
      <w:pPr>
        <w:pStyle w:val="Heading1"/>
        <w:spacing w:before="240" w:after="120"/>
        <w:rPr>
          <w:b/>
        </w:rPr>
      </w:pPr>
      <w:r w:rsidRPr="00D1286C">
        <w:t>Tableau 13</w:t>
      </w:r>
      <w:r>
        <w:br/>
      </w:r>
      <w:r w:rsidRPr="001804A5">
        <w:rPr>
          <w:b/>
        </w:rPr>
        <w:t>Actifs occupés</w:t>
      </w:r>
      <w:r w:rsidR="00E444F6">
        <w:rPr>
          <w:b/>
        </w:rPr>
        <w:t xml:space="preserve"> </w:t>
      </w:r>
      <w:r w:rsidRPr="001804A5">
        <w:rPr>
          <w:b/>
        </w:rPr>
        <w:t>et chômeurs déclarés en Bosnie-Herzégovine</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6"/>
        <w:gridCol w:w="850"/>
        <w:gridCol w:w="851"/>
        <w:gridCol w:w="851"/>
        <w:gridCol w:w="851"/>
        <w:gridCol w:w="851"/>
        <w:gridCol w:w="851"/>
      </w:tblGrid>
      <w:tr w:rsidR="00DE0C47" w:rsidRPr="00D1286C" w:rsidTr="00CA473A">
        <w:trPr>
          <w:tblHeader/>
        </w:trPr>
        <w:tc>
          <w:tcPr>
            <w:tcW w:w="2268" w:type="dxa"/>
            <w:vMerge w:val="restart"/>
            <w:tcBorders>
              <w:top w:val="single" w:sz="4" w:space="0" w:color="auto"/>
              <w:bottom w:val="single" w:sz="12" w:space="0" w:color="auto"/>
            </w:tcBorders>
            <w:shd w:val="clear" w:color="auto" w:fill="auto"/>
            <w:vAlign w:val="bottom"/>
          </w:tcPr>
          <w:p w:rsidR="00DE0C47" w:rsidRPr="00D1286C" w:rsidRDefault="00DE0C47" w:rsidP="00CA473A">
            <w:pPr>
              <w:keepNext/>
              <w:keepLines/>
              <w:suppressAutoHyphens w:val="0"/>
              <w:spacing w:before="80" w:after="80" w:line="200" w:lineRule="exact"/>
              <w:rPr>
                <w:i/>
                <w:sz w:val="16"/>
              </w:rPr>
            </w:pPr>
          </w:p>
        </w:tc>
        <w:tc>
          <w:tcPr>
            <w:tcW w:w="851" w:type="dxa"/>
            <w:gridSpan w:val="2"/>
            <w:tcBorders>
              <w:top w:val="single" w:sz="4" w:space="0" w:color="auto"/>
              <w:bottom w:val="single" w:sz="4" w:space="0" w:color="auto"/>
              <w:right w:val="single" w:sz="24" w:space="0" w:color="FFFFFF"/>
            </w:tcBorders>
            <w:shd w:val="clear" w:color="auto" w:fill="auto"/>
            <w:vAlign w:val="bottom"/>
          </w:tcPr>
          <w:p w:rsidR="00DE0C47" w:rsidRPr="00D1286C" w:rsidRDefault="00DE0C47" w:rsidP="00CA473A">
            <w:pPr>
              <w:keepNext/>
              <w:keepLines/>
              <w:suppressAutoHyphens w:val="0"/>
              <w:spacing w:before="80" w:after="80" w:line="200" w:lineRule="exact"/>
              <w:jc w:val="center"/>
              <w:rPr>
                <w:i/>
                <w:sz w:val="16"/>
              </w:rPr>
            </w:pPr>
            <w:r w:rsidRPr="00D1286C">
              <w:rPr>
                <w:i/>
                <w:sz w:val="16"/>
              </w:rPr>
              <w:t>Nov</w:t>
            </w:r>
            <w:r w:rsidR="00CD73F3">
              <w:rPr>
                <w:i/>
                <w:sz w:val="16"/>
              </w:rPr>
              <w:t xml:space="preserve">embre </w:t>
            </w:r>
            <w:r w:rsidRPr="00D1286C">
              <w:rPr>
                <w:i/>
                <w:sz w:val="16"/>
              </w:rPr>
              <w:t>2009</w:t>
            </w:r>
          </w:p>
        </w:tc>
        <w:tc>
          <w:tcPr>
            <w:tcW w:w="851"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DE0C47" w:rsidRPr="00D1286C" w:rsidRDefault="00DE0C47" w:rsidP="00CA473A">
            <w:pPr>
              <w:keepNext/>
              <w:keepLines/>
              <w:suppressAutoHyphens w:val="0"/>
              <w:spacing w:before="80" w:after="80" w:line="200" w:lineRule="exact"/>
              <w:jc w:val="center"/>
              <w:rPr>
                <w:i/>
                <w:sz w:val="16"/>
              </w:rPr>
            </w:pPr>
            <w:r w:rsidRPr="00D1286C">
              <w:rPr>
                <w:i/>
                <w:sz w:val="16"/>
              </w:rPr>
              <w:t>Oct</w:t>
            </w:r>
            <w:r w:rsidR="00CD73F3">
              <w:rPr>
                <w:i/>
                <w:sz w:val="16"/>
              </w:rPr>
              <w:t>obre</w:t>
            </w:r>
            <w:r w:rsidRPr="00D1286C">
              <w:rPr>
                <w:i/>
                <w:sz w:val="16"/>
              </w:rPr>
              <w:t xml:space="preserve"> 2009</w:t>
            </w:r>
          </w:p>
        </w:tc>
        <w:tc>
          <w:tcPr>
            <w:tcW w:w="851" w:type="dxa"/>
            <w:gridSpan w:val="2"/>
            <w:tcBorders>
              <w:top w:val="single" w:sz="4" w:space="0" w:color="auto"/>
              <w:left w:val="single" w:sz="24" w:space="0" w:color="FFFFFF"/>
              <w:bottom w:val="single" w:sz="4" w:space="0" w:color="auto"/>
            </w:tcBorders>
            <w:shd w:val="clear" w:color="auto" w:fill="auto"/>
            <w:vAlign w:val="bottom"/>
          </w:tcPr>
          <w:p w:rsidR="00DE0C47" w:rsidRPr="00D1286C" w:rsidRDefault="00DE0C47" w:rsidP="00CA473A">
            <w:pPr>
              <w:keepNext/>
              <w:keepLines/>
              <w:suppressAutoHyphens w:val="0"/>
              <w:spacing w:before="80" w:after="80" w:line="200" w:lineRule="exact"/>
              <w:jc w:val="center"/>
              <w:rPr>
                <w:i/>
                <w:sz w:val="16"/>
              </w:rPr>
            </w:pPr>
            <w:r w:rsidRPr="00D1286C">
              <w:rPr>
                <w:i/>
                <w:sz w:val="16"/>
              </w:rPr>
              <w:t>Indices nov</w:t>
            </w:r>
            <w:r w:rsidR="00CD73F3">
              <w:rPr>
                <w:i/>
                <w:sz w:val="16"/>
              </w:rPr>
              <w:t>embre</w:t>
            </w:r>
            <w:r w:rsidRPr="00D1286C">
              <w:rPr>
                <w:i/>
                <w:sz w:val="16"/>
              </w:rPr>
              <w:t xml:space="preserve"> 2009</w:t>
            </w:r>
            <w:r w:rsidRPr="00D1286C">
              <w:rPr>
                <w:i/>
                <w:sz w:val="16"/>
              </w:rPr>
              <w:br/>
              <w:t>oct</w:t>
            </w:r>
            <w:r w:rsidR="00CD73F3">
              <w:rPr>
                <w:i/>
                <w:sz w:val="16"/>
              </w:rPr>
              <w:t>obre</w:t>
            </w:r>
            <w:r w:rsidRPr="00D1286C">
              <w:rPr>
                <w:i/>
                <w:sz w:val="16"/>
              </w:rPr>
              <w:t xml:space="preserve"> 2009</w:t>
            </w:r>
          </w:p>
        </w:tc>
      </w:tr>
      <w:tr w:rsidR="00DE0C47" w:rsidRPr="00D1286C" w:rsidTr="00CA473A">
        <w:trPr>
          <w:tblHeader/>
        </w:trPr>
        <w:tc>
          <w:tcPr>
            <w:tcW w:w="2268" w:type="dxa"/>
            <w:vMerge/>
            <w:tcBorders>
              <w:top w:val="single" w:sz="12" w:space="0" w:color="auto"/>
              <w:bottom w:val="single" w:sz="12" w:space="0" w:color="auto"/>
            </w:tcBorders>
            <w:shd w:val="clear" w:color="auto" w:fill="auto"/>
            <w:vAlign w:val="bottom"/>
          </w:tcPr>
          <w:p w:rsidR="00DE0C47" w:rsidRPr="00D1286C" w:rsidRDefault="00DE0C47" w:rsidP="00CA473A">
            <w:pPr>
              <w:keepNext/>
              <w:keepLines/>
              <w:suppressAutoHyphens w:val="0"/>
              <w:spacing w:before="80" w:after="80" w:line="200" w:lineRule="exact"/>
              <w:rPr>
                <w:sz w:val="18"/>
              </w:rPr>
            </w:pPr>
          </w:p>
        </w:tc>
        <w:tc>
          <w:tcPr>
            <w:tcW w:w="851" w:type="dxa"/>
            <w:tcBorders>
              <w:top w:val="single" w:sz="4" w:space="0" w:color="auto"/>
              <w:bottom w:val="single" w:sz="12" w:space="0" w:color="auto"/>
            </w:tcBorders>
            <w:shd w:val="clear" w:color="auto" w:fill="auto"/>
            <w:vAlign w:val="bottom"/>
          </w:tcPr>
          <w:p w:rsidR="00DE0C47" w:rsidRPr="00D1286C" w:rsidRDefault="00DE0C47" w:rsidP="00CD73F3">
            <w:pPr>
              <w:suppressAutoHyphens w:val="0"/>
              <w:spacing w:before="80" w:after="80" w:line="200" w:lineRule="exact"/>
              <w:jc w:val="right"/>
              <w:rPr>
                <w:b/>
                <w:i/>
                <w:sz w:val="16"/>
                <w:szCs w:val="16"/>
              </w:rPr>
            </w:pPr>
            <w:r w:rsidRPr="00D1286C">
              <w:rPr>
                <w:b/>
                <w:i/>
                <w:sz w:val="16"/>
                <w:szCs w:val="16"/>
              </w:rPr>
              <w:t>Total</w:t>
            </w:r>
          </w:p>
        </w:tc>
        <w:tc>
          <w:tcPr>
            <w:tcW w:w="851" w:type="dxa"/>
            <w:tcBorders>
              <w:top w:val="single" w:sz="4" w:space="0" w:color="auto"/>
              <w:bottom w:val="single" w:sz="12" w:space="0" w:color="auto"/>
              <w:right w:val="single" w:sz="24" w:space="0" w:color="FFFFFF"/>
            </w:tcBorders>
            <w:shd w:val="clear" w:color="auto" w:fill="auto"/>
            <w:vAlign w:val="bottom"/>
          </w:tcPr>
          <w:p w:rsidR="00DE0C47" w:rsidRPr="00D1286C" w:rsidRDefault="00DE0C47" w:rsidP="00CD73F3">
            <w:pPr>
              <w:suppressAutoHyphens w:val="0"/>
              <w:spacing w:before="80" w:after="80" w:line="200" w:lineRule="exact"/>
              <w:jc w:val="right"/>
              <w:rPr>
                <w:i/>
                <w:sz w:val="16"/>
                <w:szCs w:val="16"/>
              </w:rPr>
            </w:pPr>
            <w:r w:rsidRPr="00D1286C">
              <w:rPr>
                <w:i/>
                <w:sz w:val="16"/>
                <w:szCs w:val="16"/>
              </w:rPr>
              <w:t>Femmes</w:t>
            </w:r>
          </w:p>
        </w:tc>
        <w:tc>
          <w:tcPr>
            <w:tcW w:w="851" w:type="dxa"/>
            <w:tcBorders>
              <w:top w:val="single" w:sz="4" w:space="0" w:color="auto"/>
              <w:left w:val="single" w:sz="24" w:space="0" w:color="FFFFFF"/>
              <w:bottom w:val="single" w:sz="12" w:space="0" w:color="auto"/>
            </w:tcBorders>
            <w:shd w:val="clear" w:color="auto" w:fill="auto"/>
            <w:vAlign w:val="bottom"/>
          </w:tcPr>
          <w:p w:rsidR="00DE0C47" w:rsidRPr="00D1286C" w:rsidRDefault="00DE0C47" w:rsidP="00CD73F3">
            <w:pPr>
              <w:suppressAutoHyphens w:val="0"/>
              <w:spacing w:before="80" w:after="80" w:line="200" w:lineRule="exact"/>
              <w:jc w:val="right"/>
              <w:rPr>
                <w:b/>
                <w:i/>
                <w:sz w:val="16"/>
                <w:szCs w:val="16"/>
              </w:rPr>
            </w:pPr>
            <w:r w:rsidRPr="00D1286C">
              <w:rPr>
                <w:b/>
                <w:i/>
                <w:sz w:val="16"/>
                <w:szCs w:val="16"/>
              </w:rPr>
              <w:t>Total</w:t>
            </w:r>
          </w:p>
        </w:tc>
        <w:tc>
          <w:tcPr>
            <w:tcW w:w="851" w:type="dxa"/>
            <w:tcBorders>
              <w:top w:val="single" w:sz="4" w:space="0" w:color="auto"/>
              <w:bottom w:val="single" w:sz="12" w:space="0" w:color="auto"/>
              <w:right w:val="single" w:sz="24" w:space="0" w:color="FFFFFF"/>
            </w:tcBorders>
            <w:shd w:val="clear" w:color="auto" w:fill="auto"/>
            <w:vAlign w:val="bottom"/>
          </w:tcPr>
          <w:p w:rsidR="00DE0C47" w:rsidRPr="00D1286C" w:rsidRDefault="00DE0C47" w:rsidP="00CD73F3">
            <w:pPr>
              <w:suppressAutoHyphens w:val="0"/>
              <w:spacing w:before="80" w:after="80" w:line="200" w:lineRule="exact"/>
              <w:jc w:val="right"/>
              <w:rPr>
                <w:i/>
                <w:sz w:val="16"/>
                <w:szCs w:val="16"/>
              </w:rPr>
            </w:pPr>
            <w:r w:rsidRPr="00D1286C">
              <w:rPr>
                <w:i/>
                <w:sz w:val="16"/>
                <w:szCs w:val="16"/>
              </w:rPr>
              <w:t>Femmes</w:t>
            </w:r>
          </w:p>
        </w:tc>
        <w:tc>
          <w:tcPr>
            <w:tcW w:w="851" w:type="dxa"/>
            <w:tcBorders>
              <w:top w:val="single" w:sz="4" w:space="0" w:color="auto"/>
              <w:left w:val="single" w:sz="24" w:space="0" w:color="FFFFFF"/>
              <w:bottom w:val="single" w:sz="12" w:space="0" w:color="auto"/>
            </w:tcBorders>
            <w:shd w:val="clear" w:color="auto" w:fill="auto"/>
            <w:vAlign w:val="bottom"/>
          </w:tcPr>
          <w:p w:rsidR="00DE0C47" w:rsidRPr="00D1286C" w:rsidRDefault="00DE0C47" w:rsidP="00CD73F3">
            <w:pPr>
              <w:suppressAutoHyphens w:val="0"/>
              <w:spacing w:before="80" w:after="80" w:line="200" w:lineRule="exact"/>
              <w:jc w:val="right"/>
              <w:rPr>
                <w:b/>
                <w:i/>
                <w:sz w:val="16"/>
                <w:szCs w:val="16"/>
              </w:rPr>
            </w:pPr>
            <w:r w:rsidRPr="00D1286C">
              <w:rPr>
                <w:b/>
                <w:i/>
                <w:sz w:val="16"/>
                <w:szCs w:val="16"/>
              </w:rPr>
              <w:t>Total</w:t>
            </w:r>
          </w:p>
        </w:tc>
        <w:tc>
          <w:tcPr>
            <w:tcW w:w="851" w:type="dxa"/>
            <w:tcBorders>
              <w:top w:val="single" w:sz="4" w:space="0" w:color="auto"/>
              <w:bottom w:val="single" w:sz="12" w:space="0" w:color="auto"/>
            </w:tcBorders>
            <w:shd w:val="clear" w:color="auto" w:fill="auto"/>
            <w:vAlign w:val="bottom"/>
          </w:tcPr>
          <w:p w:rsidR="00DE0C47" w:rsidRPr="00D1286C" w:rsidRDefault="00DE0C47" w:rsidP="00CD73F3">
            <w:pPr>
              <w:suppressAutoHyphens w:val="0"/>
              <w:spacing w:before="80" w:after="80" w:line="200" w:lineRule="exact"/>
              <w:jc w:val="right"/>
              <w:rPr>
                <w:i/>
                <w:sz w:val="16"/>
                <w:szCs w:val="16"/>
              </w:rPr>
            </w:pPr>
            <w:r w:rsidRPr="00D1286C">
              <w:rPr>
                <w:i/>
                <w:sz w:val="16"/>
                <w:szCs w:val="16"/>
              </w:rPr>
              <w:t>Femmes</w:t>
            </w:r>
          </w:p>
        </w:tc>
      </w:tr>
      <w:tr w:rsidR="00DE0C47" w:rsidRPr="00D1286C" w:rsidTr="00CA473A">
        <w:tc>
          <w:tcPr>
            <w:tcW w:w="2268" w:type="dxa"/>
            <w:tcBorders>
              <w:top w:val="single" w:sz="12" w:space="0" w:color="auto"/>
              <w:bottom w:val="single" w:sz="4" w:space="0" w:color="auto"/>
            </w:tcBorders>
            <w:shd w:val="clear" w:color="auto" w:fill="auto"/>
            <w:vAlign w:val="bottom"/>
          </w:tcPr>
          <w:p w:rsidR="00DE0C47" w:rsidRPr="00D1286C" w:rsidRDefault="00DE0C47" w:rsidP="00CA473A">
            <w:pPr>
              <w:keepNext/>
              <w:keepLines/>
              <w:suppressAutoHyphens w:val="0"/>
              <w:spacing w:before="80" w:after="80" w:line="220" w:lineRule="atLeast"/>
              <w:ind w:left="284"/>
              <w:rPr>
                <w:b/>
                <w:sz w:val="18"/>
              </w:rPr>
            </w:pPr>
            <w:r w:rsidRPr="00D1286C">
              <w:rPr>
                <w:b/>
                <w:sz w:val="18"/>
              </w:rPr>
              <w:t>Total actifs occupés</w:t>
            </w:r>
          </w:p>
        </w:tc>
        <w:tc>
          <w:tcPr>
            <w:tcW w:w="851" w:type="dxa"/>
            <w:tcBorders>
              <w:top w:val="single" w:sz="12" w:space="0" w:color="auto"/>
              <w:bottom w:val="single" w:sz="4" w:space="0" w:color="auto"/>
            </w:tcBorders>
            <w:shd w:val="clear" w:color="auto" w:fill="auto"/>
            <w:vAlign w:val="bottom"/>
          </w:tcPr>
          <w:p w:rsidR="00DE0C47" w:rsidRPr="00D1286C" w:rsidRDefault="00DE0C47" w:rsidP="00CA473A">
            <w:pPr>
              <w:keepNext/>
              <w:keepLines/>
              <w:suppressAutoHyphens w:val="0"/>
              <w:spacing w:before="80" w:after="80" w:line="220" w:lineRule="atLeast"/>
              <w:jc w:val="right"/>
              <w:rPr>
                <w:b/>
                <w:sz w:val="18"/>
              </w:rPr>
            </w:pPr>
            <w:r w:rsidRPr="00D1286C">
              <w:rPr>
                <w:b/>
                <w:sz w:val="18"/>
              </w:rPr>
              <w:t>687 309</w:t>
            </w:r>
          </w:p>
        </w:tc>
        <w:tc>
          <w:tcPr>
            <w:tcW w:w="851" w:type="dxa"/>
            <w:tcBorders>
              <w:top w:val="single" w:sz="12" w:space="0" w:color="auto"/>
              <w:bottom w:val="single" w:sz="4" w:space="0" w:color="auto"/>
            </w:tcBorders>
            <w:shd w:val="clear" w:color="auto" w:fill="auto"/>
            <w:vAlign w:val="bottom"/>
          </w:tcPr>
          <w:p w:rsidR="00DE0C47" w:rsidRPr="00D1286C" w:rsidRDefault="00DE0C47" w:rsidP="00CA473A">
            <w:pPr>
              <w:keepNext/>
              <w:keepLines/>
              <w:suppressAutoHyphens w:val="0"/>
              <w:spacing w:before="80" w:after="80" w:line="220" w:lineRule="atLeast"/>
              <w:jc w:val="right"/>
              <w:rPr>
                <w:b/>
                <w:sz w:val="18"/>
              </w:rPr>
            </w:pPr>
            <w:r w:rsidRPr="00D1286C">
              <w:rPr>
                <w:b/>
                <w:sz w:val="18"/>
              </w:rPr>
              <w:t>275 165</w:t>
            </w:r>
          </w:p>
        </w:tc>
        <w:tc>
          <w:tcPr>
            <w:tcW w:w="851" w:type="dxa"/>
            <w:tcBorders>
              <w:top w:val="single" w:sz="12" w:space="0" w:color="auto"/>
              <w:bottom w:val="single" w:sz="4" w:space="0" w:color="auto"/>
            </w:tcBorders>
            <w:shd w:val="clear" w:color="auto" w:fill="auto"/>
            <w:vAlign w:val="bottom"/>
          </w:tcPr>
          <w:p w:rsidR="00DE0C47" w:rsidRPr="00D1286C" w:rsidRDefault="00DE0C47" w:rsidP="00CA473A">
            <w:pPr>
              <w:keepNext/>
              <w:keepLines/>
              <w:suppressAutoHyphens w:val="0"/>
              <w:spacing w:before="80" w:after="80" w:line="220" w:lineRule="atLeast"/>
              <w:jc w:val="right"/>
              <w:rPr>
                <w:b/>
                <w:sz w:val="18"/>
              </w:rPr>
            </w:pPr>
            <w:r w:rsidRPr="00D1286C">
              <w:rPr>
                <w:b/>
                <w:sz w:val="18"/>
              </w:rPr>
              <w:t>688 052</w:t>
            </w:r>
          </w:p>
        </w:tc>
        <w:tc>
          <w:tcPr>
            <w:tcW w:w="851" w:type="dxa"/>
            <w:tcBorders>
              <w:top w:val="single" w:sz="12" w:space="0" w:color="auto"/>
              <w:bottom w:val="single" w:sz="4" w:space="0" w:color="auto"/>
            </w:tcBorders>
            <w:shd w:val="clear" w:color="auto" w:fill="auto"/>
            <w:vAlign w:val="bottom"/>
          </w:tcPr>
          <w:p w:rsidR="00DE0C47" w:rsidRPr="00D1286C" w:rsidRDefault="00DE0C47" w:rsidP="00CA473A">
            <w:pPr>
              <w:keepNext/>
              <w:keepLines/>
              <w:suppressAutoHyphens w:val="0"/>
              <w:spacing w:before="80" w:after="80" w:line="220" w:lineRule="atLeast"/>
              <w:jc w:val="right"/>
              <w:rPr>
                <w:b/>
                <w:sz w:val="18"/>
              </w:rPr>
            </w:pPr>
            <w:r w:rsidRPr="00D1286C">
              <w:rPr>
                <w:b/>
                <w:sz w:val="18"/>
              </w:rPr>
              <w:t>274 862</w:t>
            </w:r>
          </w:p>
        </w:tc>
        <w:tc>
          <w:tcPr>
            <w:tcW w:w="851" w:type="dxa"/>
            <w:tcBorders>
              <w:top w:val="single" w:sz="12" w:space="0" w:color="auto"/>
              <w:bottom w:val="single" w:sz="4" w:space="0" w:color="auto"/>
            </w:tcBorders>
            <w:shd w:val="clear" w:color="auto" w:fill="auto"/>
            <w:vAlign w:val="bottom"/>
          </w:tcPr>
          <w:p w:rsidR="00DE0C47" w:rsidRPr="00D1286C" w:rsidRDefault="00DE0C47" w:rsidP="00CA473A">
            <w:pPr>
              <w:keepNext/>
              <w:keepLines/>
              <w:suppressAutoHyphens w:val="0"/>
              <w:spacing w:before="80" w:after="80" w:line="220" w:lineRule="atLeast"/>
              <w:jc w:val="right"/>
              <w:rPr>
                <w:b/>
                <w:sz w:val="18"/>
              </w:rPr>
            </w:pPr>
            <w:r w:rsidRPr="00D1286C">
              <w:rPr>
                <w:b/>
                <w:sz w:val="18"/>
              </w:rPr>
              <w:t>99</w:t>
            </w:r>
            <w:r>
              <w:rPr>
                <w:b/>
                <w:sz w:val="18"/>
              </w:rPr>
              <w:t>,</w:t>
            </w:r>
            <w:r w:rsidRPr="00D1286C">
              <w:rPr>
                <w:b/>
                <w:sz w:val="18"/>
              </w:rPr>
              <w:t>9</w:t>
            </w:r>
          </w:p>
        </w:tc>
        <w:tc>
          <w:tcPr>
            <w:tcW w:w="851" w:type="dxa"/>
            <w:tcBorders>
              <w:top w:val="single" w:sz="12" w:space="0" w:color="auto"/>
              <w:bottom w:val="single" w:sz="4" w:space="0" w:color="auto"/>
            </w:tcBorders>
            <w:shd w:val="clear" w:color="auto" w:fill="auto"/>
            <w:vAlign w:val="bottom"/>
          </w:tcPr>
          <w:p w:rsidR="00DE0C47" w:rsidRPr="00D1286C" w:rsidRDefault="00DE0C47" w:rsidP="00CA473A">
            <w:pPr>
              <w:keepNext/>
              <w:keepLines/>
              <w:suppressAutoHyphens w:val="0"/>
              <w:spacing w:before="80" w:after="80" w:line="220" w:lineRule="atLeast"/>
              <w:jc w:val="right"/>
              <w:rPr>
                <w:b/>
                <w:sz w:val="18"/>
              </w:rPr>
            </w:pPr>
            <w:r w:rsidRPr="00D1286C">
              <w:rPr>
                <w:b/>
                <w:sz w:val="18"/>
              </w:rPr>
              <w:t>100</w:t>
            </w:r>
            <w:r>
              <w:rPr>
                <w:b/>
                <w:sz w:val="18"/>
              </w:rPr>
              <w:t>,</w:t>
            </w:r>
            <w:r w:rsidRPr="00D1286C">
              <w:rPr>
                <w:b/>
                <w:sz w:val="18"/>
              </w:rPr>
              <w:t>1</w:t>
            </w:r>
          </w:p>
        </w:tc>
      </w:tr>
      <w:tr w:rsidR="00DE0C47" w:rsidRPr="00D1286C" w:rsidTr="00CA473A">
        <w:tc>
          <w:tcPr>
            <w:tcW w:w="2268" w:type="dxa"/>
            <w:tcBorders>
              <w:top w:val="single" w:sz="4" w:space="0" w:color="auto"/>
              <w:bottom w:val="single" w:sz="4" w:space="0" w:color="auto"/>
            </w:tcBorders>
            <w:shd w:val="clear" w:color="auto" w:fill="auto"/>
            <w:vAlign w:val="bottom"/>
          </w:tcPr>
          <w:p w:rsidR="00DE0C47" w:rsidRPr="00D1286C" w:rsidRDefault="00DE0C47" w:rsidP="00CA473A">
            <w:pPr>
              <w:keepNext/>
              <w:keepLines/>
              <w:suppressAutoHyphens w:val="0"/>
              <w:spacing w:before="80" w:after="80" w:line="220" w:lineRule="atLeast"/>
              <w:ind w:left="284"/>
              <w:rPr>
                <w:b/>
                <w:sz w:val="18"/>
              </w:rPr>
            </w:pPr>
            <w:r w:rsidRPr="00D1286C">
              <w:rPr>
                <w:b/>
                <w:sz w:val="18"/>
              </w:rPr>
              <w:t>Total chômeurs</w:t>
            </w:r>
          </w:p>
        </w:tc>
        <w:tc>
          <w:tcPr>
            <w:tcW w:w="851" w:type="dxa"/>
            <w:tcBorders>
              <w:top w:val="single" w:sz="4" w:space="0" w:color="auto"/>
              <w:bottom w:val="single" w:sz="4" w:space="0" w:color="auto"/>
            </w:tcBorders>
            <w:shd w:val="clear" w:color="auto" w:fill="auto"/>
            <w:vAlign w:val="bottom"/>
          </w:tcPr>
          <w:p w:rsidR="00DE0C47" w:rsidRPr="00D1286C" w:rsidRDefault="00DE0C47" w:rsidP="00CA473A">
            <w:pPr>
              <w:keepNext/>
              <w:keepLines/>
              <w:suppressAutoHyphens w:val="0"/>
              <w:spacing w:before="80" w:after="80" w:line="220" w:lineRule="atLeast"/>
              <w:jc w:val="right"/>
              <w:rPr>
                <w:b/>
                <w:sz w:val="18"/>
              </w:rPr>
            </w:pPr>
            <w:r w:rsidRPr="00D1286C">
              <w:rPr>
                <w:b/>
                <w:sz w:val="18"/>
              </w:rPr>
              <w:t>506 460</w:t>
            </w:r>
          </w:p>
        </w:tc>
        <w:tc>
          <w:tcPr>
            <w:tcW w:w="851" w:type="dxa"/>
            <w:tcBorders>
              <w:top w:val="single" w:sz="4" w:space="0" w:color="auto"/>
              <w:bottom w:val="single" w:sz="4" w:space="0" w:color="auto"/>
            </w:tcBorders>
            <w:shd w:val="clear" w:color="auto" w:fill="auto"/>
            <w:vAlign w:val="bottom"/>
          </w:tcPr>
          <w:p w:rsidR="00DE0C47" w:rsidRPr="00D1286C" w:rsidRDefault="00DE0C47" w:rsidP="00CA473A">
            <w:pPr>
              <w:keepNext/>
              <w:keepLines/>
              <w:suppressAutoHyphens w:val="0"/>
              <w:spacing w:before="80" w:after="80" w:line="220" w:lineRule="atLeast"/>
              <w:jc w:val="right"/>
              <w:rPr>
                <w:b/>
                <w:sz w:val="18"/>
              </w:rPr>
            </w:pPr>
            <w:r w:rsidRPr="00D1286C">
              <w:rPr>
                <w:b/>
                <w:sz w:val="18"/>
              </w:rPr>
              <w:t>255 152</w:t>
            </w:r>
          </w:p>
        </w:tc>
        <w:tc>
          <w:tcPr>
            <w:tcW w:w="851" w:type="dxa"/>
            <w:tcBorders>
              <w:top w:val="single" w:sz="4" w:space="0" w:color="auto"/>
              <w:bottom w:val="single" w:sz="4" w:space="0" w:color="auto"/>
            </w:tcBorders>
            <w:shd w:val="clear" w:color="auto" w:fill="auto"/>
            <w:vAlign w:val="bottom"/>
          </w:tcPr>
          <w:p w:rsidR="00DE0C47" w:rsidRPr="00D1286C" w:rsidRDefault="00DE0C47" w:rsidP="00CA473A">
            <w:pPr>
              <w:keepNext/>
              <w:keepLines/>
              <w:suppressAutoHyphens w:val="0"/>
              <w:spacing w:before="80" w:after="80" w:line="220" w:lineRule="atLeast"/>
              <w:jc w:val="right"/>
              <w:rPr>
                <w:b/>
                <w:sz w:val="18"/>
              </w:rPr>
            </w:pPr>
            <w:r w:rsidRPr="00D1286C">
              <w:rPr>
                <w:b/>
                <w:sz w:val="18"/>
              </w:rPr>
              <w:t>503 979</w:t>
            </w:r>
          </w:p>
        </w:tc>
        <w:tc>
          <w:tcPr>
            <w:tcW w:w="851" w:type="dxa"/>
            <w:tcBorders>
              <w:top w:val="single" w:sz="4" w:space="0" w:color="auto"/>
              <w:bottom w:val="single" w:sz="4" w:space="0" w:color="auto"/>
            </w:tcBorders>
            <w:shd w:val="clear" w:color="auto" w:fill="auto"/>
            <w:vAlign w:val="bottom"/>
          </w:tcPr>
          <w:p w:rsidR="00DE0C47" w:rsidRPr="00D1286C" w:rsidRDefault="00DE0C47" w:rsidP="00CA473A">
            <w:pPr>
              <w:keepNext/>
              <w:keepLines/>
              <w:suppressAutoHyphens w:val="0"/>
              <w:spacing w:before="80" w:after="80" w:line="220" w:lineRule="atLeast"/>
              <w:jc w:val="right"/>
              <w:rPr>
                <w:b/>
                <w:sz w:val="18"/>
              </w:rPr>
            </w:pPr>
            <w:r w:rsidRPr="00D1286C">
              <w:rPr>
                <w:b/>
                <w:sz w:val="18"/>
              </w:rPr>
              <w:t>254 274</w:t>
            </w:r>
          </w:p>
        </w:tc>
        <w:tc>
          <w:tcPr>
            <w:tcW w:w="851" w:type="dxa"/>
            <w:tcBorders>
              <w:top w:val="single" w:sz="4" w:space="0" w:color="auto"/>
              <w:bottom w:val="single" w:sz="4" w:space="0" w:color="auto"/>
            </w:tcBorders>
            <w:shd w:val="clear" w:color="auto" w:fill="auto"/>
            <w:vAlign w:val="bottom"/>
          </w:tcPr>
          <w:p w:rsidR="00DE0C47" w:rsidRPr="00D1286C" w:rsidRDefault="00DE0C47" w:rsidP="00CA473A">
            <w:pPr>
              <w:keepNext/>
              <w:keepLines/>
              <w:suppressAutoHyphens w:val="0"/>
              <w:spacing w:before="80" w:after="80" w:line="220" w:lineRule="atLeast"/>
              <w:jc w:val="right"/>
              <w:rPr>
                <w:b/>
                <w:sz w:val="18"/>
              </w:rPr>
            </w:pPr>
            <w:r w:rsidRPr="00D1286C">
              <w:rPr>
                <w:b/>
                <w:sz w:val="18"/>
              </w:rPr>
              <w:t>100</w:t>
            </w:r>
            <w:r>
              <w:rPr>
                <w:b/>
                <w:sz w:val="18"/>
              </w:rPr>
              <w:t>,</w:t>
            </w:r>
            <w:r w:rsidRPr="00D1286C">
              <w:rPr>
                <w:b/>
                <w:sz w:val="18"/>
              </w:rPr>
              <w:t>5</w:t>
            </w:r>
          </w:p>
        </w:tc>
        <w:tc>
          <w:tcPr>
            <w:tcW w:w="851" w:type="dxa"/>
            <w:tcBorders>
              <w:top w:val="single" w:sz="4" w:space="0" w:color="auto"/>
              <w:bottom w:val="single" w:sz="4" w:space="0" w:color="auto"/>
            </w:tcBorders>
            <w:shd w:val="clear" w:color="auto" w:fill="auto"/>
            <w:vAlign w:val="bottom"/>
          </w:tcPr>
          <w:p w:rsidR="00DE0C47" w:rsidRPr="00D1286C" w:rsidRDefault="00DE0C47" w:rsidP="00CA473A">
            <w:pPr>
              <w:keepNext/>
              <w:keepLines/>
              <w:suppressAutoHyphens w:val="0"/>
              <w:spacing w:before="80" w:after="80" w:line="220" w:lineRule="atLeast"/>
              <w:jc w:val="right"/>
              <w:rPr>
                <w:b/>
                <w:sz w:val="18"/>
              </w:rPr>
            </w:pPr>
            <w:r w:rsidRPr="00D1286C">
              <w:rPr>
                <w:b/>
                <w:sz w:val="18"/>
              </w:rPr>
              <w:t>100</w:t>
            </w:r>
            <w:r>
              <w:rPr>
                <w:b/>
                <w:sz w:val="18"/>
              </w:rPr>
              <w:t>,</w:t>
            </w:r>
            <w:r w:rsidRPr="00D1286C">
              <w:rPr>
                <w:b/>
                <w:sz w:val="18"/>
              </w:rPr>
              <w:t>3</w:t>
            </w:r>
          </w:p>
        </w:tc>
      </w:tr>
      <w:tr w:rsidR="00DE0C47" w:rsidRPr="00D1286C" w:rsidTr="00CA473A">
        <w:tc>
          <w:tcPr>
            <w:tcW w:w="2268" w:type="dxa"/>
            <w:tcBorders>
              <w:top w:val="single" w:sz="4" w:space="0" w:color="auto"/>
              <w:bottom w:val="single" w:sz="12" w:space="0" w:color="auto"/>
            </w:tcBorders>
            <w:shd w:val="clear" w:color="auto" w:fill="auto"/>
            <w:vAlign w:val="bottom"/>
          </w:tcPr>
          <w:p w:rsidR="00DE0C47" w:rsidRPr="00D1286C" w:rsidRDefault="00DE0C47" w:rsidP="00CA473A">
            <w:pPr>
              <w:keepNext/>
              <w:keepLines/>
              <w:suppressAutoHyphens w:val="0"/>
              <w:spacing w:before="40" w:after="40" w:line="220" w:lineRule="atLeast"/>
              <w:rPr>
                <w:sz w:val="16"/>
                <w:szCs w:val="16"/>
              </w:rPr>
            </w:pPr>
            <w:r w:rsidRPr="00D1286C">
              <w:rPr>
                <w:sz w:val="18"/>
              </w:rPr>
              <w:t xml:space="preserve">Taux de chômage recensé </w:t>
            </w:r>
            <w:r>
              <w:rPr>
                <w:sz w:val="18"/>
              </w:rPr>
              <w:t>(</w:t>
            </w:r>
            <w:r w:rsidRPr="00D1286C">
              <w:rPr>
                <w:sz w:val="18"/>
              </w:rPr>
              <w:t>%</w:t>
            </w:r>
            <w:r>
              <w:rPr>
                <w:sz w:val="18"/>
              </w:rPr>
              <w:t>)</w:t>
            </w:r>
          </w:p>
        </w:tc>
        <w:tc>
          <w:tcPr>
            <w:tcW w:w="851" w:type="dxa"/>
            <w:tcBorders>
              <w:top w:val="single" w:sz="4" w:space="0" w:color="auto"/>
              <w:bottom w:val="single" w:sz="12" w:space="0" w:color="auto"/>
            </w:tcBorders>
            <w:shd w:val="clear" w:color="auto" w:fill="auto"/>
            <w:vAlign w:val="bottom"/>
          </w:tcPr>
          <w:p w:rsidR="00DE0C47" w:rsidRPr="00D1286C" w:rsidRDefault="00DE0C47" w:rsidP="00CA473A">
            <w:pPr>
              <w:keepNext/>
              <w:keepLines/>
              <w:suppressAutoHyphens w:val="0"/>
              <w:spacing w:before="40" w:after="40" w:line="220" w:lineRule="atLeast"/>
              <w:jc w:val="right"/>
              <w:rPr>
                <w:b/>
                <w:sz w:val="18"/>
              </w:rPr>
            </w:pPr>
            <w:r w:rsidRPr="00D1286C">
              <w:rPr>
                <w:b/>
                <w:sz w:val="18"/>
              </w:rPr>
              <w:t>42</w:t>
            </w:r>
            <w:r>
              <w:rPr>
                <w:b/>
                <w:sz w:val="18"/>
              </w:rPr>
              <w:t>,</w:t>
            </w:r>
            <w:r w:rsidRPr="00D1286C">
              <w:rPr>
                <w:b/>
                <w:sz w:val="18"/>
              </w:rPr>
              <w:t>4</w:t>
            </w:r>
          </w:p>
        </w:tc>
        <w:tc>
          <w:tcPr>
            <w:tcW w:w="851" w:type="dxa"/>
            <w:tcBorders>
              <w:top w:val="single" w:sz="4" w:space="0" w:color="auto"/>
              <w:bottom w:val="single" w:sz="12" w:space="0" w:color="auto"/>
            </w:tcBorders>
            <w:shd w:val="clear" w:color="auto" w:fill="auto"/>
            <w:vAlign w:val="bottom"/>
          </w:tcPr>
          <w:p w:rsidR="00DE0C47" w:rsidRPr="00D1286C" w:rsidRDefault="00DE0C47" w:rsidP="00CA473A">
            <w:pPr>
              <w:keepNext/>
              <w:keepLines/>
              <w:suppressAutoHyphens w:val="0"/>
              <w:spacing w:before="40" w:after="40" w:line="220" w:lineRule="atLeast"/>
              <w:jc w:val="right"/>
              <w:rPr>
                <w:sz w:val="18"/>
              </w:rPr>
            </w:pPr>
            <w:r w:rsidRPr="00D1286C">
              <w:rPr>
                <w:sz w:val="18"/>
              </w:rPr>
              <w:t>48</w:t>
            </w:r>
          </w:p>
        </w:tc>
        <w:tc>
          <w:tcPr>
            <w:tcW w:w="851" w:type="dxa"/>
            <w:tcBorders>
              <w:top w:val="single" w:sz="4" w:space="0" w:color="auto"/>
              <w:bottom w:val="single" w:sz="12" w:space="0" w:color="auto"/>
            </w:tcBorders>
            <w:shd w:val="clear" w:color="auto" w:fill="auto"/>
            <w:vAlign w:val="bottom"/>
          </w:tcPr>
          <w:p w:rsidR="00DE0C47" w:rsidRPr="00D1286C" w:rsidRDefault="00DE0C47" w:rsidP="00CA473A">
            <w:pPr>
              <w:keepNext/>
              <w:keepLines/>
              <w:suppressAutoHyphens w:val="0"/>
              <w:spacing w:before="40" w:after="40" w:line="220" w:lineRule="atLeast"/>
              <w:jc w:val="right"/>
              <w:rPr>
                <w:b/>
                <w:sz w:val="18"/>
              </w:rPr>
            </w:pPr>
            <w:r w:rsidRPr="00D1286C">
              <w:rPr>
                <w:b/>
                <w:sz w:val="18"/>
              </w:rPr>
              <w:t>42</w:t>
            </w:r>
            <w:r>
              <w:rPr>
                <w:b/>
                <w:sz w:val="18"/>
              </w:rPr>
              <w:t>,</w:t>
            </w:r>
            <w:r w:rsidRPr="00D1286C">
              <w:rPr>
                <w:b/>
                <w:sz w:val="18"/>
              </w:rPr>
              <w:t>3</w:t>
            </w:r>
          </w:p>
        </w:tc>
        <w:tc>
          <w:tcPr>
            <w:tcW w:w="851" w:type="dxa"/>
            <w:tcBorders>
              <w:top w:val="single" w:sz="4" w:space="0" w:color="auto"/>
              <w:bottom w:val="single" w:sz="12" w:space="0" w:color="auto"/>
            </w:tcBorders>
            <w:shd w:val="clear" w:color="auto" w:fill="auto"/>
            <w:vAlign w:val="bottom"/>
          </w:tcPr>
          <w:p w:rsidR="00DE0C47" w:rsidRPr="00D1286C" w:rsidRDefault="00DE0C47" w:rsidP="00CA473A">
            <w:pPr>
              <w:keepNext/>
              <w:keepLines/>
              <w:suppressAutoHyphens w:val="0"/>
              <w:spacing w:before="40" w:after="40" w:line="220" w:lineRule="atLeast"/>
              <w:jc w:val="right"/>
              <w:rPr>
                <w:sz w:val="18"/>
              </w:rPr>
            </w:pPr>
            <w:r w:rsidRPr="00D1286C">
              <w:rPr>
                <w:sz w:val="18"/>
              </w:rPr>
              <w:t>48</w:t>
            </w:r>
            <w:r>
              <w:rPr>
                <w:sz w:val="18"/>
              </w:rPr>
              <w:t>,</w:t>
            </w:r>
            <w:r w:rsidRPr="00D1286C">
              <w:rPr>
                <w:sz w:val="18"/>
              </w:rPr>
              <w:t>1</w:t>
            </w:r>
          </w:p>
        </w:tc>
        <w:tc>
          <w:tcPr>
            <w:tcW w:w="851" w:type="dxa"/>
            <w:tcBorders>
              <w:top w:val="single" w:sz="4" w:space="0" w:color="auto"/>
              <w:bottom w:val="single" w:sz="12" w:space="0" w:color="auto"/>
            </w:tcBorders>
            <w:shd w:val="clear" w:color="auto" w:fill="auto"/>
            <w:vAlign w:val="bottom"/>
          </w:tcPr>
          <w:p w:rsidR="00DE0C47" w:rsidRPr="00D1286C" w:rsidRDefault="00DE0C47" w:rsidP="00CA473A">
            <w:pPr>
              <w:keepNext/>
              <w:keepLines/>
              <w:suppressAutoHyphens w:val="0"/>
              <w:spacing w:before="40" w:after="40" w:line="220" w:lineRule="atLeast"/>
              <w:jc w:val="right"/>
              <w:rPr>
                <w:b/>
                <w:sz w:val="18"/>
              </w:rPr>
            </w:pPr>
            <w:r w:rsidRPr="00D1286C">
              <w:rPr>
                <w:b/>
                <w:sz w:val="18"/>
              </w:rPr>
              <w:t> </w:t>
            </w:r>
          </w:p>
        </w:tc>
        <w:tc>
          <w:tcPr>
            <w:tcW w:w="851" w:type="dxa"/>
            <w:tcBorders>
              <w:top w:val="single" w:sz="4" w:space="0" w:color="auto"/>
              <w:bottom w:val="single" w:sz="12" w:space="0" w:color="auto"/>
            </w:tcBorders>
            <w:shd w:val="clear" w:color="auto" w:fill="auto"/>
            <w:vAlign w:val="bottom"/>
          </w:tcPr>
          <w:p w:rsidR="00DE0C47" w:rsidRPr="00D1286C" w:rsidRDefault="00DE0C47" w:rsidP="00CA473A">
            <w:pPr>
              <w:keepNext/>
              <w:keepLines/>
              <w:suppressAutoHyphens w:val="0"/>
              <w:spacing w:before="40" w:after="40" w:line="220" w:lineRule="atLeast"/>
              <w:jc w:val="right"/>
              <w:rPr>
                <w:sz w:val="18"/>
              </w:rPr>
            </w:pPr>
            <w:r w:rsidRPr="00D1286C">
              <w:rPr>
                <w:sz w:val="18"/>
              </w:rPr>
              <w:t> </w:t>
            </w:r>
          </w:p>
        </w:tc>
      </w:tr>
    </w:tbl>
    <w:p w:rsidR="00DE0C47" w:rsidRPr="00D1286C" w:rsidRDefault="00DE0C47" w:rsidP="00DE0C47">
      <w:pPr>
        <w:pStyle w:val="SingleTxtG"/>
        <w:spacing w:before="240"/>
      </w:pPr>
      <w:r w:rsidRPr="00D1286C">
        <w:t>65.</w:t>
      </w:r>
      <w:r w:rsidRPr="00D1286C">
        <w:tab/>
        <w:t>D</w:t>
      </w:r>
      <w:r w:rsidR="00CA473A">
        <w:t>’</w:t>
      </w:r>
      <w:r w:rsidRPr="00D1286C">
        <w:t>après les données de l</w:t>
      </w:r>
      <w:r w:rsidR="00CA473A">
        <w:t>’</w:t>
      </w:r>
      <w:r w:rsidRPr="00D1286C">
        <w:t>Office de statistique, en novembre 2009, le nombre d</w:t>
      </w:r>
      <w:r w:rsidR="00CA473A">
        <w:t>’</w:t>
      </w:r>
      <w:r w:rsidRPr="00D1286C">
        <w:t>actifs ayant un emploi dans les Entités s</w:t>
      </w:r>
      <w:r w:rsidR="00CA473A">
        <w:t>’</w:t>
      </w:r>
      <w:r w:rsidRPr="00D1286C">
        <w:t>élevait à 687 309</w:t>
      </w:r>
      <w:r>
        <w:t>,</w:t>
      </w:r>
      <w:r w:rsidRPr="00D1286C">
        <w:t xml:space="preserve"> dont 275 165 étaient des femmes. En comparaison avec le mois d</w:t>
      </w:r>
      <w:r w:rsidR="00CA473A">
        <w:t>’</w:t>
      </w:r>
      <w:r w:rsidRPr="00D1286C">
        <w:t xml:space="preserve">octobre 2009, </w:t>
      </w:r>
      <w:r>
        <w:t xml:space="preserve">le nombre total </w:t>
      </w:r>
      <w:r w:rsidRPr="00D1286C">
        <w:t>avait diminué de 0,1</w:t>
      </w:r>
      <w:r>
        <w:t> </w:t>
      </w:r>
      <w:r w:rsidRPr="00D1286C">
        <w:t>%, tandis que la population active féminine avait augmenté de 0,1</w:t>
      </w:r>
      <w:r>
        <w:t> </w:t>
      </w:r>
      <w:r w:rsidRPr="00D1286C">
        <w:t>%. Le taux de chômage enregistré en novembre 2009 s</w:t>
      </w:r>
      <w:r w:rsidR="00CA473A">
        <w:t>’</w:t>
      </w:r>
      <w:r w:rsidRPr="00D1286C">
        <w:t>élevait à 42,4</w:t>
      </w:r>
      <w:r>
        <w:t> </w:t>
      </w:r>
      <w:r w:rsidRPr="00D1286C">
        <w:t>%, ce qui correspond à une hausse de 0,1</w:t>
      </w:r>
      <w:r>
        <w:t> </w:t>
      </w:r>
      <w:r w:rsidRPr="00D1286C">
        <w:t>% par rapport au</w:t>
      </w:r>
      <w:r>
        <w:t xml:space="preserve"> </w:t>
      </w:r>
      <w:r w:rsidRPr="00D1286C">
        <w:t>mois précédent.</w:t>
      </w:r>
    </w:p>
    <w:p w:rsidR="00DE0C47" w:rsidRPr="00D1286C" w:rsidRDefault="00DE0C47" w:rsidP="00DE0C47">
      <w:pPr>
        <w:pStyle w:val="H1G"/>
      </w:pPr>
      <w:r>
        <w:tab/>
      </w:r>
      <w:r w:rsidRPr="00D1286C">
        <w:t>K.</w:t>
      </w:r>
      <w:r w:rsidRPr="00D1286C">
        <w:tab/>
        <w:t>Chômeurs recensés au 31 décembre 2009</w:t>
      </w:r>
    </w:p>
    <w:p w:rsidR="00DE0C47" w:rsidRDefault="00DE0C47" w:rsidP="00DE0C47">
      <w:pPr>
        <w:pStyle w:val="SingleTxtG"/>
      </w:pPr>
      <w:r w:rsidRPr="00D1286C">
        <w:t>66.</w:t>
      </w:r>
      <w:r w:rsidRPr="00D1286C">
        <w:tab/>
        <w:t>Selon les données des Bureaux et des Services de l</w:t>
      </w:r>
      <w:r w:rsidR="00CA473A">
        <w:t>’</w:t>
      </w:r>
      <w:r w:rsidRPr="00D1286C">
        <w:t>emploi de Bosnie-Herzégovine, au 31 décembre 2009, il est fait état de 510</w:t>
      </w:r>
      <w:r>
        <w:t> </w:t>
      </w:r>
      <w:r w:rsidRPr="00D1286C">
        <w:t xml:space="preserve">580 chômeurs, </w:t>
      </w:r>
      <w:r>
        <w:t xml:space="preserve">soit </w:t>
      </w:r>
      <w:r w:rsidRPr="00D1286C">
        <w:t>une augmentation de 4</w:t>
      </w:r>
      <w:r>
        <w:t> </w:t>
      </w:r>
      <w:r w:rsidRPr="00D1286C">
        <w:t>136</w:t>
      </w:r>
      <w:r>
        <w:t> </w:t>
      </w:r>
      <w:r w:rsidRPr="00D1286C">
        <w:t>personnes ou de 0,82</w:t>
      </w:r>
      <w:r>
        <w:t> </w:t>
      </w:r>
      <w:r w:rsidRPr="00D1286C">
        <w:t xml:space="preserve">% par rapport aux chiffres du 31 novembre 2009. </w:t>
      </w:r>
      <w:r>
        <w:t>Sur c</w:t>
      </w:r>
      <w:r w:rsidRPr="00D1286C">
        <w:t>e total</w:t>
      </w:r>
      <w:r>
        <w:t>,</w:t>
      </w:r>
      <w:r w:rsidRPr="00D1286C">
        <w:t xml:space="preserve"> </w:t>
      </w:r>
      <w:r>
        <w:t xml:space="preserve">il y avait </w:t>
      </w:r>
      <w:r w:rsidRPr="00D1286C">
        <w:t>255</w:t>
      </w:r>
      <w:r>
        <w:t> </w:t>
      </w:r>
      <w:r w:rsidRPr="00D1286C">
        <w:t>808 femmes, c</w:t>
      </w:r>
      <w:r w:rsidR="00CA473A">
        <w:t>’</w:t>
      </w:r>
      <w:r w:rsidRPr="00D1286C">
        <w:t>est-a-dire 50,10</w:t>
      </w:r>
      <w:r>
        <w:t> </w:t>
      </w:r>
      <w:r w:rsidRPr="00D1286C">
        <w:t>%.</w:t>
      </w:r>
    </w:p>
    <w:p w:rsidR="00DE0C47" w:rsidRPr="007C6E64" w:rsidRDefault="00DE0C47" w:rsidP="00DE0C47">
      <w:pPr>
        <w:pStyle w:val="Heading1"/>
        <w:spacing w:before="240" w:after="120"/>
        <w:rPr>
          <w:b/>
        </w:rPr>
      </w:pPr>
      <w:r w:rsidRPr="00D1286C">
        <w:t>Tableau 14</w:t>
      </w:r>
      <w:r>
        <w:br/>
      </w:r>
      <w:r w:rsidRPr="007C6E64">
        <w:rPr>
          <w:b/>
        </w:rPr>
        <w:t>Chômeurs recensés en Bosnie-Herzégovine et dans les Entités en décembre 2009</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56"/>
        <w:gridCol w:w="1228"/>
        <w:gridCol w:w="1229"/>
        <w:gridCol w:w="1229"/>
        <w:gridCol w:w="1229"/>
      </w:tblGrid>
      <w:tr w:rsidR="00DE0C47" w:rsidRPr="00D1286C" w:rsidTr="00CA473A">
        <w:tblPrEx>
          <w:tblCellMar>
            <w:top w:w="0" w:type="dxa"/>
            <w:bottom w:w="0" w:type="dxa"/>
          </w:tblCellMar>
        </w:tblPrEx>
        <w:tc>
          <w:tcPr>
            <w:tcW w:w="2268" w:type="dxa"/>
            <w:tcBorders>
              <w:top w:val="single" w:sz="4" w:space="0" w:color="auto"/>
              <w:bottom w:val="single" w:sz="12" w:space="0" w:color="auto"/>
            </w:tcBorders>
            <w:shd w:val="clear" w:color="auto" w:fill="auto"/>
            <w:vAlign w:val="bottom"/>
          </w:tcPr>
          <w:p w:rsidR="00DE0C47" w:rsidRPr="00D1286C" w:rsidRDefault="00DE0C47" w:rsidP="00CA473A">
            <w:pPr>
              <w:suppressAutoHyphens w:val="0"/>
              <w:spacing w:before="80" w:after="80" w:line="200" w:lineRule="exact"/>
              <w:rPr>
                <w:sz w:val="18"/>
              </w:rPr>
            </w:pPr>
          </w:p>
        </w:tc>
        <w:tc>
          <w:tcPr>
            <w:tcW w:w="1134" w:type="dxa"/>
            <w:tcBorders>
              <w:top w:val="single" w:sz="4" w:space="0" w:color="auto"/>
              <w:bottom w:val="single" w:sz="12" w:space="0" w:color="auto"/>
            </w:tcBorders>
            <w:shd w:val="clear" w:color="auto" w:fill="auto"/>
            <w:vAlign w:val="bottom"/>
          </w:tcPr>
          <w:p w:rsidR="00DE0C47" w:rsidRPr="00D1286C" w:rsidRDefault="00DE0C47" w:rsidP="00CA473A">
            <w:pPr>
              <w:suppressAutoHyphens w:val="0"/>
              <w:spacing w:before="80" w:after="80" w:line="200" w:lineRule="exact"/>
              <w:jc w:val="right"/>
              <w:rPr>
                <w:i/>
                <w:sz w:val="16"/>
                <w:szCs w:val="16"/>
              </w:rPr>
            </w:pPr>
            <w:r w:rsidRPr="00D1286C">
              <w:rPr>
                <w:i/>
                <w:sz w:val="16"/>
                <w:szCs w:val="16"/>
              </w:rPr>
              <w:t>Bosnie-Herzégovine</w:t>
            </w:r>
          </w:p>
        </w:tc>
        <w:tc>
          <w:tcPr>
            <w:tcW w:w="1134" w:type="dxa"/>
            <w:tcBorders>
              <w:top w:val="single" w:sz="4" w:space="0" w:color="auto"/>
              <w:bottom w:val="single" w:sz="12" w:space="0" w:color="auto"/>
            </w:tcBorders>
            <w:shd w:val="clear" w:color="auto" w:fill="auto"/>
            <w:vAlign w:val="bottom"/>
          </w:tcPr>
          <w:p w:rsidR="00DE0C47" w:rsidRPr="00D1286C" w:rsidRDefault="00DE0C47" w:rsidP="00CA473A">
            <w:pPr>
              <w:suppressAutoHyphens w:val="0"/>
              <w:spacing w:before="80" w:after="80" w:line="200" w:lineRule="exact"/>
              <w:jc w:val="right"/>
              <w:rPr>
                <w:i/>
                <w:sz w:val="16"/>
                <w:szCs w:val="16"/>
              </w:rPr>
            </w:pPr>
            <w:r w:rsidRPr="00D1286C">
              <w:rPr>
                <w:i/>
                <w:sz w:val="16"/>
                <w:szCs w:val="16"/>
              </w:rPr>
              <w:t>Fédération de Bosnie-Herzégovine</w:t>
            </w:r>
          </w:p>
        </w:tc>
        <w:tc>
          <w:tcPr>
            <w:tcW w:w="1134" w:type="dxa"/>
            <w:tcBorders>
              <w:top w:val="single" w:sz="4" w:space="0" w:color="auto"/>
              <w:bottom w:val="single" w:sz="12" w:space="0" w:color="auto"/>
            </w:tcBorders>
            <w:shd w:val="clear" w:color="auto" w:fill="auto"/>
            <w:vAlign w:val="bottom"/>
          </w:tcPr>
          <w:p w:rsidR="00DE0C47" w:rsidRPr="00D1286C" w:rsidRDefault="00DE0C47" w:rsidP="00CA473A">
            <w:pPr>
              <w:suppressAutoHyphens w:val="0"/>
              <w:spacing w:before="80" w:after="80" w:line="200" w:lineRule="exact"/>
              <w:jc w:val="right"/>
              <w:rPr>
                <w:i/>
                <w:sz w:val="16"/>
                <w:szCs w:val="16"/>
              </w:rPr>
            </w:pPr>
            <w:r w:rsidRPr="00D1286C">
              <w:rPr>
                <w:i/>
                <w:sz w:val="16"/>
                <w:szCs w:val="16"/>
              </w:rPr>
              <w:t>Republika Srpska</w:t>
            </w:r>
          </w:p>
        </w:tc>
        <w:tc>
          <w:tcPr>
            <w:tcW w:w="1134" w:type="dxa"/>
            <w:tcBorders>
              <w:top w:val="single" w:sz="4" w:space="0" w:color="auto"/>
              <w:bottom w:val="single" w:sz="12" w:space="0" w:color="auto"/>
            </w:tcBorders>
            <w:shd w:val="clear" w:color="auto" w:fill="auto"/>
            <w:vAlign w:val="bottom"/>
          </w:tcPr>
          <w:p w:rsidR="00DE0C47" w:rsidRPr="00D1286C" w:rsidRDefault="00DE0C47" w:rsidP="00CA473A">
            <w:pPr>
              <w:suppressAutoHyphens w:val="0"/>
              <w:spacing w:before="80" w:after="80" w:line="200" w:lineRule="exact"/>
              <w:jc w:val="right"/>
              <w:rPr>
                <w:i/>
                <w:sz w:val="16"/>
                <w:szCs w:val="16"/>
              </w:rPr>
            </w:pPr>
            <w:r w:rsidRPr="00D1286C">
              <w:rPr>
                <w:i/>
                <w:sz w:val="16"/>
                <w:szCs w:val="16"/>
              </w:rPr>
              <w:t>District de Br</w:t>
            </w:r>
            <w:r>
              <w:rPr>
                <w:i/>
                <w:sz w:val="16"/>
                <w:szCs w:val="16"/>
              </w:rPr>
              <w:t>c</w:t>
            </w:r>
            <w:r w:rsidRPr="00D1286C">
              <w:rPr>
                <w:i/>
                <w:sz w:val="16"/>
                <w:szCs w:val="16"/>
              </w:rPr>
              <w:t>ko</w:t>
            </w:r>
          </w:p>
        </w:tc>
      </w:tr>
      <w:tr w:rsidR="00DE0C47" w:rsidRPr="00D1286C" w:rsidTr="00CA473A">
        <w:tblPrEx>
          <w:tblCellMar>
            <w:top w:w="0" w:type="dxa"/>
            <w:bottom w:w="0" w:type="dxa"/>
          </w:tblCellMar>
        </w:tblPrEx>
        <w:tc>
          <w:tcPr>
            <w:tcW w:w="2268" w:type="dxa"/>
            <w:tcBorders>
              <w:top w:val="single" w:sz="12" w:space="0" w:color="auto"/>
              <w:bottom w:val="nil"/>
            </w:tcBorders>
            <w:shd w:val="clear" w:color="auto" w:fill="auto"/>
            <w:vAlign w:val="bottom"/>
          </w:tcPr>
          <w:p w:rsidR="00DE0C47" w:rsidRPr="00D1286C" w:rsidRDefault="00DE0C47" w:rsidP="00CA473A">
            <w:pPr>
              <w:suppressAutoHyphens w:val="0"/>
              <w:spacing w:before="40" w:after="40" w:line="220" w:lineRule="exact"/>
              <w:rPr>
                <w:sz w:val="18"/>
              </w:rPr>
            </w:pPr>
            <w:r w:rsidRPr="00D1286C">
              <w:rPr>
                <w:sz w:val="18"/>
              </w:rPr>
              <w:t xml:space="preserve">Chômeurs recensés </w:t>
            </w:r>
            <w:r>
              <w:rPr>
                <w:sz w:val="18"/>
              </w:rPr>
              <w:t>−</w:t>
            </w:r>
            <w:r w:rsidRPr="00D1286C">
              <w:rPr>
                <w:sz w:val="18"/>
              </w:rPr>
              <w:t xml:space="preserve"> 31/12/2009</w:t>
            </w:r>
          </w:p>
        </w:tc>
        <w:tc>
          <w:tcPr>
            <w:tcW w:w="1134" w:type="dxa"/>
            <w:tcBorders>
              <w:top w:val="single" w:sz="12" w:space="0" w:color="auto"/>
              <w:bottom w:val="nil"/>
            </w:tcBorders>
            <w:shd w:val="clear" w:color="auto" w:fill="auto"/>
            <w:vAlign w:val="bottom"/>
          </w:tcPr>
          <w:p w:rsidR="00DE0C47" w:rsidRPr="00D1286C" w:rsidRDefault="00DE0C47" w:rsidP="00CA473A">
            <w:pPr>
              <w:suppressAutoHyphens w:val="0"/>
              <w:spacing w:before="40" w:after="40" w:line="220" w:lineRule="exact"/>
              <w:jc w:val="right"/>
              <w:rPr>
                <w:sz w:val="18"/>
              </w:rPr>
            </w:pPr>
            <w:r w:rsidRPr="00D1286C">
              <w:rPr>
                <w:sz w:val="18"/>
              </w:rPr>
              <w:t>510 580</w:t>
            </w:r>
          </w:p>
        </w:tc>
        <w:tc>
          <w:tcPr>
            <w:tcW w:w="1134" w:type="dxa"/>
            <w:tcBorders>
              <w:top w:val="single" w:sz="12" w:space="0" w:color="auto"/>
              <w:bottom w:val="nil"/>
            </w:tcBorders>
            <w:shd w:val="clear" w:color="auto" w:fill="auto"/>
            <w:vAlign w:val="bottom"/>
          </w:tcPr>
          <w:p w:rsidR="00DE0C47" w:rsidRPr="00D1286C" w:rsidRDefault="00DE0C47" w:rsidP="00CA473A">
            <w:pPr>
              <w:suppressAutoHyphens w:val="0"/>
              <w:spacing w:before="40" w:after="40" w:line="220" w:lineRule="exact"/>
              <w:jc w:val="right"/>
              <w:rPr>
                <w:sz w:val="18"/>
              </w:rPr>
            </w:pPr>
            <w:r w:rsidRPr="00D1286C">
              <w:rPr>
                <w:sz w:val="18"/>
              </w:rPr>
              <w:t>354 577</w:t>
            </w:r>
          </w:p>
        </w:tc>
        <w:tc>
          <w:tcPr>
            <w:tcW w:w="1134" w:type="dxa"/>
            <w:tcBorders>
              <w:top w:val="single" w:sz="12" w:space="0" w:color="auto"/>
              <w:bottom w:val="nil"/>
            </w:tcBorders>
            <w:shd w:val="clear" w:color="auto" w:fill="auto"/>
            <w:vAlign w:val="bottom"/>
          </w:tcPr>
          <w:p w:rsidR="00DE0C47" w:rsidRPr="00D1286C" w:rsidRDefault="00DE0C47" w:rsidP="00CA473A">
            <w:pPr>
              <w:suppressAutoHyphens w:val="0"/>
              <w:spacing w:before="40" w:after="40" w:line="220" w:lineRule="exact"/>
              <w:jc w:val="right"/>
              <w:rPr>
                <w:sz w:val="18"/>
              </w:rPr>
            </w:pPr>
            <w:r w:rsidRPr="00D1286C">
              <w:rPr>
                <w:sz w:val="18"/>
              </w:rPr>
              <w:t>145.396</w:t>
            </w:r>
          </w:p>
        </w:tc>
        <w:tc>
          <w:tcPr>
            <w:tcW w:w="1134" w:type="dxa"/>
            <w:tcBorders>
              <w:top w:val="single" w:sz="12" w:space="0" w:color="auto"/>
              <w:bottom w:val="nil"/>
            </w:tcBorders>
            <w:shd w:val="clear" w:color="auto" w:fill="auto"/>
            <w:vAlign w:val="bottom"/>
          </w:tcPr>
          <w:p w:rsidR="00DE0C47" w:rsidRPr="00D1286C" w:rsidRDefault="00DE0C47" w:rsidP="00CA473A">
            <w:pPr>
              <w:suppressAutoHyphens w:val="0"/>
              <w:spacing w:before="40" w:after="40" w:line="220" w:lineRule="exact"/>
              <w:jc w:val="right"/>
              <w:rPr>
                <w:sz w:val="18"/>
              </w:rPr>
            </w:pPr>
            <w:r w:rsidRPr="00D1286C">
              <w:rPr>
                <w:sz w:val="18"/>
              </w:rPr>
              <w:t>10 607</w:t>
            </w:r>
          </w:p>
        </w:tc>
      </w:tr>
      <w:tr w:rsidR="00DE0C47" w:rsidRPr="00D1286C" w:rsidTr="00CA473A">
        <w:tblPrEx>
          <w:tblCellMar>
            <w:top w:w="0" w:type="dxa"/>
            <w:bottom w:w="0" w:type="dxa"/>
          </w:tblCellMar>
        </w:tblPrEx>
        <w:tc>
          <w:tcPr>
            <w:tcW w:w="2268" w:type="dxa"/>
            <w:tcBorders>
              <w:top w:val="nil"/>
              <w:bottom w:val="nil"/>
            </w:tcBorders>
            <w:shd w:val="clear" w:color="auto" w:fill="auto"/>
            <w:vAlign w:val="bottom"/>
          </w:tcPr>
          <w:p w:rsidR="00DE0C47" w:rsidRPr="00D1286C" w:rsidRDefault="00DE0C47" w:rsidP="00CA473A">
            <w:pPr>
              <w:suppressAutoHyphens w:val="0"/>
              <w:spacing w:before="40" w:after="40" w:line="220" w:lineRule="exact"/>
              <w:rPr>
                <w:sz w:val="18"/>
              </w:rPr>
            </w:pPr>
            <w:r>
              <w:rPr>
                <w:sz w:val="18"/>
              </w:rPr>
              <w:t>Chômeurs recensés −</w:t>
            </w:r>
            <w:r w:rsidRPr="00D1286C">
              <w:rPr>
                <w:sz w:val="18"/>
              </w:rPr>
              <w:t xml:space="preserve"> 30/11/2009</w:t>
            </w:r>
          </w:p>
        </w:tc>
        <w:tc>
          <w:tcPr>
            <w:tcW w:w="1134" w:type="dxa"/>
            <w:tcBorders>
              <w:top w:val="nil"/>
              <w:bottom w:val="nil"/>
            </w:tcBorders>
            <w:shd w:val="clear" w:color="auto" w:fill="auto"/>
            <w:vAlign w:val="bottom"/>
          </w:tcPr>
          <w:p w:rsidR="00DE0C47" w:rsidRPr="00D1286C" w:rsidRDefault="00DE0C47" w:rsidP="00CA473A">
            <w:pPr>
              <w:suppressAutoHyphens w:val="0"/>
              <w:spacing w:before="40" w:after="40" w:line="220" w:lineRule="exact"/>
              <w:jc w:val="right"/>
              <w:rPr>
                <w:sz w:val="18"/>
              </w:rPr>
            </w:pPr>
            <w:r w:rsidRPr="00D1286C">
              <w:rPr>
                <w:sz w:val="18"/>
              </w:rPr>
              <w:t>506 444</w:t>
            </w:r>
          </w:p>
        </w:tc>
        <w:tc>
          <w:tcPr>
            <w:tcW w:w="1134" w:type="dxa"/>
            <w:tcBorders>
              <w:top w:val="nil"/>
              <w:bottom w:val="nil"/>
            </w:tcBorders>
            <w:shd w:val="clear" w:color="auto" w:fill="auto"/>
            <w:vAlign w:val="bottom"/>
          </w:tcPr>
          <w:p w:rsidR="00DE0C47" w:rsidRPr="00D1286C" w:rsidRDefault="00DE0C47" w:rsidP="00CA473A">
            <w:pPr>
              <w:suppressAutoHyphens w:val="0"/>
              <w:spacing w:before="40" w:after="40" w:line="220" w:lineRule="exact"/>
              <w:jc w:val="right"/>
              <w:rPr>
                <w:sz w:val="18"/>
              </w:rPr>
            </w:pPr>
            <w:r w:rsidRPr="00D1286C">
              <w:rPr>
                <w:sz w:val="18"/>
              </w:rPr>
              <w:t>352 563</w:t>
            </w:r>
          </w:p>
        </w:tc>
        <w:tc>
          <w:tcPr>
            <w:tcW w:w="1134" w:type="dxa"/>
            <w:tcBorders>
              <w:top w:val="nil"/>
              <w:bottom w:val="nil"/>
            </w:tcBorders>
            <w:shd w:val="clear" w:color="auto" w:fill="auto"/>
            <w:vAlign w:val="bottom"/>
          </w:tcPr>
          <w:p w:rsidR="00DE0C47" w:rsidRPr="00D1286C" w:rsidRDefault="00DE0C47" w:rsidP="00CA473A">
            <w:pPr>
              <w:suppressAutoHyphens w:val="0"/>
              <w:spacing w:before="40" w:after="40" w:line="220" w:lineRule="exact"/>
              <w:jc w:val="right"/>
              <w:rPr>
                <w:sz w:val="18"/>
              </w:rPr>
            </w:pPr>
            <w:r w:rsidRPr="00D1286C">
              <w:rPr>
                <w:sz w:val="18"/>
              </w:rPr>
              <w:t>143 305</w:t>
            </w:r>
          </w:p>
        </w:tc>
        <w:tc>
          <w:tcPr>
            <w:tcW w:w="1134" w:type="dxa"/>
            <w:tcBorders>
              <w:top w:val="nil"/>
              <w:bottom w:val="nil"/>
            </w:tcBorders>
            <w:shd w:val="clear" w:color="auto" w:fill="auto"/>
            <w:vAlign w:val="bottom"/>
          </w:tcPr>
          <w:p w:rsidR="00DE0C47" w:rsidRPr="00D1286C" w:rsidRDefault="00DE0C47" w:rsidP="00CA473A">
            <w:pPr>
              <w:suppressAutoHyphens w:val="0"/>
              <w:spacing w:before="40" w:after="40" w:line="220" w:lineRule="exact"/>
              <w:jc w:val="right"/>
              <w:rPr>
                <w:sz w:val="18"/>
              </w:rPr>
            </w:pPr>
            <w:r w:rsidRPr="00D1286C">
              <w:rPr>
                <w:sz w:val="18"/>
              </w:rPr>
              <w:t>10 576</w:t>
            </w:r>
          </w:p>
        </w:tc>
      </w:tr>
      <w:tr w:rsidR="00DE0C47" w:rsidRPr="00D1286C" w:rsidTr="00CA473A">
        <w:tblPrEx>
          <w:tblCellMar>
            <w:top w:w="0" w:type="dxa"/>
            <w:bottom w:w="0" w:type="dxa"/>
          </w:tblCellMar>
        </w:tblPrEx>
        <w:tc>
          <w:tcPr>
            <w:tcW w:w="2268" w:type="dxa"/>
            <w:tcBorders>
              <w:top w:val="nil"/>
              <w:bottom w:val="single" w:sz="12" w:space="0" w:color="auto"/>
            </w:tcBorders>
            <w:shd w:val="clear" w:color="auto" w:fill="auto"/>
            <w:vAlign w:val="bottom"/>
          </w:tcPr>
          <w:p w:rsidR="00DE0C47" w:rsidRPr="00D1286C" w:rsidRDefault="00DE0C47" w:rsidP="00CA473A">
            <w:pPr>
              <w:suppressAutoHyphens w:val="0"/>
              <w:spacing w:before="40" w:after="40" w:line="220" w:lineRule="exact"/>
              <w:rPr>
                <w:sz w:val="18"/>
              </w:rPr>
            </w:pPr>
            <w:r w:rsidRPr="00D1286C">
              <w:rPr>
                <w:sz w:val="18"/>
              </w:rPr>
              <w:t>Indices 31/12/2</w:t>
            </w:r>
            <w:r>
              <w:rPr>
                <w:sz w:val="18"/>
              </w:rPr>
              <w:t>009 −</w:t>
            </w:r>
            <w:r w:rsidRPr="00D1286C">
              <w:rPr>
                <w:sz w:val="18"/>
              </w:rPr>
              <w:t xml:space="preserve"> 30/11/2009</w:t>
            </w:r>
          </w:p>
        </w:tc>
        <w:tc>
          <w:tcPr>
            <w:tcW w:w="1134" w:type="dxa"/>
            <w:tcBorders>
              <w:top w:val="nil"/>
              <w:bottom w:val="single" w:sz="12" w:space="0" w:color="auto"/>
            </w:tcBorders>
            <w:shd w:val="clear" w:color="auto" w:fill="auto"/>
            <w:vAlign w:val="bottom"/>
          </w:tcPr>
          <w:p w:rsidR="00DE0C47" w:rsidRPr="00D1286C" w:rsidRDefault="00DE0C47" w:rsidP="00CA473A">
            <w:pPr>
              <w:suppressAutoHyphens w:val="0"/>
              <w:spacing w:before="40" w:after="40" w:line="220" w:lineRule="exact"/>
              <w:jc w:val="right"/>
              <w:rPr>
                <w:sz w:val="18"/>
              </w:rPr>
            </w:pPr>
            <w:r w:rsidRPr="00D1286C">
              <w:rPr>
                <w:sz w:val="18"/>
              </w:rPr>
              <w:t>100</w:t>
            </w:r>
            <w:r>
              <w:rPr>
                <w:sz w:val="18"/>
              </w:rPr>
              <w:t>,</w:t>
            </w:r>
            <w:r w:rsidRPr="00D1286C">
              <w:rPr>
                <w:sz w:val="18"/>
              </w:rPr>
              <w:t>82</w:t>
            </w:r>
          </w:p>
        </w:tc>
        <w:tc>
          <w:tcPr>
            <w:tcW w:w="1134" w:type="dxa"/>
            <w:tcBorders>
              <w:top w:val="nil"/>
              <w:bottom w:val="single" w:sz="12" w:space="0" w:color="auto"/>
            </w:tcBorders>
            <w:shd w:val="clear" w:color="auto" w:fill="auto"/>
            <w:vAlign w:val="bottom"/>
          </w:tcPr>
          <w:p w:rsidR="00DE0C47" w:rsidRPr="00D1286C" w:rsidRDefault="00DE0C47" w:rsidP="00CA473A">
            <w:pPr>
              <w:suppressAutoHyphens w:val="0"/>
              <w:spacing w:before="40" w:after="40" w:line="220" w:lineRule="exact"/>
              <w:jc w:val="right"/>
              <w:rPr>
                <w:sz w:val="18"/>
              </w:rPr>
            </w:pPr>
            <w:r w:rsidRPr="00D1286C">
              <w:rPr>
                <w:sz w:val="18"/>
              </w:rPr>
              <w:t>100</w:t>
            </w:r>
            <w:r>
              <w:rPr>
                <w:sz w:val="18"/>
              </w:rPr>
              <w:t>,</w:t>
            </w:r>
            <w:r w:rsidRPr="00D1286C">
              <w:rPr>
                <w:sz w:val="18"/>
              </w:rPr>
              <w:t>57</w:t>
            </w:r>
          </w:p>
        </w:tc>
        <w:tc>
          <w:tcPr>
            <w:tcW w:w="1134" w:type="dxa"/>
            <w:tcBorders>
              <w:top w:val="nil"/>
              <w:bottom w:val="single" w:sz="12" w:space="0" w:color="auto"/>
            </w:tcBorders>
            <w:shd w:val="clear" w:color="auto" w:fill="auto"/>
            <w:vAlign w:val="bottom"/>
          </w:tcPr>
          <w:p w:rsidR="00DE0C47" w:rsidRPr="00D1286C" w:rsidRDefault="00DE0C47" w:rsidP="00CA473A">
            <w:pPr>
              <w:suppressAutoHyphens w:val="0"/>
              <w:spacing w:before="40" w:after="40" w:line="220" w:lineRule="exact"/>
              <w:jc w:val="right"/>
              <w:rPr>
                <w:sz w:val="18"/>
              </w:rPr>
            </w:pPr>
            <w:r w:rsidRPr="00D1286C">
              <w:rPr>
                <w:sz w:val="18"/>
              </w:rPr>
              <w:t>101</w:t>
            </w:r>
            <w:r>
              <w:rPr>
                <w:sz w:val="18"/>
              </w:rPr>
              <w:t>,</w:t>
            </w:r>
            <w:r w:rsidRPr="00D1286C">
              <w:rPr>
                <w:sz w:val="18"/>
              </w:rPr>
              <w:t>46</w:t>
            </w:r>
          </w:p>
        </w:tc>
        <w:tc>
          <w:tcPr>
            <w:tcW w:w="1134" w:type="dxa"/>
            <w:tcBorders>
              <w:top w:val="nil"/>
              <w:bottom w:val="single" w:sz="12" w:space="0" w:color="auto"/>
            </w:tcBorders>
            <w:shd w:val="clear" w:color="auto" w:fill="auto"/>
            <w:vAlign w:val="bottom"/>
          </w:tcPr>
          <w:p w:rsidR="00DE0C47" w:rsidRPr="00D1286C" w:rsidRDefault="00DE0C47" w:rsidP="00CA473A">
            <w:pPr>
              <w:suppressAutoHyphens w:val="0"/>
              <w:spacing w:before="40" w:after="40" w:line="220" w:lineRule="exact"/>
              <w:jc w:val="right"/>
              <w:rPr>
                <w:sz w:val="18"/>
              </w:rPr>
            </w:pPr>
            <w:r w:rsidRPr="00D1286C">
              <w:rPr>
                <w:sz w:val="18"/>
              </w:rPr>
              <w:t>100</w:t>
            </w:r>
            <w:r>
              <w:rPr>
                <w:sz w:val="18"/>
              </w:rPr>
              <w:t>,</w:t>
            </w:r>
            <w:r w:rsidRPr="00D1286C">
              <w:rPr>
                <w:sz w:val="18"/>
              </w:rPr>
              <w:t>29</w:t>
            </w:r>
          </w:p>
        </w:tc>
      </w:tr>
    </w:tbl>
    <w:p w:rsidR="00DE0C47" w:rsidRDefault="00DE0C47" w:rsidP="00CD73F3">
      <w:pPr>
        <w:pStyle w:val="SingleTxtG"/>
        <w:spacing w:before="240"/>
      </w:pPr>
      <w:r w:rsidRPr="00D1286C">
        <w:t>67.</w:t>
      </w:r>
      <w:r w:rsidRPr="00D1286C">
        <w:tab/>
        <w:t>Parmi les personnes cherchant un emploi au 31 décembre 2009, on comptait 162 046 (ou 31,74 %) travailleurs non qualifiés, 14 271 (2,80</w:t>
      </w:r>
      <w:r>
        <w:t> </w:t>
      </w:r>
      <w:r w:rsidRPr="00D1286C">
        <w:t>%) semi-qualifiés, 181 913 (35,63</w:t>
      </w:r>
      <w:r>
        <w:t> </w:t>
      </w:r>
      <w:r w:rsidRPr="00D1286C">
        <w:t>%) qualifiés et 4 123 (0,81</w:t>
      </w:r>
      <w:r>
        <w:t> </w:t>
      </w:r>
      <w:r w:rsidRPr="00D1286C">
        <w:t>%) hautement qualifiés, tandis que 2 170 (0,43</w:t>
      </w:r>
      <w:r>
        <w:t> </w:t>
      </w:r>
      <w:r w:rsidRPr="00D1286C">
        <w:t xml:space="preserve">%) avaient un niveau </w:t>
      </w:r>
      <w:r>
        <w:t>d</w:t>
      </w:r>
      <w:r w:rsidR="00CA473A">
        <w:t>’</w:t>
      </w:r>
      <w:r>
        <w:t>études primaires</w:t>
      </w:r>
      <w:r w:rsidRPr="00D1286C">
        <w:t>, 121 365 (23</w:t>
      </w:r>
      <w:r>
        <w:t>,77 </w:t>
      </w:r>
      <w:r w:rsidRPr="00D1286C">
        <w:t xml:space="preserve">%) un niveau </w:t>
      </w:r>
      <w:r>
        <w:t>d</w:t>
      </w:r>
      <w:r w:rsidR="00CA473A">
        <w:t>’</w:t>
      </w:r>
      <w:r>
        <w:t xml:space="preserve">études </w:t>
      </w:r>
      <w:r w:rsidRPr="00D1286C">
        <w:t>secondaire</w:t>
      </w:r>
      <w:r>
        <w:t>s</w:t>
      </w:r>
      <w:r w:rsidRPr="00D1286C">
        <w:t>, 7 176 (1,41</w:t>
      </w:r>
      <w:r>
        <w:t> </w:t>
      </w:r>
      <w:r w:rsidRPr="00D1286C">
        <w:t>%) avaient fait des études avancées et 17 516 (3,43</w:t>
      </w:r>
      <w:r>
        <w:t> </w:t>
      </w:r>
      <w:r w:rsidRPr="00D1286C">
        <w:t>%) des études supérieures.</w:t>
      </w:r>
    </w:p>
    <w:p w:rsidR="00DE0C47" w:rsidRDefault="00DE0C47" w:rsidP="00DE0C47">
      <w:pPr>
        <w:pStyle w:val="SingleTxtG"/>
      </w:pPr>
      <w:r w:rsidRPr="00D1286C">
        <w:t>68.</w:t>
      </w:r>
      <w:r w:rsidRPr="00D1286C">
        <w:tab/>
        <w:t>Parmi les chômeurs recensés, les plus nombreux sont ceux ayant un diplôme ou une formation professionnels, c</w:t>
      </w:r>
      <w:r w:rsidR="00CA473A">
        <w:t>’</w:t>
      </w:r>
      <w:r w:rsidRPr="00D1286C">
        <w:t>est-à-dire les travailleurs qualifiés (35,63</w:t>
      </w:r>
      <w:r>
        <w:t> </w:t>
      </w:r>
      <w:r w:rsidRPr="00D1286C">
        <w:t>%), et ceux qui ne sont pas qualifiés (31,74</w:t>
      </w:r>
      <w:r>
        <w:t> </w:t>
      </w:r>
      <w:r w:rsidRPr="00D1286C">
        <w:t>%). Sur l</w:t>
      </w:r>
      <w:r w:rsidR="00CA473A">
        <w:t>’</w:t>
      </w:r>
      <w:r w:rsidRPr="00D1286C">
        <w:t xml:space="preserve">ensemble, les personnes ayant </w:t>
      </w:r>
      <w:r>
        <w:t xml:space="preserve">suivi des études </w:t>
      </w:r>
      <w:r w:rsidRPr="00D1286C">
        <w:t>universitaire</w:t>
      </w:r>
      <w:r>
        <w:t>s</w:t>
      </w:r>
      <w:r w:rsidRPr="00D1286C">
        <w:t xml:space="preserve"> (universités et hautes écoles) sont au nombre de 24 692 (4,84</w:t>
      </w:r>
      <w:r>
        <w:t> </w:t>
      </w:r>
      <w:r w:rsidRPr="00D1286C">
        <w:t xml:space="preserve">%). Parmi </w:t>
      </w:r>
      <w:r>
        <w:t>l</w:t>
      </w:r>
      <w:r w:rsidRPr="00D1286C">
        <w:t xml:space="preserve">es diplômés des </w:t>
      </w:r>
      <w:r>
        <w:t>premier et deuxième cycles universitaires</w:t>
      </w:r>
      <w:r w:rsidRPr="00D1286C">
        <w:t>, 15 335 (62,11</w:t>
      </w:r>
      <w:r>
        <w:t> </w:t>
      </w:r>
      <w:r w:rsidRPr="00D1286C">
        <w:t>%) sont des femmes.</w:t>
      </w:r>
    </w:p>
    <w:p w:rsidR="00DE0C47" w:rsidRDefault="00DE0C47" w:rsidP="00DE0C47">
      <w:pPr>
        <w:pStyle w:val="SingleTxtG"/>
      </w:pPr>
      <w:r w:rsidRPr="00D1286C">
        <w:t>69.</w:t>
      </w:r>
      <w:r w:rsidRPr="00D1286C">
        <w:tab/>
        <w:t xml:space="preserve">Sur le total des chômeurs déclarés au mois de décembre 2009, 14 800 étaient </w:t>
      </w:r>
      <w:r>
        <w:t>des demandeurs d</w:t>
      </w:r>
      <w:r w:rsidR="00CA473A">
        <w:t>’</w:t>
      </w:r>
      <w:r>
        <w:t xml:space="preserve">emploi </w:t>
      </w:r>
      <w:r w:rsidRPr="00D1286C">
        <w:t xml:space="preserve">nouvellement inscrits. Le nombre de personnes ayant été </w:t>
      </w:r>
      <w:r>
        <w:t xml:space="preserve">radiées </w:t>
      </w:r>
      <w:r w:rsidRPr="00D1286C">
        <w:t>des registres des Bureaux et des Services de l</w:t>
      </w:r>
      <w:r w:rsidR="00CA473A">
        <w:t>’</w:t>
      </w:r>
      <w:r w:rsidRPr="00D1286C">
        <w:t>emploi était de 11 106. Parmi eux, 4 620 (41</w:t>
      </w:r>
      <w:r>
        <w:t>,60 </w:t>
      </w:r>
      <w:r w:rsidRPr="00D1286C">
        <w:t>%) avaient trouvé un travail.</w:t>
      </w:r>
    </w:p>
    <w:p w:rsidR="00DE0C47" w:rsidRDefault="00DE0C47" w:rsidP="00DE0C47">
      <w:pPr>
        <w:pStyle w:val="SingleTxtG"/>
        <w:rPr>
          <w:lang w:val="fr-FR"/>
        </w:rPr>
      </w:pPr>
      <w:r w:rsidRPr="00D1286C">
        <w:rPr>
          <w:lang w:val="fr-FR"/>
        </w:rPr>
        <w:t>70.</w:t>
      </w:r>
      <w:r w:rsidRPr="00D1286C">
        <w:rPr>
          <w:lang w:val="fr-FR"/>
        </w:rPr>
        <w:tab/>
        <w:t>En décembre 2009, 22 026 postes étaient à pourvoir selon les informations que les employeurs ont fait parvenir aux Bureaux et aux Services de l</w:t>
      </w:r>
      <w:r w:rsidR="00CA473A">
        <w:rPr>
          <w:lang w:val="fr-FR"/>
        </w:rPr>
        <w:t>’</w:t>
      </w:r>
      <w:r w:rsidRPr="00D1286C">
        <w:rPr>
          <w:lang w:val="fr-FR"/>
        </w:rPr>
        <w:t xml:space="preserve">emploi. Au même moment, </w:t>
      </w:r>
      <w:r>
        <w:rPr>
          <w:lang w:val="fr-FR"/>
        </w:rPr>
        <w:t xml:space="preserve">on dénombrait </w:t>
      </w:r>
      <w:r w:rsidRPr="00D1286C">
        <w:rPr>
          <w:lang w:val="fr-FR"/>
        </w:rPr>
        <w:t>8 353 personnes ayant perdu leur emploi, c</w:t>
      </w:r>
      <w:r w:rsidR="00CA473A">
        <w:rPr>
          <w:lang w:val="fr-FR"/>
        </w:rPr>
        <w:t>’</w:t>
      </w:r>
      <w:r w:rsidRPr="00D1286C">
        <w:rPr>
          <w:lang w:val="fr-FR"/>
        </w:rPr>
        <w:t>est-à-dire 1 136 personnes (</w:t>
      </w:r>
      <w:r>
        <w:rPr>
          <w:lang w:val="fr-FR"/>
        </w:rPr>
        <w:t>15,74 %</w:t>
      </w:r>
      <w:r w:rsidRPr="00D1286C">
        <w:rPr>
          <w:lang w:val="fr-FR"/>
        </w:rPr>
        <w:t xml:space="preserve">) de plus </w:t>
      </w:r>
      <w:r>
        <w:rPr>
          <w:lang w:val="fr-FR"/>
        </w:rPr>
        <w:t xml:space="preserve">que le </w:t>
      </w:r>
      <w:r w:rsidRPr="00D1286C">
        <w:rPr>
          <w:lang w:val="fr-FR"/>
        </w:rPr>
        <w:t xml:space="preserve">mois précédent. </w:t>
      </w:r>
      <w:r>
        <w:rPr>
          <w:lang w:val="fr-FR"/>
        </w:rPr>
        <w:t xml:space="preserve">Par rapport au </w:t>
      </w:r>
      <w:r w:rsidRPr="00D1286C">
        <w:rPr>
          <w:lang w:val="fr-FR"/>
        </w:rPr>
        <w:t>mois de janvier 2009, cela représente 1 757 personnes (17,38</w:t>
      </w:r>
      <w:r>
        <w:rPr>
          <w:lang w:val="fr-FR"/>
        </w:rPr>
        <w:t> </w:t>
      </w:r>
      <w:r w:rsidRPr="00D1286C">
        <w:rPr>
          <w:lang w:val="fr-FR"/>
        </w:rPr>
        <w:t>%) de moins. Il s</w:t>
      </w:r>
      <w:r w:rsidR="00CA473A">
        <w:rPr>
          <w:lang w:val="fr-FR"/>
        </w:rPr>
        <w:t>’</w:t>
      </w:r>
      <w:r w:rsidRPr="00D1286C">
        <w:rPr>
          <w:lang w:val="fr-FR"/>
        </w:rPr>
        <w:t>agit d</w:t>
      </w:r>
      <w:r w:rsidR="00CA473A">
        <w:rPr>
          <w:lang w:val="fr-FR"/>
        </w:rPr>
        <w:t>’</w:t>
      </w:r>
      <w:r w:rsidRPr="00D1286C">
        <w:rPr>
          <w:lang w:val="fr-FR"/>
        </w:rPr>
        <w:t>un nombre global qui comprend des cessations d</w:t>
      </w:r>
      <w:r w:rsidR="00CA473A">
        <w:rPr>
          <w:lang w:val="fr-FR"/>
        </w:rPr>
        <w:t>’</w:t>
      </w:r>
      <w:r w:rsidRPr="00D1286C">
        <w:rPr>
          <w:lang w:val="fr-FR"/>
        </w:rPr>
        <w:t xml:space="preserve">emploi pour </w:t>
      </w:r>
      <w:r>
        <w:rPr>
          <w:lang w:val="fr-FR"/>
        </w:rPr>
        <w:t>diverses raisons:</w:t>
      </w:r>
      <w:r w:rsidRPr="00D1286C">
        <w:rPr>
          <w:lang w:val="fr-FR"/>
        </w:rPr>
        <w:t xml:space="preserve"> licenciement pour cause de faillite ou </w:t>
      </w:r>
      <w:r>
        <w:rPr>
          <w:lang w:val="fr-FR"/>
        </w:rPr>
        <w:t xml:space="preserve">de </w:t>
      </w:r>
      <w:r w:rsidRPr="00D1286C">
        <w:rPr>
          <w:lang w:val="fr-FR"/>
        </w:rPr>
        <w:t xml:space="preserve">liquidation des entreprises, </w:t>
      </w:r>
      <w:r>
        <w:rPr>
          <w:lang w:val="fr-FR"/>
        </w:rPr>
        <w:t xml:space="preserve">personnel devenu excédentaire pour des raisons </w:t>
      </w:r>
      <w:r w:rsidRPr="00D1286C">
        <w:rPr>
          <w:lang w:val="fr-FR"/>
        </w:rPr>
        <w:t>technologiques et organisationnel</w:t>
      </w:r>
      <w:r>
        <w:rPr>
          <w:lang w:val="fr-FR"/>
        </w:rPr>
        <w:t>le</w:t>
      </w:r>
      <w:r w:rsidRPr="00D1286C">
        <w:rPr>
          <w:lang w:val="fr-FR"/>
        </w:rPr>
        <w:t>s, cessation d</w:t>
      </w:r>
      <w:r w:rsidR="00CA473A">
        <w:rPr>
          <w:lang w:val="fr-FR"/>
        </w:rPr>
        <w:t>’</w:t>
      </w:r>
      <w:r w:rsidRPr="00D1286C">
        <w:rPr>
          <w:lang w:val="fr-FR"/>
        </w:rPr>
        <w:t>activité de l</w:t>
      </w:r>
      <w:r w:rsidR="00CA473A">
        <w:rPr>
          <w:lang w:val="fr-FR"/>
        </w:rPr>
        <w:t>’</w:t>
      </w:r>
      <w:r w:rsidRPr="00D1286C">
        <w:rPr>
          <w:lang w:val="fr-FR"/>
        </w:rPr>
        <w:t>employeur, fin de contrat à durée déterminée, rupture de contrat à l</w:t>
      </w:r>
      <w:r w:rsidR="00CA473A">
        <w:rPr>
          <w:lang w:val="fr-FR"/>
        </w:rPr>
        <w:t>’</w:t>
      </w:r>
      <w:r w:rsidRPr="00D1286C">
        <w:rPr>
          <w:lang w:val="fr-FR"/>
        </w:rPr>
        <w:t xml:space="preserve">amiable, violation des obligations </w:t>
      </w:r>
      <w:r>
        <w:rPr>
          <w:lang w:val="fr-FR"/>
        </w:rPr>
        <w:t xml:space="preserve">au titre du droit du travail </w:t>
      </w:r>
      <w:r w:rsidRPr="00D1286C">
        <w:rPr>
          <w:lang w:val="fr-FR"/>
        </w:rPr>
        <w:t>et d</w:t>
      </w:r>
      <w:r w:rsidR="00CA473A">
        <w:rPr>
          <w:lang w:val="fr-FR"/>
        </w:rPr>
        <w:t>’</w:t>
      </w:r>
      <w:r w:rsidRPr="00D1286C">
        <w:rPr>
          <w:lang w:val="fr-FR"/>
        </w:rPr>
        <w:t>autres raisons.</w:t>
      </w:r>
    </w:p>
    <w:p w:rsidR="00DE0C47" w:rsidRDefault="00DE0C47" w:rsidP="00DE0C47">
      <w:pPr>
        <w:pStyle w:val="SingleTxtG"/>
        <w:rPr>
          <w:lang w:val="fr-FR"/>
        </w:rPr>
      </w:pPr>
      <w:r w:rsidRPr="00D1286C">
        <w:rPr>
          <w:lang w:val="fr-FR"/>
        </w:rPr>
        <w:t>71.</w:t>
      </w:r>
      <w:r w:rsidRPr="00D1286C">
        <w:rPr>
          <w:lang w:val="fr-FR"/>
        </w:rPr>
        <w:tab/>
        <w:t>La reprise économique en Bosnie-Herzégovine s</w:t>
      </w:r>
      <w:r w:rsidR="00CA473A">
        <w:rPr>
          <w:lang w:val="fr-FR"/>
        </w:rPr>
        <w:t>’</w:t>
      </w:r>
      <w:r w:rsidRPr="00D1286C">
        <w:rPr>
          <w:lang w:val="fr-FR"/>
        </w:rPr>
        <w:t>est amorcée après la fin de la guerre. L</w:t>
      </w:r>
      <w:r w:rsidR="00CA473A">
        <w:rPr>
          <w:lang w:val="fr-FR"/>
        </w:rPr>
        <w:t>’</w:t>
      </w:r>
      <w:r w:rsidRPr="00D1286C">
        <w:rPr>
          <w:lang w:val="fr-FR"/>
        </w:rPr>
        <w:t>introduction d</w:t>
      </w:r>
      <w:r w:rsidR="00CA473A">
        <w:rPr>
          <w:lang w:val="fr-FR"/>
        </w:rPr>
        <w:t>’</w:t>
      </w:r>
      <w:r w:rsidRPr="00D1286C">
        <w:rPr>
          <w:lang w:val="fr-FR"/>
        </w:rPr>
        <w:t xml:space="preserve">une monnaie unique a contribué à la stabilité du fonctionnement de la Banque centrale. En 1996, le produit intérieur brut global était de 830 dollars </w:t>
      </w:r>
      <w:r>
        <w:rPr>
          <w:lang w:val="fr-FR"/>
        </w:rPr>
        <w:t xml:space="preserve">des États-Unis </w:t>
      </w:r>
      <w:r w:rsidRPr="00D1286C">
        <w:rPr>
          <w:lang w:val="fr-FR"/>
        </w:rPr>
        <w:t>par habitant et, en 2001, de 1</w:t>
      </w:r>
      <w:r>
        <w:rPr>
          <w:lang w:val="fr-FR"/>
        </w:rPr>
        <w:t xml:space="preserve"> </w:t>
      </w:r>
      <w:r w:rsidRPr="00D1286C">
        <w:rPr>
          <w:lang w:val="fr-FR"/>
        </w:rPr>
        <w:t>255 dollars. Toutefois, la transition ne s</w:t>
      </w:r>
      <w:r w:rsidR="00CA473A">
        <w:rPr>
          <w:lang w:val="fr-FR"/>
        </w:rPr>
        <w:t>’</w:t>
      </w:r>
      <w:r w:rsidRPr="00D1286C">
        <w:rPr>
          <w:lang w:val="fr-FR"/>
        </w:rPr>
        <w:t>opère pas assez rapidement pour permettre le redressement de la Bosnie-Herzégovine.</w:t>
      </w:r>
    </w:p>
    <w:p w:rsidR="00DE0C47" w:rsidRDefault="00DE0C47" w:rsidP="00DE0C47">
      <w:pPr>
        <w:pStyle w:val="SingleTxtG"/>
        <w:rPr>
          <w:lang w:val="fr-FR"/>
        </w:rPr>
      </w:pPr>
      <w:r w:rsidRPr="00D1286C">
        <w:rPr>
          <w:lang w:val="fr-FR"/>
        </w:rPr>
        <w:t>72.</w:t>
      </w:r>
      <w:r w:rsidRPr="00D1286C">
        <w:rPr>
          <w:lang w:val="fr-FR"/>
        </w:rPr>
        <w:tab/>
        <w:t xml:space="preserve">Une mesure du niveau de vie en Bosnie-Herzégovine a </w:t>
      </w:r>
      <w:r>
        <w:rPr>
          <w:lang w:val="fr-FR"/>
        </w:rPr>
        <w:t xml:space="preserve">montré </w:t>
      </w:r>
      <w:r w:rsidRPr="00D1286C">
        <w:rPr>
          <w:lang w:val="fr-FR"/>
        </w:rPr>
        <w:t>qu</w:t>
      </w:r>
      <w:r w:rsidR="00CA473A">
        <w:rPr>
          <w:lang w:val="fr-FR"/>
        </w:rPr>
        <w:t>’</w:t>
      </w:r>
      <w:r w:rsidRPr="00D1286C">
        <w:rPr>
          <w:lang w:val="fr-FR"/>
        </w:rPr>
        <w:t>entre 19 et 25</w:t>
      </w:r>
      <w:r>
        <w:rPr>
          <w:lang w:val="fr-FR"/>
        </w:rPr>
        <w:t> </w:t>
      </w:r>
      <w:r w:rsidRPr="00D1286C">
        <w:rPr>
          <w:lang w:val="fr-FR"/>
        </w:rPr>
        <w:t xml:space="preserve">% de la population vit dans la pauvreté et </w:t>
      </w:r>
      <w:r>
        <w:rPr>
          <w:lang w:val="fr-FR"/>
        </w:rPr>
        <w:t xml:space="preserve">environ </w:t>
      </w:r>
      <w:r w:rsidRPr="00D1286C">
        <w:rPr>
          <w:lang w:val="fr-FR"/>
        </w:rPr>
        <w:t>40</w:t>
      </w:r>
      <w:r>
        <w:rPr>
          <w:lang w:val="fr-FR"/>
        </w:rPr>
        <w:t> </w:t>
      </w:r>
      <w:r w:rsidRPr="00D1286C">
        <w:rPr>
          <w:lang w:val="fr-FR"/>
        </w:rPr>
        <w:t>%</w:t>
      </w:r>
      <w:r>
        <w:rPr>
          <w:lang w:val="fr-FR"/>
        </w:rPr>
        <w:t xml:space="preserve"> dans la précarité</w:t>
      </w:r>
      <w:r w:rsidRPr="00D1286C">
        <w:rPr>
          <w:lang w:val="fr-FR"/>
        </w:rPr>
        <w:t>.</w:t>
      </w:r>
    </w:p>
    <w:p w:rsidR="00DE0C47" w:rsidRPr="001D2A31" w:rsidRDefault="00DE0C47" w:rsidP="00DE0C47">
      <w:pPr>
        <w:pStyle w:val="Heading1"/>
        <w:spacing w:after="120"/>
        <w:rPr>
          <w:b/>
          <w:lang w:val="fr-FR"/>
        </w:rPr>
      </w:pPr>
      <w:r w:rsidRPr="00D1286C">
        <w:rPr>
          <w:lang w:val="fr-FR"/>
        </w:rPr>
        <w:t>Tableau 15</w:t>
      </w:r>
      <w:r>
        <w:rPr>
          <w:lang w:val="fr-FR"/>
        </w:rPr>
        <w:br/>
      </w:r>
      <w:r w:rsidRPr="001D2A31">
        <w:rPr>
          <w:b/>
          <w:lang w:val="fr-FR"/>
        </w:rPr>
        <w:t>Pourcentage de la population de Bosnie-Herzégovine vivant</w:t>
      </w:r>
      <w:r>
        <w:rPr>
          <w:b/>
          <w:lang w:val="fr-FR"/>
        </w:rPr>
        <w:t xml:space="preserve"> </w:t>
      </w:r>
      <w:r w:rsidRPr="001D2A31">
        <w:rPr>
          <w:b/>
          <w:lang w:val="fr-FR"/>
        </w:rPr>
        <w:t>sous</w:t>
      </w:r>
      <w:r>
        <w:rPr>
          <w:b/>
          <w:lang w:val="fr-FR"/>
        </w:rPr>
        <w:br/>
      </w:r>
      <w:r w:rsidRPr="001D2A31">
        <w:rPr>
          <w:b/>
          <w:lang w:val="fr-FR"/>
        </w:rPr>
        <w:t>le seuil de pauvreté par région</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835"/>
        <w:gridCol w:w="1134"/>
        <w:gridCol w:w="1134"/>
        <w:gridCol w:w="1134"/>
        <w:gridCol w:w="1134"/>
      </w:tblGrid>
      <w:tr w:rsidR="00DE0C47" w:rsidRPr="001D2A31" w:rsidTr="00CA473A">
        <w:trPr>
          <w:trHeight w:val="269"/>
          <w:tblHeader/>
        </w:trPr>
        <w:tc>
          <w:tcPr>
            <w:tcW w:w="2835" w:type="dxa"/>
            <w:tcBorders>
              <w:top w:val="single" w:sz="4" w:space="0" w:color="auto"/>
              <w:bottom w:val="single" w:sz="12" w:space="0" w:color="auto"/>
            </w:tcBorders>
            <w:shd w:val="clear" w:color="auto" w:fill="auto"/>
            <w:vAlign w:val="bottom"/>
          </w:tcPr>
          <w:p w:rsidR="00DE0C47" w:rsidRPr="001D2A31" w:rsidRDefault="00DE0C47" w:rsidP="00CA473A">
            <w:pPr>
              <w:suppressAutoHyphens w:val="0"/>
              <w:spacing w:before="80" w:after="80" w:line="200" w:lineRule="exact"/>
              <w:ind w:right="113"/>
              <w:rPr>
                <w:i/>
                <w:sz w:val="16"/>
                <w:lang w:val="en-GB"/>
              </w:rPr>
            </w:pPr>
            <w:r w:rsidRPr="001D2A31">
              <w:rPr>
                <w:i/>
                <w:sz w:val="16"/>
                <w:lang w:val="en-GB"/>
              </w:rPr>
              <w:t>Région</w:t>
            </w:r>
          </w:p>
        </w:tc>
        <w:tc>
          <w:tcPr>
            <w:tcW w:w="1134" w:type="dxa"/>
            <w:tcBorders>
              <w:top w:val="single" w:sz="4" w:space="0" w:color="auto"/>
              <w:bottom w:val="single" w:sz="12" w:space="0" w:color="auto"/>
            </w:tcBorders>
            <w:shd w:val="clear" w:color="auto" w:fill="auto"/>
            <w:vAlign w:val="bottom"/>
          </w:tcPr>
          <w:p w:rsidR="00DE0C47" w:rsidRPr="001D2A31" w:rsidRDefault="00DE0C47" w:rsidP="00E444F6">
            <w:pPr>
              <w:suppressAutoHyphens w:val="0"/>
              <w:spacing w:before="80" w:after="80" w:line="200" w:lineRule="exact"/>
              <w:jc w:val="right"/>
              <w:rPr>
                <w:i/>
                <w:sz w:val="16"/>
                <w:lang w:val="en-GB"/>
              </w:rPr>
            </w:pPr>
            <w:r w:rsidRPr="001D2A31">
              <w:rPr>
                <w:i/>
                <w:sz w:val="16"/>
                <w:lang w:val="en-GB"/>
              </w:rPr>
              <w:t>Urbaine</w:t>
            </w:r>
          </w:p>
        </w:tc>
        <w:tc>
          <w:tcPr>
            <w:tcW w:w="1134" w:type="dxa"/>
            <w:tcBorders>
              <w:top w:val="single" w:sz="4" w:space="0" w:color="auto"/>
              <w:bottom w:val="single" w:sz="12" w:space="0" w:color="auto"/>
            </w:tcBorders>
            <w:shd w:val="clear" w:color="auto" w:fill="auto"/>
            <w:vAlign w:val="bottom"/>
          </w:tcPr>
          <w:p w:rsidR="00DE0C47" w:rsidRPr="001D2A31" w:rsidRDefault="00DE0C47" w:rsidP="00E444F6">
            <w:pPr>
              <w:suppressAutoHyphens w:val="0"/>
              <w:spacing w:before="80" w:after="80" w:line="200" w:lineRule="exact"/>
              <w:jc w:val="right"/>
              <w:rPr>
                <w:i/>
                <w:sz w:val="16"/>
                <w:lang w:val="en-GB"/>
              </w:rPr>
            </w:pPr>
            <w:r w:rsidRPr="001D2A31">
              <w:rPr>
                <w:i/>
                <w:sz w:val="16"/>
                <w:lang w:val="en-GB"/>
              </w:rPr>
              <w:t>Mixte</w:t>
            </w:r>
          </w:p>
        </w:tc>
        <w:tc>
          <w:tcPr>
            <w:tcW w:w="1134" w:type="dxa"/>
            <w:tcBorders>
              <w:top w:val="single" w:sz="4" w:space="0" w:color="auto"/>
              <w:bottom w:val="single" w:sz="12" w:space="0" w:color="auto"/>
            </w:tcBorders>
            <w:shd w:val="clear" w:color="auto" w:fill="auto"/>
            <w:vAlign w:val="bottom"/>
          </w:tcPr>
          <w:p w:rsidR="00DE0C47" w:rsidRPr="001D2A31" w:rsidRDefault="00DE0C47" w:rsidP="00E444F6">
            <w:pPr>
              <w:suppressAutoHyphens w:val="0"/>
              <w:spacing w:before="80" w:after="80" w:line="200" w:lineRule="exact"/>
              <w:jc w:val="right"/>
              <w:rPr>
                <w:i/>
                <w:sz w:val="16"/>
                <w:lang w:val="en-GB"/>
              </w:rPr>
            </w:pPr>
            <w:r w:rsidRPr="001D2A31">
              <w:rPr>
                <w:i/>
                <w:sz w:val="16"/>
                <w:lang w:val="en-GB"/>
              </w:rPr>
              <w:t>Rurale</w:t>
            </w:r>
          </w:p>
        </w:tc>
        <w:tc>
          <w:tcPr>
            <w:tcW w:w="1134" w:type="dxa"/>
            <w:tcBorders>
              <w:top w:val="single" w:sz="4" w:space="0" w:color="auto"/>
              <w:bottom w:val="single" w:sz="12" w:space="0" w:color="auto"/>
            </w:tcBorders>
            <w:shd w:val="clear" w:color="auto" w:fill="auto"/>
            <w:vAlign w:val="bottom"/>
          </w:tcPr>
          <w:p w:rsidR="00DE0C47" w:rsidRPr="001D2A31" w:rsidRDefault="00DE0C47" w:rsidP="00E444F6">
            <w:pPr>
              <w:suppressAutoHyphens w:val="0"/>
              <w:spacing w:before="80" w:after="80" w:line="200" w:lineRule="exact"/>
              <w:jc w:val="right"/>
              <w:rPr>
                <w:i/>
                <w:sz w:val="16"/>
                <w:lang w:val="en-GB"/>
              </w:rPr>
            </w:pPr>
            <w:r w:rsidRPr="001D2A31">
              <w:rPr>
                <w:i/>
                <w:sz w:val="16"/>
                <w:lang w:val="en-GB"/>
              </w:rPr>
              <w:t>Moyenne</w:t>
            </w:r>
          </w:p>
        </w:tc>
      </w:tr>
      <w:tr w:rsidR="00DE0C47" w:rsidRPr="00D1286C" w:rsidTr="00CA473A">
        <w:trPr>
          <w:trHeight w:val="342"/>
        </w:trPr>
        <w:tc>
          <w:tcPr>
            <w:tcW w:w="2835" w:type="dxa"/>
            <w:tcBorders>
              <w:top w:val="single" w:sz="12" w:space="0" w:color="auto"/>
            </w:tcBorders>
            <w:shd w:val="clear" w:color="auto" w:fill="auto"/>
          </w:tcPr>
          <w:p w:rsidR="00DE0C47" w:rsidRPr="00D1286C" w:rsidRDefault="00DE0C47" w:rsidP="00CA473A">
            <w:pPr>
              <w:suppressAutoHyphens w:val="0"/>
              <w:spacing w:before="40" w:after="40" w:line="220" w:lineRule="exact"/>
              <w:ind w:right="113"/>
              <w:rPr>
                <w:sz w:val="18"/>
                <w:lang w:val="en-GB"/>
              </w:rPr>
            </w:pPr>
            <w:r w:rsidRPr="00D1286C">
              <w:rPr>
                <w:sz w:val="18"/>
                <w:lang w:val="en-GB"/>
              </w:rPr>
              <w:t>Bosnie-Herzégovine</w:t>
            </w:r>
          </w:p>
        </w:tc>
        <w:tc>
          <w:tcPr>
            <w:tcW w:w="1134" w:type="dxa"/>
            <w:tcBorders>
              <w:top w:val="single" w:sz="12" w:space="0" w:color="auto"/>
            </w:tcBorders>
            <w:shd w:val="clear" w:color="auto" w:fill="auto"/>
            <w:vAlign w:val="bottom"/>
          </w:tcPr>
          <w:p w:rsidR="00DE0C47" w:rsidRPr="00D1286C" w:rsidRDefault="00DE0C47" w:rsidP="00E444F6">
            <w:pPr>
              <w:suppressAutoHyphens w:val="0"/>
              <w:spacing w:before="40" w:after="40" w:line="220" w:lineRule="exact"/>
              <w:jc w:val="right"/>
              <w:rPr>
                <w:sz w:val="18"/>
                <w:lang w:val="en-GB"/>
              </w:rPr>
            </w:pPr>
            <w:r w:rsidRPr="00D1286C">
              <w:rPr>
                <w:sz w:val="18"/>
                <w:lang w:val="en-GB"/>
              </w:rPr>
              <w:t>14</w:t>
            </w:r>
            <w:r>
              <w:rPr>
                <w:sz w:val="18"/>
                <w:lang w:val="en-GB"/>
              </w:rPr>
              <w:t>,</w:t>
            </w:r>
            <w:r w:rsidRPr="00D1286C">
              <w:rPr>
                <w:sz w:val="18"/>
                <w:lang w:val="en-GB"/>
              </w:rPr>
              <w:t>5</w:t>
            </w:r>
          </w:p>
        </w:tc>
        <w:tc>
          <w:tcPr>
            <w:tcW w:w="1134" w:type="dxa"/>
            <w:tcBorders>
              <w:top w:val="single" w:sz="12" w:space="0" w:color="auto"/>
            </w:tcBorders>
            <w:shd w:val="clear" w:color="auto" w:fill="auto"/>
            <w:vAlign w:val="bottom"/>
          </w:tcPr>
          <w:p w:rsidR="00DE0C47" w:rsidRPr="00D1286C" w:rsidRDefault="00DE0C47" w:rsidP="00E444F6">
            <w:pPr>
              <w:suppressAutoHyphens w:val="0"/>
              <w:spacing w:before="40" w:after="40" w:line="220" w:lineRule="exact"/>
              <w:jc w:val="right"/>
              <w:rPr>
                <w:sz w:val="18"/>
                <w:lang w:val="en-GB"/>
              </w:rPr>
            </w:pPr>
            <w:r w:rsidRPr="00D1286C">
              <w:rPr>
                <w:sz w:val="18"/>
                <w:lang w:val="en-GB"/>
              </w:rPr>
              <w:t>22</w:t>
            </w:r>
            <w:r>
              <w:rPr>
                <w:sz w:val="18"/>
                <w:lang w:val="en-GB"/>
              </w:rPr>
              <w:t>,</w:t>
            </w:r>
            <w:r w:rsidRPr="00D1286C">
              <w:rPr>
                <w:sz w:val="18"/>
                <w:lang w:val="en-GB"/>
              </w:rPr>
              <w:t>4</w:t>
            </w:r>
          </w:p>
        </w:tc>
        <w:tc>
          <w:tcPr>
            <w:tcW w:w="1134" w:type="dxa"/>
            <w:tcBorders>
              <w:top w:val="single" w:sz="12" w:space="0" w:color="auto"/>
            </w:tcBorders>
            <w:shd w:val="clear" w:color="auto" w:fill="auto"/>
            <w:vAlign w:val="bottom"/>
          </w:tcPr>
          <w:p w:rsidR="00DE0C47" w:rsidRPr="00D1286C" w:rsidRDefault="00DE0C47" w:rsidP="00E444F6">
            <w:pPr>
              <w:suppressAutoHyphens w:val="0"/>
              <w:spacing w:before="40" w:after="40" w:line="220" w:lineRule="exact"/>
              <w:jc w:val="right"/>
              <w:rPr>
                <w:sz w:val="18"/>
                <w:lang w:val="en-GB"/>
              </w:rPr>
            </w:pPr>
            <w:r w:rsidRPr="00D1286C">
              <w:rPr>
                <w:sz w:val="18"/>
                <w:lang w:val="en-GB"/>
              </w:rPr>
              <w:t>19</w:t>
            </w:r>
            <w:r>
              <w:rPr>
                <w:sz w:val="18"/>
                <w:lang w:val="en-GB"/>
              </w:rPr>
              <w:t>,</w:t>
            </w:r>
            <w:r w:rsidRPr="00D1286C">
              <w:rPr>
                <w:sz w:val="18"/>
                <w:lang w:val="en-GB"/>
              </w:rPr>
              <w:t>4</w:t>
            </w:r>
          </w:p>
        </w:tc>
        <w:tc>
          <w:tcPr>
            <w:tcW w:w="1134" w:type="dxa"/>
            <w:tcBorders>
              <w:top w:val="single" w:sz="12" w:space="0" w:color="auto"/>
            </w:tcBorders>
            <w:shd w:val="clear" w:color="auto" w:fill="auto"/>
            <w:vAlign w:val="bottom"/>
          </w:tcPr>
          <w:p w:rsidR="00DE0C47" w:rsidRPr="00D1286C" w:rsidRDefault="00DE0C47" w:rsidP="00E444F6">
            <w:pPr>
              <w:suppressAutoHyphens w:val="0"/>
              <w:spacing w:before="40" w:after="40" w:line="220" w:lineRule="exact"/>
              <w:jc w:val="right"/>
              <w:rPr>
                <w:sz w:val="18"/>
                <w:lang w:val="en-GB"/>
              </w:rPr>
            </w:pPr>
            <w:r w:rsidRPr="00D1286C">
              <w:rPr>
                <w:sz w:val="18"/>
                <w:lang w:val="en-GB"/>
              </w:rPr>
              <w:t>19</w:t>
            </w:r>
            <w:r>
              <w:rPr>
                <w:sz w:val="18"/>
                <w:lang w:val="en-GB"/>
              </w:rPr>
              <w:t>,</w:t>
            </w:r>
            <w:r w:rsidRPr="00D1286C">
              <w:rPr>
                <w:sz w:val="18"/>
                <w:lang w:val="en-GB"/>
              </w:rPr>
              <w:t>1</w:t>
            </w:r>
          </w:p>
        </w:tc>
      </w:tr>
      <w:tr w:rsidR="00DE0C47" w:rsidRPr="00D1286C" w:rsidTr="00CA473A">
        <w:tc>
          <w:tcPr>
            <w:tcW w:w="2835" w:type="dxa"/>
            <w:shd w:val="clear" w:color="auto" w:fill="auto"/>
          </w:tcPr>
          <w:p w:rsidR="00DE0C47" w:rsidRPr="00D1286C" w:rsidRDefault="00DE0C47" w:rsidP="00CA473A">
            <w:pPr>
              <w:suppressAutoHyphens w:val="0"/>
              <w:spacing w:before="40" w:after="40" w:line="220" w:lineRule="exact"/>
              <w:ind w:right="113"/>
              <w:rPr>
                <w:sz w:val="18"/>
                <w:lang w:val="en-GB"/>
              </w:rPr>
            </w:pPr>
            <w:r w:rsidRPr="00D1286C">
              <w:rPr>
                <w:sz w:val="18"/>
                <w:lang w:val="en-GB"/>
              </w:rPr>
              <w:t>Fédération de Bosnie-Herzégovine</w:t>
            </w:r>
          </w:p>
        </w:tc>
        <w:tc>
          <w:tcPr>
            <w:tcW w:w="1134" w:type="dxa"/>
            <w:shd w:val="clear" w:color="auto" w:fill="auto"/>
            <w:vAlign w:val="bottom"/>
          </w:tcPr>
          <w:p w:rsidR="00DE0C47" w:rsidRPr="00D1286C" w:rsidRDefault="00DE0C47" w:rsidP="00E444F6">
            <w:pPr>
              <w:suppressAutoHyphens w:val="0"/>
              <w:spacing w:before="40" w:after="40" w:line="220" w:lineRule="exact"/>
              <w:jc w:val="right"/>
              <w:rPr>
                <w:sz w:val="18"/>
                <w:lang w:val="en-GB"/>
              </w:rPr>
            </w:pPr>
            <w:r w:rsidRPr="00D1286C">
              <w:rPr>
                <w:sz w:val="18"/>
                <w:lang w:val="en-GB"/>
              </w:rPr>
              <w:t>15</w:t>
            </w:r>
            <w:r>
              <w:rPr>
                <w:sz w:val="18"/>
                <w:lang w:val="en-GB"/>
              </w:rPr>
              <w:t>,</w:t>
            </w:r>
            <w:r w:rsidRPr="00D1286C">
              <w:rPr>
                <w:sz w:val="18"/>
                <w:lang w:val="en-GB"/>
              </w:rPr>
              <w:t>3</w:t>
            </w:r>
          </w:p>
        </w:tc>
        <w:tc>
          <w:tcPr>
            <w:tcW w:w="1134" w:type="dxa"/>
            <w:shd w:val="clear" w:color="auto" w:fill="auto"/>
            <w:vAlign w:val="bottom"/>
          </w:tcPr>
          <w:p w:rsidR="00DE0C47" w:rsidRPr="00D1286C" w:rsidRDefault="00DE0C47" w:rsidP="00E444F6">
            <w:pPr>
              <w:suppressAutoHyphens w:val="0"/>
              <w:spacing w:before="40" w:after="40" w:line="220" w:lineRule="exact"/>
              <w:jc w:val="right"/>
              <w:rPr>
                <w:sz w:val="18"/>
                <w:lang w:val="en-GB"/>
              </w:rPr>
            </w:pPr>
            <w:r w:rsidRPr="00D1286C">
              <w:rPr>
                <w:sz w:val="18"/>
                <w:lang w:val="en-GB"/>
              </w:rPr>
              <w:t>13</w:t>
            </w:r>
            <w:r>
              <w:rPr>
                <w:sz w:val="18"/>
                <w:lang w:val="en-GB"/>
              </w:rPr>
              <w:t>,</w:t>
            </w:r>
            <w:r w:rsidRPr="00D1286C">
              <w:rPr>
                <w:sz w:val="18"/>
                <w:lang w:val="en-GB"/>
              </w:rPr>
              <w:t>5</w:t>
            </w:r>
          </w:p>
        </w:tc>
        <w:tc>
          <w:tcPr>
            <w:tcW w:w="1134" w:type="dxa"/>
            <w:shd w:val="clear" w:color="auto" w:fill="auto"/>
            <w:vAlign w:val="bottom"/>
          </w:tcPr>
          <w:p w:rsidR="00DE0C47" w:rsidRPr="00D1286C" w:rsidRDefault="00DE0C47" w:rsidP="00E444F6">
            <w:pPr>
              <w:suppressAutoHyphens w:val="0"/>
              <w:spacing w:before="40" w:after="40" w:line="220" w:lineRule="exact"/>
              <w:jc w:val="right"/>
              <w:rPr>
                <w:sz w:val="18"/>
                <w:lang w:val="en-GB"/>
              </w:rPr>
            </w:pPr>
            <w:r w:rsidRPr="00D1286C">
              <w:rPr>
                <w:sz w:val="18"/>
                <w:lang w:val="en-GB"/>
              </w:rPr>
              <w:t>16</w:t>
            </w:r>
            <w:r>
              <w:rPr>
                <w:sz w:val="18"/>
                <w:lang w:val="en-GB"/>
              </w:rPr>
              <w:t>,</w:t>
            </w:r>
            <w:r w:rsidRPr="00D1286C">
              <w:rPr>
                <w:sz w:val="18"/>
                <w:lang w:val="en-GB"/>
              </w:rPr>
              <w:t>9</w:t>
            </w:r>
          </w:p>
        </w:tc>
        <w:tc>
          <w:tcPr>
            <w:tcW w:w="1134" w:type="dxa"/>
            <w:shd w:val="clear" w:color="auto" w:fill="auto"/>
            <w:vAlign w:val="bottom"/>
          </w:tcPr>
          <w:p w:rsidR="00DE0C47" w:rsidRPr="00D1286C" w:rsidRDefault="00DE0C47" w:rsidP="00E444F6">
            <w:pPr>
              <w:suppressAutoHyphens w:val="0"/>
              <w:spacing w:before="40" w:after="40" w:line="220" w:lineRule="exact"/>
              <w:jc w:val="right"/>
              <w:rPr>
                <w:sz w:val="18"/>
                <w:lang w:val="en-GB"/>
              </w:rPr>
            </w:pPr>
            <w:r w:rsidRPr="00D1286C">
              <w:rPr>
                <w:sz w:val="18"/>
                <w:lang w:val="en-GB"/>
              </w:rPr>
              <w:t>15</w:t>
            </w:r>
            <w:r>
              <w:rPr>
                <w:sz w:val="18"/>
                <w:lang w:val="en-GB"/>
              </w:rPr>
              <w:t>,</w:t>
            </w:r>
            <w:r w:rsidRPr="00D1286C">
              <w:rPr>
                <w:sz w:val="18"/>
                <w:lang w:val="en-GB"/>
              </w:rPr>
              <w:t>6</w:t>
            </w:r>
          </w:p>
        </w:tc>
      </w:tr>
      <w:tr w:rsidR="00DE0C47" w:rsidRPr="00D1286C" w:rsidTr="00CA473A">
        <w:tc>
          <w:tcPr>
            <w:tcW w:w="2835" w:type="dxa"/>
            <w:shd w:val="clear" w:color="auto" w:fill="auto"/>
          </w:tcPr>
          <w:p w:rsidR="00DE0C47" w:rsidRPr="00D1286C" w:rsidRDefault="00DE0C47" w:rsidP="00CA473A">
            <w:pPr>
              <w:suppressAutoHyphens w:val="0"/>
              <w:spacing w:before="40" w:after="40" w:line="220" w:lineRule="exact"/>
              <w:ind w:right="113"/>
              <w:rPr>
                <w:sz w:val="18"/>
              </w:rPr>
            </w:pPr>
            <w:r w:rsidRPr="00D1286C">
              <w:rPr>
                <w:sz w:val="18"/>
                <w:lang w:val="en-GB"/>
              </w:rPr>
              <w:t xml:space="preserve">Republika </w:t>
            </w:r>
            <w:r w:rsidRPr="00D1286C">
              <w:rPr>
                <w:sz w:val="18"/>
              </w:rPr>
              <w:t>Srpska</w:t>
            </w:r>
          </w:p>
        </w:tc>
        <w:tc>
          <w:tcPr>
            <w:tcW w:w="1134" w:type="dxa"/>
            <w:shd w:val="clear" w:color="auto" w:fill="auto"/>
            <w:vAlign w:val="bottom"/>
          </w:tcPr>
          <w:p w:rsidR="00DE0C47" w:rsidRPr="00D1286C" w:rsidRDefault="00DE0C47" w:rsidP="00E444F6">
            <w:pPr>
              <w:suppressAutoHyphens w:val="0"/>
              <w:spacing w:before="40" w:after="40" w:line="220" w:lineRule="exact"/>
              <w:jc w:val="right"/>
              <w:rPr>
                <w:sz w:val="18"/>
              </w:rPr>
            </w:pPr>
            <w:r w:rsidRPr="00D1286C">
              <w:rPr>
                <w:sz w:val="18"/>
              </w:rPr>
              <w:t>12</w:t>
            </w:r>
            <w:r>
              <w:rPr>
                <w:sz w:val="18"/>
              </w:rPr>
              <w:t>,</w:t>
            </w:r>
            <w:r w:rsidRPr="00D1286C">
              <w:rPr>
                <w:sz w:val="18"/>
              </w:rPr>
              <w:t>3</w:t>
            </w:r>
          </w:p>
        </w:tc>
        <w:tc>
          <w:tcPr>
            <w:tcW w:w="1134" w:type="dxa"/>
            <w:shd w:val="clear" w:color="auto" w:fill="auto"/>
            <w:vAlign w:val="bottom"/>
          </w:tcPr>
          <w:p w:rsidR="00DE0C47" w:rsidRPr="00D1286C" w:rsidRDefault="00DE0C47" w:rsidP="00E444F6">
            <w:pPr>
              <w:suppressAutoHyphens w:val="0"/>
              <w:spacing w:before="40" w:after="40" w:line="220" w:lineRule="exact"/>
              <w:jc w:val="right"/>
              <w:rPr>
                <w:sz w:val="18"/>
              </w:rPr>
            </w:pPr>
            <w:r w:rsidRPr="00D1286C">
              <w:rPr>
                <w:sz w:val="18"/>
              </w:rPr>
              <w:t>30</w:t>
            </w:r>
            <w:r>
              <w:rPr>
                <w:sz w:val="18"/>
              </w:rPr>
              <w:t>,</w:t>
            </w:r>
            <w:r w:rsidRPr="00D1286C">
              <w:rPr>
                <w:sz w:val="18"/>
              </w:rPr>
              <w:t>5</w:t>
            </w:r>
          </w:p>
        </w:tc>
        <w:tc>
          <w:tcPr>
            <w:tcW w:w="1134" w:type="dxa"/>
            <w:shd w:val="clear" w:color="auto" w:fill="auto"/>
            <w:vAlign w:val="bottom"/>
          </w:tcPr>
          <w:p w:rsidR="00DE0C47" w:rsidRPr="00D1286C" w:rsidRDefault="00DE0C47" w:rsidP="00E444F6">
            <w:pPr>
              <w:suppressAutoHyphens w:val="0"/>
              <w:spacing w:before="40" w:after="40" w:line="220" w:lineRule="exact"/>
              <w:jc w:val="right"/>
              <w:rPr>
                <w:sz w:val="18"/>
              </w:rPr>
            </w:pPr>
            <w:r w:rsidRPr="00D1286C">
              <w:rPr>
                <w:sz w:val="18"/>
              </w:rPr>
              <w:t>24</w:t>
            </w:r>
            <w:r>
              <w:rPr>
                <w:sz w:val="18"/>
              </w:rPr>
              <w:t>,</w:t>
            </w:r>
            <w:r w:rsidRPr="00D1286C">
              <w:rPr>
                <w:sz w:val="18"/>
              </w:rPr>
              <w:t>3</w:t>
            </w:r>
          </w:p>
        </w:tc>
        <w:tc>
          <w:tcPr>
            <w:tcW w:w="1134" w:type="dxa"/>
            <w:shd w:val="clear" w:color="auto" w:fill="auto"/>
            <w:vAlign w:val="bottom"/>
          </w:tcPr>
          <w:p w:rsidR="00DE0C47" w:rsidRPr="00D1286C" w:rsidRDefault="00DE0C47" w:rsidP="00E444F6">
            <w:pPr>
              <w:suppressAutoHyphens w:val="0"/>
              <w:spacing w:before="40" w:after="40" w:line="220" w:lineRule="exact"/>
              <w:jc w:val="right"/>
              <w:rPr>
                <w:sz w:val="18"/>
              </w:rPr>
            </w:pPr>
            <w:r w:rsidRPr="00E444F6">
              <w:rPr>
                <w:sz w:val="18"/>
                <w:lang w:val="en-GB"/>
              </w:rPr>
              <w:t>24</w:t>
            </w:r>
            <w:r>
              <w:rPr>
                <w:sz w:val="18"/>
              </w:rPr>
              <w:t>,</w:t>
            </w:r>
            <w:r w:rsidRPr="00D1286C">
              <w:rPr>
                <w:sz w:val="18"/>
              </w:rPr>
              <w:t>8</w:t>
            </w:r>
          </w:p>
        </w:tc>
      </w:tr>
    </w:tbl>
    <w:p w:rsidR="00DE0C47" w:rsidRPr="00CD73F3" w:rsidRDefault="00DE0C47" w:rsidP="00DE0C47">
      <w:pPr>
        <w:pStyle w:val="SingleTxtG"/>
        <w:spacing w:before="120"/>
        <w:ind w:firstLine="170"/>
        <w:rPr>
          <w:sz w:val="18"/>
          <w:szCs w:val="18"/>
        </w:rPr>
      </w:pPr>
      <w:r w:rsidRPr="00CD73F3">
        <w:rPr>
          <w:i/>
          <w:sz w:val="18"/>
          <w:szCs w:val="18"/>
        </w:rPr>
        <w:t>Source</w:t>
      </w:r>
      <w:r w:rsidRPr="00CD73F3">
        <w:rPr>
          <w:sz w:val="18"/>
          <w:szCs w:val="18"/>
        </w:rPr>
        <w:t>: Mesure du niveau de vie 2001 − Pauvreté, mai 2002.</w:t>
      </w:r>
    </w:p>
    <w:p w:rsidR="00DE0C47" w:rsidRPr="00D1286C" w:rsidRDefault="00DE0C47" w:rsidP="00DE0C47">
      <w:pPr>
        <w:pStyle w:val="HChG"/>
      </w:pPr>
      <w:r>
        <w:tab/>
      </w:r>
      <w:r w:rsidRPr="00D1286C">
        <w:t>III</w:t>
      </w:r>
      <w:r>
        <w:t>.</w:t>
      </w:r>
      <w:r w:rsidRPr="00D1286C">
        <w:tab/>
        <w:t>Structure constitutionnelle, politique et juridique</w:t>
      </w:r>
      <w:r>
        <w:br/>
      </w:r>
      <w:r w:rsidRPr="00D1286C">
        <w:t>de la Bosnie-Herzégovine</w:t>
      </w:r>
    </w:p>
    <w:p w:rsidR="00DE0C47" w:rsidRDefault="00DE0C47" w:rsidP="003A53B4">
      <w:pPr>
        <w:pStyle w:val="SingleTxtG"/>
        <w:keepNext/>
        <w:keepLines/>
      </w:pPr>
      <w:r w:rsidRPr="00D1286C">
        <w:t>73</w:t>
      </w:r>
      <w:r>
        <w:t>.</w:t>
      </w:r>
      <w:r w:rsidRPr="00D1286C">
        <w:tab/>
        <w:t>Après la signature de l</w:t>
      </w:r>
      <w:r w:rsidR="00CA473A">
        <w:t>’</w:t>
      </w:r>
      <w:r w:rsidRPr="00D1286C">
        <w:t>Accord-cadre général de 1995 pour la paix en Bosnie-Herzégovine (Accord de paix de Dayton), le pays a continué d</w:t>
      </w:r>
      <w:r w:rsidR="00CA473A">
        <w:t>’</w:t>
      </w:r>
      <w:r w:rsidRPr="00D1286C">
        <w:t xml:space="preserve">exister avec sa nouvelle </w:t>
      </w:r>
      <w:r>
        <w:t xml:space="preserve">organisation </w:t>
      </w:r>
      <w:r w:rsidRPr="00D1286C">
        <w:t>territoriale</w:t>
      </w:r>
      <w:r>
        <w:t>.</w:t>
      </w:r>
      <w:r w:rsidRPr="00D1286C">
        <w:t xml:space="preserve"> Conformément à l</w:t>
      </w:r>
      <w:r w:rsidR="00CA473A">
        <w:t>’</w:t>
      </w:r>
      <w:r w:rsidRPr="00D1286C">
        <w:t>article premier de la Constitution de la Bosnie-Herzégovine:</w:t>
      </w:r>
    </w:p>
    <w:p w:rsidR="00DE0C47" w:rsidRPr="00D1286C" w:rsidRDefault="00DE0C47" w:rsidP="00DE0C47">
      <w:pPr>
        <w:pStyle w:val="SingleTxtG"/>
        <w:ind w:left="1701" w:firstLine="567"/>
      </w:pPr>
      <w:r w:rsidRPr="00D1286C">
        <w:t xml:space="preserve">«La République de Bosnie-Herzégovine, dont le nom officiel est dorénavant </w:t>
      </w:r>
      <w:r>
        <w:t>“</w:t>
      </w:r>
      <w:r w:rsidRPr="00D1286C">
        <w:t>Bosnie-Herzégovine</w:t>
      </w:r>
      <w:r>
        <w:t>”</w:t>
      </w:r>
      <w:r w:rsidRPr="00D1286C">
        <w:t>, conserve au regard du droit international son existence légale d</w:t>
      </w:r>
      <w:r w:rsidR="00CA473A">
        <w:t>’</w:t>
      </w:r>
      <w:r w:rsidRPr="00D1286C">
        <w:t>État, avec sa structure interne modifiée comme en dispose la Constitution, et dans ses frontières reconnues internationalement</w:t>
      </w:r>
      <w:r>
        <w:t>.</w:t>
      </w:r>
      <w:r w:rsidRPr="00D1286C">
        <w:t xml:space="preserve"> Elle reste un État Membre des Nations Unies et peut</w:t>
      </w:r>
      <w:r>
        <w:t xml:space="preserve">, en tant que Bosnie-Herzégovine, conserver ou solliciter son adhésion aux différentes </w:t>
      </w:r>
      <w:r w:rsidRPr="00D1286C">
        <w:t xml:space="preserve">organisations du système des Nations Unies et </w:t>
      </w:r>
      <w:r>
        <w:t xml:space="preserve">à </w:t>
      </w:r>
      <w:r w:rsidRPr="00D1286C">
        <w:t>d</w:t>
      </w:r>
      <w:r w:rsidR="00CA473A">
        <w:t>’</w:t>
      </w:r>
      <w:r w:rsidRPr="00D1286C">
        <w:t>autres organisations internationales</w:t>
      </w:r>
      <w:r>
        <w:t>.</w:t>
      </w:r>
      <w:r w:rsidRPr="00D1286C">
        <w:t>»</w:t>
      </w:r>
      <w:r>
        <w:t>.</w:t>
      </w:r>
      <w:r w:rsidRPr="00D1286C">
        <w:t xml:space="preserve"> </w:t>
      </w:r>
    </w:p>
    <w:p w:rsidR="00DE0C47" w:rsidRDefault="00DE0C47" w:rsidP="00DE0C47">
      <w:pPr>
        <w:pStyle w:val="SingleTxtG"/>
      </w:pPr>
      <w:r w:rsidRPr="00D1286C">
        <w:t>74</w:t>
      </w:r>
      <w:r>
        <w:t>.</w:t>
      </w:r>
      <w:r w:rsidRPr="00D1286C">
        <w:tab/>
        <w:t xml:space="preserve">Le préambule de la Constitution rappelle les Principes </w:t>
      </w:r>
      <w:r>
        <w:t xml:space="preserve">fondamentaux convenus </w:t>
      </w:r>
      <w:r w:rsidRPr="00D1286C">
        <w:t>à Genève le 8 septembre 1995 et à New York le 26 septembre 1995: «les Bosniaques, les Croates et les Serbes, en tant que peuples constitutifs (avec d</w:t>
      </w:r>
      <w:r w:rsidR="00CA473A">
        <w:t>’</w:t>
      </w:r>
      <w:r w:rsidRPr="00D1286C">
        <w:t>autres) et citoyens de Bosnie-Herzégovine, déterminent, par la présente, la Constitution de Bosnie-Herzégovine»</w:t>
      </w:r>
      <w:r>
        <w:t>.</w:t>
      </w:r>
      <w:r w:rsidRPr="00D1286C">
        <w:t xml:space="preserve"> La Bosnie-Herzégovine est un État démocratique complexe qui comprend deux Entités, la Fédération de Bosnie-Herzégovine et la Republika Srpska</w:t>
      </w:r>
      <w:r>
        <w:t>,</w:t>
      </w:r>
      <w:r w:rsidRPr="00D1286C">
        <w:t xml:space="preserve"> ainsi que le district de Br</w:t>
      </w:r>
      <w:r>
        <w:t>c</w:t>
      </w:r>
      <w:r w:rsidRPr="00D1286C">
        <w:t xml:space="preserve">ko qui est une </w:t>
      </w:r>
      <w:r>
        <w:t xml:space="preserve">unité </w:t>
      </w:r>
      <w:r w:rsidRPr="00D1286C">
        <w:t>administrative autonome (</w:t>
      </w:r>
      <w:r w:rsidRPr="003E66D4">
        <w:rPr>
          <w:i/>
        </w:rPr>
        <w:t>sui generis</w:t>
      </w:r>
      <w:r w:rsidRPr="00D1286C">
        <w:t>)</w:t>
      </w:r>
      <w:r>
        <w:t>.</w:t>
      </w:r>
      <w:r w:rsidRPr="00D1286C">
        <w:t xml:space="preserve"> La Fédération de Bosnie-Herzégovine couvre 51</w:t>
      </w:r>
      <w:r>
        <w:t> </w:t>
      </w:r>
      <w:r w:rsidRPr="00D1286C">
        <w:t>% du territoire et la Republika Srpska 49</w:t>
      </w:r>
      <w:r>
        <w:t> </w:t>
      </w:r>
      <w:r w:rsidRPr="00D1286C">
        <w:t>%</w:t>
      </w:r>
      <w:r>
        <w:t>.</w:t>
      </w:r>
    </w:p>
    <w:p w:rsidR="00DE0C47" w:rsidRDefault="00DE0C47" w:rsidP="00DE0C47">
      <w:pPr>
        <w:pStyle w:val="SingleTxtG"/>
      </w:pPr>
      <w:r w:rsidRPr="00D1286C">
        <w:t>75</w:t>
      </w:r>
      <w:r>
        <w:t>.</w:t>
      </w:r>
      <w:r w:rsidRPr="00D1286C">
        <w:tab/>
        <w:t>Sur le plan administratif, la Fédération de Bosni</w:t>
      </w:r>
      <w:r w:rsidR="00CD73F3">
        <w:t>e-Herzégovine est divisée en 10 </w:t>
      </w:r>
      <w:r w:rsidRPr="00D1286C">
        <w:t>cantons</w:t>
      </w:r>
      <w:r>
        <w:t>.</w:t>
      </w:r>
      <w:r w:rsidRPr="00D1286C">
        <w:t xml:space="preserve"> Ceux-ci sont eux-mêmes subdivisés en municipalités, 79 au total</w:t>
      </w:r>
      <w:r>
        <w:t>.</w:t>
      </w:r>
      <w:r w:rsidRPr="00D1286C">
        <w:t xml:space="preserve"> La Republika Srpska compte 62 municipalités</w:t>
      </w:r>
      <w:r>
        <w:t>.</w:t>
      </w:r>
      <w:r w:rsidRPr="00D1286C">
        <w:t xml:space="preserve"> La ville de Br</w:t>
      </w:r>
      <w:r>
        <w:t>c</w:t>
      </w:r>
      <w:r w:rsidRPr="00D1286C">
        <w:t xml:space="preserve">ko est une </w:t>
      </w:r>
      <w:r>
        <w:t xml:space="preserve">unité </w:t>
      </w:r>
      <w:r w:rsidRPr="00D1286C">
        <w:t>administrative distincte, appelé</w:t>
      </w:r>
      <w:r>
        <w:t>e</w:t>
      </w:r>
      <w:r w:rsidRPr="00D1286C">
        <w:t xml:space="preserve"> le district de Br</w:t>
      </w:r>
      <w:r>
        <w:t>c</w:t>
      </w:r>
      <w:r w:rsidRPr="00D1286C">
        <w:t>ko</w:t>
      </w:r>
      <w:r>
        <w:t>.</w:t>
      </w:r>
      <w:r w:rsidRPr="00D1286C">
        <w:t xml:space="preserve"> La capitale de la Bosnie-Herzégovine est Sarajevo</w:t>
      </w:r>
      <w:r>
        <w:t>.</w:t>
      </w:r>
      <w:r w:rsidRPr="00D1286C">
        <w:t xml:space="preserve"> La Bosnie-Herzégovine a son propre blason, son drapeau et son hymne</w:t>
      </w:r>
      <w:r>
        <w:t>.</w:t>
      </w:r>
    </w:p>
    <w:p w:rsidR="00DE0C47" w:rsidRDefault="00DE0C47" w:rsidP="00DE0C47">
      <w:pPr>
        <w:pStyle w:val="SingleTxtG"/>
      </w:pPr>
      <w:r w:rsidRPr="00D1286C">
        <w:t>76</w:t>
      </w:r>
      <w:r>
        <w:t>.</w:t>
      </w:r>
      <w:r>
        <w:tab/>
        <w:t xml:space="preserve">Selon </w:t>
      </w:r>
      <w:r w:rsidRPr="00D1286C">
        <w:t>la nouvelle organisation, la Bosnie-Herzégovine dispose d</w:t>
      </w:r>
      <w:r w:rsidR="00CA473A">
        <w:t>’</w:t>
      </w:r>
      <w:r w:rsidRPr="00D1286C">
        <w:t>une Assemblée parlementaire qui est composée de deux chambres: la Chambre des peuples et la Chambre des représentants</w:t>
      </w:r>
      <w:r>
        <w:t>.</w:t>
      </w:r>
      <w:r w:rsidRPr="00D1286C">
        <w:t xml:space="preserve"> La Chambre des peuples comprend 15 délégués, dont deux tiers de la Fédération et un tiers de Republika Srpska</w:t>
      </w:r>
      <w:r>
        <w:t>.</w:t>
      </w:r>
      <w:r w:rsidRPr="00D1286C">
        <w:t xml:space="preserve"> La Cham</w:t>
      </w:r>
      <w:r w:rsidR="00CD73F3">
        <w:t>bre des représentants compte 42 </w:t>
      </w:r>
      <w:r w:rsidRPr="00D1286C">
        <w:t xml:space="preserve">membres, élus pour les deux tiers </w:t>
      </w:r>
      <w:r>
        <w:t xml:space="preserve">par </w:t>
      </w:r>
      <w:r w:rsidRPr="00D1286C">
        <w:t xml:space="preserve">la Fédération et pour le tiers restant </w:t>
      </w:r>
      <w:r>
        <w:t xml:space="preserve">par </w:t>
      </w:r>
      <w:r w:rsidRPr="00D1286C">
        <w:t>la Republika Srpska</w:t>
      </w:r>
      <w:r>
        <w:t>.</w:t>
      </w:r>
    </w:p>
    <w:p w:rsidR="00DE0C47" w:rsidRDefault="00DE0C47" w:rsidP="00DE0C47">
      <w:pPr>
        <w:pStyle w:val="SingleTxtG"/>
      </w:pPr>
      <w:r w:rsidRPr="00D1286C">
        <w:t>77</w:t>
      </w:r>
      <w:r>
        <w:t>.</w:t>
      </w:r>
      <w:r w:rsidRPr="00D1286C">
        <w:tab/>
        <w:t>La présidence de Bosnie-Herzégovine est tripartite avec un Bosniaque, un Croate et un Serbe, élus au suffrage direct</w:t>
      </w:r>
      <w:r>
        <w:t>.</w:t>
      </w:r>
      <w:r w:rsidRPr="00D1286C">
        <w:t xml:space="preserve"> Chaque membre de la présidence a, en vertu de sa fonction officielle, l</w:t>
      </w:r>
      <w:r w:rsidR="00CA473A">
        <w:t>’</w:t>
      </w:r>
      <w:r w:rsidRPr="00D1286C">
        <w:t>exercice de l</w:t>
      </w:r>
      <w:r w:rsidR="00CA473A">
        <w:t>’</w:t>
      </w:r>
      <w:r w:rsidRPr="00D1286C">
        <w:t>autorité civile sur les forces armées</w:t>
      </w:r>
      <w:r>
        <w:t>.</w:t>
      </w:r>
    </w:p>
    <w:p w:rsidR="00DE0C47" w:rsidRPr="00D1286C" w:rsidRDefault="00DE0C47" w:rsidP="00DE0C47">
      <w:pPr>
        <w:pStyle w:val="SingleTxtG"/>
      </w:pPr>
      <w:r w:rsidRPr="00D1286C">
        <w:t>78.</w:t>
      </w:r>
      <w:r w:rsidRPr="00D1286C">
        <w:tab/>
        <w:t xml:space="preserve">En Bosnie-Herzégovine, les autorités judiciaires sont la Cour constitutionnelle et la Cour de Bosnie-Herzégovine. La Cour constitutionnelle a été instaurée par la Constitution et la Cour de Bosnie-Herzégovine par la </w:t>
      </w:r>
      <w:r>
        <w:t>l</w:t>
      </w:r>
      <w:r w:rsidRPr="00D1286C">
        <w:t xml:space="preserve">oi relative à la Cour de </w:t>
      </w:r>
      <w:r>
        <w:t>Bosnie-</w:t>
      </w:r>
      <w:r w:rsidRPr="00D1286C">
        <w:t>Herzégovine qui a été votée par l</w:t>
      </w:r>
      <w:r w:rsidR="00CA473A">
        <w:t>’</w:t>
      </w:r>
      <w:r w:rsidRPr="00D1286C">
        <w:t>Assemblée parlementaire en 2003 sur l</w:t>
      </w:r>
      <w:r w:rsidR="00CA473A">
        <w:t>’</w:t>
      </w:r>
      <w:r w:rsidRPr="00D1286C">
        <w:t>initiative du Haut Représentant.</w:t>
      </w:r>
    </w:p>
    <w:p w:rsidR="00DE0C47" w:rsidRPr="00D1286C" w:rsidRDefault="00DE0C47" w:rsidP="00DE0C47">
      <w:pPr>
        <w:pStyle w:val="SingleTxtG"/>
        <w:rPr>
          <w:szCs w:val="18"/>
        </w:rPr>
      </w:pPr>
      <w:r w:rsidRPr="00D1286C">
        <w:t>79.</w:t>
      </w:r>
      <w:r w:rsidRPr="00D1286C">
        <w:tab/>
        <w:t>Le Conseil des ministres est l</w:t>
      </w:r>
      <w:r w:rsidR="00CA473A">
        <w:t>’</w:t>
      </w:r>
      <w:r w:rsidRPr="00D1286C">
        <w:t>organe chargé de mettre en application les décisions et la politique de la Bosnie-Herzégovine, comme l</w:t>
      </w:r>
      <w:r w:rsidR="00CA473A">
        <w:t>’</w:t>
      </w:r>
      <w:r w:rsidRPr="00D1286C">
        <w:t xml:space="preserve">établit la Constitution du pays. Conformément à la nouvelle </w:t>
      </w:r>
      <w:r>
        <w:t>l</w:t>
      </w:r>
      <w:r w:rsidRPr="00D1286C">
        <w:t xml:space="preserve">oi sur le Conseil des ministres de la Bosnie-Herzégovine (Journal officiel, </w:t>
      </w:r>
      <w:r w:rsidRPr="00D97AC4">
        <w:t>n</w:t>
      </w:r>
      <w:r w:rsidRPr="00D97AC4">
        <w:rPr>
          <w:vertAlign w:val="superscript"/>
        </w:rPr>
        <w:t>os</w:t>
      </w:r>
      <w:r w:rsidR="00CD73F3">
        <w:t> </w:t>
      </w:r>
      <w:r w:rsidRPr="00D1286C">
        <w:t xml:space="preserve">30/03, 42/03, 81/06, 76/07, 81/07, 24/08) et la </w:t>
      </w:r>
      <w:r>
        <w:rPr>
          <w:szCs w:val="18"/>
        </w:rPr>
        <w:t>loi</w:t>
      </w:r>
      <w:r w:rsidRPr="00D1286C">
        <w:rPr>
          <w:szCs w:val="18"/>
        </w:rPr>
        <w:t xml:space="preserve"> sur les ministères et autres organes du Gouvernement de la Bosnie-Herzégovine (Journal officiel, </w:t>
      </w:r>
      <w:r w:rsidRPr="0094732B">
        <w:rPr>
          <w:szCs w:val="18"/>
        </w:rPr>
        <w:t>n</w:t>
      </w:r>
      <w:r w:rsidRPr="0094732B">
        <w:rPr>
          <w:szCs w:val="18"/>
          <w:vertAlign w:val="superscript"/>
        </w:rPr>
        <w:t>os</w:t>
      </w:r>
      <w:r w:rsidR="00CD73F3">
        <w:rPr>
          <w:szCs w:val="18"/>
        </w:rPr>
        <w:t> </w:t>
      </w:r>
      <w:r w:rsidRPr="00D1286C">
        <w:rPr>
          <w:szCs w:val="18"/>
        </w:rPr>
        <w:t>5/03, 4</w:t>
      </w:r>
      <w:r>
        <w:rPr>
          <w:szCs w:val="18"/>
        </w:rPr>
        <w:t>2</w:t>
      </w:r>
      <w:r w:rsidRPr="00D1286C">
        <w:rPr>
          <w:szCs w:val="18"/>
        </w:rPr>
        <w:t>/03, 26/04, 42/04, 45/06, 88/07, 35/09</w:t>
      </w:r>
      <w:r>
        <w:rPr>
          <w:szCs w:val="18"/>
        </w:rPr>
        <w:t>, 59/09</w:t>
      </w:r>
      <w:r w:rsidRPr="00D1286C">
        <w:rPr>
          <w:szCs w:val="18"/>
        </w:rPr>
        <w:t xml:space="preserve"> et 103/09), le Conseil compte neuf </w:t>
      </w:r>
      <w:r>
        <w:rPr>
          <w:szCs w:val="18"/>
        </w:rPr>
        <w:t xml:space="preserve">ministres titulaires des </w:t>
      </w:r>
      <w:r w:rsidRPr="00D1286C">
        <w:rPr>
          <w:szCs w:val="18"/>
        </w:rPr>
        <w:t>ministères</w:t>
      </w:r>
      <w:r>
        <w:rPr>
          <w:szCs w:val="18"/>
        </w:rPr>
        <w:t xml:space="preserve"> suivants</w:t>
      </w:r>
      <w:r w:rsidRPr="00D1286C">
        <w:rPr>
          <w:szCs w:val="18"/>
        </w:rPr>
        <w:t>: affaires étrangères, justice, sécurité (</w:t>
      </w:r>
      <w:r>
        <w:rPr>
          <w:szCs w:val="18"/>
        </w:rPr>
        <w:t xml:space="preserve">concernant </w:t>
      </w:r>
      <w:r w:rsidRPr="00D1286C">
        <w:rPr>
          <w:szCs w:val="18"/>
        </w:rPr>
        <w:t>l</w:t>
      </w:r>
      <w:r w:rsidR="00CA473A">
        <w:rPr>
          <w:szCs w:val="18"/>
        </w:rPr>
        <w:t>’</w:t>
      </w:r>
      <w:r w:rsidRPr="00D1286C">
        <w:rPr>
          <w:szCs w:val="18"/>
        </w:rPr>
        <w:t>Agence d</w:t>
      </w:r>
      <w:r w:rsidR="00CA473A">
        <w:rPr>
          <w:szCs w:val="18"/>
        </w:rPr>
        <w:t>’</w:t>
      </w:r>
      <w:r>
        <w:rPr>
          <w:szCs w:val="18"/>
        </w:rPr>
        <w:t>investigation</w:t>
      </w:r>
      <w:r w:rsidRPr="00D1286C">
        <w:rPr>
          <w:szCs w:val="18"/>
        </w:rPr>
        <w:t xml:space="preserve"> et de protection de Bosnie-Herzégovine</w:t>
      </w:r>
      <w:r>
        <w:rPr>
          <w:szCs w:val="18"/>
        </w:rPr>
        <w:t xml:space="preserve"> − </w:t>
      </w:r>
      <w:r w:rsidRPr="00D1286C">
        <w:rPr>
          <w:szCs w:val="18"/>
        </w:rPr>
        <w:t>SIPA</w:t>
      </w:r>
      <w:r>
        <w:rPr>
          <w:szCs w:val="18"/>
        </w:rPr>
        <w:t>,</w:t>
      </w:r>
      <w:r w:rsidRPr="00D1286C">
        <w:rPr>
          <w:szCs w:val="18"/>
        </w:rPr>
        <w:t xml:space="preserve"> la Police des frontières de la Bosnie-Herzégovine</w:t>
      </w:r>
      <w:r>
        <w:rPr>
          <w:szCs w:val="18"/>
        </w:rPr>
        <w:t>,</w:t>
      </w:r>
      <w:r w:rsidRPr="00D1286C">
        <w:rPr>
          <w:szCs w:val="18"/>
        </w:rPr>
        <w:t xml:space="preserve"> l</w:t>
      </w:r>
      <w:r w:rsidR="00CA473A">
        <w:rPr>
          <w:szCs w:val="18"/>
        </w:rPr>
        <w:t>’</w:t>
      </w:r>
      <w:r w:rsidRPr="00D1286C">
        <w:rPr>
          <w:szCs w:val="18"/>
        </w:rPr>
        <w:t>Office de la coopération avec Interpol), affaires civiles, communication</w:t>
      </w:r>
      <w:r>
        <w:rPr>
          <w:szCs w:val="18"/>
        </w:rPr>
        <w:t>s</w:t>
      </w:r>
      <w:r w:rsidRPr="00D1286C">
        <w:rPr>
          <w:szCs w:val="18"/>
        </w:rPr>
        <w:t>, droits de l</w:t>
      </w:r>
      <w:r w:rsidR="00CA473A">
        <w:rPr>
          <w:szCs w:val="18"/>
        </w:rPr>
        <w:t>’</w:t>
      </w:r>
      <w:r w:rsidRPr="00D1286C">
        <w:rPr>
          <w:szCs w:val="18"/>
        </w:rPr>
        <w:t xml:space="preserve">homme et réfugiés, finances et trésor, commerce extérieur et relations économiques et défense. Les ministères sont dirigés par un ministre, assisté par un vice-ministre qui ne peut pas </w:t>
      </w:r>
      <w:r>
        <w:rPr>
          <w:szCs w:val="18"/>
        </w:rPr>
        <w:t xml:space="preserve">faire partie du </w:t>
      </w:r>
      <w:r w:rsidRPr="00D1286C">
        <w:rPr>
          <w:szCs w:val="18"/>
        </w:rPr>
        <w:t xml:space="preserve">même peuple constitutif que son supérieur hiérarchique. </w:t>
      </w:r>
    </w:p>
    <w:p w:rsidR="00DE0C47" w:rsidRPr="00D1286C" w:rsidRDefault="00DE0C47" w:rsidP="00DE0C47">
      <w:pPr>
        <w:pStyle w:val="SingleTxtG"/>
        <w:rPr>
          <w:szCs w:val="18"/>
        </w:rPr>
      </w:pPr>
      <w:r w:rsidRPr="00D1286C">
        <w:rPr>
          <w:szCs w:val="18"/>
        </w:rPr>
        <w:t>80.</w:t>
      </w:r>
      <w:r w:rsidRPr="00D1286C">
        <w:rPr>
          <w:szCs w:val="18"/>
        </w:rPr>
        <w:tab/>
        <w:t xml:space="preserve">Le pays dispose de consulats et de missions diplomatiques partout en Europe et dans le monde afin de faciliter </w:t>
      </w:r>
      <w:r>
        <w:rPr>
          <w:szCs w:val="18"/>
        </w:rPr>
        <w:t>l</w:t>
      </w:r>
      <w:r w:rsidR="00CA473A">
        <w:rPr>
          <w:szCs w:val="18"/>
        </w:rPr>
        <w:t>’</w:t>
      </w:r>
      <w:r>
        <w:rPr>
          <w:szCs w:val="18"/>
        </w:rPr>
        <w:t xml:space="preserve">exercice </w:t>
      </w:r>
      <w:r w:rsidRPr="00D1286C">
        <w:rPr>
          <w:szCs w:val="18"/>
        </w:rPr>
        <w:t>des droits des citoyens de Bosnie-Herzégovine vivant à l</w:t>
      </w:r>
      <w:r w:rsidR="00CA473A">
        <w:rPr>
          <w:szCs w:val="18"/>
        </w:rPr>
        <w:t>’</w:t>
      </w:r>
      <w:r w:rsidRPr="00D1286C">
        <w:rPr>
          <w:szCs w:val="18"/>
        </w:rPr>
        <w:t xml:space="preserve">étranger, notamment des ambassades à Londres, Madrid, Paris, Berne, New York, Vienne, Ankara ou Moscou, des consulats généraux à Munich, Stuttgart, Istanbul, Milan et des missions permanentes auprès </w:t>
      </w:r>
      <w:r>
        <w:rPr>
          <w:szCs w:val="18"/>
        </w:rPr>
        <w:t xml:space="preserve">des </w:t>
      </w:r>
      <w:r w:rsidRPr="00D1286C">
        <w:rPr>
          <w:szCs w:val="18"/>
        </w:rPr>
        <w:t xml:space="preserve">organismes internationaux à Strasbourg, Genève, Bruxelles, Vienne et New York. Les consulats </w:t>
      </w:r>
      <w:r>
        <w:rPr>
          <w:szCs w:val="18"/>
        </w:rPr>
        <w:t>s</w:t>
      </w:r>
      <w:r w:rsidR="00CA473A">
        <w:rPr>
          <w:szCs w:val="18"/>
        </w:rPr>
        <w:t>’</w:t>
      </w:r>
      <w:r>
        <w:rPr>
          <w:szCs w:val="18"/>
        </w:rPr>
        <w:t xml:space="preserve">acquittent </w:t>
      </w:r>
      <w:r w:rsidRPr="00D1286C">
        <w:rPr>
          <w:szCs w:val="18"/>
        </w:rPr>
        <w:t xml:space="preserve">des </w:t>
      </w:r>
      <w:r>
        <w:rPr>
          <w:szCs w:val="18"/>
        </w:rPr>
        <w:t xml:space="preserve">tâches </w:t>
      </w:r>
      <w:r w:rsidRPr="00D1286C">
        <w:rPr>
          <w:szCs w:val="18"/>
        </w:rPr>
        <w:t xml:space="preserve">juridiques et administratives </w:t>
      </w:r>
      <w:r>
        <w:rPr>
          <w:szCs w:val="18"/>
        </w:rPr>
        <w:t xml:space="preserve">relevant </w:t>
      </w:r>
      <w:r w:rsidRPr="00D1286C">
        <w:rPr>
          <w:szCs w:val="18"/>
        </w:rPr>
        <w:t xml:space="preserve">de leur compétence, à savoir: tenir à jour le registre des naissances, des mariages et des décès, </w:t>
      </w:r>
      <w:r>
        <w:rPr>
          <w:szCs w:val="18"/>
        </w:rPr>
        <w:t xml:space="preserve">délivrer </w:t>
      </w:r>
      <w:r w:rsidRPr="00D1286C">
        <w:rPr>
          <w:szCs w:val="18"/>
        </w:rPr>
        <w:t>des documents de voyage, rédiger des testaments, émettre des documents officiels (certificats, documents de voyage, procurations générales et spéciales).</w:t>
      </w:r>
    </w:p>
    <w:p w:rsidR="00DE0C47" w:rsidRPr="00D1286C" w:rsidRDefault="00DE0C47" w:rsidP="00DE0C47">
      <w:pPr>
        <w:pStyle w:val="SingleTxtG"/>
        <w:rPr>
          <w:szCs w:val="18"/>
        </w:rPr>
      </w:pPr>
      <w:r w:rsidRPr="00D1286C">
        <w:rPr>
          <w:szCs w:val="18"/>
        </w:rPr>
        <w:t>81.</w:t>
      </w:r>
      <w:r w:rsidRPr="00D1286C">
        <w:rPr>
          <w:szCs w:val="18"/>
        </w:rPr>
        <w:tab/>
        <w:t>Les autres institutions de la Bosnie-Herzégovine sont les suivantes: la Direction de l</w:t>
      </w:r>
      <w:r w:rsidR="00CA473A">
        <w:rPr>
          <w:szCs w:val="18"/>
        </w:rPr>
        <w:t>’</w:t>
      </w:r>
      <w:r w:rsidRPr="00D1286C">
        <w:rPr>
          <w:szCs w:val="18"/>
        </w:rPr>
        <w:t>intégration européenne, le Médiateur pour les droits de l</w:t>
      </w:r>
      <w:r w:rsidR="00CA473A">
        <w:rPr>
          <w:szCs w:val="18"/>
        </w:rPr>
        <w:t>’</w:t>
      </w:r>
      <w:r w:rsidRPr="00D1286C">
        <w:rPr>
          <w:szCs w:val="18"/>
        </w:rPr>
        <w:t>homme en Bosnie-Herzégovine</w:t>
      </w:r>
      <w:r>
        <w:rPr>
          <w:szCs w:val="18"/>
        </w:rPr>
        <w:t>,</w:t>
      </w:r>
      <w:r w:rsidRPr="00D1286C">
        <w:rPr>
          <w:szCs w:val="18"/>
        </w:rPr>
        <w:t xml:space="preserve"> les Archives de la Bosnie-Herzégovine, le Bureau de l</w:t>
      </w:r>
      <w:r w:rsidR="00CA473A">
        <w:rPr>
          <w:szCs w:val="18"/>
        </w:rPr>
        <w:t>’</w:t>
      </w:r>
      <w:r w:rsidRPr="00D1286C">
        <w:rPr>
          <w:szCs w:val="18"/>
        </w:rPr>
        <w:t>audit des opérations financières des institutions de Bosnie-Herzégovine</w:t>
      </w:r>
      <w:r>
        <w:rPr>
          <w:szCs w:val="18"/>
        </w:rPr>
        <w:t>,</w:t>
      </w:r>
      <w:r w:rsidRPr="00D1286C">
        <w:rPr>
          <w:szCs w:val="18"/>
        </w:rPr>
        <w:t xml:space="preserve"> la Banque centrale</w:t>
      </w:r>
      <w:r>
        <w:rPr>
          <w:szCs w:val="18"/>
        </w:rPr>
        <w:t>,</w:t>
      </w:r>
      <w:r w:rsidRPr="00D1286C">
        <w:rPr>
          <w:szCs w:val="18"/>
        </w:rPr>
        <w:t xml:space="preserve"> l</w:t>
      </w:r>
      <w:r w:rsidR="00CA473A">
        <w:rPr>
          <w:szCs w:val="18"/>
        </w:rPr>
        <w:t>’</w:t>
      </w:r>
      <w:r w:rsidRPr="00D1286C">
        <w:rPr>
          <w:szCs w:val="18"/>
        </w:rPr>
        <w:t>Office vétérinaire national, l</w:t>
      </w:r>
      <w:r w:rsidR="00CA473A">
        <w:rPr>
          <w:szCs w:val="18"/>
        </w:rPr>
        <w:t>’</w:t>
      </w:r>
      <w:r w:rsidRPr="00D1286C">
        <w:rPr>
          <w:szCs w:val="18"/>
        </w:rPr>
        <w:t>Agence de réglementation des communications, le Département de l</w:t>
      </w:r>
      <w:r w:rsidR="00CA473A">
        <w:rPr>
          <w:szCs w:val="18"/>
        </w:rPr>
        <w:t>’</w:t>
      </w:r>
      <w:r w:rsidRPr="00D1286C">
        <w:rPr>
          <w:szCs w:val="18"/>
        </w:rPr>
        <w:t>aviation civile, la Commission électorale</w:t>
      </w:r>
      <w:r>
        <w:rPr>
          <w:szCs w:val="18"/>
        </w:rPr>
        <w:t>,</w:t>
      </w:r>
      <w:r w:rsidRPr="00D1286C">
        <w:rPr>
          <w:szCs w:val="18"/>
        </w:rPr>
        <w:t xml:space="preserve"> l</w:t>
      </w:r>
      <w:r w:rsidR="00CA473A">
        <w:rPr>
          <w:szCs w:val="18"/>
        </w:rPr>
        <w:t>’</w:t>
      </w:r>
      <w:r w:rsidRPr="00D1286C">
        <w:rPr>
          <w:szCs w:val="18"/>
        </w:rPr>
        <w:t>Agence pour la promotion de l</w:t>
      </w:r>
      <w:r w:rsidR="00CA473A">
        <w:rPr>
          <w:szCs w:val="18"/>
        </w:rPr>
        <w:t>’</w:t>
      </w:r>
      <w:r w:rsidRPr="00D1286C">
        <w:rPr>
          <w:szCs w:val="18"/>
        </w:rPr>
        <w:t>investissement étranger en Bosnie-Herzégovine</w:t>
      </w:r>
      <w:r>
        <w:rPr>
          <w:szCs w:val="18"/>
        </w:rPr>
        <w:t>,</w:t>
      </w:r>
      <w:r w:rsidRPr="00D1286C">
        <w:rPr>
          <w:szCs w:val="18"/>
        </w:rPr>
        <w:t xml:space="preserve"> </w:t>
      </w:r>
      <w:r>
        <w:rPr>
          <w:szCs w:val="18"/>
        </w:rPr>
        <w:t xml:space="preserve">la </w:t>
      </w:r>
      <w:r w:rsidRPr="00D1286C">
        <w:rPr>
          <w:szCs w:val="18"/>
        </w:rPr>
        <w:t>Chambre de commerce extérieur, l</w:t>
      </w:r>
      <w:r w:rsidR="00CA473A">
        <w:rPr>
          <w:szCs w:val="18"/>
        </w:rPr>
        <w:t>’</w:t>
      </w:r>
      <w:r w:rsidRPr="00D1286C">
        <w:rPr>
          <w:szCs w:val="18"/>
        </w:rPr>
        <w:t>Institut de la normalisation, de la métrologie et de la pro</w:t>
      </w:r>
      <w:r>
        <w:rPr>
          <w:szCs w:val="18"/>
        </w:rPr>
        <w:t>priété intellectuelle de Bosnie-</w:t>
      </w:r>
      <w:r w:rsidRPr="00D1286C">
        <w:rPr>
          <w:szCs w:val="18"/>
        </w:rPr>
        <w:t>Herzégovine</w:t>
      </w:r>
      <w:r>
        <w:rPr>
          <w:szCs w:val="18"/>
        </w:rPr>
        <w:t>,</w:t>
      </w:r>
      <w:r w:rsidRPr="00D1286C">
        <w:rPr>
          <w:szCs w:val="18"/>
        </w:rPr>
        <w:t xml:space="preserve"> le Centre </w:t>
      </w:r>
      <w:r>
        <w:rPr>
          <w:szCs w:val="18"/>
        </w:rPr>
        <w:t xml:space="preserve">de lutte </w:t>
      </w:r>
      <w:r w:rsidRPr="00D1286C">
        <w:rPr>
          <w:szCs w:val="18"/>
        </w:rPr>
        <w:t>contre les mines, la Police des frontières, l</w:t>
      </w:r>
      <w:r w:rsidR="00CA473A">
        <w:rPr>
          <w:szCs w:val="18"/>
        </w:rPr>
        <w:t>’</w:t>
      </w:r>
      <w:r>
        <w:rPr>
          <w:szCs w:val="18"/>
        </w:rPr>
        <w:t>Agence</w:t>
      </w:r>
      <w:r w:rsidRPr="00D1286C">
        <w:rPr>
          <w:szCs w:val="18"/>
        </w:rPr>
        <w:t xml:space="preserve"> de statistique</w:t>
      </w:r>
      <w:r>
        <w:rPr>
          <w:szCs w:val="18"/>
        </w:rPr>
        <w:t xml:space="preserve"> </w:t>
      </w:r>
      <w:r w:rsidRPr="00D1286C">
        <w:rPr>
          <w:szCs w:val="18"/>
        </w:rPr>
        <w:t>et l</w:t>
      </w:r>
      <w:r w:rsidR="00CA473A">
        <w:rPr>
          <w:szCs w:val="18"/>
        </w:rPr>
        <w:t>’</w:t>
      </w:r>
      <w:r w:rsidRPr="00D1286C">
        <w:rPr>
          <w:szCs w:val="18"/>
        </w:rPr>
        <w:t>Agence de renseignement et de sécurité de Bosnie-Herzégovine (OSA).</w:t>
      </w:r>
    </w:p>
    <w:p w:rsidR="00DE0C47" w:rsidRPr="00D1286C" w:rsidRDefault="00DE0C47" w:rsidP="00DE0C47">
      <w:pPr>
        <w:pStyle w:val="SingleTxtG"/>
      </w:pPr>
      <w:r w:rsidRPr="00D1286C">
        <w:t>82.</w:t>
      </w:r>
      <w:r w:rsidRPr="00D1286C">
        <w:tab/>
        <w:t>La Fédération de Bosnie-Herzégovine est une des deux Entités de Bosnie-Herzégovine. Elle se compose de 10 c</w:t>
      </w:r>
      <w:r>
        <w:t>antons et dispose de sa propre c</w:t>
      </w:r>
      <w:r w:rsidRPr="00D1286C">
        <w:t>onstitution.</w:t>
      </w:r>
    </w:p>
    <w:p w:rsidR="00DE0C47" w:rsidRPr="00D1286C" w:rsidRDefault="00DE0C47" w:rsidP="00DE0C47">
      <w:pPr>
        <w:pStyle w:val="SingleTxtG"/>
      </w:pPr>
      <w:r w:rsidRPr="00D1286C">
        <w:t>83.</w:t>
      </w:r>
      <w:r w:rsidRPr="00D1286C">
        <w:tab/>
        <w:t>La Chambre des représentants et la Chambre des peuples exercent l</w:t>
      </w:r>
      <w:r w:rsidR="00CA473A">
        <w:t>’</w:t>
      </w:r>
      <w:r w:rsidRPr="00D1286C">
        <w:t xml:space="preserve">autorité législative en Fédération de Bosnie-Herzégovine. La Chambre des représentants est composée de 98 représentants, </w:t>
      </w:r>
      <w:r>
        <w:t xml:space="preserve">avec </w:t>
      </w:r>
      <w:r w:rsidRPr="00D1286C">
        <w:t>au moins quatre membres de chaque peuple constitutif. La composition de la Chambre des peuples est fondée sur la représentation paritaire, chaque peuple constitutif ayant le même nombre de représe</w:t>
      </w:r>
      <w:r>
        <w:t>ntants. Elle est composée de 58 </w:t>
      </w:r>
      <w:r w:rsidRPr="00D1286C">
        <w:t>représentants: 17 pour chacun des peuples constitutifs et 7 pour les «Autres»</w:t>
      </w:r>
      <w:r>
        <w:t>, ce qui permet</w:t>
      </w:r>
      <w:r w:rsidRPr="00D1286C">
        <w:t xml:space="preserve"> aux autres peuples vivant en Bosnie-Herzégovine</w:t>
      </w:r>
      <w:r>
        <w:t xml:space="preserve"> d</w:t>
      </w:r>
      <w:r w:rsidR="00CA473A">
        <w:t>’</w:t>
      </w:r>
      <w:r>
        <w:t>exercer leur</w:t>
      </w:r>
      <w:r w:rsidRPr="00D1286C">
        <w:t xml:space="preserve"> droit de représentation. Les députés de la Chambre des peuples sont choisis </w:t>
      </w:r>
      <w:r>
        <w:t xml:space="preserve">par les </w:t>
      </w:r>
      <w:r w:rsidRPr="00D1286C">
        <w:t>assemblées cantonales</w:t>
      </w:r>
      <w:r>
        <w:t xml:space="preserve"> parmi leurs membres, </w:t>
      </w:r>
      <w:r w:rsidRPr="00D1286C">
        <w:t xml:space="preserve">proportionnellement à la </w:t>
      </w:r>
      <w:r>
        <w:t xml:space="preserve">composition </w:t>
      </w:r>
      <w:r w:rsidRPr="00D1286C">
        <w:t>nationale de la population.</w:t>
      </w:r>
    </w:p>
    <w:p w:rsidR="00DE0C47" w:rsidRPr="00D1286C" w:rsidRDefault="00DE0C47" w:rsidP="00DE0C47">
      <w:pPr>
        <w:pStyle w:val="SingleTxtG"/>
      </w:pPr>
      <w:r>
        <w:t>84.</w:t>
      </w:r>
      <w:r>
        <w:tab/>
        <w:t>La Fédération a un p</w:t>
      </w:r>
      <w:r w:rsidRPr="00D1286C">
        <w:t>réside</w:t>
      </w:r>
      <w:r>
        <w:t>nt et des vice-présidents nommé</w:t>
      </w:r>
      <w:r w:rsidRPr="00D1286C">
        <w:t>s par l</w:t>
      </w:r>
      <w:r w:rsidR="00CA473A">
        <w:t>’</w:t>
      </w:r>
      <w:r w:rsidRPr="00D1286C">
        <w:t>Assemblée parlement</w:t>
      </w:r>
      <w:r>
        <w:t>aire de la Fédération de Bosnie-</w:t>
      </w:r>
      <w:r w:rsidRPr="00D1286C">
        <w:t>Herzégovine, dans le respect du principe de la représentation proportionnelle, chaque peuple constitutif ayant un représentant.</w:t>
      </w:r>
    </w:p>
    <w:p w:rsidR="00DE0C47" w:rsidRPr="00D1286C" w:rsidRDefault="00DE0C47" w:rsidP="00DE0C47">
      <w:pPr>
        <w:pStyle w:val="SingleTxtG"/>
      </w:pPr>
      <w:r w:rsidRPr="00D1286C">
        <w:t>85.</w:t>
      </w:r>
      <w:r w:rsidRPr="00D1286C">
        <w:tab/>
        <w:t>Les autorités judiciaires de la Fédération de Bosnie-Herzégovine sont la Cour constitutionnelle et la Cour suprême.</w:t>
      </w:r>
    </w:p>
    <w:p w:rsidR="00DE0C47" w:rsidRPr="00D1286C" w:rsidRDefault="00DE0C47" w:rsidP="00DE0C47">
      <w:pPr>
        <w:pStyle w:val="SingleTxtG"/>
      </w:pPr>
      <w:r w:rsidRPr="00D1286C">
        <w:t>86.</w:t>
      </w:r>
      <w:r w:rsidRPr="00D1286C">
        <w:tab/>
        <w:t>La Fédération de Bosnie-Herzégovine a un gouvernement composé d</w:t>
      </w:r>
      <w:r w:rsidR="00CA473A">
        <w:t>’</w:t>
      </w:r>
      <w:r>
        <w:t>un premier m</w:t>
      </w:r>
      <w:r w:rsidRPr="00D1286C">
        <w:t>inistre et de 16</w:t>
      </w:r>
      <w:r>
        <w:t xml:space="preserve"> </w:t>
      </w:r>
      <w:r w:rsidRPr="00D1286C">
        <w:t>ministres.</w:t>
      </w:r>
    </w:p>
    <w:p w:rsidR="00DE0C47" w:rsidRPr="00D1286C" w:rsidRDefault="00DE0C47" w:rsidP="00DE0C47">
      <w:pPr>
        <w:pStyle w:val="SingleTxtG"/>
      </w:pPr>
      <w:r w:rsidRPr="00D1286C">
        <w:t>87.</w:t>
      </w:r>
      <w:r w:rsidRPr="00D1286C">
        <w:tab/>
        <w:t>Les cantons de la Fédération ont chacun leur propre constitution et une assemblée, qui est l</w:t>
      </w:r>
      <w:r w:rsidR="00CA473A">
        <w:t>’</w:t>
      </w:r>
      <w:r w:rsidRPr="00D1286C">
        <w:t>instance législative suprême. Leur organe exécutif est le gouvernement du canton, composé de ministres. L</w:t>
      </w:r>
      <w:r w:rsidR="00CA473A">
        <w:t>’</w:t>
      </w:r>
      <w:r w:rsidRPr="00D1286C">
        <w:t>autorité judiciaire est exercée par 10 juridictions cantonales. Les municipalités, au nombre de 79, constituent l</w:t>
      </w:r>
      <w:r w:rsidR="00CA473A">
        <w:t>’</w:t>
      </w:r>
      <w:r w:rsidRPr="00D1286C">
        <w:t>échelon le plus bas de l</w:t>
      </w:r>
      <w:r w:rsidR="00CA473A">
        <w:t>’</w:t>
      </w:r>
      <w:r w:rsidRPr="00D1286C">
        <w:t>organisation administrative de la</w:t>
      </w:r>
      <w:r w:rsidRPr="0083641B">
        <w:t xml:space="preserve"> </w:t>
      </w:r>
      <w:r w:rsidRPr="00D1286C">
        <w:t xml:space="preserve">Fédération de Bosnie-Herzégovine. Toutes les municipalités ont un conseil </w:t>
      </w:r>
      <w:r>
        <w:t xml:space="preserve">ou </w:t>
      </w:r>
      <w:r w:rsidRPr="00D1286C">
        <w:t>parlement municipal, et des services administratifs, dirigés par un maire.</w:t>
      </w:r>
    </w:p>
    <w:p w:rsidR="00DE0C47" w:rsidRPr="00D1286C" w:rsidRDefault="00DE0C47" w:rsidP="00DE0C47">
      <w:pPr>
        <w:pStyle w:val="SingleTxtG"/>
      </w:pPr>
      <w:r>
        <w:t>88.</w:t>
      </w:r>
      <w:r>
        <w:tab/>
        <w:t>La Republika Srpska a un président et deux vice-p</w:t>
      </w:r>
      <w:r w:rsidRPr="00D1286C">
        <w:t>résidents, représentant chacun des peuples constitutifs. L</w:t>
      </w:r>
      <w:r w:rsidR="00CA473A">
        <w:t>’</w:t>
      </w:r>
      <w:r w:rsidRPr="00D1286C">
        <w:t>Assemblée nationale de la Republika Srpska est l</w:t>
      </w:r>
      <w:r w:rsidR="00CA473A">
        <w:t>’</w:t>
      </w:r>
      <w:r w:rsidRPr="00D1286C">
        <w:t xml:space="preserve">instance législative suprême et comprend 83 membres. Le Conseil des </w:t>
      </w:r>
      <w:r>
        <w:t>p</w:t>
      </w:r>
      <w:r w:rsidRPr="00D1286C">
        <w:t xml:space="preserve">euples de la Republika Srpska est </w:t>
      </w:r>
      <w:r>
        <w:t xml:space="preserve">élu </w:t>
      </w:r>
      <w:r w:rsidRPr="00D1286C">
        <w:t xml:space="preserve">par les groupes parlementaires et comprend 8 membres représentant chaque peuple constitutif et 4 membres représentant les «Autres». Le Conseil des peuples </w:t>
      </w:r>
      <w:r>
        <w:t>comprend 28 </w:t>
      </w:r>
      <w:r w:rsidRPr="00D1286C">
        <w:t>membres.</w:t>
      </w:r>
    </w:p>
    <w:p w:rsidR="00DE0C47" w:rsidRPr="00D1286C" w:rsidRDefault="00DE0C47" w:rsidP="00DE0C47">
      <w:pPr>
        <w:pStyle w:val="SingleTxtG"/>
      </w:pPr>
      <w:r w:rsidRPr="00D1286C">
        <w:t>89.</w:t>
      </w:r>
      <w:r w:rsidRPr="00D1286C">
        <w:tab/>
        <w:t>Les organes judiciaires de la Republika Srpska sont la Cour constitutionnelle, la Cour suprême, les juridictions municipales et les tribunaux de commerce. Le Gouvernement de la</w:t>
      </w:r>
      <w:r>
        <w:t xml:space="preserve"> </w:t>
      </w:r>
      <w:r w:rsidRPr="00D1286C">
        <w:t xml:space="preserve">Republika Srpska a un </w:t>
      </w:r>
      <w:r>
        <w:t>p</w:t>
      </w:r>
      <w:r w:rsidRPr="00D1286C">
        <w:t>remier ministre et 16 ministres.</w:t>
      </w:r>
    </w:p>
    <w:p w:rsidR="00DE0C47" w:rsidRPr="00D1286C" w:rsidRDefault="00DE0C47" w:rsidP="00DE0C47">
      <w:pPr>
        <w:pStyle w:val="SingleTxtG"/>
      </w:pPr>
      <w:r w:rsidRPr="00D1286C">
        <w:t>90.</w:t>
      </w:r>
      <w:r w:rsidRPr="00D1286C">
        <w:tab/>
        <w:t>Le territoire de la Republika Srpska est divisé en 62 mu</w:t>
      </w:r>
      <w:r>
        <w:t>nicipalités qui ont toutes une a</w:t>
      </w:r>
      <w:r w:rsidRPr="00D1286C">
        <w:t>ssemblée municipale et des services administratifs municipaux dirigés par un maire.</w:t>
      </w:r>
    </w:p>
    <w:p w:rsidR="00DE0C47" w:rsidRPr="00D1286C" w:rsidRDefault="00DE0C47" w:rsidP="00CA473A">
      <w:pPr>
        <w:pStyle w:val="SingleTxtG"/>
      </w:pPr>
      <w:r w:rsidRPr="00D1286C">
        <w:t>91.</w:t>
      </w:r>
      <w:r w:rsidRPr="00D1286C">
        <w:tab/>
        <w:t>La structure des organisations gouvernementales des Entités a été modifiée conformément à la décision de la Cour constitutionnelle de la Bosnie-Herzégovine sur la constitutionalité des trois peuples constitutifs sur le territoire du pays. Cette décision stipule que les Entités ont l</w:t>
      </w:r>
      <w:r w:rsidR="00CA473A">
        <w:t>’</w:t>
      </w:r>
      <w:r w:rsidRPr="00D1286C">
        <w:t>obligation d</w:t>
      </w:r>
      <w:r w:rsidR="00CA473A">
        <w:t>’</w:t>
      </w:r>
      <w:r w:rsidRPr="00D1286C">
        <w:t xml:space="preserve">harmoniser leur constitution avec celle de la Bosnie-Herzégovine et de modifier la structure </w:t>
      </w:r>
      <w:r>
        <w:t xml:space="preserve">du pouvoir </w:t>
      </w:r>
      <w:r w:rsidRPr="00D1286C">
        <w:t xml:space="preserve">conformément à la décision de la Cour constitutionnelle, </w:t>
      </w:r>
      <w:r>
        <w:t>ce qui a été fait, pour l</w:t>
      </w:r>
      <w:r w:rsidR="00CA473A">
        <w:t>’</w:t>
      </w:r>
      <w:r>
        <w:t>essentiel, au moyen d</w:t>
      </w:r>
      <w:r w:rsidR="00CA473A">
        <w:t>’</w:t>
      </w:r>
      <w:r>
        <w:t xml:space="preserve">amendements apportés </w:t>
      </w:r>
      <w:r w:rsidRPr="00D1286C">
        <w:t>aux constitutions des Entités avec l</w:t>
      </w:r>
      <w:r w:rsidR="00CA473A">
        <w:t>’</w:t>
      </w:r>
      <w:r w:rsidRPr="00D1286C">
        <w:t>aide du Bureau du Haut</w:t>
      </w:r>
      <w:r>
        <w:t xml:space="preserve"> </w:t>
      </w:r>
      <w:r w:rsidRPr="00D1286C">
        <w:t xml:space="preserve">Représentant. Dans les </w:t>
      </w:r>
      <w:r>
        <w:t xml:space="preserve">années </w:t>
      </w:r>
      <w:r w:rsidRPr="00D1286C">
        <w:t xml:space="preserve">à venir, </w:t>
      </w:r>
      <w:r>
        <w:t>des mesures devraient être prises afin d</w:t>
      </w:r>
      <w:r w:rsidR="00CA473A">
        <w:t>’</w:t>
      </w:r>
      <w:r>
        <w:t xml:space="preserve">adapter les structures du pouvoir de la Bosnie-Herzégovine pour donner suite aux </w:t>
      </w:r>
      <w:r w:rsidRPr="00D1286C">
        <w:t>décisions de la Cour européenne des droits de l</w:t>
      </w:r>
      <w:r w:rsidR="00CA473A">
        <w:t>’</w:t>
      </w:r>
      <w:r w:rsidRPr="00D1286C">
        <w:t>homme (</w:t>
      </w:r>
      <w:r>
        <w:t>voir</w:t>
      </w:r>
      <w:r w:rsidRPr="00D1286C">
        <w:t xml:space="preserve"> affaire </w:t>
      </w:r>
      <w:r w:rsidRPr="00F16B68">
        <w:rPr>
          <w:i/>
        </w:rPr>
        <w:t>Jakob Finci</w:t>
      </w:r>
      <w:r w:rsidRPr="00D1286C">
        <w:t xml:space="preserve"> </w:t>
      </w:r>
      <w:r w:rsidRPr="00F16B68">
        <w:rPr>
          <w:i/>
        </w:rPr>
        <w:t>et Dervo Sejdić</w:t>
      </w:r>
      <w:r w:rsidRPr="00D1286C">
        <w:t>). Une commission</w:t>
      </w:r>
      <w:r>
        <w:t xml:space="preserve"> créée </w:t>
      </w:r>
      <w:r w:rsidRPr="00D1286C">
        <w:t>au niveau du Conseil des ministres de la Bosnie-Herzégovine s</w:t>
      </w:r>
      <w:r w:rsidR="00CA473A">
        <w:t>’</w:t>
      </w:r>
      <w:r w:rsidRPr="00D1286C">
        <w:t>e</w:t>
      </w:r>
      <w:r>
        <w:t xml:space="preserve">mploie activement à faciliter le règlement de </w:t>
      </w:r>
      <w:r w:rsidRPr="00D1286C">
        <w:t>ces problèmes.</w:t>
      </w:r>
    </w:p>
    <w:p w:rsidR="00DE0C47" w:rsidRPr="00D1286C" w:rsidRDefault="00DE0C47" w:rsidP="00DE0C47">
      <w:pPr>
        <w:pStyle w:val="SingleTxtG"/>
      </w:pPr>
      <w:r w:rsidRPr="00D1286C">
        <w:t>92.</w:t>
      </w:r>
      <w:r w:rsidRPr="00D1286C">
        <w:tab/>
        <w:t xml:space="preserve">Le district de Brcko a été créé le </w:t>
      </w:r>
      <w:r>
        <w:t>8</w:t>
      </w:r>
      <w:r w:rsidRPr="00D1286C">
        <w:t xml:space="preserve"> mars 2000, conformément à la décision du Tribunal international arbitrale relative au statut de la région de Brcko rendue le 5</w:t>
      </w:r>
      <w:r w:rsidR="00CA473A">
        <w:t> </w:t>
      </w:r>
      <w:r w:rsidRPr="00D1286C">
        <w:t>mars 1999. Le district de Brcko s</w:t>
      </w:r>
      <w:r w:rsidR="00CA473A">
        <w:t>’</w:t>
      </w:r>
      <w:r w:rsidRPr="00D1286C">
        <w:t xml:space="preserve">étend le long </w:t>
      </w:r>
      <w:r>
        <w:t xml:space="preserve">du bassin </w:t>
      </w:r>
      <w:r w:rsidRPr="00D1286C">
        <w:t>de la</w:t>
      </w:r>
      <w:r>
        <w:t xml:space="preserve"> </w:t>
      </w:r>
      <w:r w:rsidRPr="00D1286C">
        <w:t>Sav</w:t>
      </w:r>
      <w:r>
        <w:t>e</w:t>
      </w:r>
      <w:r w:rsidRPr="00D1286C">
        <w:t xml:space="preserve"> sur une superficie de 493</w:t>
      </w:r>
      <w:r>
        <w:t> </w:t>
      </w:r>
      <w:r w:rsidRPr="00D1286C">
        <w:t>km</w:t>
      </w:r>
      <w:r w:rsidRPr="00D1286C">
        <w:rPr>
          <w:vertAlign w:val="superscript"/>
        </w:rPr>
        <w:t>2</w:t>
      </w:r>
      <w:r w:rsidRPr="00D1286C">
        <w:t xml:space="preserve">. Selon </w:t>
      </w:r>
      <w:r>
        <w:t>d</w:t>
      </w:r>
      <w:r w:rsidRPr="00D1286C">
        <w:t>es estimations récentes, le district compte 85</w:t>
      </w:r>
      <w:r w:rsidR="00CA473A">
        <w:t> </w:t>
      </w:r>
      <w:r w:rsidRPr="00D1286C">
        <w:t>000</w:t>
      </w:r>
      <w:r>
        <w:t xml:space="preserve"> </w:t>
      </w:r>
      <w:r w:rsidRPr="00D1286C">
        <w:t>habitants, dont 40</w:t>
      </w:r>
      <w:r w:rsidR="00CA473A">
        <w:t> </w:t>
      </w:r>
      <w:r w:rsidRPr="00D1286C">
        <w:t xml:space="preserve">000 </w:t>
      </w:r>
      <w:r>
        <w:t>pour la ville elle-même</w:t>
      </w:r>
      <w:r w:rsidRPr="00D1286C">
        <w:t>. Le distric</w:t>
      </w:r>
      <w:r>
        <w:t>t de Brcko a son statut et son a</w:t>
      </w:r>
      <w:r w:rsidRPr="00D1286C">
        <w:t>ssemblée, composée de 29</w:t>
      </w:r>
      <w:r>
        <w:t> </w:t>
      </w:r>
      <w:r w:rsidRPr="00D1286C">
        <w:t>parlementaires. Le gouvernement du district est dirigé par le maire.</w:t>
      </w:r>
    </w:p>
    <w:p w:rsidR="00DE0C47" w:rsidRPr="00C451B9" w:rsidRDefault="00DE0C47" w:rsidP="00DE0C47">
      <w:pPr>
        <w:pStyle w:val="SingleTxtG"/>
      </w:pPr>
      <w:r w:rsidRPr="00D1286C">
        <w:t>93.</w:t>
      </w:r>
      <w:r w:rsidRPr="00D1286C">
        <w:tab/>
        <w:t>Les instances judiciaires du district de Brcko sont indépendantes et sont constituées d</w:t>
      </w:r>
      <w:r w:rsidR="00CA473A">
        <w:t>’</w:t>
      </w:r>
      <w:r w:rsidRPr="00D1286C">
        <w:t>un</w:t>
      </w:r>
      <w:r>
        <w:t xml:space="preserve"> tribunal</w:t>
      </w:r>
      <w:r w:rsidRPr="00D1286C">
        <w:t xml:space="preserve"> de première instance et d</w:t>
      </w:r>
      <w:r w:rsidR="00CA473A">
        <w:t>’</w:t>
      </w:r>
      <w:r>
        <w:t>une c</w:t>
      </w:r>
      <w:r w:rsidRPr="00D1286C">
        <w:t>our d</w:t>
      </w:r>
      <w:r w:rsidR="00CA473A">
        <w:t>’</w:t>
      </w:r>
      <w:r w:rsidRPr="00D1286C">
        <w:t>appel. L</w:t>
      </w:r>
      <w:r w:rsidR="00CA473A">
        <w:t>’</w:t>
      </w:r>
      <w:r w:rsidRPr="00D1286C">
        <w:t>impartialité des tribunaux est assurée par la Commission judiciaire du district de Brcko.</w:t>
      </w:r>
    </w:p>
    <w:p w:rsidR="00DE0C47" w:rsidRDefault="00DE0C47" w:rsidP="00DE0C47">
      <w:pPr>
        <w:pStyle w:val="H1G"/>
      </w:pPr>
      <w:r>
        <w:tab/>
        <w:t>A.</w:t>
      </w:r>
      <w:r>
        <w:tab/>
        <w:t>Indépendance de la magistrature</w:t>
      </w:r>
    </w:p>
    <w:p w:rsidR="00DE0C47" w:rsidRDefault="00DE0C47" w:rsidP="00DE0C47">
      <w:pPr>
        <w:pStyle w:val="SingleTxtG"/>
      </w:pPr>
      <w:r>
        <w:t>94.</w:t>
      </w:r>
      <w:r>
        <w:tab/>
        <w:t xml:space="preserve">Les autorités judiciaires sont des organes indépendants, surtout depuis la création du Conseil supérieur de la magistrature de Bosnie-Herzégovine, nommé par le Haut Représentant de la Bosnie-Herzégovine pour veiller à une meilleure application des normes internationales et européennes et à la réorganisation réussie des tribunaux et des parquets, grâce à une sélection judicieuse des juges et des procureurs. Des parquets ont été créés au niveau des Entités et des cantons de la Bosnie-Herzégovine. </w:t>
      </w:r>
    </w:p>
    <w:p w:rsidR="00DE0C47" w:rsidRDefault="00DE0C47" w:rsidP="00DE0C47">
      <w:pPr>
        <w:pStyle w:val="SingleTxtG"/>
      </w:pPr>
      <w:r>
        <w:t>95.</w:t>
      </w:r>
      <w:r>
        <w:tab/>
        <w:t>Conformément aux principes constitutionnels, toute personne a le droit de déclarer ou non une appartenance ethnique. Les amendements à la Constitution des Entités et les modifications de la loi électorale de Bosnie-Herzégovine (</w:t>
      </w:r>
      <w:r w:rsidRPr="005453C6">
        <w:t>Journal officiel de Bosnie-Herzégovine</w:t>
      </w:r>
      <w:r>
        <w:t xml:space="preserve">, </w:t>
      </w:r>
      <w:r w:rsidRPr="00C14D2A">
        <w:t>n</w:t>
      </w:r>
      <w:r w:rsidRPr="00C14D2A">
        <w:rPr>
          <w:vertAlign w:val="superscript"/>
        </w:rPr>
        <w:t>o</w:t>
      </w:r>
      <w:r>
        <w:rPr>
          <w:vertAlign w:val="superscript"/>
        </w:rPr>
        <w:t>s</w:t>
      </w:r>
      <w:r>
        <w:t> 21/01, 7/02, 9/02, 20/02, 25/02, 4/04, 20/04, 25/05, 52/05, 62/05, 77/05, 11/06, 24/06, 32/07, 33/08, 37/08 et 32/10) ont amélioré les droits des minorités en ce sens que celles-ci participent aux élections locales en fonction de leur représentation dans la communauté locale, ce qui permet aux minorités de prendre part à la vie de la communauté locale sur la base de leur appartenance à une communauté minoritaire, et non de leur affiliation à un parti politique organisé.</w:t>
      </w:r>
    </w:p>
    <w:p w:rsidR="00DE0C47" w:rsidRDefault="00DE0C47" w:rsidP="00DE0C47">
      <w:pPr>
        <w:pStyle w:val="SingleTxtG"/>
      </w:pPr>
      <w:r>
        <w:t>96.</w:t>
      </w:r>
      <w:r>
        <w:tab/>
        <w:t>Sachant que les Roms sont la principale minorité nationale en Bosnie-Herzégovine, le Conseil des ministres a créé le Comité des Roms, et l</w:t>
      </w:r>
      <w:r w:rsidR="00CA473A">
        <w:t>’</w:t>
      </w:r>
      <w:r>
        <w:t>Assemblée parlementaire de Bosnie-Herzégovine compte en outre un Conseil des minorités nationales. Des organes ayant des compétences similaires ont été créés au sein du Parlement de la Fédération de Bosnie-Herzégovine et de l</w:t>
      </w:r>
      <w:r w:rsidR="00CA473A">
        <w:t>’</w:t>
      </w:r>
      <w:r>
        <w:t>Assemblée nationale de la Republika Srpska.</w:t>
      </w:r>
    </w:p>
    <w:p w:rsidR="00DE0C47" w:rsidRDefault="00DE0C47" w:rsidP="00DE0C47">
      <w:pPr>
        <w:pStyle w:val="H1G"/>
      </w:pPr>
      <w:r>
        <w:tab/>
        <w:t>B.</w:t>
      </w:r>
      <w:r>
        <w:tab/>
        <w:t>Bureau du Haut Représentant</w:t>
      </w:r>
    </w:p>
    <w:p w:rsidR="00DE0C47" w:rsidRDefault="00DE0C47" w:rsidP="00DE0C47">
      <w:pPr>
        <w:pStyle w:val="SingleTxtG"/>
      </w:pPr>
      <w:r>
        <w:t>97.</w:t>
      </w:r>
      <w:r>
        <w:tab/>
        <w:t>L</w:t>
      </w:r>
      <w:r w:rsidR="00CA473A">
        <w:t>’</w:t>
      </w:r>
      <w:r>
        <w:t>article V de l</w:t>
      </w:r>
      <w:r w:rsidR="00CA473A">
        <w:t>’</w:t>
      </w:r>
      <w:r>
        <w:t>annexe 10 de l</w:t>
      </w:r>
      <w:r w:rsidR="00CA473A">
        <w:t>’</w:t>
      </w:r>
      <w:r>
        <w:t>Accord-cadre général de paix en Bosnie-Herzégovine − Accord relatif au dispositif civil d</w:t>
      </w:r>
      <w:r w:rsidR="00CA473A">
        <w:t>’</w:t>
      </w:r>
      <w:r>
        <w:t>application − précise que le Haut Représentant est l</w:t>
      </w:r>
      <w:r w:rsidR="00CA473A">
        <w:t>’</w:t>
      </w:r>
      <w:r>
        <w:t>autorité suprême du pays en ce qui concerne l</w:t>
      </w:r>
      <w:r w:rsidR="00CA473A">
        <w:t>’</w:t>
      </w:r>
      <w:r>
        <w:t>interprétation de cet accord. Le Bureau du Haut Représentant, qui est en même temps Représentant spécial de l</w:t>
      </w:r>
      <w:r w:rsidR="00CA473A">
        <w:t>’</w:t>
      </w:r>
      <w:r>
        <w:t>UE pour la Bosnie-Herzégovine, est l</w:t>
      </w:r>
      <w:r w:rsidR="00CA473A">
        <w:t>’</w:t>
      </w:r>
      <w:r>
        <w:t>organe responsable au premier chef de l</w:t>
      </w:r>
      <w:r w:rsidR="00CA473A">
        <w:t>’</w:t>
      </w:r>
      <w:r>
        <w:t>application des aspects civils de la paix dans ce pays. Ce Bureau a son siège à Sarajevo et se compose d</w:t>
      </w:r>
      <w:r w:rsidR="00CA473A">
        <w:t>’</w:t>
      </w:r>
      <w:r>
        <w:t>un Département des affaires politiques, d</w:t>
      </w:r>
      <w:r w:rsidR="00CA473A">
        <w:t>’</w:t>
      </w:r>
      <w:r>
        <w:t>une Unité de transition économique, d</w:t>
      </w:r>
      <w:r w:rsidR="00CA473A">
        <w:t>’</w:t>
      </w:r>
      <w:r>
        <w:t>un Département juridique, d</w:t>
      </w:r>
      <w:r w:rsidR="00CA473A">
        <w:t>’</w:t>
      </w:r>
      <w:r>
        <w:t>un Département des ressources et des affaires financières, et d</w:t>
      </w:r>
      <w:r w:rsidR="00CA473A">
        <w:t>’</w:t>
      </w:r>
      <w:r>
        <w:t>un Bureau de presse. Le Bureau du Haut Représentant s</w:t>
      </w:r>
      <w:r w:rsidR="00CA473A">
        <w:t>’</w:t>
      </w:r>
      <w:r>
        <w:t>appuie sur deux bureaux régionaux, l</w:t>
      </w:r>
      <w:r w:rsidR="00CA473A">
        <w:t>’</w:t>
      </w:r>
      <w:r>
        <w:t>un à Banja Luka et l</w:t>
      </w:r>
      <w:r w:rsidR="00CA473A">
        <w:t>’</w:t>
      </w:r>
      <w:r>
        <w:t>autre à Mostar, ainsi que sur le Bureau d</w:t>
      </w:r>
      <w:r w:rsidR="00CA473A">
        <w:t>’</w:t>
      </w:r>
      <w:r>
        <w:t>arbitrage de Brcko et de l</w:t>
      </w:r>
      <w:r w:rsidR="00CA473A">
        <w:t>’</w:t>
      </w:r>
      <w:r>
        <w:t>antenne de Bratunac.</w:t>
      </w:r>
    </w:p>
    <w:p w:rsidR="00DE0C47" w:rsidRDefault="00DE0C47" w:rsidP="00DE0C47">
      <w:pPr>
        <w:pStyle w:val="SingleTxtG"/>
      </w:pPr>
      <w:r>
        <w:t>98.</w:t>
      </w:r>
      <w:r>
        <w:tab/>
        <w:t>Le Haut Représentant est proposé par le Comité directeur, et sa nomination est confirmée par le Conseil de sécurité des Nations Unies, sous les auspices duquel a été conclu l</w:t>
      </w:r>
      <w:r w:rsidR="00CA473A">
        <w:t>’</w:t>
      </w:r>
      <w:r>
        <w:t>Accord de paix de Dayton. Depuis 1995, la Bosnie-Herzégovine a eu six hauts représentants. Le titulaire actuel du poste est Valentin Incko, qui a été nommé le 23 mars 2009. Il a en outre été nommé Représentant spécial de l</w:t>
      </w:r>
      <w:r w:rsidR="00CA473A">
        <w:t>’</w:t>
      </w:r>
      <w:r>
        <w:t>UE pour la Bosnie-Herzégovine. Le Haut Représentant peut aider, s</w:t>
      </w:r>
      <w:r w:rsidR="00CA473A">
        <w:t>’</w:t>
      </w:r>
      <w:r>
        <w:t>il le juge nécessaire, à la résolution des difficultés pouvant survenir au sujet du dispositif civil d</w:t>
      </w:r>
      <w:r w:rsidR="00CA473A">
        <w:t>’</w:t>
      </w:r>
      <w:r>
        <w:t>application.</w:t>
      </w:r>
    </w:p>
    <w:p w:rsidR="00DE0C47" w:rsidRDefault="00DE0C47" w:rsidP="00DE0C47">
      <w:pPr>
        <w:pStyle w:val="SingleTxtG"/>
      </w:pPr>
      <w:r>
        <w:t>99.</w:t>
      </w:r>
      <w:r>
        <w:tab/>
        <w:t>En vertu de la conclusion de la Conférence sur la mise en œuvre de la paix, organisée à Bonn les 9 et 10 décembre 1997, le Haut Représentant peut exercer son autorité en Bosnie-Herzégovine pour régler tout problème en adoptant les décisions contraignantes qui lui semblent nécessaires, y compris des mesures destinées à garantir l</w:t>
      </w:r>
      <w:r w:rsidR="00CA473A">
        <w:t>’</w:t>
      </w:r>
      <w:r>
        <w:t>application de l</w:t>
      </w:r>
      <w:r w:rsidR="00CA473A">
        <w:t>’</w:t>
      </w:r>
      <w:r>
        <w:t>Accord de paix sur l</w:t>
      </w:r>
      <w:r w:rsidR="00CA473A">
        <w:t>’</w:t>
      </w:r>
      <w:r>
        <w:t>ensemble du territoire de la Bosnie-Herzégovine et de ses Entités. Le Haut Représentant peut notamment exercer cette autorité pour révoquer des titulaires d</w:t>
      </w:r>
      <w:r w:rsidR="00CA473A">
        <w:t>’</w:t>
      </w:r>
      <w:r>
        <w:t>une charge publique ou des fonctionnaires de haut rang s</w:t>
      </w:r>
      <w:r w:rsidR="00CA473A">
        <w:t>’</w:t>
      </w:r>
      <w:r>
        <w:t>il estime qu</w:t>
      </w:r>
      <w:r w:rsidR="00CA473A">
        <w:t>’</w:t>
      </w:r>
      <w:r>
        <w:t>ils ont enfreint des obligations légales et que leurs activités constituent un obstacle à l</w:t>
      </w:r>
      <w:r w:rsidR="00CA473A">
        <w:t>’</w:t>
      </w:r>
      <w:r>
        <w:t>application de l</w:t>
      </w:r>
      <w:r w:rsidR="00CA473A">
        <w:t>’</w:t>
      </w:r>
      <w:r>
        <w:t>Accord de paix de Dayton.</w:t>
      </w:r>
    </w:p>
    <w:p w:rsidR="00DE0C47" w:rsidRDefault="00DE0C47" w:rsidP="00DE0C47">
      <w:pPr>
        <w:pStyle w:val="H1G"/>
      </w:pPr>
      <w:r>
        <w:tab/>
        <w:t>C.</w:t>
      </w:r>
      <w:r>
        <w:tab/>
        <w:t>Droits de l</w:t>
      </w:r>
      <w:r w:rsidR="00CA473A">
        <w:t>’</w:t>
      </w:r>
      <w:r>
        <w:t>homme et libertés</w:t>
      </w:r>
    </w:p>
    <w:p w:rsidR="00DE0C47" w:rsidRDefault="00DE0C47" w:rsidP="00DE0C47">
      <w:pPr>
        <w:pStyle w:val="SingleTxtG"/>
      </w:pPr>
      <w:r>
        <w:t>100.</w:t>
      </w:r>
      <w:r>
        <w:tab/>
        <w:t>La Constitution de la Bosnie-Herzégovine garantit le plus haut niveau de protection aux libertés fondamentales et aux droits de l</w:t>
      </w:r>
      <w:r w:rsidR="00CA473A">
        <w:t>’</w:t>
      </w:r>
      <w:r>
        <w:t>homme internationalement reconnus. L</w:t>
      </w:r>
      <w:r w:rsidR="00CA473A">
        <w:t>’</w:t>
      </w:r>
      <w:r>
        <w:t>article II de la Constitution dispose que les droits et libertés reconnus dans la Convention européenne pour la sauvegarde des droits de l</w:t>
      </w:r>
      <w:r w:rsidR="00CA473A">
        <w:t>’</w:t>
      </w:r>
      <w:r>
        <w:t>homme et des libertés fondamentales et dans ses Protocoles sont directement d</w:t>
      </w:r>
      <w:r w:rsidR="00CA473A">
        <w:t>’</w:t>
      </w:r>
      <w:r>
        <w:t xml:space="preserve">application dans le système juridique de la Bosnie-Herzégovine. Ces instruments internationaux ont la primauté sur toute autre loi. </w:t>
      </w:r>
    </w:p>
    <w:p w:rsidR="00DE0C47" w:rsidRDefault="00DE0C47" w:rsidP="00DE0C47">
      <w:pPr>
        <w:pStyle w:val="SingleTxtG"/>
      </w:pPr>
      <w:r>
        <w:t>101.</w:t>
      </w:r>
      <w:r>
        <w:tab/>
        <w:t>Le paragraphe 3 de l</w:t>
      </w:r>
      <w:r w:rsidR="00CA473A">
        <w:t>’</w:t>
      </w:r>
      <w:r>
        <w:t>article II de la Constitution dresse la liste des droits de l</w:t>
      </w:r>
      <w:r w:rsidR="00CA473A">
        <w:t>’</w:t>
      </w:r>
      <w:r>
        <w:t>homme garantis par les instruments internationaux reconnus, à savoir notamment:</w:t>
      </w:r>
    </w:p>
    <w:p w:rsidR="00DE0C47" w:rsidRDefault="00DE0C47" w:rsidP="00DE0C47">
      <w:pPr>
        <w:pStyle w:val="SingleTxtG"/>
      </w:pPr>
      <w:r>
        <w:tab/>
        <w:t>a)</w:t>
      </w:r>
      <w:r>
        <w:tab/>
        <w:t>Le droit à la vie;</w:t>
      </w:r>
    </w:p>
    <w:p w:rsidR="00DE0C47" w:rsidRDefault="00DE0C47" w:rsidP="00DE0C47">
      <w:pPr>
        <w:pStyle w:val="SingleTxtG"/>
      </w:pPr>
      <w:r>
        <w:tab/>
        <w:t>b)</w:t>
      </w:r>
      <w:r>
        <w:tab/>
        <w:t>Le droit de ne pas être soumis à la torture ou à des peines ou traitements inhumains ou dégradants;</w:t>
      </w:r>
    </w:p>
    <w:p w:rsidR="00DE0C47" w:rsidRDefault="00DE0C47" w:rsidP="00DE0C47">
      <w:pPr>
        <w:pStyle w:val="SingleTxtG"/>
      </w:pPr>
      <w:r>
        <w:tab/>
        <w:t>c)</w:t>
      </w:r>
      <w:r>
        <w:tab/>
        <w:t>Le droit de ne pas être tenu en esclavage ou en servitude et de ne pas être astreint à accomplir un travail forcé ou obligatoire;</w:t>
      </w:r>
    </w:p>
    <w:p w:rsidR="00DE0C47" w:rsidRDefault="00DE0C47" w:rsidP="00DE0C47">
      <w:pPr>
        <w:pStyle w:val="SingleTxtG"/>
      </w:pPr>
      <w:r>
        <w:tab/>
        <w:t>d)</w:t>
      </w:r>
      <w:r>
        <w:tab/>
        <w:t>Le droit à la liberté et à la sûreté de la personne;</w:t>
      </w:r>
    </w:p>
    <w:p w:rsidR="00DE0C47" w:rsidRDefault="00DE0C47" w:rsidP="00DE0C47">
      <w:pPr>
        <w:pStyle w:val="SingleTxtG"/>
      </w:pPr>
      <w:r>
        <w:tab/>
        <w:t>e)</w:t>
      </w:r>
      <w:r>
        <w:tab/>
        <w:t>Le droit à un procès équitable en matière civile et pénale et les autres droits relatifs à la procédure pénale;</w:t>
      </w:r>
    </w:p>
    <w:p w:rsidR="00DE0C47" w:rsidRDefault="00DE0C47" w:rsidP="00DE0C47">
      <w:pPr>
        <w:pStyle w:val="SingleTxtG"/>
      </w:pPr>
      <w:r>
        <w:tab/>
        <w:t>f)</w:t>
      </w:r>
      <w:r>
        <w:tab/>
        <w:t>Le droit au respect de la vie privée et familiale, du domicile et de la correspondance;</w:t>
      </w:r>
    </w:p>
    <w:p w:rsidR="00DE0C47" w:rsidRDefault="00DE0C47" w:rsidP="00DE0C47">
      <w:pPr>
        <w:pStyle w:val="SingleTxtG"/>
      </w:pPr>
      <w:r>
        <w:tab/>
        <w:t>g)</w:t>
      </w:r>
      <w:r>
        <w:tab/>
        <w:t>La liberté de pensée, de conscience et de religion;</w:t>
      </w:r>
    </w:p>
    <w:p w:rsidR="00DE0C47" w:rsidRDefault="00DE0C47" w:rsidP="00DE0C47">
      <w:pPr>
        <w:pStyle w:val="SingleTxtG"/>
      </w:pPr>
      <w:r>
        <w:tab/>
        <w:t>h)</w:t>
      </w:r>
      <w:r>
        <w:tab/>
        <w:t>La liberté d</w:t>
      </w:r>
      <w:r w:rsidR="00CA473A">
        <w:t>’</w:t>
      </w:r>
      <w:r>
        <w:t>expression;</w:t>
      </w:r>
    </w:p>
    <w:p w:rsidR="00DE0C47" w:rsidRDefault="00DE0C47" w:rsidP="00DE0C47">
      <w:pPr>
        <w:pStyle w:val="SingleTxtG"/>
      </w:pPr>
      <w:r>
        <w:tab/>
        <w:t>i)</w:t>
      </w:r>
      <w:r>
        <w:tab/>
        <w:t>La liberté de réunion pacifique et la liberté d</w:t>
      </w:r>
      <w:r w:rsidR="00CA473A">
        <w:t>’</w:t>
      </w:r>
      <w:r>
        <w:t>association;</w:t>
      </w:r>
    </w:p>
    <w:p w:rsidR="00DE0C47" w:rsidRDefault="00DE0C47" w:rsidP="00DE0C47">
      <w:pPr>
        <w:pStyle w:val="SingleTxtG"/>
      </w:pPr>
      <w:r>
        <w:tab/>
        <w:t>j)</w:t>
      </w:r>
      <w:r>
        <w:tab/>
        <w:t>Le droit de se marier et de fonder une famille;</w:t>
      </w:r>
    </w:p>
    <w:p w:rsidR="00DE0C47" w:rsidRDefault="00DE0C47" w:rsidP="00DE0C47">
      <w:pPr>
        <w:pStyle w:val="SingleTxtG"/>
      </w:pPr>
      <w:r>
        <w:tab/>
        <w:t>k)</w:t>
      </w:r>
      <w:r>
        <w:tab/>
        <w:t>Le droit à la propriété;</w:t>
      </w:r>
    </w:p>
    <w:p w:rsidR="00DE0C47" w:rsidRDefault="00DE0C47" w:rsidP="00DE0C47">
      <w:pPr>
        <w:pStyle w:val="SingleTxtG"/>
      </w:pPr>
      <w:r>
        <w:tab/>
        <w:t>l)</w:t>
      </w:r>
      <w:r>
        <w:tab/>
        <w:t>Le droit à l</w:t>
      </w:r>
      <w:r w:rsidR="00CA473A">
        <w:t>’</w:t>
      </w:r>
      <w:r>
        <w:t>éducation;</w:t>
      </w:r>
    </w:p>
    <w:p w:rsidR="00DE0C47" w:rsidRDefault="00DE0C47" w:rsidP="00DE0C47">
      <w:pPr>
        <w:pStyle w:val="SingleTxtG"/>
      </w:pPr>
      <w:r>
        <w:tab/>
        <w:t>m)</w:t>
      </w:r>
      <w:r>
        <w:tab/>
        <w:t>Le droit à la liberté de circulation et de résidence.</w:t>
      </w:r>
    </w:p>
    <w:p w:rsidR="00DE0C47" w:rsidRDefault="00DE0C47" w:rsidP="00DE0C47">
      <w:pPr>
        <w:pStyle w:val="SingleTxtG"/>
      </w:pPr>
      <w:r>
        <w:t>102.</w:t>
      </w:r>
      <w:r>
        <w:tab/>
        <w:t>La Bosnie-Herzégovine s</w:t>
      </w:r>
      <w:r w:rsidR="00CA473A">
        <w:t>’</w:t>
      </w:r>
      <w:r>
        <w:t xml:space="preserve">est engagée à garantir le niveau le plus élevé de protection des droits économiques, sociaux et culturels que garantissent les textes de loi nationaux et les instruments internationaux. </w:t>
      </w:r>
    </w:p>
    <w:p w:rsidR="00DE0C47" w:rsidRDefault="00DE0C47" w:rsidP="00DE0C47">
      <w:pPr>
        <w:pStyle w:val="SingleTxtG"/>
      </w:pPr>
      <w:r>
        <w:t>103.</w:t>
      </w:r>
      <w:r>
        <w:tab/>
        <w:t>La Constitution de la Bosnie-Herzégovine interdit toute discrimination fondée sur des motifs tels que le sexe, la race, la couleur, la langue, la religion, l</w:t>
      </w:r>
      <w:r w:rsidR="00CA473A">
        <w:t>’</w:t>
      </w:r>
      <w:r>
        <w:t>opinion politique ou autre, l</w:t>
      </w:r>
      <w:r w:rsidR="00CA473A">
        <w:t>’</w:t>
      </w:r>
      <w:r>
        <w:t>origine nationale ou sociale, l</w:t>
      </w:r>
      <w:r w:rsidR="00CA473A">
        <w:t>’</w:t>
      </w:r>
      <w:r>
        <w:t>appartenance à une minorité nationale, la fortune, la naissance ou toute autre considération (Constitution de la Bosnie-Herzégovine, art. II, point 4). En outre, l</w:t>
      </w:r>
      <w:r w:rsidR="00CA473A">
        <w:t>’</w:t>
      </w:r>
      <w:r>
        <w:t>article 14 de la Convention européenne de sauvegarde des droits de l</w:t>
      </w:r>
      <w:r w:rsidR="00CA473A">
        <w:t>’</w:t>
      </w:r>
      <w:r>
        <w:t>homme et des libertés fondamentales, qui fait partie intégrante de la Constitution et est donc directement applicable dans le système juridique de la Bosnie-Herzégovine, proscrit toute discrimination, pour quelque motif que ce soit.</w:t>
      </w:r>
    </w:p>
    <w:p w:rsidR="00DE0C47" w:rsidRDefault="00DE0C47" w:rsidP="00DE0C47">
      <w:pPr>
        <w:pStyle w:val="SingleTxtG"/>
      </w:pPr>
      <w:r>
        <w:t>104.</w:t>
      </w:r>
      <w:r>
        <w:tab/>
        <w:t>En 2009, la Bosnie-Herzégovine a adopté la loi sur l</w:t>
      </w:r>
      <w:r w:rsidR="00CA473A">
        <w:t>’</w:t>
      </w:r>
      <w:r>
        <w:t>interdiction de la discrimination en Bosnie-Herzégovine (</w:t>
      </w:r>
      <w:r w:rsidRPr="005453C6">
        <w:t>Journal officiel de la Bosnie-Herzégovine</w:t>
      </w:r>
      <w:r>
        <w:t xml:space="preserve">, </w:t>
      </w:r>
      <w:r>
        <w:rPr>
          <w:rFonts w:eastAsia="MS Mincho"/>
        </w:rPr>
        <w:t>n</w:t>
      </w:r>
      <w:r>
        <w:rPr>
          <w:rFonts w:eastAsia="MS Mincho"/>
          <w:vertAlign w:val="superscript"/>
        </w:rPr>
        <w:t>o</w:t>
      </w:r>
      <w:r>
        <w:t> 59/09), qui établit un cadre pour l</w:t>
      </w:r>
      <w:r w:rsidR="00CA473A">
        <w:t>’</w:t>
      </w:r>
      <w:r>
        <w:t>instauration de l</w:t>
      </w:r>
      <w:r w:rsidR="00CA473A">
        <w:t>’</w:t>
      </w:r>
      <w:r>
        <w:t>égalité des droits et des chances à toutes les personnes résidant en Bosnie-Herzégovine, régit le système de protection contre la discrimination, et définit les responsabilités et les obligations des pouvoirs législatif, judiciaire et exécutif, ainsi que celles des personnes morales et physiques, d</w:t>
      </w:r>
      <w:r w:rsidR="00CA473A">
        <w:t>’</w:t>
      </w:r>
      <w:r>
        <w:t>agir d</w:t>
      </w:r>
      <w:r w:rsidR="00CA473A">
        <w:t>’</w:t>
      </w:r>
      <w:r>
        <w:t>une manière garantissant la protection contre la discrimination, et de créer et promouvoir les conditions de l</w:t>
      </w:r>
      <w:r w:rsidR="00CA473A">
        <w:t>’</w:t>
      </w:r>
      <w:r>
        <w:t xml:space="preserve">égalité de traitement pour tous. </w:t>
      </w:r>
    </w:p>
    <w:p w:rsidR="00DE0C47" w:rsidRPr="004B4E09" w:rsidRDefault="00DE0C47" w:rsidP="00DE0C47">
      <w:pPr>
        <w:pStyle w:val="SingleTxtG"/>
      </w:pPr>
      <w:r>
        <w:t>105.</w:t>
      </w:r>
      <w:r>
        <w:tab/>
        <w:t>La loi sur l</w:t>
      </w:r>
      <w:r w:rsidR="00CA473A">
        <w:t>’</w:t>
      </w:r>
      <w:r>
        <w:t>interdiction de la discrimination en Bosnie-Herzégovine a été élaborée dans le respect des normes européennes et inspirée par celles-ci. Les dispositions de la loi protègent les citoyens de la Bosnie-Herzégovine contre la discrimination dans la vie quotidienne comme au travail, et notamment dans les domaines suivants: emploi, santé et services sociaux, justice et administration, logement, information publique, enseignement, sport, culture, science, économie, etc. Elle proscrit en outre toutes les formes de harcèlement moral au travail, sexuel ou autre, de ségrégation ou d</w:t>
      </w:r>
      <w:r w:rsidR="00CA473A">
        <w:t>’</w:t>
      </w:r>
      <w:r>
        <w:t>incitation à la discrimination. En vertu de cette loi, tous les organismes publics et tous les pouvoirs publics ont l</w:t>
      </w:r>
      <w:r w:rsidR="00CA473A">
        <w:t>’</w:t>
      </w:r>
      <w:r>
        <w:t>obligation et le devoir de lutter contre la discrimination et de ne pas la pratiquer eux-mêmes, en éliminant les obstacles qui, directement ou indirectement, pourraient créer une situation de discrimination. Ces institutions ont en outre le devoir de concevoir et de réaliser activement les conditions de l</w:t>
      </w:r>
      <w:r w:rsidR="00CA473A">
        <w:t>’</w:t>
      </w:r>
      <w:r>
        <w:t>égalité de traitement. Pour ce faire, il faut modifier les lois, politiques et pratiques de travail existantes et en adopter de nouvelles, le tout en accord avec la loi sur l</w:t>
      </w:r>
      <w:r w:rsidR="00CA473A">
        <w:t>’</w:t>
      </w:r>
      <w:r>
        <w:t>interdiction de la discrimination.</w:t>
      </w:r>
    </w:p>
    <w:p w:rsidR="00DE0C47" w:rsidRDefault="00DE0C47" w:rsidP="00DE0C47">
      <w:pPr>
        <w:pStyle w:val="SingleTxtG"/>
      </w:pPr>
      <w:r>
        <w:t>106.</w:t>
      </w:r>
      <w:r>
        <w:tab/>
        <w:t>La Bosnie-Herzégovine a intégré dans sa législation pénale les postulats de la Convention internationale sur l</w:t>
      </w:r>
      <w:r w:rsidR="00CA473A">
        <w:t>’</w:t>
      </w:r>
      <w:r>
        <w:t>élimination de toutes les formes de discrimination raciale, prescrivant des sanctions pénales pour les crimes contre l</w:t>
      </w:r>
      <w:r w:rsidR="00CA473A">
        <w:t>’</w:t>
      </w:r>
      <w:r>
        <w:t>humanité et le droit international, le génocide, les crimes de guerre contre les civils, les crimes de guerre contre les blessés et les malades, les crimes de guerre contre les prisonniers, l</w:t>
      </w:r>
      <w:r w:rsidR="00CA473A">
        <w:t>’</w:t>
      </w:r>
      <w:r>
        <w:t>organisation et l</w:t>
      </w:r>
      <w:r w:rsidR="00CA473A">
        <w:t>’</w:t>
      </w:r>
      <w:r>
        <w:t>incitation de groupes à commettre des actes criminels de génocide, des crimes contre l</w:t>
      </w:r>
      <w:r w:rsidR="00CA473A">
        <w:t>’</w:t>
      </w:r>
      <w:r>
        <w:t>humanité et des crimes de guerre, la violation du principe d</w:t>
      </w:r>
      <w:r w:rsidR="00CA473A">
        <w:t>’</w:t>
      </w:r>
      <w:r>
        <w:t>égalité des hommes et des citoyens, et la destruction de monuments culturels, historiques et religieux, et a ainsi établi les mécanismes législatifs qui protègent les droits de l</w:t>
      </w:r>
      <w:r w:rsidR="00CA473A">
        <w:t>’</w:t>
      </w:r>
      <w:r>
        <w:t xml:space="preserve">homme et les libertés fondamentales pour tous, sans considération de race, de sexe, de langue, de religion ou autre. </w:t>
      </w:r>
    </w:p>
    <w:p w:rsidR="00DE0C47" w:rsidRDefault="00DE0C47" w:rsidP="00DE0C47">
      <w:pPr>
        <w:pStyle w:val="SingleTxtG"/>
      </w:pPr>
      <w:r>
        <w:t>107.</w:t>
      </w:r>
      <w:r>
        <w:tab/>
        <w:t>Les droits personnels et politiques et les libertés des citoyens sont garantis par les Constitutions de la Bosnie-Herzégovine, des Entités, les cantons et le Statut du district de Brcko. La mobilisation ne peut être décrétée que par l</w:t>
      </w:r>
      <w:r w:rsidR="00CA473A">
        <w:t>’</w:t>
      </w:r>
      <w:r>
        <w:t>autorité compétente en cas de déclaration de guerre, de menace imminente de guerre ou de catastrophe naturelle.</w:t>
      </w:r>
    </w:p>
    <w:p w:rsidR="00DE0C47" w:rsidRDefault="00DE0C47" w:rsidP="00DE0C47">
      <w:pPr>
        <w:pStyle w:val="SingleTxtG"/>
      </w:pPr>
      <w:r>
        <w:t>108.</w:t>
      </w:r>
      <w:r>
        <w:tab/>
        <w:t>Les forces de police, qui sont organisées par les Ministères de l</w:t>
      </w:r>
      <w:r w:rsidR="00CA473A">
        <w:t>’</w:t>
      </w:r>
      <w:r>
        <w:t>intérieur des Entités, veillent à la liberté des personnes et à la sécurité des citoyens. La police doit amener devant le procureur compétent toute personne arrêtée et légitimement soupçonnée d</w:t>
      </w:r>
      <w:r w:rsidR="00CA473A">
        <w:t>’</w:t>
      </w:r>
      <w:r>
        <w:t xml:space="preserve">avoir commis un crime, et ce, dans un délai ne dépassant pas vingt-quatre heures. </w:t>
      </w:r>
    </w:p>
    <w:p w:rsidR="00DE0C47" w:rsidRDefault="00DE0C47" w:rsidP="00DE0C47">
      <w:pPr>
        <w:pStyle w:val="SingleTxtG"/>
      </w:pPr>
      <w:r>
        <w:t>109.</w:t>
      </w:r>
      <w:r>
        <w:tab/>
        <w:t>La liberté individuelle ne peut être restreinte que dans les cas prévus par la loi sur la procédure criminelle et la loi sur l</w:t>
      </w:r>
      <w:r w:rsidR="00CA473A">
        <w:t>’</w:t>
      </w:r>
      <w:r>
        <w:t>exécution des sanctions pénales, ou en vertu d</w:t>
      </w:r>
      <w:r w:rsidR="00CA473A">
        <w:t>’</w:t>
      </w:r>
      <w:r>
        <w:t>une décision du tribunal compétent. S</w:t>
      </w:r>
      <w:r w:rsidR="00CA473A">
        <w:t>’</w:t>
      </w:r>
      <w:r>
        <w:t>agissant de personnes malades, leur liberté peut être restreinte en fonction d</w:t>
      </w:r>
      <w:r w:rsidR="00CA473A">
        <w:t>’</w:t>
      </w:r>
      <w:r>
        <w:t>une obligation éventuelle de traitement découlant du risque qu</w:t>
      </w:r>
      <w:r w:rsidR="00CA473A">
        <w:t>’</w:t>
      </w:r>
      <w:r>
        <w:t>elles représentent pour elles-mêmes et pour autrui. Un malade ne pourra être adressé à un établissement de soins de santé pour y être traité que sur la base d</w:t>
      </w:r>
      <w:r w:rsidR="00CA473A">
        <w:t>’</w:t>
      </w:r>
      <w:r>
        <w:t>un diagnostic posé par une commission médicale autorisée ou par une institution médicale ayant compétence pour émettre de tels avis. L</w:t>
      </w:r>
      <w:r w:rsidR="00CA473A">
        <w:t>’</w:t>
      </w:r>
      <w:r>
        <w:t xml:space="preserve">activité de tels comités est encadrée par une réglementation spéciale. </w:t>
      </w:r>
    </w:p>
    <w:p w:rsidR="00DE0C47" w:rsidRDefault="00DE0C47" w:rsidP="00DE0C47">
      <w:pPr>
        <w:pStyle w:val="SingleTxtG"/>
      </w:pPr>
      <w:r>
        <w:t>110.</w:t>
      </w:r>
      <w:r>
        <w:tab/>
        <w:t>À l</w:t>
      </w:r>
      <w:r w:rsidR="00CA473A">
        <w:t>’</w:t>
      </w:r>
      <w:r>
        <w:t>initiative de l</w:t>
      </w:r>
      <w:r w:rsidR="00CA473A">
        <w:t>’</w:t>
      </w:r>
      <w:r>
        <w:t>Assemblée parlementaire de la Bosnie-Herzégovine, et sur la base des recommandations du Comité des Nations Unies contre la torture et autres peines ou traitements cruels, inhumains ou dégradants, des réunions de travail ont eu lieu avec des représentants des associations de familles de victimes de guerre et de la Commission internationale des personnes disparues aux fins de procéder à une analyse complète et d</w:t>
      </w:r>
      <w:r w:rsidR="00CA473A">
        <w:t>’</w:t>
      </w:r>
      <w:r>
        <w:t>élaborer les concepts du droit régissant les droits des victimes de la torture et de la guerre en Bosnie-Herzégovine.</w:t>
      </w:r>
    </w:p>
    <w:p w:rsidR="00DE0C47" w:rsidRDefault="00DE0C47" w:rsidP="00DE0C47">
      <w:pPr>
        <w:pStyle w:val="SingleTxtG"/>
      </w:pPr>
      <w:r>
        <w:t>111.</w:t>
      </w:r>
      <w:r>
        <w:tab/>
        <w:t>Afin de protéger les populations vulnérables, et en particulier les personnes handicapées, la Bosnie-Herzégovine a mené à bien le processus de ratification de la Convention relative aux droits des personnes handicapées, et des activités sont en cours en vue de la formation du conseil pour la protection des personnes handicapées.</w:t>
      </w:r>
    </w:p>
    <w:p w:rsidR="00DE0C47" w:rsidRDefault="00DE0C47" w:rsidP="00DE0C47">
      <w:pPr>
        <w:pStyle w:val="SingleTxtG"/>
      </w:pPr>
      <w:r>
        <w:t>112.</w:t>
      </w:r>
      <w:r>
        <w:tab/>
        <w:t>En application des recommandations du Comité contre la torture et du Comité européen pour la prévention de la torture et des peines ou traitements inhumains ou dégradants, la Bosnie-Herzégovine a créé les commissions suivantes: la Commission de surveillance des institutions chargées d</w:t>
      </w:r>
      <w:r w:rsidR="00CA473A">
        <w:t>’</w:t>
      </w:r>
      <w:r>
        <w:t>accueillir et de prendre en charge les enfants, les victimes de la violence domestique et de la traite, les demandeurs d</w:t>
      </w:r>
      <w:r w:rsidR="00CA473A">
        <w:t>’</w:t>
      </w:r>
      <w:r>
        <w:t>asile, les immigrants illégaux, les réfugiés, les personnes âgées, les personnes handicapées, ainsi que d</w:t>
      </w:r>
      <w:r w:rsidR="00CA473A">
        <w:t>’</w:t>
      </w:r>
      <w:r>
        <w:t xml:space="preserve">autres structures analogues, en plus de la Commission de surveillance des établissements pénitentiaires (prisons et centres de détention, y compris pour les jeunes délinquants), des postes de police et des institutions psychiatriques où des personnes sont internées contre leur gré et privées de leur liberté. </w:t>
      </w:r>
    </w:p>
    <w:p w:rsidR="00DE0C47" w:rsidRDefault="00DE0C47" w:rsidP="00DE0C47">
      <w:pPr>
        <w:pStyle w:val="SingleTxtG"/>
      </w:pPr>
      <w:r>
        <w:t>113.</w:t>
      </w:r>
      <w:r>
        <w:tab/>
        <w:t>Les citoyens de la Bosnie-Herzégovine ne subissent aucune restriction de leur liberté de mouvement et de résidence, et ils peuvent librement choisir leur lieu de vie. Il leur est seulement fait obligation de fournir des documents d</w:t>
      </w:r>
      <w:r w:rsidR="00CA473A">
        <w:t>’</w:t>
      </w:r>
      <w:r>
        <w:t>identité appropriés, indiquant l</w:t>
      </w:r>
      <w:r w:rsidR="00CA473A">
        <w:t>’</w:t>
      </w:r>
      <w:r>
        <w:t>adresse de résidence permanente (pour les bases de données du SPIC − Système de protection de l</w:t>
      </w:r>
      <w:r w:rsidR="00CA473A">
        <w:t>’</w:t>
      </w:r>
      <w:r>
        <w:t>identité des citoyens).</w:t>
      </w:r>
    </w:p>
    <w:p w:rsidR="00DE0C47" w:rsidRDefault="00DE0C47" w:rsidP="00DE0C47">
      <w:pPr>
        <w:pStyle w:val="SingleTxtG"/>
      </w:pPr>
      <w:r>
        <w:t>114.</w:t>
      </w:r>
      <w:r>
        <w:tab/>
        <w:t>Afin de favoriser l</w:t>
      </w:r>
      <w:r w:rsidR="00CA473A">
        <w:t>’</w:t>
      </w:r>
      <w:r>
        <w:t>application de l</w:t>
      </w:r>
      <w:r w:rsidR="00CA473A">
        <w:t>’</w:t>
      </w:r>
      <w:r>
        <w:t>annexe VII de l</w:t>
      </w:r>
      <w:r w:rsidR="00CA473A">
        <w:t>’</w:t>
      </w:r>
      <w:r>
        <w:t>Accord de paix de Dayton pour la Bosnie-Herzégovine, à savoir permettre le retour durable des réfugiés et des personnes déplacées dans leurs anciens lieux de résidence, la Bosnie-Herzégovine a adopté la Stratégie révisée pour la mise en œuvre de l</w:t>
      </w:r>
      <w:r w:rsidR="00CA473A">
        <w:t>’</w:t>
      </w:r>
      <w:r>
        <w:t>annexe VII de l</w:t>
      </w:r>
      <w:r w:rsidR="00CA473A">
        <w:t>’</w:t>
      </w:r>
      <w:r>
        <w:t>Accord de paix de Dayton.</w:t>
      </w:r>
    </w:p>
    <w:p w:rsidR="00DE0C47" w:rsidRDefault="00DE0C47" w:rsidP="00DE0C47">
      <w:pPr>
        <w:pStyle w:val="SingleTxtG"/>
      </w:pPr>
      <w:r>
        <w:t>115.</w:t>
      </w:r>
      <w:r>
        <w:tab/>
        <w:t>Il convient également de noter que, le 13 novembre 2008, le Conseil des ministres de la Bosnie-Herzégovine, ayant examiné et adopté l</w:t>
      </w:r>
      <w:r w:rsidR="00CA473A">
        <w:t>’</w:t>
      </w:r>
      <w:r>
        <w:t>Information sur le recensement de la population et du logement en Bosnie-Herzégovine, a conclu que l</w:t>
      </w:r>
      <w:r w:rsidR="00CA473A">
        <w:t>’</w:t>
      </w:r>
      <w:r>
        <w:t>année 2011 devait être l</w:t>
      </w:r>
      <w:r w:rsidR="00CA473A">
        <w:t>’</w:t>
      </w:r>
      <w:r>
        <w:t>année cible pour la réalisation du recensement, et que le recensement de 1991 resterait la base pour déterminer la représentation nationale dans l</w:t>
      </w:r>
      <w:r w:rsidR="00CA473A">
        <w:t>’</w:t>
      </w:r>
      <w:r>
        <w:t>ensemble des institutions de l</w:t>
      </w:r>
      <w:r w:rsidR="00CA473A">
        <w:t>’</w:t>
      </w:r>
      <w:r>
        <w:t>État, des Entités, des cantons et des municipalités jusqu</w:t>
      </w:r>
      <w:r w:rsidR="00CA473A">
        <w:t>’</w:t>
      </w:r>
      <w:r>
        <w:t>en 2014.</w:t>
      </w:r>
    </w:p>
    <w:p w:rsidR="00DE0C47" w:rsidRDefault="00DE0C47" w:rsidP="00DE0C47">
      <w:pPr>
        <w:pStyle w:val="SingleTxtG"/>
      </w:pPr>
      <w:r>
        <w:t>116.</w:t>
      </w:r>
      <w:r>
        <w:tab/>
        <w:t>Les droits économiques, sociaux et culturels sont également garantis par la Constitution de la Bosnie-Herzégovine et celles des Entités, de même que par les différentes lois applicables en la matière. Étant donné le conflit récent en Bosnie-Herzégovine et conformément à l</w:t>
      </w:r>
      <w:r w:rsidR="00CA473A">
        <w:t>’</w:t>
      </w:r>
      <w:r>
        <w:t>Accord de Dayton, une attention particulière a été portée à la législation sur le droit à la propriété, le retour dans les anciens lieux de résidence, l</w:t>
      </w:r>
      <w:r w:rsidR="00CA473A">
        <w:t>’</w:t>
      </w:r>
      <w:r>
        <w:t>éducation, l</w:t>
      </w:r>
      <w:r w:rsidR="00CA473A">
        <w:t>’</w:t>
      </w:r>
      <w:r>
        <w:t>emploi et la protection sociale.</w:t>
      </w:r>
    </w:p>
    <w:p w:rsidR="00DE0C47" w:rsidRDefault="00DE0C47" w:rsidP="00DE0C47">
      <w:pPr>
        <w:pStyle w:val="SingleTxtG"/>
      </w:pPr>
      <w:r>
        <w:t>117.</w:t>
      </w:r>
      <w:r>
        <w:tab/>
        <w:t>Le Conseil de la concurrence de la Bosnie-Herzégovine est seul compétent pour statuer sur l</w:t>
      </w:r>
      <w:r w:rsidR="00CA473A">
        <w:t>’</w:t>
      </w:r>
      <w:r>
        <w:t>existence d</w:t>
      </w:r>
      <w:r w:rsidR="00CA473A">
        <w:t>’</w:t>
      </w:r>
      <w:r>
        <w:t>une activité concurrentielle interdite sur le marché de la Bosnie-Herzégovine. En tant qu</w:t>
      </w:r>
      <w:r w:rsidR="00CA473A">
        <w:t>’</w:t>
      </w:r>
      <w:r>
        <w:t>organe autonome et indépendant ayant la personnalité juridique, le Conseil de la concurrence a été créé le 1</w:t>
      </w:r>
      <w:r w:rsidRPr="00FB13DE">
        <w:rPr>
          <w:vertAlign w:val="superscript"/>
        </w:rPr>
        <w:t>er</w:t>
      </w:r>
      <w:r>
        <w:t xml:space="preserve"> mai 2004 en vertu des dispositions de la loi sur la concurrence (</w:t>
      </w:r>
      <w:r w:rsidRPr="005453C6">
        <w:t>Journal officiel de la Bosnie-Herzégovine</w:t>
      </w:r>
      <w:r>
        <w:t xml:space="preserve">, </w:t>
      </w:r>
      <w:r w:rsidRPr="00C14D2A">
        <w:t>n</w:t>
      </w:r>
      <w:r w:rsidRPr="00C14D2A">
        <w:rPr>
          <w:vertAlign w:val="superscript"/>
        </w:rPr>
        <w:t>o</w:t>
      </w:r>
      <w:r>
        <w:t xml:space="preserve"> 30/01), adoptée en 2001; son siège est à Sarajevo. C</w:t>
      </w:r>
      <w:r w:rsidR="00CA473A">
        <w:t>’</w:t>
      </w:r>
      <w:r>
        <w:t>était la première fois que la loi sur la concurrence réglementait la politique concurrentielle vue comme l</w:t>
      </w:r>
      <w:r w:rsidR="00CA473A">
        <w:t>’</w:t>
      </w:r>
      <w:r>
        <w:t>un des instruments et des piliers les plus importants au moyen duquel on allait créer et consolider un marché ou espace économique unique en Bosnie-Herzégovine.</w:t>
      </w:r>
    </w:p>
    <w:p w:rsidR="00DE0C47" w:rsidRDefault="00DE0C47" w:rsidP="00DE0C47">
      <w:pPr>
        <w:pStyle w:val="SingleTxtG"/>
      </w:pPr>
      <w:r>
        <w:t>118.</w:t>
      </w:r>
      <w:r>
        <w:tab/>
        <w:t>Afin de promouvoir les droits sociaux, la Bosnie-Herzégovine a achevé en septembre 2008 le processus de ratification de la Charte sociale révisée du Conseil de l</w:t>
      </w:r>
      <w:r w:rsidR="00CA473A">
        <w:t>’</w:t>
      </w:r>
      <w:r>
        <w:t>Europe (1996) et entrepris de rédiger le premier rapport de la Bosnie-Herzégovine sur l</w:t>
      </w:r>
      <w:r w:rsidR="00CA473A">
        <w:t>’</w:t>
      </w:r>
      <w:r>
        <w:t>application dudit instrument international.</w:t>
      </w:r>
    </w:p>
    <w:p w:rsidR="00DE0C47" w:rsidRDefault="00DE0C47" w:rsidP="00DE0C47">
      <w:pPr>
        <w:pStyle w:val="SingleTxtG"/>
      </w:pPr>
      <w:r>
        <w:t>119.</w:t>
      </w:r>
      <w:r>
        <w:tab/>
        <w:t>Liberté d</w:t>
      </w:r>
      <w:r w:rsidR="00CA473A">
        <w:t>’</w:t>
      </w:r>
      <w:r>
        <w:t>accès au marché: la Bosnie-Herzégovine est un pays en transition et c</w:t>
      </w:r>
      <w:r w:rsidR="00CA473A">
        <w:t>’</w:t>
      </w:r>
      <w:r>
        <w:t>est la raison pour laquelle une nouvelle politique d</w:t>
      </w:r>
      <w:r w:rsidR="00CA473A">
        <w:t>’</w:t>
      </w:r>
      <w:r>
        <w:t>économie de marché y est introduite, d</w:t>
      </w:r>
      <w:r w:rsidR="00CA473A">
        <w:t>’</w:t>
      </w:r>
      <w:r>
        <w:t>où la nécessité d</w:t>
      </w:r>
      <w:r w:rsidR="00CA473A">
        <w:t>’</w:t>
      </w:r>
      <w:r>
        <w:t>un nouveau cadre juridique capable de réglementer ce secteur. Le Parlement de la Bosnie-Herzégovine a adopté la loi sur le travail et l</w:t>
      </w:r>
      <w:r w:rsidR="00CA473A">
        <w:t>’</w:t>
      </w:r>
      <w:r>
        <w:t>emploi. Il faut noter que la Constitution, en son article II, outre qu</w:t>
      </w:r>
      <w:r w:rsidR="00CA473A">
        <w:t>’</w:t>
      </w:r>
      <w:r>
        <w:t>elle confirme la continuité de la Bosnie-Herzégovine comme un État à part entière au regard du droit international, prévoit également qu</w:t>
      </w:r>
      <w:r w:rsidR="00CA473A">
        <w:t>’</w:t>
      </w:r>
      <w:r>
        <w:t>elle conserve sa qualité de membre des organisations internationales. La Bosnie-Herzégovine a conservé son statut de membre au sein de l</w:t>
      </w:r>
      <w:r w:rsidR="00CA473A">
        <w:t>’</w:t>
      </w:r>
      <w:r>
        <w:t>Organisation internationale du Travail (OIT) et est donc signataire des 79 Conventions de l</w:t>
      </w:r>
      <w:r w:rsidR="00CA473A">
        <w:t>’</w:t>
      </w:r>
      <w:r>
        <w:t>OIT, qu</w:t>
      </w:r>
      <w:r w:rsidR="00CA473A">
        <w:t>’</w:t>
      </w:r>
      <w:r>
        <w:t>elle est par conséquent tenue d</w:t>
      </w:r>
      <w:r w:rsidR="00CA473A">
        <w:t>’</w:t>
      </w:r>
      <w:r>
        <w:t>appliquer. Les Entités ont entrepris d</w:t>
      </w:r>
      <w:r w:rsidR="00CA473A">
        <w:t>’</w:t>
      </w:r>
      <w:r>
        <w:t>intégrer les dispositions relatives au travail et à l</w:t>
      </w:r>
      <w:r w:rsidR="00CA473A">
        <w:t>’</w:t>
      </w:r>
      <w:r>
        <w:t>emploi dans leurs lois, et le processus d</w:t>
      </w:r>
      <w:r w:rsidR="00CA473A">
        <w:t>’</w:t>
      </w:r>
      <w:r>
        <w:t>harmonisation avec les conventions signées par la Bosnie-Herzégovine est en cours.</w:t>
      </w:r>
    </w:p>
    <w:p w:rsidR="00DE0C47" w:rsidRDefault="00DE0C47" w:rsidP="00DE0C47">
      <w:pPr>
        <w:pStyle w:val="SingleTxtG"/>
      </w:pPr>
      <w:r>
        <w:t>120.</w:t>
      </w:r>
      <w:r>
        <w:tab/>
        <w:t>Liberté de choisir une profession, droit à une rémunération égale du travail (hommes et femmes): les lois qui régissent le droit du travail en Bosnie-Herzégovine et dans ses Entités en termes de droit au travail et de droits des travailleurs qui en découlent ne font aucune distinction entre les hommes et les femmes si ce n</w:t>
      </w:r>
      <w:r w:rsidR="00CA473A">
        <w:t>’</w:t>
      </w:r>
      <w:r>
        <w:t>est dans le cas des avantages légaux liés à la maternité. La situation économique actuelle en Bosnie-Herzégovine, dans les Entités et les cantons où ces droits peuvent être exercés, affecte la réalisation des droits des travailleurs. En raison du taux de chômage élevé et de la lenteur de la reprise économique, le respect des droits des travailleurs reste un problème non réglé.</w:t>
      </w:r>
    </w:p>
    <w:p w:rsidR="00DE0C47" w:rsidRPr="00D010BF" w:rsidRDefault="00DE0C47" w:rsidP="00DE0C47">
      <w:pPr>
        <w:pStyle w:val="SingleTxtG"/>
        <w:rPr>
          <w:lang w:val="fr-FR"/>
        </w:rPr>
      </w:pPr>
      <w:r w:rsidRPr="00D010BF">
        <w:rPr>
          <w:lang w:val="fr-FR"/>
        </w:rPr>
        <w:t>121.</w:t>
      </w:r>
      <w:r w:rsidRPr="00D010BF">
        <w:rPr>
          <w:lang w:val="fr-FR"/>
        </w:rPr>
        <w:tab/>
        <w:t xml:space="preserve">Le droit à la santé et à la </w:t>
      </w:r>
      <w:r>
        <w:rPr>
          <w:lang w:val="fr-FR"/>
        </w:rPr>
        <w:t>protection</w:t>
      </w:r>
      <w:r w:rsidRPr="00D010BF">
        <w:rPr>
          <w:lang w:val="fr-FR"/>
        </w:rPr>
        <w:t xml:space="preserve"> sociale en Bosnie-Herzég</w:t>
      </w:r>
      <w:r>
        <w:rPr>
          <w:lang w:val="fr-FR"/>
        </w:rPr>
        <w:t>ovine est exercé au niveau des E</w:t>
      </w:r>
      <w:r w:rsidRPr="00D010BF">
        <w:rPr>
          <w:lang w:val="fr-FR"/>
        </w:rPr>
        <w:t xml:space="preserve">ntités et </w:t>
      </w:r>
      <w:r>
        <w:rPr>
          <w:lang w:val="fr-FR"/>
        </w:rPr>
        <w:t xml:space="preserve">il </w:t>
      </w:r>
      <w:r w:rsidRPr="00D010BF">
        <w:rPr>
          <w:lang w:val="fr-FR"/>
        </w:rPr>
        <w:t>e</w:t>
      </w:r>
      <w:r>
        <w:rPr>
          <w:lang w:val="fr-FR"/>
        </w:rPr>
        <w:t>st réglementé par les lois des E</w:t>
      </w:r>
      <w:r w:rsidRPr="00D010BF">
        <w:rPr>
          <w:lang w:val="fr-FR"/>
        </w:rPr>
        <w:t xml:space="preserve">ntités sur la </w:t>
      </w:r>
      <w:r>
        <w:rPr>
          <w:lang w:val="fr-FR"/>
        </w:rPr>
        <w:t xml:space="preserve">protection </w:t>
      </w:r>
      <w:r w:rsidRPr="00D010BF">
        <w:rPr>
          <w:lang w:val="fr-FR"/>
        </w:rPr>
        <w:t xml:space="preserve">sociale et les soins de santé. La </w:t>
      </w:r>
      <w:r>
        <w:rPr>
          <w:lang w:val="fr-FR"/>
        </w:rPr>
        <w:t>concrétisation</w:t>
      </w:r>
      <w:r w:rsidRPr="00D010BF">
        <w:rPr>
          <w:lang w:val="fr-FR"/>
        </w:rPr>
        <w:t xml:space="preserve"> de ces droits est malaisée en raison des </w:t>
      </w:r>
      <w:r>
        <w:rPr>
          <w:lang w:val="fr-FR"/>
        </w:rPr>
        <w:t>budgets insuffisants des E</w:t>
      </w:r>
      <w:r w:rsidRPr="00D010BF">
        <w:rPr>
          <w:lang w:val="fr-FR"/>
        </w:rPr>
        <w:t xml:space="preserve">ntités et des cantons, qui sont tenus </w:t>
      </w:r>
      <w:r>
        <w:rPr>
          <w:lang w:val="fr-FR"/>
        </w:rPr>
        <w:t>de prévoir des crédits</w:t>
      </w:r>
      <w:r w:rsidRPr="00D010BF">
        <w:rPr>
          <w:lang w:val="fr-FR"/>
        </w:rPr>
        <w:t xml:space="preserve"> à cet effet. </w:t>
      </w:r>
      <w:r>
        <w:rPr>
          <w:lang w:val="fr-FR"/>
        </w:rPr>
        <w:t>Les</w:t>
      </w:r>
      <w:r w:rsidRPr="00D010BF">
        <w:rPr>
          <w:lang w:val="fr-FR"/>
        </w:rPr>
        <w:t xml:space="preserve"> lois </w:t>
      </w:r>
      <w:r>
        <w:rPr>
          <w:lang w:val="fr-FR"/>
        </w:rPr>
        <w:t xml:space="preserve">régissant ce domaine </w:t>
      </w:r>
      <w:r w:rsidRPr="00D010BF">
        <w:rPr>
          <w:lang w:val="fr-FR"/>
        </w:rPr>
        <w:t>sont en voie d</w:t>
      </w:r>
      <w:r w:rsidR="00CA473A">
        <w:rPr>
          <w:lang w:val="fr-FR"/>
        </w:rPr>
        <w:t>’</w:t>
      </w:r>
      <w:r w:rsidRPr="00D010BF">
        <w:rPr>
          <w:lang w:val="fr-FR"/>
        </w:rPr>
        <w:t>harmonisation avec les conventions que la Bosnie-Herzégovine s</w:t>
      </w:r>
      <w:r w:rsidR="00CA473A">
        <w:rPr>
          <w:lang w:val="fr-FR"/>
        </w:rPr>
        <w:t>’</w:t>
      </w:r>
      <w:r w:rsidRPr="00D010BF">
        <w:rPr>
          <w:lang w:val="fr-FR"/>
        </w:rPr>
        <w:t>est engagée à appliquer. À ce propos, nous notons qu</w:t>
      </w:r>
      <w:r w:rsidR="00CA473A">
        <w:rPr>
          <w:lang w:val="fr-FR"/>
        </w:rPr>
        <w:t>’</w:t>
      </w:r>
      <w:r w:rsidRPr="00D010BF">
        <w:rPr>
          <w:lang w:val="fr-FR"/>
        </w:rPr>
        <w:t>en 2007, la Bosnie-Herzégo</w:t>
      </w:r>
      <w:r>
        <w:rPr>
          <w:lang w:val="fr-FR"/>
        </w:rPr>
        <w:t>vine a ratifié la Convention du</w:t>
      </w:r>
      <w:r w:rsidRPr="00D010BF">
        <w:rPr>
          <w:lang w:val="fr-FR"/>
        </w:rPr>
        <w:t xml:space="preserve"> Conseil de l</w:t>
      </w:r>
      <w:r w:rsidR="00CA473A">
        <w:rPr>
          <w:lang w:val="fr-FR"/>
        </w:rPr>
        <w:t>’</w:t>
      </w:r>
      <w:r w:rsidRPr="00D010BF">
        <w:rPr>
          <w:lang w:val="fr-FR"/>
        </w:rPr>
        <w:t xml:space="preserve">Europe sur </w:t>
      </w:r>
      <w:r>
        <w:rPr>
          <w:lang w:val="fr-FR"/>
        </w:rPr>
        <w:t>les droits de l</w:t>
      </w:r>
      <w:r w:rsidR="00CA473A">
        <w:rPr>
          <w:lang w:val="fr-FR"/>
        </w:rPr>
        <w:t>’</w:t>
      </w:r>
      <w:r>
        <w:rPr>
          <w:lang w:val="fr-FR"/>
        </w:rPr>
        <w:t xml:space="preserve">homme et </w:t>
      </w:r>
      <w:r w:rsidRPr="00D010BF">
        <w:rPr>
          <w:lang w:val="fr-FR"/>
        </w:rPr>
        <w:t xml:space="preserve">la biomédecine ainsi que le Protocole </w:t>
      </w:r>
      <w:r>
        <w:rPr>
          <w:lang w:val="fr-FR"/>
        </w:rPr>
        <w:t xml:space="preserve">sur la recherche biomédicale, </w:t>
      </w:r>
      <w:r w:rsidRPr="00D010BF">
        <w:rPr>
          <w:lang w:val="fr-FR"/>
        </w:rPr>
        <w:t>et que le processus d</w:t>
      </w:r>
      <w:r w:rsidR="00CA473A">
        <w:rPr>
          <w:lang w:val="fr-FR"/>
        </w:rPr>
        <w:t>’</w:t>
      </w:r>
      <w:r w:rsidRPr="00D010BF">
        <w:rPr>
          <w:lang w:val="fr-FR"/>
        </w:rPr>
        <w:t>harmonisation de la législation de la Bosnie-Herzégovine avec cette convention est engagé.</w:t>
      </w:r>
    </w:p>
    <w:p w:rsidR="00DE0C47" w:rsidRPr="00D010BF" w:rsidRDefault="00DE0C47" w:rsidP="00DE0C47">
      <w:pPr>
        <w:pStyle w:val="SingleTxtG"/>
        <w:rPr>
          <w:lang w:val="fr-FR"/>
        </w:rPr>
      </w:pPr>
      <w:r w:rsidRPr="00D010BF">
        <w:rPr>
          <w:lang w:val="fr-FR"/>
        </w:rPr>
        <w:t>122.</w:t>
      </w:r>
      <w:r w:rsidRPr="00D010BF">
        <w:rPr>
          <w:lang w:val="fr-FR"/>
        </w:rPr>
        <w:tab/>
        <w:t>Le droit à la liberté de réunion et d</w:t>
      </w:r>
      <w:r w:rsidR="00CA473A">
        <w:rPr>
          <w:lang w:val="fr-FR"/>
        </w:rPr>
        <w:t>’</w:t>
      </w:r>
      <w:r w:rsidRPr="00D010BF">
        <w:rPr>
          <w:lang w:val="fr-FR"/>
        </w:rPr>
        <w:t>association est inscrit dans la Constitution de la Bosnie-Herzégovine qui dispose</w:t>
      </w:r>
      <w:r>
        <w:rPr>
          <w:lang w:val="fr-FR"/>
        </w:rPr>
        <w:t>,</w:t>
      </w:r>
      <w:r w:rsidRPr="00D010BF">
        <w:rPr>
          <w:lang w:val="fr-FR"/>
        </w:rPr>
        <w:t xml:space="preserve"> </w:t>
      </w:r>
      <w:r>
        <w:rPr>
          <w:lang w:val="fr-FR"/>
        </w:rPr>
        <w:t>au point 3 de l</w:t>
      </w:r>
      <w:r w:rsidR="00CA473A">
        <w:rPr>
          <w:lang w:val="fr-FR"/>
        </w:rPr>
        <w:t>’</w:t>
      </w:r>
      <w:r w:rsidR="00880690">
        <w:rPr>
          <w:lang w:val="fr-FR"/>
        </w:rPr>
        <w:t>a</w:t>
      </w:r>
      <w:r>
        <w:rPr>
          <w:lang w:val="fr-FR"/>
        </w:rPr>
        <w:t>rticle II,</w:t>
      </w:r>
      <w:r w:rsidRPr="00D010BF">
        <w:rPr>
          <w:lang w:val="fr-FR"/>
        </w:rPr>
        <w:t xml:space="preserve"> que les citoyens de Bosnie-Herzégovine ont droit à la liberté de réunion pacifique et d</w:t>
      </w:r>
      <w:r w:rsidR="00CA473A">
        <w:rPr>
          <w:lang w:val="fr-FR"/>
        </w:rPr>
        <w:t>’</w:t>
      </w:r>
      <w:r w:rsidRPr="00D010BF">
        <w:rPr>
          <w:lang w:val="fr-FR"/>
        </w:rPr>
        <w:t>association avec d</w:t>
      </w:r>
      <w:r w:rsidR="00CA473A">
        <w:rPr>
          <w:lang w:val="fr-FR"/>
        </w:rPr>
        <w:t>’</w:t>
      </w:r>
      <w:r w:rsidRPr="00D010BF">
        <w:rPr>
          <w:lang w:val="fr-FR"/>
        </w:rPr>
        <w:t xml:space="preserve">autres. </w:t>
      </w:r>
      <w:r>
        <w:rPr>
          <w:lang w:val="fr-FR"/>
        </w:rPr>
        <w:t xml:space="preserve">Au sujet de </w:t>
      </w:r>
      <w:r w:rsidRPr="00D010BF">
        <w:rPr>
          <w:lang w:val="fr-FR"/>
        </w:rPr>
        <w:t>ces libertés, la Bosnie-Herzégovine a voté plusieurs lois qui régissent ce secteur. La liberté d</w:t>
      </w:r>
      <w:r w:rsidR="00CA473A">
        <w:rPr>
          <w:lang w:val="fr-FR"/>
        </w:rPr>
        <w:t>’</w:t>
      </w:r>
      <w:r w:rsidRPr="00D010BF">
        <w:rPr>
          <w:lang w:val="fr-FR"/>
        </w:rPr>
        <w:t>association et de réunion au niveau national est régie par la Constitution et les lois votées au niveau de l</w:t>
      </w:r>
      <w:r w:rsidR="00CA473A">
        <w:rPr>
          <w:lang w:val="fr-FR"/>
        </w:rPr>
        <w:t>’</w:t>
      </w:r>
      <w:r>
        <w:rPr>
          <w:lang w:val="fr-FR"/>
        </w:rPr>
        <w:t>État et des E</w:t>
      </w:r>
      <w:r w:rsidRPr="00D010BF">
        <w:rPr>
          <w:lang w:val="fr-FR"/>
        </w:rPr>
        <w:t xml:space="preserve">ntités, qui font obligation aux organisateurs de </w:t>
      </w:r>
      <w:r>
        <w:rPr>
          <w:lang w:val="fr-FR"/>
        </w:rPr>
        <w:t xml:space="preserve">notifier </w:t>
      </w:r>
      <w:r w:rsidRPr="00D010BF">
        <w:rPr>
          <w:lang w:val="fr-FR"/>
        </w:rPr>
        <w:t>à l</w:t>
      </w:r>
      <w:r w:rsidR="00CA473A">
        <w:rPr>
          <w:lang w:val="fr-FR"/>
        </w:rPr>
        <w:t>’</w:t>
      </w:r>
      <w:r w:rsidRPr="00D010BF">
        <w:rPr>
          <w:lang w:val="fr-FR"/>
        </w:rPr>
        <w:t>autorité compétente leur intention de se réunir. L</w:t>
      </w:r>
      <w:r w:rsidR="00CA473A">
        <w:rPr>
          <w:lang w:val="fr-FR"/>
        </w:rPr>
        <w:t>’</w:t>
      </w:r>
      <w:r w:rsidRPr="00D010BF">
        <w:rPr>
          <w:lang w:val="fr-FR"/>
        </w:rPr>
        <w:t xml:space="preserve">expérience </w:t>
      </w:r>
      <w:r>
        <w:rPr>
          <w:lang w:val="fr-FR"/>
        </w:rPr>
        <w:t>montre</w:t>
      </w:r>
      <w:r w:rsidRPr="00D010BF">
        <w:rPr>
          <w:lang w:val="fr-FR"/>
        </w:rPr>
        <w:t xml:space="preserve"> que, dans certaines situations, des tentatives sont faites pour empêcher les réunions de citoyens ou les restreindre d</w:t>
      </w:r>
      <w:r w:rsidR="00CA473A">
        <w:rPr>
          <w:lang w:val="fr-FR"/>
        </w:rPr>
        <w:t>’</w:t>
      </w:r>
      <w:r w:rsidRPr="00D010BF">
        <w:rPr>
          <w:lang w:val="fr-FR"/>
        </w:rPr>
        <w:t>une manière ou d</w:t>
      </w:r>
      <w:r w:rsidR="00CA473A">
        <w:rPr>
          <w:lang w:val="fr-FR"/>
        </w:rPr>
        <w:t>’</w:t>
      </w:r>
      <w:r w:rsidRPr="00D010BF">
        <w:rPr>
          <w:lang w:val="fr-FR"/>
        </w:rPr>
        <w:t>une autre. Quant aux organisateurs, ils abusent parfois de leur droit à la liberté de réunion pour poursuivre d</w:t>
      </w:r>
      <w:r w:rsidR="00CA473A">
        <w:rPr>
          <w:lang w:val="fr-FR"/>
        </w:rPr>
        <w:t>’</w:t>
      </w:r>
      <w:r w:rsidRPr="00D010BF">
        <w:rPr>
          <w:lang w:val="fr-FR"/>
        </w:rPr>
        <w:t>autres objectifs qui n</w:t>
      </w:r>
      <w:r w:rsidR="00CA473A">
        <w:rPr>
          <w:lang w:val="fr-FR"/>
        </w:rPr>
        <w:t>’</w:t>
      </w:r>
      <w:r w:rsidRPr="00D010BF">
        <w:rPr>
          <w:lang w:val="fr-FR"/>
        </w:rPr>
        <w:t>ont pas été invoqués lorsqu</w:t>
      </w:r>
      <w:r w:rsidR="00CA473A">
        <w:rPr>
          <w:lang w:val="fr-FR"/>
        </w:rPr>
        <w:t>’</w:t>
      </w:r>
      <w:r w:rsidRPr="00D010BF">
        <w:rPr>
          <w:lang w:val="fr-FR"/>
        </w:rPr>
        <w:t>ils ont indiqué les raisons de leur réunion.</w:t>
      </w:r>
    </w:p>
    <w:p w:rsidR="00DE0C47" w:rsidRPr="00D010BF" w:rsidRDefault="00DE0C47" w:rsidP="00DE0C47">
      <w:pPr>
        <w:pStyle w:val="SingleTxtG"/>
        <w:rPr>
          <w:lang w:val="fr-FR"/>
        </w:rPr>
      </w:pPr>
      <w:r w:rsidRPr="00D010BF">
        <w:rPr>
          <w:lang w:val="fr-FR"/>
        </w:rPr>
        <w:t>123.</w:t>
      </w:r>
      <w:r w:rsidRPr="00D010BF">
        <w:rPr>
          <w:lang w:val="fr-FR"/>
        </w:rPr>
        <w:tab/>
        <w:t xml:space="preserve">La Constitution de </w:t>
      </w:r>
      <w:r>
        <w:rPr>
          <w:lang w:val="fr-FR"/>
        </w:rPr>
        <w:t>l</w:t>
      </w:r>
      <w:r w:rsidR="00CA473A">
        <w:rPr>
          <w:lang w:val="fr-FR"/>
        </w:rPr>
        <w:t>’</w:t>
      </w:r>
      <w:r>
        <w:rPr>
          <w:lang w:val="fr-FR"/>
        </w:rPr>
        <w:t>État ainsi que celles des E</w:t>
      </w:r>
      <w:r w:rsidRPr="00D010BF">
        <w:rPr>
          <w:lang w:val="fr-FR"/>
        </w:rPr>
        <w:t>ntités et du district de Brcko garantissent le droit d</w:t>
      </w:r>
      <w:r w:rsidR="00CA473A">
        <w:rPr>
          <w:lang w:val="fr-FR"/>
        </w:rPr>
        <w:t>’</w:t>
      </w:r>
      <w:r w:rsidRPr="00D010BF">
        <w:rPr>
          <w:lang w:val="fr-FR"/>
        </w:rPr>
        <w:t>association et le droit de réunion pacifique, ainsi que la liberté d</w:t>
      </w:r>
      <w:r w:rsidR="00CA473A">
        <w:rPr>
          <w:lang w:val="fr-FR"/>
        </w:rPr>
        <w:t>’</w:t>
      </w:r>
      <w:r w:rsidRPr="00D010BF">
        <w:rPr>
          <w:lang w:val="fr-FR"/>
        </w:rPr>
        <w:t>association avec d</w:t>
      </w:r>
      <w:r w:rsidR="00CA473A">
        <w:rPr>
          <w:lang w:val="fr-FR"/>
        </w:rPr>
        <w:t>’</w:t>
      </w:r>
      <w:r w:rsidRPr="00D010BF">
        <w:rPr>
          <w:lang w:val="fr-FR"/>
        </w:rPr>
        <w:t>autres</w:t>
      </w:r>
      <w:r>
        <w:rPr>
          <w:lang w:val="fr-FR"/>
        </w:rPr>
        <w:t>,</w:t>
      </w:r>
      <w:r w:rsidRPr="00D010BF">
        <w:rPr>
          <w:lang w:val="fr-FR"/>
        </w:rPr>
        <w:t xml:space="preserve"> de sorte que, pour tout citoyen de Bosnie-Herzégovine, la liberté d</w:t>
      </w:r>
      <w:r w:rsidR="00CA473A">
        <w:rPr>
          <w:lang w:val="fr-FR"/>
        </w:rPr>
        <w:t>’</w:t>
      </w:r>
      <w:r w:rsidRPr="00D010BF">
        <w:rPr>
          <w:lang w:val="fr-FR"/>
        </w:rPr>
        <w:t>association est un droit constitutionnel.</w:t>
      </w:r>
    </w:p>
    <w:p w:rsidR="00DE0C47" w:rsidRPr="00D010BF" w:rsidRDefault="00DE0C47" w:rsidP="00DE0C47">
      <w:pPr>
        <w:pStyle w:val="SingleTxtG"/>
        <w:rPr>
          <w:lang w:val="fr-FR"/>
        </w:rPr>
      </w:pPr>
      <w:r w:rsidRPr="00D010BF">
        <w:rPr>
          <w:lang w:val="fr-FR"/>
        </w:rPr>
        <w:t>124.</w:t>
      </w:r>
      <w:r w:rsidRPr="00D010BF">
        <w:rPr>
          <w:lang w:val="fr-FR"/>
        </w:rPr>
        <w:tab/>
        <w:t>La Constitution de la Bo</w:t>
      </w:r>
      <w:r>
        <w:rPr>
          <w:lang w:val="fr-FR"/>
        </w:rPr>
        <w:t>snie-Herzégovine et celles des E</w:t>
      </w:r>
      <w:r w:rsidRPr="00D010BF">
        <w:rPr>
          <w:lang w:val="fr-FR"/>
        </w:rPr>
        <w:t>ntités ne comportent pas de restrictions à l</w:t>
      </w:r>
      <w:r w:rsidR="00CA473A">
        <w:rPr>
          <w:lang w:val="fr-FR"/>
        </w:rPr>
        <w:t>’</w:t>
      </w:r>
      <w:r w:rsidRPr="00D010BF">
        <w:rPr>
          <w:lang w:val="fr-FR"/>
        </w:rPr>
        <w:t>exercice du droit de réunion pacifique. L</w:t>
      </w:r>
      <w:r w:rsidR="00CA473A">
        <w:rPr>
          <w:lang w:val="fr-FR"/>
        </w:rPr>
        <w:t>’</w:t>
      </w:r>
      <w:r w:rsidRPr="00D010BF">
        <w:rPr>
          <w:lang w:val="fr-FR"/>
        </w:rPr>
        <w:t xml:space="preserve">autorité compétente interdit de tenir des réunions publiques </w:t>
      </w:r>
      <w:r>
        <w:rPr>
          <w:lang w:val="fr-FR"/>
        </w:rPr>
        <w:t>qui visent</w:t>
      </w:r>
      <w:r w:rsidRPr="00D010BF">
        <w:rPr>
          <w:lang w:val="fr-FR"/>
        </w:rPr>
        <w:t xml:space="preserve"> à changer par la force l</w:t>
      </w:r>
      <w:r w:rsidR="00CA473A">
        <w:rPr>
          <w:lang w:val="fr-FR"/>
        </w:rPr>
        <w:t>’</w:t>
      </w:r>
      <w:r w:rsidRPr="00D010BF">
        <w:rPr>
          <w:lang w:val="fr-FR"/>
        </w:rPr>
        <w:t xml:space="preserve">ordre établi par la Constitution, </w:t>
      </w:r>
      <w:r>
        <w:rPr>
          <w:lang w:val="fr-FR"/>
        </w:rPr>
        <w:t>à violer</w:t>
      </w:r>
      <w:r w:rsidRPr="00D010BF">
        <w:rPr>
          <w:lang w:val="fr-FR"/>
        </w:rPr>
        <w:t xml:space="preserve"> l</w:t>
      </w:r>
      <w:r w:rsidR="00CA473A">
        <w:rPr>
          <w:lang w:val="fr-FR"/>
        </w:rPr>
        <w:t>’</w:t>
      </w:r>
      <w:r w:rsidRPr="00D010BF">
        <w:rPr>
          <w:lang w:val="fr-FR"/>
        </w:rPr>
        <w:t>intégrité territoriale de la Bosnie-Herzégovine</w:t>
      </w:r>
      <w:r>
        <w:rPr>
          <w:lang w:val="fr-FR"/>
        </w:rPr>
        <w:t xml:space="preserve"> ou </w:t>
      </w:r>
      <w:r w:rsidRPr="00D010BF">
        <w:rPr>
          <w:lang w:val="fr-FR"/>
        </w:rPr>
        <w:t>les droits et libertés de l</w:t>
      </w:r>
      <w:r w:rsidR="00CA473A">
        <w:rPr>
          <w:lang w:val="fr-FR"/>
        </w:rPr>
        <w:t>’</w:t>
      </w:r>
      <w:r w:rsidRPr="00D010BF">
        <w:rPr>
          <w:lang w:val="fr-FR"/>
        </w:rPr>
        <w:t xml:space="preserve">homme et du citoyen garantis par la Constitution, </w:t>
      </w:r>
      <w:r>
        <w:rPr>
          <w:lang w:val="fr-FR"/>
        </w:rPr>
        <w:t>ou à inciter</w:t>
      </w:r>
      <w:r w:rsidRPr="00D010BF">
        <w:rPr>
          <w:lang w:val="fr-FR"/>
        </w:rPr>
        <w:t xml:space="preserve"> à l</w:t>
      </w:r>
      <w:r w:rsidR="00CA473A">
        <w:rPr>
          <w:lang w:val="fr-FR"/>
        </w:rPr>
        <w:t>’</w:t>
      </w:r>
      <w:r>
        <w:rPr>
          <w:lang w:val="fr-FR"/>
        </w:rPr>
        <w:t>intolérance et à la haine</w:t>
      </w:r>
      <w:r w:rsidRPr="00D010BF">
        <w:rPr>
          <w:lang w:val="fr-FR"/>
        </w:rPr>
        <w:t xml:space="preserve"> raciale et religieuse. L</w:t>
      </w:r>
      <w:r w:rsidR="00CA473A">
        <w:rPr>
          <w:lang w:val="fr-FR"/>
        </w:rPr>
        <w:t>’</w:t>
      </w:r>
      <w:r w:rsidRPr="00D010BF">
        <w:rPr>
          <w:lang w:val="fr-FR"/>
        </w:rPr>
        <w:t xml:space="preserve">autorité compétente est habilitée à interdire </w:t>
      </w:r>
      <w:r>
        <w:rPr>
          <w:lang w:val="fr-FR"/>
        </w:rPr>
        <w:t>la tenue</w:t>
      </w:r>
      <w:r w:rsidRPr="00D010BF">
        <w:rPr>
          <w:lang w:val="fr-FR"/>
        </w:rPr>
        <w:t xml:space="preserve"> d</w:t>
      </w:r>
      <w:r w:rsidR="00CA473A">
        <w:rPr>
          <w:lang w:val="fr-FR"/>
        </w:rPr>
        <w:t>’</w:t>
      </w:r>
      <w:r w:rsidRPr="00D010BF">
        <w:rPr>
          <w:lang w:val="fr-FR"/>
        </w:rPr>
        <w:t>une réunion publique s</w:t>
      </w:r>
      <w:r w:rsidR="00CA473A">
        <w:rPr>
          <w:lang w:val="fr-FR"/>
        </w:rPr>
        <w:t>’</w:t>
      </w:r>
      <w:r w:rsidRPr="00D010BF">
        <w:rPr>
          <w:lang w:val="fr-FR"/>
        </w:rPr>
        <w:t>il s</w:t>
      </w:r>
      <w:r w:rsidR="00CA473A">
        <w:rPr>
          <w:lang w:val="fr-FR"/>
        </w:rPr>
        <w:t>’</w:t>
      </w:r>
      <w:r w:rsidRPr="00D010BF">
        <w:rPr>
          <w:lang w:val="fr-FR"/>
        </w:rPr>
        <w:t>agit d</w:t>
      </w:r>
      <w:r w:rsidR="00CA473A">
        <w:rPr>
          <w:lang w:val="fr-FR"/>
        </w:rPr>
        <w:t>’</w:t>
      </w:r>
      <w:r w:rsidRPr="00D010BF">
        <w:rPr>
          <w:lang w:val="fr-FR"/>
        </w:rPr>
        <w:t>empêcher la</w:t>
      </w:r>
      <w:r>
        <w:rPr>
          <w:lang w:val="fr-FR"/>
        </w:rPr>
        <w:t xml:space="preserve"> perturbation de la circulation ou</w:t>
      </w:r>
      <w:r w:rsidRPr="00D010BF">
        <w:rPr>
          <w:lang w:val="fr-FR"/>
        </w:rPr>
        <w:t xml:space="preserve"> la mise en </w:t>
      </w:r>
      <w:r>
        <w:rPr>
          <w:lang w:val="fr-FR"/>
        </w:rPr>
        <w:t>danger de la santé, de la moralité</w:t>
      </w:r>
      <w:r w:rsidRPr="00D010BF">
        <w:rPr>
          <w:lang w:val="fr-FR"/>
        </w:rPr>
        <w:t xml:space="preserve"> publique ou de la sûreté </w:t>
      </w:r>
      <w:r>
        <w:rPr>
          <w:lang w:val="fr-FR"/>
        </w:rPr>
        <w:t>des</w:t>
      </w:r>
      <w:r w:rsidRPr="00D010BF">
        <w:rPr>
          <w:lang w:val="fr-FR"/>
        </w:rPr>
        <w:t xml:space="preserve"> personne</w:t>
      </w:r>
      <w:r>
        <w:rPr>
          <w:lang w:val="fr-FR"/>
        </w:rPr>
        <w:t>s</w:t>
      </w:r>
      <w:r w:rsidRPr="00D010BF">
        <w:rPr>
          <w:lang w:val="fr-FR"/>
        </w:rPr>
        <w:t xml:space="preserve"> et des biens. Les personnes contre lesquelles le tribunal a prononcé une mesure de sécurité interdisant leur apparition en public ne sont pas autorisées à organiser des réunions publiques ou à y prendre la parole. Cette question relève des lois qui régissent le droit de réunion des citoyens au niveau de l</w:t>
      </w:r>
      <w:r w:rsidR="00CA473A">
        <w:rPr>
          <w:lang w:val="fr-FR"/>
        </w:rPr>
        <w:t>’</w:t>
      </w:r>
      <w:r>
        <w:rPr>
          <w:lang w:val="fr-FR"/>
        </w:rPr>
        <w:t>État comme au niveau des deux E</w:t>
      </w:r>
      <w:r w:rsidRPr="00D010BF">
        <w:rPr>
          <w:lang w:val="fr-FR"/>
        </w:rPr>
        <w:t>ntités et du district de Brcko. Selon ces lois, des citoyens qui se réunissent exercent librement un droit démocratique pour autant qu</w:t>
      </w:r>
      <w:r w:rsidR="00CA473A">
        <w:rPr>
          <w:lang w:val="fr-FR"/>
        </w:rPr>
        <w:t>’</w:t>
      </w:r>
      <w:r w:rsidRPr="00D010BF">
        <w:rPr>
          <w:lang w:val="fr-FR"/>
        </w:rPr>
        <w:t>ils le fassent en accord avec les règles en vigueur. Celles-ci précisent que les réunions doivent se tenir dans des lieux préalablement désignés.</w:t>
      </w:r>
    </w:p>
    <w:p w:rsidR="00DE0C47" w:rsidRPr="00D010BF" w:rsidRDefault="00DE0C47" w:rsidP="00DE0C47">
      <w:pPr>
        <w:pStyle w:val="SingleTxtG"/>
        <w:rPr>
          <w:lang w:val="fr-FR"/>
        </w:rPr>
      </w:pPr>
      <w:r w:rsidRPr="00D010BF">
        <w:rPr>
          <w:lang w:val="fr-FR"/>
        </w:rPr>
        <w:t>125.</w:t>
      </w:r>
      <w:r w:rsidRPr="00D010BF">
        <w:rPr>
          <w:lang w:val="fr-FR"/>
        </w:rPr>
        <w:tab/>
        <w:t>La loi sur la liberté de relig</w:t>
      </w:r>
      <w:r>
        <w:rPr>
          <w:lang w:val="fr-FR"/>
        </w:rPr>
        <w:t>ion et le statut juridique des é</w:t>
      </w:r>
      <w:r w:rsidRPr="00D010BF">
        <w:rPr>
          <w:lang w:val="fr-FR"/>
        </w:rPr>
        <w:t>glises et des communautés reli</w:t>
      </w:r>
      <w:r>
        <w:rPr>
          <w:lang w:val="fr-FR"/>
        </w:rPr>
        <w:t>gieuses de Bosnie-Herzégovine (</w:t>
      </w:r>
      <w:r w:rsidRPr="00D010BF">
        <w:rPr>
          <w:lang w:val="fr-FR"/>
        </w:rPr>
        <w:t xml:space="preserve">Journal officiel de </w:t>
      </w:r>
      <w:r>
        <w:rPr>
          <w:lang w:val="fr-FR"/>
        </w:rPr>
        <w:t>Bosnie-Herzégovine</w:t>
      </w:r>
      <w:r w:rsidRPr="00D010BF">
        <w:rPr>
          <w:lang w:val="fr-FR"/>
        </w:rPr>
        <w:t>, n</w:t>
      </w:r>
      <w:r w:rsidRPr="00D010BF">
        <w:rPr>
          <w:vertAlign w:val="superscript"/>
          <w:lang w:val="fr-FR"/>
        </w:rPr>
        <w:t>o</w:t>
      </w:r>
      <w:r>
        <w:rPr>
          <w:lang w:val="fr-FR"/>
        </w:rPr>
        <w:t> 5/04) prévoi</w:t>
      </w:r>
      <w:r w:rsidRPr="00D010BF">
        <w:rPr>
          <w:lang w:val="fr-FR"/>
        </w:rPr>
        <w:t>t que la liberté de religion ou d</w:t>
      </w:r>
      <w:r w:rsidR="00CA473A">
        <w:rPr>
          <w:lang w:val="fr-FR"/>
        </w:rPr>
        <w:t>’</w:t>
      </w:r>
      <w:r w:rsidRPr="00D010BF">
        <w:rPr>
          <w:lang w:val="fr-FR"/>
        </w:rPr>
        <w:t>opinion s</w:t>
      </w:r>
      <w:r w:rsidR="00CA473A">
        <w:rPr>
          <w:lang w:val="fr-FR"/>
        </w:rPr>
        <w:t>’</w:t>
      </w:r>
      <w:r w:rsidRPr="00D010BF">
        <w:rPr>
          <w:lang w:val="fr-FR"/>
        </w:rPr>
        <w:t>entend notamment du droit de toute personne, ou d</w:t>
      </w:r>
      <w:r w:rsidR="00CA473A">
        <w:rPr>
          <w:lang w:val="fr-FR"/>
        </w:rPr>
        <w:t>’</w:t>
      </w:r>
      <w:r>
        <w:rPr>
          <w:lang w:val="fr-FR"/>
        </w:rPr>
        <w:t>une é</w:t>
      </w:r>
      <w:r w:rsidRPr="00D010BF">
        <w:rPr>
          <w:lang w:val="fr-FR"/>
        </w:rPr>
        <w:t>glise ou d</w:t>
      </w:r>
      <w:r w:rsidR="00CA473A">
        <w:rPr>
          <w:lang w:val="fr-FR"/>
        </w:rPr>
        <w:t>’</w:t>
      </w:r>
      <w:r w:rsidRPr="00D010BF">
        <w:rPr>
          <w:lang w:val="fr-FR"/>
        </w:rPr>
        <w:t>une communauté religieuse, d</w:t>
      </w:r>
      <w:r w:rsidR="00CA473A">
        <w:rPr>
          <w:lang w:val="fr-FR"/>
        </w:rPr>
        <w:t>’</w:t>
      </w:r>
      <w:r w:rsidRPr="00D010BF">
        <w:rPr>
          <w:lang w:val="fr-FR"/>
        </w:rPr>
        <w:t>accomplir des rites religieux dans ses propres locaux ou dans des locaux loués, ou encore en un lieu se prêtant à la réunion d</w:t>
      </w:r>
      <w:r w:rsidR="00CA473A">
        <w:rPr>
          <w:lang w:val="fr-FR"/>
        </w:rPr>
        <w:t>’</w:t>
      </w:r>
      <w:r w:rsidRPr="00D010BF">
        <w:rPr>
          <w:lang w:val="fr-FR"/>
        </w:rPr>
        <w:t>un grand nombre de personnes, qu</w:t>
      </w:r>
      <w:r w:rsidR="00CA473A">
        <w:rPr>
          <w:lang w:val="fr-FR"/>
        </w:rPr>
        <w:t>’</w:t>
      </w:r>
      <w:r w:rsidRPr="00D010BF">
        <w:rPr>
          <w:lang w:val="fr-FR"/>
        </w:rPr>
        <w:t>il s</w:t>
      </w:r>
      <w:r w:rsidR="00CA473A">
        <w:rPr>
          <w:lang w:val="fr-FR"/>
        </w:rPr>
        <w:t>’</w:t>
      </w:r>
      <w:r w:rsidRPr="00D010BF">
        <w:rPr>
          <w:lang w:val="fr-FR"/>
        </w:rPr>
        <w:t>agisse d</w:t>
      </w:r>
      <w:r w:rsidR="00CA473A">
        <w:rPr>
          <w:lang w:val="fr-FR"/>
        </w:rPr>
        <w:t>’</w:t>
      </w:r>
      <w:r w:rsidRPr="00D010BF">
        <w:rPr>
          <w:lang w:val="fr-FR"/>
        </w:rPr>
        <w:t>un espace ouvert</w:t>
      </w:r>
      <w:r>
        <w:rPr>
          <w:lang w:val="fr-FR"/>
        </w:rPr>
        <w:t xml:space="preserve"> à l</w:t>
      </w:r>
      <w:r w:rsidR="00CA473A">
        <w:rPr>
          <w:lang w:val="fr-FR"/>
        </w:rPr>
        <w:t>’</w:t>
      </w:r>
      <w:r>
        <w:rPr>
          <w:lang w:val="fr-FR"/>
        </w:rPr>
        <w:t>intérieur</w:t>
      </w:r>
      <w:r w:rsidRPr="00D010BF">
        <w:rPr>
          <w:lang w:val="fr-FR"/>
        </w:rPr>
        <w:t>, d</w:t>
      </w:r>
      <w:r w:rsidR="00CA473A">
        <w:rPr>
          <w:lang w:val="fr-FR"/>
        </w:rPr>
        <w:t>’</w:t>
      </w:r>
      <w:r w:rsidRPr="00D010BF">
        <w:rPr>
          <w:lang w:val="fr-FR"/>
        </w:rPr>
        <w:t>un bâtiment religieux, d</w:t>
      </w:r>
      <w:r w:rsidR="00CA473A">
        <w:rPr>
          <w:lang w:val="fr-FR"/>
        </w:rPr>
        <w:t>’</w:t>
      </w:r>
      <w:r w:rsidRPr="00D010BF">
        <w:rPr>
          <w:lang w:val="fr-FR"/>
        </w:rPr>
        <w:t>un cimetière, d</w:t>
      </w:r>
      <w:r w:rsidR="00CA473A">
        <w:rPr>
          <w:lang w:val="fr-FR"/>
        </w:rPr>
        <w:t>’</w:t>
      </w:r>
      <w:r w:rsidRPr="00D010BF">
        <w:rPr>
          <w:lang w:val="fr-FR"/>
        </w:rPr>
        <w:t>une maison ou d</w:t>
      </w:r>
      <w:r w:rsidR="00CA473A">
        <w:rPr>
          <w:lang w:val="fr-FR"/>
        </w:rPr>
        <w:t>’</w:t>
      </w:r>
      <w:r w:rsidRPr="00D010BF">
        <w:rPr>
          <w:lang w:val="fr-FR"/>
        </w:rPr>
        <w:t>une ferme. En outre, les croyants peuvent librement organiser des cérémonies religieuses, des représentations et d</w:t>
      </w:r>
      <w:r w:rsidR="00CA473A">
        <w:rPr>
          <w:lang w:val="fr-FR"/>
        </w:rPr>
        <w:t>’</w:t>
      </w:r>
      <w:r w:rsidRPr="00D010BF">
        <w:rPr>
          <w:lang w:val="fr-FR"/>
        </w:rPr>
        <w:t xml:space="preserve">autres </w:t>
      </w:r>
      <w:r>
        <w:rPr>
          <w:lang w:val="fr-FR"/>
        </w:rPr>
        <w:t>rassemblements</w:t>
      </w:r>
      <w:r w:rsidRPr="00D010BF">
        <w:rPr>
          <w:lang w:val="fr-FR"/>
        </w:rPr>
        <w:t xml:space="preserve"> à </w:t>
      </w:r>
      <w:r>
        <w:rPr>
          <w:lang w:val="fr-FR"/>
        </w:rPr>
        <w:t>caractère religieux ou culturel</w:t>
      </w:r>
      <w:r w:rsidRPr="00D010BF">
        <w:rPr>
          <w:lang w:val="fr-FR"/>
        </w:rPr>
        <w:t xml:space="preserve"> dans des espaces publics, conformément à la loi régissant les réunions de citoyens.</w:t>
      </w:r>
    </w:p>
    <w:p w:rsidR="00DE0C47" w:rsidRPr="00D010BF" w:rsidRDefault="00DE0C47" w:rsidP="00DE0C47">
      <w:pPr>
        <w:pStyle w:val="SingleTxtG"/>
        <w:rPr>
          <w:lang w:val="fr-FR"/>
        </w:rPr>
      </w:pPr>
      <w:r w:rsidRPr="00D010BF">
        <w:rPr>
          <w:lang w:val="fr-FR"/>
        </w:rPr>
        <w:t>126.</w:t>
      </w:r>
      <w:r w:rsidRPr="00D010BF">
        <w:rPr>
          <w:lang w:val="fr-FR"/>
        </w:rPr>
        <w:tab/>
        <w:t>La loi sur les associations et les fondations, tant au niveau de l</w:t>
      </w:r>
      <w:r w:rsidR="00CA473A">
        <w:rPr>
          <w:lang w:val="fr-FR"/>
        </w:rPr>
        <w:t>’</w:t>
      </w:r>
      <w:r w:rsidRPr="00D010BF">
        <w:rPr>
          <w:lang w:val="fr-FR"/>
        </w:rPr>
        <w:t>État qu</w:t>
      </w:r>
      <w:r w:rsidR="00CA473A">
        <w:rPr>
          <w:lang w:val="fr-FR"/>
        </w:rPr>
        <w:t>’</w:t>
      </w:r>
      <w:r w:rsidRPr="00D010BF">
        <w:rPr>
          <w:lang w:val="fr-FR"/>
        </w:rPr>
        <w:t>à</w:t>
      </w:r>
      <w:r>
        <w:rPr>
          <w:lang w:val="fr-FR"/>
        </w:rPr>
        <w:t xml:space="preserve"> celui des E</w:t>
      </w:r>
      <w:r w:rsidRPr="00D010BF">
        <w:rPr>
          <w:lang w:val="fr-FR"/>
        </w:rPr>
        <w:t>ntités, régit de manière identique les questions d</w:t>
      </w:r>
      <w:r w:rsidR="00CA473A">
        <w:rPr>
          <w:lang w:val="fr-FR"/>
        </w:rPr>
        <w:t>’</w:t>
      </w:r>
      <w:r w:rsidRPr="00D010BF">
        <w:rPr>
          <w:lang w:val="fr-FR"/>
        </w:rPr>
        <w:t>établissement, d</w:t>
      </w:r>
      <w:r w:rsidR="00CA473A">
        <w:rPr>
          <w:lang w:val="fr-FR"/>
        </w:rPr>
        <w:t>’</w:t>
      </w:r>
      <w:r w:rsidRPr="00D010BF">
        <w:rPr>
          <w:lang w:val="fr-FR"/>
        </w:rPr>
        <w:t>enregistrement, d</w:t>
      </w:r>
      <w:r w:rsidR="00CA473A">
        <w:rPr>
          <w:lang w:val="fr-FR"/>
        </w:rPr>
        <w:t>’</w:t>
      </w:r>
      <w:r w:rsidRPr="00D010BF">
        <w:rPr>
          <w:lang w:val="fr-FR"/>
        </w:rPr>
        <w:t>organisation interne et de cessation d</w:t>
      </w:r>
      <w:r w:rsidR="00CA473A">
        <w:rPr>
          <w:lang w:val="fr-FR"/>
        </w:rPr>
        <w:t>’</w:t>
      </w:r>
      <w:r w:rsidRPr="00D010BF">
        <w:rPr>
          <w:lang w:val="fr-FR"/>
        </w:rPr>
        <w:t>activités des associations et des fondations et ne s</w:t>
      </w:r>
      <w:r w:rsidR="00CA473A">
        <w:rPr>
          <w:lang w:val="fr-FR"/>
        </w:rPr>
        <w:t>’</w:t>
      </w:r>
      <w:r w:rsidRPr="00D010BF">
        <w:rPr>
          <w:lang w:val="fr-FR"/>
        </w:rPr>
        <w:t>applique pas aux organisations politiques, aux groupes religieux, aux syndicats et aux organisations sportives.</w:t>
      </w:r>
    </w:p>
    <w:p w:rsidR="00DE0C47" w:rsidRPr="00D010BF" w:rsidRDefault="00DE0C47" w:rsidP="00DE0C47">
      <w:pPr>
        <w:pStyle w:val="SingleTxtG"/>
        <w:rPr>
          <w:lang w:val="fr-FR"/>
        </w:rPr>
      </w:pPr>
      <w:r w:rsidRPr="00D010BF">
        <w:rPr>
          <w:lang w:val="fr-FR"/>
        </w:rPr>
        <w:t>127.</w:t>
      </w:r>
      <w:r w:rsidRPr="00D010BF">
        <w:rPr>
          <w:lang w:val="fr-FR"/>
        </w:rPr>
        <w:tab/>
        <w:t>Liberté de religion: la Constitution de la Bosnie-Herz</w:t>
      </w:r>
      <w:r>
        <w:rPr>
          <w:lang w:val="fr-FR"/>
        </w:rPr>
        <w:t>égovine et la Constitution des E</w:t>
      </w:r>
      <w:r w:rsidRPr="00D010BF">
        <w:rPr>
          <w:lang w:val="fr-FR"/>
        </w:rPr>
        <w:t>ntités interdisent tout type de discrimination sur la base des croyances religieuses. La Bosnie-Herzégovine a voté la loi sur la liberté de relig</w:t>
      </w:r>
      <w:r>
        <w:rPr>
          <w:lang w:val="fr-FR"/>
        </w:rPr>
        <w:t>ion et le statut juridique des é</w:t>
      </w:r>
      <w:r w:rsidRPr="00D010BF">
        <w:rPr>
          <w:lang w:val="fr-FR"/>
        </w:rPr>
        <w:t xml:space="preserve">glises et communautés religieuses, qui </w:t>
      </w:r>
      <w:r>
        <w:rPr>
          <w:lang w:val="fr-FR"/>
        </w:rPr>
        <w:t>est conforme</w:t>
      </w:r>
      <w:r w:rsidRPr="00D010BF">
        <w:rPr>
          <w:lang w:val="fr-FR"/>
        </w:rPr>
        <w:t xml:space="preserve"> avec les conventions internationales sur la protection des droits de l</w:t>
      </w:r>
      <w:r w:rsidR="00CA473A">
        <w:rPr>
          <w:lang w:val="fr-FR"/>
        </w:rPr>
        <w:t>’</w:t>
      </w:r>
      <w:r w:rsidRPr="00D010BF">
        <w:rPr>
          <w:lang w:val="fr-FR"/>
        </w:rPr>
        <w:t>homme qu</w:t>
      </w:r>
      <w:r w:rsidR="00CA473A">
        <w:rPr>
          <w:lang w:val="fr-FR"/>
        </w:rPr>
        <w:t>’</w:t>
      </w:r>
      <w:r>
        <w:rPr>
          <w:lang w:val="fr-FR"/>
        </w:rPr>
        <w:t>a</w:t>
      </w:r>
      <w:r w:rsidRPr="00D010BF">
        <w:rPr>
          <w:lang w:val="fr-FR"/>
        </w:rPr>
        <w:t xml:space="preserve"> signé</w:t>
      </w:r>
      <w:r>
        <w:rPr>
          <w:lang w:val="fr-FR"/>
        </w:rPr>
        <w:t>es</w:t>
      </w:r>
      <w:r w:rsidRPr="00D010BF">
        <w:rPr>
          <w:lang w:val="fr-FR"/>
        </w:rPr>
        <w:t xml:space="preserve"> la Bosnie-Herzégovine. Les membres des confessions religieuses </w:t>
      </w:r>
      <w:r>
        <w:rPr>
          <w:lang w:val="fr-FR"/>
        </w:rPr>
        <w:t>présentes</w:t>
      </w:r>
      <w:r w:rsidRPr="00D010BF">
        <w:rPr>
          <w:lang w:val="fr-FR"/>
        </w:rPr>
        <w:t xml:space="preserve"> en Bosnie-Herzégovine, organisées </w:t>
      </w:r>
      <w:r>
        <w:rPr>
          <w:lang w:val="fr-FR"/>
        </w:rPr>
        <w:t xml:space="preserve">au sein </w:t>
      </w:r>
      <w:r w:rsidRPr="00D010BF">
        <w:rPr>
          <w:lang w:val="fr-FR"/>
        </w:rPr>
        <w:t xml:space="preserve">du Conseil interreligieux de Bosnie-Herzégovine, travaillent également à la prévention de la discrimination sur la base de la religion. Ce conseil coopère activement avec les autorités du pays </w:t>
      </w:r>
      <w:r>
        <w:rPr>
          <w:lang w:val="fr-FR"/>
        </w:rPr>
        <w:t>dans le cadre d</w:t>
      </w:r>
      <w:r w:rsidR="00CA473A">
        <w:rPr>
          <w:lang w:val="fr-FR"/>
        </w:rPr>
        <w:t>’</w:t>
      </w:r>
      <w:r w:rsidRPr="00D010BF">
        <w:rPr>
          <w:lang w:val="fr-FR"/>
        </w:rPr>
        <w:t xml:space="preserve">activités conjointes </w:t>
      </w:r>
      <w:r>
        <w:rPr>
          <w:lang w:val="fr-FR"/>
        </w:rPr>
        <w:t xml:space="preserve">visant à </w:t>
      </w:r>
      <w:r w:rsidRPr="00D010BF">
        <w:rPr>
          <w:lang w:val="fr-FR"/>
        </w:rPr>
        <w:t xml:space="preserve">améliorer la liberté de religion, </w:t>
      </w:r>
      <w:r>
        <w:rPr>
          <w:lang w:val="fr-FR"/>
        </w:rPr>
        <w:t xml:space="preserve">et le statut juridique des églises </w:t>
      </w:r>
      <w:r w:rsidRPr="00D010BF">
        <w:rPr>
          <w:lang w:val="fr-FR"/>
        </w:rPr>
        <w:t xml:space="preserve">et des communautés religieuses de la Bosnie-Herzégovine. Les principes de cette loi </w:t>
      </w:r>
      <w:r>
        <w:rPr>
          <w:lang w:val="fr-FR"/>
        </w:rPr>
        <w:t xml:space="preserve">sont à </w:t>
      </w:r>
      <w:r w:rsidRPr="00D010BF">
        <w:rPr>
          <w:lang w:val="fr-FR"/>
        </w:rPr>
        <w:t>la base de la conclusion et de la ratification par la Bosnie-Herzégovine de deux accords bilatéraux avec le Saint-Siège et l</w:t>
      </w:r>
      <w:r w:rsidR="00CA473A">
        <w:rPr>
          <w:lang w:val="fr-FR"/>
        </w:rPr>
        <w:t>’</w:t>
      </w:r>
      <w:r>
        <w:rPr>
          <w:lang w:val="fr-FR"/>
        </w:rPr>
        <w:t xml:space="preserve">Église orthodoxe serbe et un </w:t>
      </w:r>
      <w:r w:rsidRPr="00D010BF">
        <w:rPr>
          <w:lang w:val="fr-FR"/>
        </w:rPr>
        <w:t>accord avec la communauté islamique de Bosnie-Herzégovine est en voie d</w:t>
      </w:r>
      <w:r w:rsidR="00CA473A">
        <w:rPr>
          <w:lang w:val="fr-FR"/>
        </w:rPr>
        <w:t>’</w:t>
      </w:r>
      <w:r w:rsidRPr="00D010BF">
        <w:rPr>
          <w:lang w:val="fr-FR"/>
        </w:rPr>
        <w:t>être conclu. En vertu de l</w:t>
      </w:r>
      <w:r w:rsidR="00CA473A">
        <w:rPr>
          <w:lang w:val="fr-FR"/>
        </w:rPr>
        <w:t>’</w:t>
      </w:r>
      <w:r w:rsidRPr="00D010BF">
        <w:rPr>
          <w:lang w:val="fr-FR"/>
        </w:rPr>
        <w:t>accord de la Bosnie-Herzégovine avec le Saint-Siège, une commission mixte a été créée, constituée de représentants de haut niveau des autorités de la Bosnie-Herzégovine (ministres du Gouvernement) et du Vatican (dont l</w:t>
      </w:r>
      <w:r w:rsidR="00CA473A">
        <w:rPr>
          <w:lang w:val="fr-FR"/>
        </w:rPr>
        <w:t>’</w:t>
      </w:r>
      <w:r w:rsidRPr="00D010BF">
        <w:rPr>
          <w:lang w:val="fr-FR"/>
        </w:rPr>
        <w:t xml:space="preserve">un est accrédité en qualité de nonce apostolique en Bosnie-Herzégovine), </w:t>
      </w:r>
      <w:r>
        <w:rPr>
          <w:lang w:val="fr-FR"/>
        </w:rPr>
        <w:t>afin</w:t>
      </w:r>
      <w:r w:rsidRPr="00D010BF">
        <w:rPr>
          <w:lang w:val="fr-FR"/>
        </w:rPr>
        <w:t xml:space="preserve"> de surveiller le respect des obligations découlant dudit accord.</w:t>
      </w:r>
    </w:p>
    <w:p w:rsidR="00DE0C47" w:rsidRPr="00D010BF" w:rsidRDefault="00DE0C47" w:rsidP="00DE0C47">
      <w:pPr>
        <w:pStyle w:val="SingleTxtG"/>
        <w:rPr>
          <w:lang w:val="fr-FR"/>
        </w:rPr>
      </w:pPr>
      <w:r w:rsidRPr="00D010BF">
        <w:rPr>
          <w:lang w:val="fr-FR"/>
        </w:rPr>
        <w:t>128.</w:t>
      </w:r>
      <w:r w:rsidRPr="00D010BF">
        <w:rPr>
          <w:lang w:val="fr-FR"/>
        </w:rPr>
        <w:tab/>
        <w:t>Il convient de noter que la Bosnie-Herzégovine est un pays dans lequel se pratiquent quatre grandes religions monothéistes. C</w:t>
      </w:r>
      <w:r w:rsidR="00CA473A">
        <w:rPr>
          <w:lang w:val="fr-FR"/>
        </w:rPr>
        <w:t>’</w:t>
      </w:r>
      <w:r w:rsidRPr="00D010BF">
        <w:rPr>
          <w:lang w:val="fr-FR"/>
        </w:rPr>
        <w:t>est ainsi qu</w:t>
      </w:r>
      <w:r w:rsidR="00CA473A">
        <w:rPr>
          <w:lang w:val="fr-FR"/>
        </w:rPr>
        <w:t>’</w:t>
      </w:r>
      <w:r w:rsidRPr="00D010BF">
        <w:rPr>
          <w:lang w:val="fr-FR"/>
        </w:rPr>
        <w:t xml:space="preserve">à Sarajevo, la capitale, dans un espace qui ne dépasse pas 500 mètres carrés, on trouve tout à </w:t>
      </w:r>
      <w:r>
        <w:rPr>
          <w:lang w:val="fr-FR"/>
        </w:rPr>
        <w:t>la</w:t>
      </w:r>
      <w:r w:rsidR="00E444F6">
        <w:rPr>
          <w:lang w:val="fr-FR"/>
        </w:rPr>
        <w:t xml:space="preserve"> </w:t>
      </w:r>
      <w:r w:rsidRPr="00D010BF">
        <w:rPr>
          <w:lang w:val="fr-FR"/>
        </w:rPr>
        <w:t xml:space="preserve">fois la mosquée </w:t>
      </w:r>
      <w:r>
        <w:rPr>
          <w:lang w:val="fr-FR"/>
        </w:rPr>
        <w:t xml:space="preserve">du </w:t>
      </w:r>
      <w:r w:rsidRPr="00D010BF">
        <w:rPr>
          <w:lang w:val="fr-FR"/>
        </w:rPr>
        <w:t>Bey, la cathédrale, la vieille église orthodoxe et la synagogue des juifs ashkénazes ainsi que le vieux temple des juifs sépharades ayant trouvé refuge sur le territoire de la Bosnie-Herzégovine (</w:t>
      </w:r>
      <w:r>
        <w:rPr>
          <w:lang w:val="fr-FR"/>
        </w:rPr>
        <w:t>qui faisai</w:t>
      </w:r>
      <w:r w:rsidRPr="00D010BF">
        <w:rPr>
          <w:lang w:val="fr-FR"/>
        </w:rPr>
        <w:t>t partie à l</w:t>
      </w:r>
      <w:r w:rsidR="00CA473A">
        <w:rPr>
          <w:lang w:val="fr-FR"/>
        </w:rPr>
        <w:t>’</w:t>
      </w:r>
      <w:r w:rsidRPr="00D010BF">
        <w:rPr>
          <w:lang w:val="fr-FR"/>
        </w:rPr>
        <w:t>époque de l</w:t>
      </w:r>
      <w:r w:rsidR="00CA473A">
        <w:rPr>
          <w:lang w:val="fr-FR"/>
        </w:rPr>
        <w:t>’</w:t>
      </w:r>
      <w:r w:rsidRPr="00D010BF">
        <w:rPr>
          <w:lang w:val="fr-FR"/>
        </w:rPr>
        <w:t>empire ottoman) après avoir été expulsés d</w:t>
      </w:r>
      <w:r w:rsidR="00CA473A">
        <w:rPr>
          <w:lang w:val="fr-FR"/>
        </w:rPr>
        <w:t>’</w:t>
      </w:r>
      <w:r>
        <w:rPr>
          <w:lang w:val="fr-FR"/>
        </w:rPr>
        <w:t xml:space="preserve">Espagne en 1492 </w:t>
      </w:r>
      <w:r w:rsidRPr="00D010BF">
        <w:rPr>
          <w:lang w:val="fr-FR"/>
        </w:rPr>
        <w:t xml:space="preserve">par le Roi </w:t>
      </w:r>
      <w:r>
        <w:rPr>
          <w:lang w:val="fr-FR"/>
        </w:rPr>
        <w:t>Ferdinand</w:t>
      </w:r>
      <w:r w:rsidRPr="00D010BF">
        <w:rPr>
          <w:lang w:val="fr-FR"/>
        </w:rPr>
        <w:t xml:space="preserve"> et la Reine Isabelle</w:t>
      </w:r>
      <w:r>
        <w:rPr>
          <w:lang w:val="fr-FR"/>
        </w:rPr>
        <w:t>,</w:t>
      </w:r>
      <w:r w:rsidRPr="00D010BF">
        <w:rPr>
          <w:lang w:val="fr-FR"/>
        </w:rPr>
        <w:t xml:space="preserve"> à </w:t>
      </w:r>
      <w:r>
        <w:rPr>
          <w:lang w:val="fr-FR"/>
        </w:rPr>
        <w:t>l</w:t>
      </w:r>
      <w:r w:rsidR="00CA473A">
        <w:rPr>
          <w:lang w:val="fr-FR"/>
        </w:rPr>
        <w:t>’</w:t>
      </w:r>
      <w:r>
        <w:rPr>
          <w:lang w:val="fr-FR"/>
        </w:rPr>
        <w:t>époque des</w:t>
      </w:r>
      <w:r w:rsidRPr="00D010BF">
        <w:rPr>
          <w:lang w:val="fr-FR"/>
        </w:rPr>
        <w:t xml:space="preserve"> grand</w:t>
      </w:r>
      <w:r>
        <w:rPr>
          <w:lang w:val="fr-FR"/>
        </w:rPr>
        <w:t>es</w:t>
      </w:r>
      <w:r w:rsidRPr="00D010BF">
        <w:rPr>
          <w:lang w:val="fr-FR"/>
        </w:rPr>
        <w:t xml:space="preserve"> découverte</w:t>
      </w:r>
      <w:r>
        <w:rPr>
          <w:lang w:val="fr-FR"/>
        </w:rPr>
        <w:t>s</w:t>
      </w:r>
      <w:r w:rsidRPr="00D010BF">
        <w:rPr>
          <w:lang w:val="fr-FR"/>
        </w:rPr>
        <w:t xml:space="preserve"> géographique</w:t>
      </w:r>
      <w:r>
        <w:rPr>
          <w:lang w:val="fr-FR"/>
        </w:rPr>
        <w:t xml:space="preserve">s. </w:t>
      </w:r>
      <w:r w:rsidRPr="00D010BF">
        <w:rPr>
          <w:lang w:val="fr-FR"/>
        </w:rPr>
        <w:t>Tout ceci montre, surtout après le conflit tragique qu</w:t>
      </w:r>
      <w:r w:rsidR="00CA473A">
        <w:rPr>
          <w:lang w:val="fr-FR"/>
        </w:rPr>
        <w:t>’</w:t>
      </w:r>
      <w:r w:rsidRPr="00D010BF">
        <w:rPr>
          <w:lang w:val="fr-FR"/>
        </w:rPr>
        <w:t>a connu la B</w:t>
      </w:r>
      <w:r>
        <w:rPr>
          <w:lang w:val="fr-FR"/>
        </w:rPr>
        <w:t>osnie-Herzégovine en 1992-1995 et</w:t>
      </w:r>
      <w:r w:rsidRPr="00D010BF">
        <w:rPr>
          <w:lang w:val="fr-FR"/>
        </w:rPr>
        <w:t xml:space="preserve"> qui a </w:t>
      </w:r>
      <w:r>
        <w:rPr>
          <w:lang w:val="fr-FR"/>
        </w:rPr>
        <w:t xml:space="preserve">été un révélateur des antagonismes religieux entre autres choses, </w:t>
      </w:r>
      <w:r w:rsidRPr="00D010BF">
        <w:rPr>
          <w:lang w:val="fr-FR"/>
        </w:rPr>
        <w:t>que la Bosnie-Herzégovine se doit d</w:t>
      </w:r>
      <w:r w:rsidR="00CA473A">
        <w:rPr>
          <w:lang w:val="fr-FR"/>
        </w:rPr>
        <w:t>’</w:t>
      </w:r>
      <w:r w:rsidRPr="00D010BF">
        <w:rPr>
          <w:lang w:val="fr-FR"/>
        </w:rPr>
        <w:t>examiner cette question avec sérieux, de façon à mettre cette diversité au service de la société dans son ensemble.</w:t>
      </w:r>
    </w:p>
    <w:p w:rsidR="00DE0C47" w:rsidRPr="00D010BF" w:rsidRDefault="00DE0C47" w:rsidP="00DE0C47">
      <w:pPr>
        <w:pStyle w:val="SingleTxtG"/>
        <w:rPr>
          <w:lang w:val="fr-FR"/>
        </w:rPr>
      </w:pPr>
      <w:r w:rsidRPr="00D010BF">
        <w:rPr>
          <w:lang w:val="fr-FR"/>
        </w:rPr>
        <w:t>129.</w:t>
      </w:r>
      <w:r w:rsidRPr="00D010BF">
        <w:rPr>
          <w:lang w:val="fr-FR"/>
        </w:rPr>
        <w:tab/>
        <w:t>Éducation: la Bosnie-Herzégovine s</w:t>
      </w:r>
      <w:r w:rsidR="00CA473A">
        <w:rPr>
          <w:lang w:val="fr-FR"/>
        </w:rPr>
        <w:t>’</w:t>
      </w:r>
      <w:r w:rsidRPr="00D010BF">
        <w:rPr>
          <w:lang w:val="fr-FR"/>
        </w:rPr>
        <w:t xml:space="preserve">est engagée à mener les réformes nécessaires du système éducatif qui ont </w:t>
      </w:r>
      <w:r>
        <w:rPr>
          <w:lang w:val="fr-FR"/>
        </w:rPr>
        <w:t xml:space="preserve">été </w:t>
      </w:r>
      <w:r w:rsidRPr="00D010BF">
        <w:rPr>
          <w:lang w:val="fr-FR"/>
        </w:rPr>
        <w:t>lancées au sein de l</w:t>
      </w:r>
      <w:r w:rsidR="00CA473A">
        <w:rPr>
          <w:lang w:val="fr-FR"/>
        </w:rPr>
        <w:t>’</w:t>
      </w:r>
      <w:r w:rsidRPr="00D010BF">
        <w:rPr>
          <w:lang w:val="fr-FR"/>
        </w:rPr>
        <w:t xml:space="preserve">espace européen et sanctionnées par </w:t>
      </w:r>
      <w:r>
        <w:rPr>
          <w:lang w:val="fr-FR"/>
        </w:rPr>
        <w:t xml:space="preserve">une </w:t>
      </w:r>
      <w:r w:rsidRPr="00D010BF">
        <w:rPr>
          <w:lang w:val="fr-FR"/>
        </w:rPr>
        <w:t>déclaration conjointe des ministres de l</w:t>
      </w:r>
      <w:r w:rsidR="00CA473A">
        <w:rPr>
          <w:lang w:val="fr-FR"/>
        </w:rPr>
        <w:t>’</w:t>
      </w:r>
      <w:r>
        <w:rPr>
          <w:lang w:val="fr-FR"/>
        </w:rPr>
        <w:t>Europe</w:t>
      </w:r>
      <w:r w:rsidRPr="00D010BF">
        <w:rPr>
          <w:lang w:val="fr-FR"/>
        </w:rPr>
        <w:t xml:space="preserve"> à Bologne</w:t>
      </w:r>
      <w:r>
        <w:rPr>
          <w:lang w:val="fr-FR"/>
        </w:rPr>
        <w:t>,</w:t>
      </w:r>
      <w:r w:rsidRPr="00D010BF">
        <w:rPr>
          <w:lang w:val="fr-FR"/>
        </w:rPr>
        <w:t xml:space="preserve"> en juin 1999. </w:t>
      </w:r>
      <w:r>
        <w:rPr>
          <w:lang w:val="fr-FR"/>
        </w:rPr>
        <w:t>Pour mener à bien</w:t>
      </w:r>
      <w:r w:rsidRPr="00D010BF">
        <w:rPr>
          <w:lang w:val="fr-FR"/>
        </w:rPr>
        <w:t xml:space="preserve"> ce processus</w:t>
      </w:r>
      <w:r>
        <w:rPr>
          <w:lang w:val="fr-FR"/>
        </w:rPr>
        <w:t>, la condition de base</w:t>
      </w:r>
      <w:r w:rsidRPr="00D010BF">
        <w:rPr>
          <w:lang w:val="fr-FR"/>
        </w:rPr>
        <w:t xml:space="preserve"> est l</w:t>
      </w:r>
      <w:r w:rsidR="00CA473A">
        <w:rPr>
          <w:lang w:val="fr-FR"/>
        </w:rPr>
        <w:t>’</w:t>
      </w:r>
      <w:r w:rsidRPr="00D010BF">
        <w:rPr>
          <w:lang w:val="fr-FR"/>
        </w:rPr>
        <w:t xml:space="preserve">adoption </w:t>
      </w:r>
      <w:r>
        <w:rPr>
          <w:lang w:val="fr-FR"/>
        </w:rPr>
        <w:t xml:space="preserve">de </w:t>
      </w:r>
      <w:r w:rsidRPr="00D010BF">
        <w:rPr>
          <w:lang w:val="fr-FR"/>
        </w:rPr>
        <w:t>lois sur l</w:t>
      </w:r>
      <w:r w:rsidR="00CA473A">
        <w:rPr>
          <w:lang w:val="fr-FR"/>
        </w:rPr>
        <w:t>’</w:t>
      </w:r>
      <w:r w:rsidRPr="00D010BF">
        <w:rPr>
          <w:lang w:val="fr-FR"/>
        </w:rPr>
        <w:t>enseignement primaire, secondaire et s</w:t>
      </w:r>
      <w:r>
        <w:rPr>
          <w:lang w:val="fr-FR"/>
        </w:rPr>
        <w:t xml:space="preserve">upérieur en Bosnie-Herzégovine et leur harmonisation </w:t>
      </w:r>
      <w:r w:rsidRPr="00D010BF">
        <w:rPr>
          <w:lang w:val="fr-FR"/>
        </w:rPr>
        <w:t>de façon à remplir les obligations susmentionnées et à assurer l</w:t>
      </w:r>
      <w:r w:rsidR="00CA473A">
        <w:rPr>
          <w:lang w:val="fr-FR"/>
        </w:rPr>
        <w:t>’</w:t>
      </w:r>
      <w:r w:rsidRPr="00D010BF">
        <w:rPr>
          <w:lang w:val="fr-FR"/>
        </w:rPr>
        <w:t>accès à l</w:t>
      </w:r>
      <w:r w:rsidR="00CA473A">
        <w:rPr>
          <w:lang w:val="fr-FR"/>
        </w:rPr>
        <w:t>’</w:t>
      </w:r>
      <w:r w:rsidRPr="00D010BF">
        <w:rPr>
          <w:lang w:val="fr-FR"/>
        </w:rPr>
        <w:t>éducation sans discrimination. Outre la loi-cadre sur l</w:t>
      </w:r>
      <w:r w:rsidR="00CA473A">
        <w:rPr>
          <w:lang w:val="fr-FR"/>
        </w:rPr>
        <w:t>’</w:t>
      </w:r>
      <w:r w:rsidRPr="00D010BF">
        <w:rPr>
          <w:lang w:val="fr-FR"/>
        </w:rPr>
        <w:t>enseignement primaire et sec</w:t>
      </w:r>
      <w:r>
        <w:rPr>
          <w:lang w:val="fr-FR"/>
        </w:rPr>
        <w:t>ondaire en Bosnie-Herzégovine (</w:t>
      </w:r>
      <w:r w:rsidRPr="00D010BF">
        <w:rPr>
          <w:lang w:val="fr-FR"/>
        </w:rPr>
        <w:t>Journal</w:t>
      </w:r>
      <w:r>
        <w:rPr>
          <w:lang w:val="fr-FR"/>
        </w:rPr>
        <w:t xml:space="preserve"> officiel de Bosnie-Herzégovine</w:t>
      </w:r>
      <w:r w:rsidRPr="00D010BF">
        <w:rPr>
          <w:lang w:val="fr-FR"/>
        </w:rPr>
        <w:t>, n</w:t>
      </w:r>
      <w:r w:rsidRPr="00D010BF">
        <w:rPr>
          <w:vertAlign w:val="superscript"/>
          <w:lang w:val="fr-FR"/>
        </w:rPr>
        <w:t>o</w:t>
      </w:r>
      <w:r w:rsidRPr="00D010BF">
        <w:rPr>
          <w:lang w:val="fr-FR"/>
        </w:rPr>
        <w:t> 18/03)</w:t>
      </w:r>
      <w:r>
        <w:rPr>
          <w:lang w:val="fr-FR"/>
        </w:rPr>
        <w:t>,</w:t>
      </w:r>
      <w:r w:rsidRPr="00D010BF">
        <w:rPr>
          <w:lang w:val="fr-FR"/>
        </w:rPr>
        <w:t xml:space="preserve"> ce domaine est essenti</w:t>
      </w:r>
      <w:r>
        <w:rPr>
          <w:lang w:val="fr-FR"/>
        </w:rPr>
        <w:t>ellement régi par les lois des E</w:t>
      </w:r>
      <w:r w:rsidRPr="00D010BF">
        <w:rPr>
          <w:lang w:val="fr-FR"/>
        </w:rPr>
        <w:t>ntités et des cantons</w:t>
      </w:r>
      <w:r>
        <w:rPr>
          <w:lang w:val="fr-FR"/>
        </w:rPr>
        <w:t>,</w:t>
      </w:r>
      <w:r w:rsidRPr="00D010BF">
        <w:rPr>
          <w:lang w:val="fr-FR"/>
        </w:rPr>
        <w:t xml:space="preserve"> </w:t>
      </w:r>
      <w:r>
        <w:rPr>
          <w:lang w:val="fr-FR"/>
        </w:rPr>
        <w:t xml:space="preserve">lesquels </w:t>
      </w:r>
      <w:r w:rsidRPr="00D010BF">
        <w:rPr>
          <w:lang w:val="fr-FR"/>
        </w:rPr>
        <w:t xml:space="preserve">se sont dans une large mesure alignés sur les principes définis dans les conventions internationales signées et ratifiées par la Bosnie-Herzégovine. </w:t>
      </w:r>
      <w:r>
        <w:rPr>
          <w:lang w:val="fr-FR"/>
        </w:rPr>
        <w:t>C</w:t>
      </w:r>
      <w:r w:rsidR="00CA473A">
        <w:rPr>
          <w:lang w:val="fr-FR"/>
        </w:rPr>
        <w:t>’</w:t>
      </w:r>
      <w:r>
        <w:rPr>
          <w:lang w:val="fr-FR"/>
        </w:rPr>
        <w:t xml:space="preserve">est ainsi que la </w:t>
      </w:r>
      <w:r w:rsidRPr="00D010BF">
        <w:rPr>
          <w:lang w:val="fr-FR"/>
        </w:rPr>
        <w:t>Bosnie-Herzégovine a établi un système d</w:t>
      </w:r>
      <w:r w:rsidR="00CA473A">
        <w:rPr>
          <w:lang w:val="fr-FR"/>
        </w:rPr>
        <w:t>’</w:t>
      </w:r>
      <w:r w:rsidRPr="00D010BF">
        <w:rPr>
          <w:lang w:val="fr-FR"/>
        </w:rPr>
        <w:t>enseignement de base en neuf ans et introduit un système d</w:t>
      </w:r>
      <w:r w:rsidR="00CA473A">
        <w:rPr>
          <w:lang w:val="fr-FR"/>
        </w:rPr>
        <w:t>’</w:t>
      </w:r>
      <w:r w:rsidRPr="00D010BF">
        <w:rPr>
          <w:lang w:val="fr-FR"/>
        </w:rPr>
        <w:t>éducation préscolaire obligatoire commençant dès l</w:t>
      </w:r>
      <w:r w:rsidR="00CA473A">
        <w:rPr>
          <w:lang w:val="fr-FR"/>
        </w:rPr>
        <w:t>’</w:t>
      </w:r>
      <w:r>
        <w:rPr>
          <w:lang w:val="fr-FR"/>
        </w:rPr>
        <w:t>âge de 5 ans</w:t>
      </w:r>
      <w:r w:rsidRPr="00D010BF">
        <w:rPr>
          <w:lang w:val="fr-FR"/>
        </w:rPr>
        <w:t xml:space="preserve"> qui sera </w:t>
      </w:r>
      <w:r>
        <w:rPr>
          <w:lang w:val="fr-FR"/>
        </w:rPr>
        <w:t>dispensée dans des établissements</w:t>
      </w:r>
      <w:r w:rsidRPr="00D010BF">
        <w:rPr>
          <w:lang w:val="fr-FR"/>
        </w:rPr>
        <w:t xml:space="preserve"> d</w:t>
      </w:r>
      <w:r w:rsidR="00CA473A">
        <w:rPr>
          <w:lang w:val="fr-FR"/>
        </w:rPr>
        <w:t>’</w:t>
      </w:r>
      <w:r>
        <w:rPr>
          <w:lang w:val="fr-FR"/>
        </w:rPr>
        <w:t xml:space="preserve">enseignement préscolaire, situés </w:t>
      </w:r>
      <w:r w:rsidRPr="00D010BF">
        <w:rPr>
          <w:lang w:val="fr-FR"/>
        </w:rPr>
        <w:t xml:space="preserve">dans les localités de résidence des parents </w:t>
      </w:r>
      <w:r>
        <w:rPr>
          <w:lang w:val="fr-FR"/>
        </w:rPr>
        <w:t>d</w:t>
      </w:r>
      <w:r w:rsidR="00CA473A">
        <w:rPr>
          <w:lang w:val="fr-FR"/>
        </w:rPr>
        <w:t>’</w:t>
      </w:r>
      <w:r w:rsidRPr="00D010BF">
        <w:rPr>
          <w:lang w:val="fr-FR"/>
        </w:rPr>
        <w:t>enfants mineurs.</w:t>
      </w:r>
    </w:p>
    <w:p w:rsidR="00DE0C47" w:rsidRPr="00D010BF" w:rsidRDefault="00DE0C47" w:rsidP="00DE0C47">
      <w:pPr>
        <w:pStyle w:val="SingleTxtG"/>
        <w:rPr>
          <w:lang w:val="fr-FR"/>
        </w:rPr>
      </w:pPr>
      <w:r w:rsidRPr="00D010BF">
        <w:rPr>
          <w:lang w:val="fr-FR"/>
        </w:rPr>
        <w:t>130.</w:t>
      </w:r>
      <w:r w:rsidRPr="00D010BF">
        <w:rPr>
          <w:lang w:val="fr-FR"/>
        </w:rPr>
        <w:tab/>
        <w:t>Dans le cadre de la réforme du système éducatif, la Bosnie-Herzégovine a introduit les Principes de Bologne (3+5) dans le système de l</w:t>
      </w:r>
      <w:r w:rsidR="00CA473A">
        <w:rPr>
          <w:lang w:val="fr-FR"/>
        </w:rPr>
        <w:t>’</w:t>
      </w:r>
      <w:r w:rsidRPr="00D010BF">
        <w:rPr>
          <w:lang w:val="fr-FR"/>
        </w:rPr>
        <w:t>enseignement supérieur, qui permet l</w:t>
      </w:r>
      <w:r w:rsidR="00CA473A">
        <w:rPr>
          <w:lang w:val="fr-FR"/>
        </w:rPr>
        <w:t>’</w:t>
      </w:r>
      <w:r w:rsidRPr="00D010BF">
        <w:rPr>
          <w:lang w:val="fr-FR"/>
        </w:rPr>
        <w:t>acquisition du diplôme au terme de trois années d</w:t>
      </w:r>
      <w:r w:rsidR="00CA473A">
        <w:rPr>
          <w:lang w:val="fr-FR"/>
        </w:rPr>
        <w:t>’</w:t>
      </w:r>
      <w:r>
        <w:rPr>
          <w:lang w:val="fr-FR"/>
        </w:rPr>
        <w:t>études dans l</w:t>
      </w:r>
      <w:r w:rsidR="00CA473A">
        <w:rPr>
          <w:lang w:val="fr-FR"/>
        </w:rPr>
        <w:t>’</w:t>
      </w:r>
      <w:r w:rsidRPr="00D010BF">
        <w:rPr>
          <w:lang w:val="fr-FR"/>
        </w:rPr>
        <w:t>enseigneme</w:t>
      </w:r>
      <w:r>
        <w:rPr>
          <w:lang w:val="fr-FR"/>
        </w:rPr>
        <w:t>nt supérieur, ou de la maîtrise/</w:t>
      </w:r>
      <w:r>
        <w:rPr>
          <w:i/>
          <w:lang w:val="fr-FR"/>
        </w:rPr>
        <w:t xml:space="preserve">Master </w:t>
      </w:r>
      <w:r w:rsidRPr="00D010BF">
        <w:rPr>
          <w:lang w:val="fr-FR"/>
        </w:rPr>
        <w:t>au terme de cinq années d</w:t>
      </w:r>
      <w:r w:rsidR="00CA473A">
        <w:rPr>
          <w:lang w:val="fr-FR"/>
        </w:rPr>
        <w:t>’</w:t>
      </w:r>
      <w:r w:rsidRPr="00D010BF">
        <w:rPr>
          <w:lang w:val="fr-FR"/>
        </w:rPr>
        <w:t>études dans l</w:t>
      </w:r>
      <w:r w:rsidR="00CA473A">
        <w:rPr>
          <w:lang w:val="fr-FR"/>
        </w:rPr>
        <w:t>’</w:t>
      </w:r>
      <w:r w:rsidRPr="00D010BF">
        <w:rPr>
          <w:lang w:val="fr-FR"/>
        </w:rPr>
        <w:t>enseignement supérieur.</w:t>
      </w:r>
    </w:p>
    <w:p w:rsidR="00DE0C47" w:rsidRPr="00D010BF" w:rsidRDefault="00DE0C47" w:rsidP="00DE0C47">
      <w:pPr>
        <w:pStyle w:val="SingleTxtG"/>
        <w:rPr>
          <w:lang w:val="fr-FR"/>
        </w:rPr>
      </w:pPr>
      <w:r w:rsidRPr="00D010BF">
        <w:rPr>
          <w:lang w:val="fr-FR"/>
        </w:rPr>
        <w:t>131.</w:t>
      </w:r>
      <w:r w:rsidRPr="00D010BF">
        <w:rPr>
          <w:lang w:val="fr-FR"/>
        </w:rPr>
        <w:tab/>
        <w:t>Minorités ethniques: la loi sur la protec</w:t>
      </w:r>
      <w:r>
        <w:rPr>
          <w:lang w:val="fr-FR"/>
        </w:rPr>
        <w:t>tion des minorités nationales (</w:t>
      </w:r>
      <w:r w:rsidRPr="00D010BF">
        <w:rPr>
          <w:lang w:val="fr-FR"/>
        </w:rPr>
        <w:t>Journal</w:t>
      </w:r>
      <w:r>
        <w:rPr>
          <w:lang w:val="fr-FR"/>
        </w:rPr>
        <w:t xml:space="preserve"> officiel de Bosnie-Herzégovine</w:t>
      </w:r>
      <w:r w:rsidRPr="00D010BF">
        <w:rPr>
          <w:lang w:val="fr-FR"/>
        </w:rPr>
        <w:t xml:space="preserve"> n</w:t>
      </w:r>
      <w:r w:rsidRPr="00D010BF">
        <w:rPr>
          <w:vertAlign w:val="superscript"/>
          <w:lang w:val="fr-FR"/>
        </w:rPr>
        <w:t>os</w:t>
      </w:r>
      <w:r w:rsidRPr="00D010BF">
        <w:rPr>
          <w:lang w:val="fr-FR"/>
        </w:rPr>
        <w:t> 12/03 et 76/05) fixe</w:t>
      </w:r>
      <w:r>
        <w:rPr>
          <w:lang w:val="fr-FR"/>
        </w:rPr>
        <w:t xml:space="preserve"> les obligations incombant aux E</w:t>
      </w:r>
      <w:r w:rsidRPr="00D010BF">
        <w:rPr>
          <w:lang w:val="fr-FR"/>
        </w:rPr>
        <w:t>ntités, aux cantons, aux municipalités et a</w:t>
      </w:r>
      <w:r>
        <w:rPr>
          <w:lang w:val="fr-FR"/>
        </w:rPr>
        <w:t>ux villes de Bosnie-Herzégovine</w:t>
      </w:r>
      <w:r w:rsidRPr="00D010BF">
        <w:rPr>
          <w:lang w:val="fr-FR"/>
        </w:rPr>
        <w:t xml:space="preserve"> de définir plus précisément les droits et les obligations découlant de cette loi. Celle-ci s</w:t>
      </w:r>
      <w:r w:rsidR="00CA473A">
        <w:rPr>
          <w:lang w:val="fr-FR"/>
        </w:rPr>
        <w:t>’</w:t>
      </w:r>
      <w:r w:rsidRPr="00D010BF">
        <w:rPr>
          <w:lang w:val="fr-FR"/>
        </w:rPr>
        <w:t>appuie sur les principes fondamentaux de la Convention-cadre pour la protection des minorités nationales, ratifiée par la Bosnie-Herzégovine le 24 février 2000 et entrée en vigueur le 1</w:t>
      </w:r>
      <w:r w:rsidRPr="00D010BF">
        <w:rPr>
          <w:vertAlign w:val="superscript"/>
          <w:lang w:val="fr-FR"/>
        </w:rPr>
        <w:t>er</w:t>
      </w:r>
      <w:r w:rsidRPr="00D010BF">
        <w:rPr>
          <w:lang w:val="fr-FR"/>
        </w:rPr>
        <w:t> juin 2000.</w:t>
      </w:r>
    </w:p>
    <w:p w:rsidR="00DE0C47" w:rsidRPr="00D010BF" w:rsidRDefault="00DE0C47" w:rsidP="00DE0C47">
      <w:pPr>
        <w:pStyle w:val="SingleTxtG"/>
        <w:rPr>
          <w:lang w:val="fr-FR"/>
        </w:rPr>
      </w:pPr>
      <w:r w:rsidRPr="00D010BF">
        <w:rPr>
          <w:lang w:val="fr-FR"/>
        </w:rPr>
        <w:t>132.</w:t>
      </w:r>
      <w:r w:rsidRPr="00D010BF">
        <w:rPr>
          <w:lang w:val="fr-FR"/>
        </w:rPr>
        <w:tab/>
        <w:t>Les minorités nationales, dont une liste exhaustive est donnée dans ladite loi, sont au nombre de 17 en Bosnie-Herzégovine, dont certaines sont traditionnelles et d</w:t>
      </w:r>
      <w:r w:rsidR="00CA473A">
        <w:rPr>
          <w:lang w:val="fr-FR"/>
        </w:rPr>
        <w:t>’</w:t>
      </w:r>
      <w:r w:rsidRPr="00D010BF">
        <w:rPr>
          <w:lang w:val="fr-FR"/>
        </w:rPr>
        <w:t>autres ont acquis le nom de minorités après la dissolution de l</w:t>
      </w:r>
      <w:r w:rsidR="00CA473A">
        <w:rPr>
          <w:lang w:val="fr-FR"/>
        </w:rPr>
        <w:t>’</w:t>
      </w:r>
      <w:r w:rsidRPr="00D010BF">
        <w:rPr>
          <w:lang w:val="fr-FR"/>
        </w:rPr>
        <w:t>ex-RFSY (</w:t>
      </w:r>
      <w:r>
        <w:rPr>
          <w:lang w:val="fr-FR"/>
        </w:rPr>
        <w:t>dont les</w:t>
      </w:r>
      <w:r w:rsidRPr="00D010BF">
        <w:rPr>
          <w:lang w:val="fr-FR"/>
        </w:rPr>
        <w:t xml:space="preserve"> Slovènes, </w:t>
      </w:r>
      <w:r>
        <w:rPr>
          <w:lang w:val="fr-FR"/>
        </w:rPr>
        <w:t xml:space="preserve">les </w:t>
      </w:r>
      <w:r w:rsidRPr="00D010BF">
        <w:rPr>
          <w:lang w:val="fr-FR"/>
        </w:rPr>
        <w:t xml:space="preserve">Monténégrins et </w:t>
      </w:r>
      <w:r>
        <w:rPr>
          <w:lang w:val="fr-FR"/>
        </w:rPr>
        <w:t xml:space="preserve">les </w:t>
      </w:r>
      <w:r w:rsidRPr="00D010BF">
        <w:rPr>
          <w:lang w:val="fr-FR"/>
        </w:rPr>
        <w:t>Macédoniens) du fait que, dans l</w:t>
      </w:r>
      <w:r w:rsidR="00CA473A">
        <w:rPr>
          <w:lang w:val="fr-FR"/>
        </w:rPr>
        <w:t>’</w:t>
      </w:r>
      <w:r w:rsidRPr="00D010BF">
        <w:rPr>
          <w:lang w:val="fr-FR"/>
        </w:rPr>
        <w:t xml:space="preserve">ex-Yougoslavie, </w:t>
      </w:r>
      <w:r>
        <w:rPr>
          <w:lang w:val="fr-FR"/>
        </w:rPr>
        <w:t>elles</w:t>
      </w:r>
      <w:r w:rsidRPr="00D010BF">
        <w:rPr>
          <w:lang w:val="fr-FR"/>
        </w:rPr>
        <w:t xml:space="preserve"> appartenaient à l</w:t>
      </w:r>
      <w:r w:rsidR="00CA473A">
        <w:rPr>
          <w:lang w:val="fr-FR"/>
        </w:rPr>
        <w:t>’</w:t>
      </w:r>
      <w:r w:rsidRPr="00D010BF">
        <w:rPr>
          <w:lang w:val="fr-FR"/>
        </w:rPr>
        <w:t>un de</w:t>
      </w:r>
      <w:r>
        <w:rPr>
          <w:lang w:val="fr-FR"/>
        </w:rPr>
        <w:t>s</w:t>
      </w:r>
      <w:r w:rsidRPr="00D010BF">
        <w:rPr>
          <w:lang w:val="fr-FR"/>
        </w:rPr>
        <w:t xml:space="preserve"> six peuples, tandis que les minorités ethniques dans la Constitution de l</w:t>
      </w:r>
      <w:r w:rsidR="00CA473A">
        <w:rPr>
          <w:lang w:val="fr-FR"/>
        </w:rPr>
        <w:t>’</w:t>
      </w:r>
      <w:r w:rsidRPr="00D010BF">
        <w:rPr>
          <w:lang w:val="fr-FR"/>
        </w:rPr>
        <w:t>État et les Constitutions des républiques de l</w:t>
      </w:r>
      <w:r w:rsidR="00CA473A">
        <w:rPr>
          <w:lang w:val="fr-FR"/>
        </w:rPr>
        <w:t>’</w:t>
      </w:r>
      <w:r w:rsidRPr="00D010BF">
        <w:rPr>
          <w:lang w:val="fr-FR"/>
        </w:rPr>
        <w:t xml:space="preserve">époque étaient traitées comme une nationalité. Nous pouvons conclure que, dans cette région, </w:t>
      </w:r>
      <w:r>
        <w:rPr>
          <w:lang w:val="fr-FR"/>
        </w:rPr>
        <w:t>C</w:t>
      </w:r>
      <w:r w:rsidR="00CA473A">
        <w:rPr>
          <w:lang w:val="fr-FR"/>
        </w:rPr>
        <w:t>’</w:t>
      </w:r>
      <w:r>
        <w:rPr>
          <w:lang w:val="fr-FR"/>
        </w:rPr>
        <w:t>est la première fois qu</w:t>
      </w:r>
      <w:r w:rsidR="00CA473A">
        <w:rPr>
          <w:lang w:val="fr-FR"/>
        </w:rPr>
        <w:t>’</w:t>
      </w:r>
      <w:r>
        <w:rPr>
          <w:lang w:val="fr-FR"/>
        </w:rPr>
        <w:t>est adoptée une</w:t>
      </w:r>
      <w:r w:rsidRPr="00D010BF">
        <w:rPr>
          <w:lang w:val="fr-FR"/>
        </w:rPr>
        <w:t xml:space="preserve"> loi sur la prot</w:t>
      </w:r>
      <w:r>
        <w:rPr>
          <w:lang w:val="fr-FR"/>
        </w:rPr>
        <w:t>ection des minorités nationales</w:t>
      </w:r>
      <w:r w:rsidRPr="00D010BF">
        <w:rPr>
          <w:lang w:val="fr-FR"/>
        </w:rPr>
        <w:t>.</w:t>
      </w:r>
    </w:p>
    <w:p w:rsidR="00DE0C47" w:rsidRPr="00C451B9" w:rsidRDefault="00DE0C47" w:rsidP="00DE0C47">
      <w:pPr>
        <w:pStyle w:val="SingleTxtG"/>
      </w:pPr>
      <w:r w:rsidRPr="00D010BF">
        <w:rPr>
          <w:lang w:val="fr-FR"/>
        </w:rPr>
        <w:t>133.</w:t>
      </w:r>
      <w:r w:rsidRPr="00D010BF">
        <w:rPr>
          <w:lang w:val="fr-FR"/>
        </w:rPr>
        <w:tab/>
        <w:t xml:space="preserve">Les </w:t>
      </w:r>
      <w:r>
        <w:rPr>
          <w:lang w:val="fr-FR"/>
        </w:rPr>
        <w:t>modifications</w:t>
      </w:r>
      <w:r w:rsidRPr="00D010BF">
        <w:rPr>
          <w:lang w:val="fr-FR"/>
        </w:rPr>
        <w:t xml:space="preserve"> apporté</w:t>
      </w:r>
      <w:r>
        <w:rPr>
          <w:lang w:val="fr-FR"/>
        </w:rPr>
        <w:t>e</w:t>
      </w:r>
      <w:r w:rsidRPr="00D010BF">
        <w:rPr>
          <w:lang w:val="fr-FR"/>
        </w:rPr>
        <w:t xml:space="preserve">s à la loi électorale de la Bosnie-Herzégovine ont permis la participation de représentants des minorités nationales en proportion </w:t>
      </w:r>
      <w:r>
        <w:rPr>
          <w:lang w:val="fr-FR"/>
        </w:rPr>
        <w:t>du pourcentage qu</w:t>
      </w:r>
      <w:r w:rsidR="00CA473A">
        <w:rPr>
          <w:lang w:val="fr-FR"/>
        </w:rPr>
        <w:t>’</w:t>
      </w:r>
      <w:r>
        <w:rPr>
          <w:lang w:val="fr-FR"/>
        </w:rPr>
        <w:t xml:space="preserve">elles représentent </w:t>
      </w:r>
      <w:r w:rsidRPr="00D010BF">
        <w:rPr>
          <w:lang w:val="fr-FR"/>
        </w:rPr>
        <w:t xml:space="preserve">dans la population totale de la communauté locale (3 %). Cela a permis de progresser sensiblement dans la protection des minorités nationales en Bosnie-Herzégovine, dans la mesure où celles-ci peuvent être présentes sur les listes électorales du fait de leur appartenance à certaines communautés minoritaires et non </w:t>
      </w:r>
      <w:r>
        <w:rPr>
          <w:lang w:val="fr-FR"/>
        </w:rPr>
        <w:t xml:space="preserve">pour </w:t>
      </w:r>
      <w:r w:rsidRPr="00D010BF">
        <w:rPr>
          <w:lang w:val="fr-FR"/>
        </w:rPr>
        <w:t xml:space="preserve">assurer leur </w:t>
      </w:r>
      <w:r>
        <w:rPr>
          <w:lang w:val="fr-FR"/>
        </w:rPr>
        <w:t>présence dans les instances gouvernementales</w:t>
      </w:r>
      <w:r w:rsidRPr="00D010BF">
        <w:rPr>
          <w:lang w:val="fr-FR"/>
        </w:rPr>
        <w:t xml:space="preserve"> comme représentants de partis politiques particuliers.</w:t>
      </w:r>
    </w:p>
    <w:p w:rsidR="00DE0C47" w:rsidRPr="00E4440C" w:rsidRDefault="00DE0C47" w:rsidP="00DE0C47">
      <w:pPr>
        <w:pStyle w:val="SingleTxtG"/>
      </w:pPr>
      <w:r w:rsidRPr="00E4440C">
        <w:t>134.</w:t>
      </w:r>
      <w:r w:rsidRPr="00E4440C">
        <w:tab/>
        <w:t>En 2004, afin d</w:t>
      </w:r>
      <w:r w:rsidR="00CA473A">
        <w:t>’</w:t>
      </w:r>
      <w:r w:rsidRPr="00E4440C">
        <w:t>améliorer la situation des minorités nationales, la Bosnie-Herzégovine a signé la Charte européenne des langues région</w:t>
      </w:r>
      <w:r>
        <w:t>ales ou minoritaires</w:t>
      </w:r>
      <w:r w:rsidR="00E444F6">
        <w:t xml:space="preserve"> </w:t>
      </w:r>
      <w:r>
        <w:t>et, le 22 </w:t>
      </w:r>
      <w:r w:rsidRPr="00E4440C">
        <w:t>septembre 2010, elle a déposé les instruments de ratification auprès du Conseil de l</w:t>
      </w:r>
      <w:r w:rsidR="00CA473A">
        <w:t>’</w:t>
      </w:r>
      <w:r w:rsidRPr="00E4440C">
        <w:t xml:space="preserve">Europe à Strasbourg, </w:t>
      </w:r>
      <w:r>
        <w:t xml:space="preserve">achevant </w:t>
      </w:r>
      <w:r w:rsidRPr="00E4440C">
        <w:t>ainsi officiellement la ratification de cet important document européen.</w:t>
      </w:r>
    </w:p>
    <w:p w:rsidR="00DE0C47" w:rsidRPr="00E4440C" w:rsidRDefault="00DE0C47" w:rsidP="00DE0C47">
      <w:pPr>
        <w:pStyle w:val="SingleTxtG"/>
      </w:pPr>
      <w:r w:rsidRPr="00E4440C">
        <w:t>135.</w:t>
      </w:r>
      <w:r w:rsidRPr="00E4440C">
        <w:tab/>
        <w:t>Le Conseil pour les minorités nationales a été créé et a débuté ses travaux au sein de l</w:t>
      </w:r>
      <w:r w:rsidR="00CA473A">
        <w:t>’</w:t>
      </w:r>
      <w:r w:rsidRPr="00E4440C">
        <w:t xml:space="preserve">Assemblée parlementaire de Bosnie-Herzégovine et des Parlements des deux Entités. Étant donné que les Roms constituent la minorité la plus nombreuse et la plus vulnérable du pays, </w:t>
      </w:r>
      <w:r>
        <w:t xml:space="preserve">en plus du Conseil consultatif sur les Roms, il existe </w:t>
      </w:r>
      <w:r w:rsidRPr="00E4440C">
        <w:t xml:space="preserve">le Conseil </w:t>
      </w:r>
      <w:r>
        <w:t xml:space="preserve">des Roms </w:t>
      </w:r>
      <w:r w:rsidRPr="00E4440C">
        <w:t>de Bosnie-Herzégovine</w:t>
      </w:r>
      <w:r>
        <w:t>,</w:t>
      </w:r>
      <w:r w:rsidRPr="00E4440C">
        <w:t xml:space="preserve"> </w:t>
      </w:r>
      <w:r>
        <w:t xml:space="preserve">composé </w:t>
      </w:r>
      <w:r w:rsidRPr="00E4440C">
        <w:t>de représentants du Gouvernement et d</w:t>
      </w:r>
      <w:r w:rsidR="00CA473A">
        <w:t>’</w:t>
      </w:r>
      <w:r w:rsidRPr="00E4440C">
        <w:t>associations de Roms</w:t>
      </w:r>
      <w:r>
        <w:t xml:space="preserve">, qui a commencé ses activités au sein du </w:t>
      </w:r>
      <w:r w:rsidRPr="00E4440C">
        <w:t>Conseil des ministres.</w:t>
      </w:r>
    </w:p>
    <w:p w:rsidR="00DE0C47" w:rsidRPr="00E4440C" w:rsidRDefault="00DE0C47" w:rsidP="00DE0C47">
      <w:pPr>
        <w:pStyle w:val="SingleTxtG"/>
      </w:pPr>
      <w:r>
        <w:t>136.</w:t>
      </w:r>
      <w:r>
        <w:tab/>
      </w:r>
      <w:r w:rsidRPr="00E4440C">
        <w:t>Afin de protéger les droits des Roms, le Conseil des ministres a adopté, en avril 2005, une stratégie nationale visant à résoudre les problèmes de la communauté rom. Ce programme a préparé la voie à l</w:t>
      </w:r>
      <w:r w:rsidR="00CA473A">
        <w:t>’</w:t>
      </w:r>
      <w:r w:rsidRPr="00E4440C">
        <w:t>élaboration du plan d</w:t>
      </w:r>
      <w:r w:rsidR="00CA473A">
        <w:t>’</w:t>
      </w:r>
      <w:r w:rsidRPr="00E4440C">
        <w:t>action pour les R</w:t>
      </w:r>
      <w:r>
        <w:t>oms, adopté le 3 </w:t>
      </w:r>
      <w:r w:rsidRPr="00E4440C">
        <w:t>juillet 2008, dans les domaines de l</w:t>
      </w:r>
      <w:r w:rsidR="00CA473A">
        <w:t>’</w:t>
      </w:r>
      <w:r w:rsidRPr="00E4440C">
        <w:t xml:space="preserve">emploi, du logement et des soins de santé. </w:t>
      </w:r>
      <w:r>
        <w:t xml:space="preserve">La </w:t>
      </w:r>
      <w:r w:rsidRPr="00E4440C">
        <w:t>révision du plan d</w:t>
      </w:r>
      <w:r w:rsidR="00CA473A">
        <w:t>’</w:t>
      </w:r>
      <w:r w:rsidRPr="00E4440C">
        <w:t xml:space="preserve">action sur les besoins éducatifs des Roms touche à </w:t>
      </w:r>
      <w:r>
        <w:t xml:space="preserve">sa </w:t>
      </w:r>
      <w:r w:rsidRPr="00E4440C">
        <w:t xml:space="preserve">fin. Le projet </w:t>
      </w:r>
      <w:r>
        <w:t xml:space="preserve">touchant </w:t>
      </w:r>
      <w:r w:rsidRPr="00E4440C">
        <w:t>l</w:t>
      </w:r>
      <w:r w:rsidR="00CA473A">
        <w:t>’</w:t>
      </w:r>
      <w:r w:rsidRPr="00E4440C">
        <w:t xml:space="preserve">enregistrement des naissances au sein de la communauté rom </w:t>
      </w:r>
      <w:r>
        <w:t xml:space="preserve">est </w:t>
      </w:r>
      <w:r w:rsidRPr="00E4440C">
        <w:t xml:space="preserve">également </w:t>
      </w:r>
      <w:r>
        <w:t>en cours d</w:t>
      </w:r>
      <w:r w:rsidR="00CA473A">
        <w:t>’</w:t>
      </w:r>
      <w:r>
        <w:t>exécution</w:t>
      </w:r>
      <w:r w:rsidRPr="00E4440C">
        <w:t>.</w:t>
      </w:r>
    </w:p>
    <w:p w:rsidR="00DE0C47" w:rsidRPr="00E4440C" w:rsidRDefault="00DE0C47" w:rsidP="00DE0C47">
      <w:pPr>
        <w:pStyle w:val="SingleTxtG"/>
      </w:pPr>
      <w:r w:rsidRPr="00E4440C">
        <w:t>137.</w:t>
      </w:r>
      <w:r w:rsidRPr="00E4440C">
        <w:tab/>
        <w:t>À l</w:t>
      </w:r>
      <w:r w:rsidR="00CA473A">
        <w:t>’</w:t>
      </w:r>
      <w:r w:rsidRPr="00E4440C">
        <w:t>automne 2007, à la conférence qui s</w:t>
      </w:r>
      <w:r w:rsidR="00CA473A">
        <w:t>’</w:t>
      </w:r>
      <w:r w:rsidRPr="00E4440C">
        <w:t xml:space="preserve">est tenue à Belgrade, la Bosnie-Herzégovine </w:t>
      </w:r>
      <w:r>
        <w:t>s</w:t>
      </w:r>
      <w:r w:rsidR="00CA473A">
        <w:t>’</w:t>
      </w:r>
      <w:r>
        <w:t>est</w:t>
      </w:r>
      <w:r w:rsidRPr="00E4440C">
        <w:t xml:space="preserve"> </w:t>
      </w:r>
      <w:r>
        <w:t>associée à la «</w:t>
      </w:r>
      <w:r w:rsidRPr="00E4440C">
        <w:t xml:space="preserve">Décennie </w:t>
      </w:r>
      <w:r>
        <w:t>de l</w:t>
      </w:r>
      <w:r w:rsidR="00CA473A">
        <w:t>’</w:t>
      </w:r>
      <w:r>
        <w:t>inclusion</w:t>
      </w:r>
      <w:r w:rsidRPr="00E4440C">
        <w:t xml:space="preserve"> des Roms 2005-2015</w:t>
      </w:r>
      <w:r>
        <w:t>»</w:t>
      </w:r>
      <w:r w:rsidRPr="00E4440C">
        <w:t xml:space="preserve">, </w:t>
      </w:r>
      <w:r>
        <w:t xml:space="preserve">initiative </w:t>
      </w:r>
      <w:r w:rsidRPr="00E4440C">
        <w:t>grâce à laquelle d</w:t>
      </w:r>
      <w:r w:rsidR="00CA473A">
        <w:t>’</w:t>
      </w:r>
      <w:r w:rsidRPr="00E4440C">
        <w:t xml:space="preserve">importants progrès ont été accomplis dans la protection de nombreuses minorités nationales. Cette </w:t>
      </w:r>
      <w:r>
        <w:t xml:space="preserve">participation </w:t>
      </w:r>
      <w:r w:rsidRPr="00E4440C">
        <w:t xml:space="preserve">a permis de créer des conditions propices à </w:t>
      </w:r>
      <w:r>
        <w:t xml:space="preserve">des </w:t>
      </w:r>
      <w:r w:rsidRPr="00E4440C">
        <w:t>solution</w:t>
      </w:r>
      <w:r>
        <w:t>s</w:t>
      </w:r>
      <w:r w:rsidRPr="00E4440C">
        <w:t xml:space="preserve"> plus spécifique</w:t>
      </w:r>
      <w:r>
        <w:t>s</w:t>
      </w:r>
      <w:r w:rsidRPr="00E4440C">
        <w:t xml:space="preserve"> et plus complète</w:t>
      </w:r>
      <w:r>
        <w:t>s</w:t>
      </w:r>
      <w:r w:rsidRPr="00E4440C">
        <w:t xml:space="preserve"> </w:t>
      </w:r>
      <w:r>
        <w:t xml:space="preserve">aux </w:t>
      </w:r>
      <w:r w:rsidRPr="00E4440C">
        <w:t xml:space="preserve">problèmes de la communauté rom. </w:t>
      </w:r>
      <w:r>
        <w:t xml:space="preserve">Un </w:t>
      </w:r>
      <w:r w:rsidRPr="00E4440C">
        <w:t xml:space="preserve">Comité de coordination </w:t>
      </w:r>
      <w:r>
        <w:t xml:space="preserve">a été créé, dirigé </w:t>
      </w:r>
      <w:r w:rsidRPr="00E4440C">
        <w:t xml:space="preserve">par un </w:t>
      </w:r>
      <w:r>
        <w:t xml:space="preserve">coordonnateur dont la </w:t>
      </w:r>
      <w:r w:rsidR="00880690">
        <w:t>mission</w:t>
      </w:r>
      <w:r>
        <w:t xml:space="preserve"> consistera </w:t>
      </w:r>
      <w:r w:rsidRPr="00E4440C">
        <w:t>à surveiller la mise en œuvre des plans d</w:t>
      </w:r>
      <w:r w:rsidR="00CA473A">
        <w:t>’</w:t>
      </w:r>
      <w:r w:rsidRPr="00E4440C">
        <w:t xml:space="preserve">action adoptés. La Bosnie-Herzégovine a adhéré à un projet qui </w:t>
      </w:r>
      <w:r>
        <w:t xml:space="preserve">consiste à recenser </w:t>
      </w:r>
      <w:r w:rsidRPr="00E4440C">
        <w:t xml:space="preserve">les besoins de la </w:t>
      </w:r>
      <w:r>
        <w:t xml:space="preserve">minorité </w:t>
      </w:r>
      <w:r w:rsidRPr="00E4440C">
        <w:t xml:space="preserve">rom </w:t>
      </w:r>
      <w:r>
        <w:t xml:space="preserve">sur </w:t>
      </w:r>
      <w:r w:rsidRPr="00E4440C">
        <w:t xml:space="preserve">tout le territoire du pays et qui servira de base à la création du Registre central de la population rom (CER) </w:t>
      </w:r>
      <w:r>
        <w:t xml:space="preserve">dans le cadre du </w:t>
      </w:r>
      <w:r w:rsidRPr="00E4440C">
        <w:t>Ministère des droits de l</w:t>
      </w:r>
      <w:r w:rsidR="00CA473A">
        <w:t>’</w:t>
      </w:r>
      <w:r w:rsidRPr="00E4440C">
        <w:t>homme.</w:t>
      </w:r>
    </w:p>
    <w:p w:rsidR="00DE0C47" w:rsidRPr="00E4440C" w:rsidRDefault="00DE0C47" w:rsidP="00DE0C47">
      <w:pPr>
        <w:pStyle w:val="SingleTxtG"/>
      </w:pPr>
      <w:r w:rsidRPr="00E4440C">
        <w:t>138.</w:t>
      </w:r>
      <w:r w:rsidRPr="00E4440C">
        <w:tab/>
        <w:t>Droits des femmes</w:t>
      </w:r>
      <w:r>
        <w:t>:</w:t>
      </w:r>
      <w:r w:rsidRPr="00E4440C">
        <w:t xml:space="preserve"> la loi sur l</w:t>
      </w:r>
      <w:r w:rsidR="00CA473A">
        <w:t>’</w:t>
      </w:r>
      <w:r w:rsidRPr="00E4440C">
        <w:t>égalité entre les hommes et les femmes en Bosnie-Herzégovine (Journal officiel de Bosnie-Herzégovine, n</w:t>
      </w:r>
      <w:r w:rsidRPr="00E4440C">
        <w:rPr>
          <w:vertAlign w:val="superscript"/>
        </w:rPr>
        <w:t>o</w:t>
      </w:r>
      <w:r w:rsidR="00880690">
        <w:t> </w:t>
      </w:r>
      <w:r w:rsidRPr="00E4440C">
        <w:t xml:space="preserve">32/10 </w:t>
      </w:r>
      <w:r w:rsidR="00880690">
        <w:t>−</w:t>
      </w:r>
      <w:r w:rsidRPr="00E4440C">
        <w:t xml:space="preserve"> texte révisé) régit, promeut et protège l</w:t>
      </w:r>
      <w:r w:rsidR="00CA473A">
        <w:t>’</w:t>
      </w:r>
      <w:r w:rsidRPr="00E4440C">
        <w:t>égalité des sexes, garantit l</w:t>
      </w:r>
      <w:r w:rsidR="00CA473A">
        <w:t>’</w:t>
      </w:r>
      <w:r w:rsidRPr="00E4440C">
        <w:t xml:space="preserve">égalité des chances à tous les citoyens, aussi bien dans la </w:t>
      </w:r>
      <w:r>
        <w:t xml:space="preserve">sphère </w:t>
      </w:r>
      <w:r w:rsidRPr="00E4440C">
        <w:t xml:space="preserve">publique que dans la </w:t>
      </w:r>
      <w:r>
        <w:t xml:space="preserve">sphère </w:t>
      </w:r>
      <w:r w:rsidRPr="00E4440C">
        <w:t>privée, et interdit la discrimination directe ou indirecte fondée sur le sexe.</w:t>
      </w:r>
    </w:p>
    <w:p w:rsidR="00DE0C47" w:rsidRPr="00E4440C" w:rsidRDefault="00DE0C47" w:rsidP="00DE0C47">
      <w:pPr>
        <w:pStyle w:val="SingleTxtG"/>
      </w:pPr>
      <w:r w:rsidRPr="00E4440C">
        <w:t>139.</w:t>
      </w:r>
      <w:r w:rsidRPr="00E4440C">
        <w:tab/>
        <w:t>Conformément à la loi précitée, le Plan d</w:t>
      </w:r>
      <w:r w:rsidR="00CA473A">
        <w:t>’</w:t>
      </w:r>
      <w:r w:rsidRPr="00E4440C">
        <w:t>action national a été élaboré et l</w:t>
      </w:r>
      <w:r w:rsidR="00CA473A">
        <w:t>’</w:t>
      </w:r>
      <w:r w:rsidRPr="00E4440C">
        <w:t>Agence pour l</w:t>
      </w:r>
      <w:r w:rsidR="00CA473A">
        <w:t>’</w:t>
      </w:r>
      <w:r w:rsidRPr="00E4440C">
        <w:t xml:space="preserve">égalité entre les hommes et les femmes en Bosnie-Herzégovine a été créée à la fin de 2003. </w:t>
      </w:r>
      <w:r>
        <w:t>Outre l</w:t>
      </w:r>
      <w:r w:rsidR="00CA473A">
        <w:t>’</w:t>
      </w:r>
      <w:r>
        <w:t xml:space="preserve">Agence ont </w:t>
      </w:r>
      <w:r w:rsidRPr="00E4440C">
        <w:t>également été instituées la Commission pour l</w:t>
      </w:r>
      <w:r w:rsidR="00CA473A">
        <w:t>’</w:t>
      </w:r>
      <w:r w:rsidRPr="00E4440C">
        <w:t>égalité des sexes relevant de la Chambre des représentants de l</w:t>
      </w:r>
      <w:r w:rsidR="00CA473A">
        <w:t>’</w:t>
      </w:r>
      <w:r w:rsidRPr="00E4440C">
        <w:t>Assemblée parlementaire de Bosnie-Herzégovine et la Commission mixte des droits de l</w:t>
      </w:r>
      <w:r w:rsidR="00CA473A">
        <w:t>’</w:t>
      </w:r>
      <w:r w:rsidRPr="00E4440C">
        <w:t>homme, des droits de l</w:t>
      </w:r>
      <w:r w:rsidR="00CA473A">
        <w:t>’</w:t>
      </w:r>
      <w:r w:rsidRPr="00E4440C">
        <w:t>enfant, de la jeunesse, de l</w:t>
      </w:r>
      <w:r w:rsidR="00CA473A">
        <w:t>’</w:t>
      </w:r>
      <w:r w:rsidRPr="00E4440C">
        <w:t>immigration, des réfugiés, des demandeurs d</w:t>
      </w:r>
      <w:r w:rsidR="00CA473A">
        <w:t>’</w:t>
      </w:r>
      <w:r w:rsidRPr="00E4440C">
        <w:t>asile et de l</w:t>
      </w:r>
      <w:r w:rsidR="00CA473A">
        <w:t>’</w:t>
      </w:r>
      <w:r w:rsidRPr="00E4440C">
        <w:t xml:space="preserve">éthique. Des centres </w:t>
      </w:r>
      <w:r>
        <w:t xml:space="preserve">de lutte contre les disparités hommes-femmes </w:t>
      </w:r>
      <w:r w:rsidRPr="00E4440C">
        <w:t>ont également été créés au niveau des Entités, ainsi que des commissions et des comités pour l</w:t>
      </w:r>
      <w:r w:rsidR="00CA473A">
        <w:t>’</w:t>
      </w:r>
      <w:r w:rsidRPr="00E4440C">
        <w:t>égalité des sexes. Les commissions pour l</w:t>
      </w:r>
      <w:r w:rsidR="00CA473A">
        <w:t>’</w:t>
      </w:r>
      <w:r w:rsidRPr="00E4440C">
        <w:t>égalité des sexes ont été mises en place au niveau des cantons, des villes et des municipalités.</w:t>
      </w:r>
    </w:p>
    <w:p w:rsidR="00DE0C47" w:rsidRPr="00E4440C" w:rsidRDefault="00DE0C47" w:rsidP="00DE0C47">
      <w:pPr>
        <w:pStyle w:val="SingleTxtG"/>
      </w:pPr>
      <w:r w:rsidRPr="00E4440C">
        <w:t>140.</w:t>
      </w:r>
      <w:r w:rsidRPr="00E4440C">
        <w:tab/>
        <w:t>L</w:t>
      </w:r>
      <w:r w:rsidR="00CA473A">
        <w:t>’</w:t>
      </w:r>
      <w:r w:rsidRPr="00E4440C">
        <w:t>adoption de cette loi, du Plan d</w:t>
      </w:r>
      <w:r w:rsidR="00CA473A">
        <w:t>’</w:t>
      </w:r>
      <w:r w:rsidRPr="00E4440C">
        <w:t>action national et la création de l</w:t>
      </w:r>
      <w:r w:rsidR="00CA473A">
        <w:t>’</w:t>
      </w:r>
      <w:r w:rsidRPr="00E4440C">
        <w:t>Agence pour l</w:t>
      </w:r>
      <w:r w:rsidR="00CA473A">
        <w:t>’</w:t>
      </w:r>
      <w:r w:rsidRPr="00E4440C">
        <w:t>égalité entre les hommes et les femmes ont pour objectif d</w:t>
      </w:r>
      <w:r w:rsidR="00CA473A">
        <w:t>’</w:t>
      </w:r>
      <w:r w:rsidRPr="00E4440C">
        <w:t>empêcher toutes les formes de discrimination à l</w:t>
      </w:r>
      <w:r w:rsidR="00CA473A">
        <w:t>’</w:t>
      </w:r>
      <w:r w:rsidRPr="00E4440C">
        <w:t>égard de la femme en Bosnie-Herzégovine.</w:t>
      </w:r>
    </w:p>
    <w:p w:rsidR="00DE0C47" w:rsidRPr="00E4440C" w:rsidRDefault="00DE0C47" w:rsidP="00DE0C47">
      <w:pPr>
        <w:pStyle w:val="SingleTxtG"/>
      </w:pPr>
      <w:r w:rsidRPr="00E4440C">
        <w:t>141.</w:t>
      </w:r>
      <w:r w:rsidRPr="00E4440C">
        <w:tab/>
      </w:r>
      <w:bookmarkStart w:id="0" w:name="hit1"/>
      <w:bookmarkStart w:id="1" w:name="hit2"/>
      <w:bookmarkEnd w:id="0"/>
      <w:bookmarkEnd w:id="1"/>
      <w:r w:rsidRPr="00E4440C">
        <w:t xml:space="preserve">Droits </w:t>
      </w:r>
      <w:bookmarkStart w:id="2" w:name="hit3"/>
      <w:bookmarkEnd w:id="2"/>
      <w:r w:rsidRPr="00E4440C">
        <w:t xml:space="preserve">de </w:t>
      </w:r>
      <w:bookmarkStart w:id="3" w:name="hit4"/>
      <w:bookmarkEnd w:id="3"/>
      <w:r w:rsidRPr="00E4440C">
        <w:t>l</w:t>
      </w:r>
      <w:r w:rsidR="00CA473A">
        <w:t>’</w:t>
      </w:r>
      <w:bookmarkStart w:id="4" w:name="hit5"/>
      <w:bookmarkEnd w:id="4"/>
      <w:r w:rsidRPr="00E4440C">
        <w:t>enfant</w:t>
      </w:r>
      <w:r>
        <w:t>: les droits de l</w:t>
      </w:r>
      <w:r w:rsidR="00CA473A">
        <w:t>’</w:t>
      </w:r>
      <w:r>
        <w:t xml:space="preserve">enfant </w:t>
      </w:r>
      <w:bookmarkStart w:id="5" w:name="hit6"/>
      <w:bookmarkEnd w:id="5"/>
      <w:r w:rsidRPr="00E4440C">
        <w:t xml:space="preserve">sont </w:t>
      </w:r>
      <w:bookmarkStart w:id="6" w:name="hit_last"/>
      <w:bookmarkEnd w:id="6"/>
      <w:r w:rsidRPr="00E4440C">
        <w:t>garantis dans le pays par la Constitution de l</w:t>
      </w:r>
      <w:r w:rsidR="00CA473A">
        <w:t>’</w:t>
      </w:r>
      <w:r w:rsidRPr="00E4440C">
        <w:t>État et par celle des Entités, ainsi que par les lois adoptées au niveau des Entités, du district d</w:t>
      </w:r>
      <w:r>
        <w:t>e Brc</w:t>
      </w:r>
      <w:r w:rsidRPr="00E4440C">
        <w:t>ko et des cantons. Les lois protégeant les droits de l</w:t>
      </w:r>
      <w:r w:rsidR="00CA473A">
        <w:t>’</w:t>
      </w:r>
      <w:r w:rsidRPr="00E4440C">
        <w:t>enfant sont liées à un certain nombre de mesures dans les domaines de l</w:t>
      </w:r>
      <w:r w:rsidR="00CA473A">
        <w:t>’</w:t>
      </w:r>
      <w:r w:rsidRPr="00E4440C">
        <w:t>aide sociale, de la protection de l</w:t>
      </w:r>
      <w:r w:rsidR="00CA473A">
        <w:t>’</w:t>
      </w:r>
      <w:r w:rsidRPr="00E4440C">
        <w:t>enfance et de la famille, de l</w:t>
      </w:r>
      <w:r w:rsidR="00CA473A">
        <w:t>’</w:t>
      </w:r>
      <w:r w:rsidRPr="00E4440C">
        <w:t>éducation et de la santé. Le Conseil des ministres a adopté un Plan d</w:t>
      </w:r>
      <w:r w:rsidR="00CA473A">
        <w:t>’</w:t>
      </w:r>
      <w:r w:rsidRPr="00E4440C">
        <w:t>action pour l</w:t>
      </w:r>
      <w:r w:rsidR="00CA473A">
        <w:t>’</w:t>
      </w:r>
      <w:r w:rsidRPr="00E4440C">
        <w:t>enfance pour la période 2002-2010. Celui-ci a donné lieu à la création du Conseil de Bosnie-Herzégovine pour l</w:t>
      </w:r>
      <w:r w:rsidR="00CA473A">
        <w:t>’</w:t>
      </w:r>
      <w:r w:rsidRPr="00E4440C">
        <w:t>enfance, qui est chargé de mettre en œuvre le Plan d</w:t>
      </w:r>
      <w:r w:rsidR="00CA473A">
        <w:t>’</w:t>
      </w:r>
      <w:r w:rsidRPr="00E4440C">
        <w:t xml:space="preserve">action et dont les activités auront pour objectif </w:t>
      </w:r>
      <w:r>
        <w:t xml:space="preserve">de prévenir </w:t>
      </w:r>
      <w:r w:rsidRPr="00E4440C">
        <w:t>la discrimination à l</w:t>
      </w:r>
      <w:r w:rsidR="00CA473A">
        <w:t>’</w:t>
      </w:r>
      <w:r w:rsidRPr="00E4440C">
        <w:t>égard des enfants. Il est prévu, en 2010, de créer le nouveau plan d</w:t>
      </w:r>
      <w:r w:rsidR="00CA473A">
        <w:t>’</w:t>
      </w:r>
      <w:r w:rsidRPr="00E4440C">
        <w:t>action pour l</w:t>
      </w:r>
      <w:r w:rsidR="00CA473A">
        <w:t>’</w:t>
      </w:r>
      <w:r w:rsidRPr="00E4440C">
        <w:t>enfance pour la période 2011-2014.</w:t>
      </w:r>
    </w:p>
    <w:p w:rsidR="00DE0C47" w:rsidRPr="00E4440C" w:rsidRDefault="00DE0C47" w:rsidP="00DE0C47">
      <w:pPr>
        <w:pStyle w:val="SingleTxtG"/>
      </w:pPr>
      <w:r w:rsidRPr="00E4440C">
        <w:t>142.</w:t>
      </w:r>
      <w:r w:rsidRPr="00E4440C">
        <w:tab/>
        <w:t>Le 7 septembre 2000, la Bosnie-Herzégovine a adopté, par succession du 1</w:t>
      </w:r>
      <w:r w:rsidRPr="00E4440C">
        <w:rPr>
          <w:vertAlign w:val="superscript"/>
        </w:rPr>
        <w:t>er</w:t>
      </w:r>
      <w:r w:rsidRPr="00AC2F1C">
        <w:t> </w:t>
      </w:r>
      <w:r w:rsidRPr="00E4440C">
        <w:t>septembre 1993, la Convention relative aux droits de l</w:t>
      </w:r>
      <w:r w:rsidR="00CA473A">
        <w:t>’</w:t>
      </w:r>
      <w:r w:rsidRPr="00E4440C">
        <w:t>enfant et, le 4 septembre 2000, elle a signé les deux protocoles à la Convention, à savoir le Protocole facultatif concernant l</w:t>
      </w:r>
      <w:r w:rsidR="00CA473A">
        <w:t>’</w:t>
      </w:r>
      <w:r w:rsidRPr="00E4440C">
        <w:t>implication d</w:t>
      </w:r>
      <w:r w:rsidR="00CA473A">
        <w:t>’</w:t>
      </w:r>
      <w:r w:rsidRPr="00E4440C">
        <w:t>enfants dans les conflits armés et le Protocole facultatif concernant la vente d</w:t>
      </w:r>
      <w:r w:rsidR="00CA473A">
        <w:t>’</w:t>
      </w:r>
      <w:r w:rsidRPr="00E4440C">
        <w:t>enfants, la prostitution des enfants et la pornographie mettant en scène des enfants. Après avoir soumis son premier rapport initial sur l</w:t>
      </w:r>
      <w:r w:rsidR="00CA473A">
        <w:t>’</w:t>
      </w:r>
      <w:r w:rsidRPr="00E4440C">
        <w:t>application de la Convention relative aux droits de l</w:t>
      </w:r>
      <w:r w:rsidR="00CA473A">
        <w:t>’</w:t>
      </w:r>
      <w:r w:rsidRPr="00E4440C">
        <w:t xml:space="preserve">enfant, la Bosnie-Herzégovine a </w:t>
      </w:r>
      <w:r>
        <w:t xml:space="preserve">également établi </w:t>
      </w:r>
      <w:r w:rsidRPr="00E4440C">
        <w:t xml:space="preserve">des rapports </w:t>
      </w:r>
      <w:r>
        <w:t>com</w:t>
      </w:r>
      <w:r w:rsidRPr="00E4440C">
        <w:t xml:space="preserve">plémentaires. Elle a élaboré et présenté avec succès </w:t>
      </w:r>
      <w:r>
        <w:t>à l</w:t>
      </w:r>
      <w:r w:rsidR="00CA473A">
        <w:t>’</w:t>
      </w:r>
      <w:r w:rsidRPr="00E4440C">
        <w:t xml:space="preserve">organisme </w:t>
      </w:r>
      <w:r>
        <w:t xml:space="preserve">compétent </w:t>
      </w:r>
      <w:r w:rsidRPr="00E4440C">
        <w:t xml:space="preserve">des Nations Unies le </w:t>
      </w:r>
      <w:r>
        <w:t xml:space="preserve">document </w:t>
      </w:r>
      <w:r w:rsidRPr="00E4440C">
        <w:t>réunissant ses deuxième, troisième et quatrième rapports périodiques sur l</w:t>
      </w:r>
      <w:r w:rsidR="00CA473A">
        <w:t>’</w:t>
      </w:r>
      <w:r w:rsidRPr="00E4440C">
        <w:t>application de la Convention relative aux droits de l</w:t>
      </w:r>
      <w:r w:rsidR="00CA473A">
        <w:t>’</w:t>
      </w:r>
      <w:r w:rsidRPr="00E4440C">
        <w:t>enfant.</w:t>
      </w:r>
    </w:p>
    <w:p w:rsidR="00DE0C47" w:rsidRPr="00E4440C" w:rsidRDefault="00DE0C47" w:rsidP="00DE0C47">
      <w:pPr>
        <w:pStyle w:val="H1G"/>
      </w:pPr>
      <w:r>
        <w:tab/>
      </w:r>
      <w:r w:rsidRPr="00E4440C">
        <w:t>D.</w:t>
      </w:r>
      <w:r w:rsidRPr="00E4440C">
        <w:tab/>
        <w:t>Stabilisation et association à l</w:t>
      </w:r>
      <w:r w:rsidR="00CA473A">
        <w:t>’</w:t>
      </w:r>
      <w:r w:rsidRPr="00E4440C">
        <w:t>Union européenne</w:t>
      </w:r>
    </w:p>
    <w:p w:rsidR="00DE0C47" w:rsidRPr="00E4440C" w:rsidRDefault="00DE0C47" w:rsidP="00DE0C47">
      <w:pPr>
        <w:pStyle w:val="SingleTxtG"/>
      </w:pPr>
      <w:r>
        <w:t>143.</w:t>
      </w:r>
      <w:r>
        <w:tab/>
      </w:r>
      <w:r w:rsidRPr="00E4440C">
        <w:t>Un processus général d</w:t>
      </w:r>
      <w:r w:rsidR="00CA473A">
        <w:t>’</w:t>
      </w:r>
      <w:r w:rsidRPr="00E4440C">
        <w:t xml:space="preserve">harmonisation des lois en vigueur en Bosnie-Herzégovine a été engagé </w:t>
      </w:r>
      <w:r>
        <w:t xml:space="preserve">avec pour objectif </w:t>
      </w:r>
      <w:r w:rsidRPr="00E4440C">
        <w:t>d</w:t>
      </w:r>
      <w:r w:rsidR="00CA473A">
        <w:t>’</w:t>
      </w:r>
      <w:r w:rsidRPr="00E4440C">
        <w:t>assurer l</w:t>
      </w:r>
      <w:r w:rsidR="00CA473A">
        <w:t>’</w:t>
      </w:r>
      <w:r w:rsidRPr="00E4440C">
        <w:t>harmonisation avec les principes énoncés dans les documents internationaux, l</w:t>
      </w:r>
      <w:r w:rsidR="00CA473A">
        <w:t>’</w:t>
      </w:r>
      <w:r w:rsidRPr="00E4440C">
        <w:t>inclusion de la Bosnie-Herzégovine dans les processus d</w:t>
      </w:r>
      <w:r w:rsidR="00CA473A">
        <w:t>’</w:t>
      </w:r>
      <w:r w:rsidRPr="00E4440C">
        <w:t>intégration européenne et la préparation de l</w:t>
      </w:r>
      <w:r w:rsidR="00CA473A">
        <w:t>’</w:t>
      </w:r>
      <w:r w:rsidRPr="00E4440C">
        <w:t>étude de faisabilité pour le processus de stabilisation et d</w:t>
      </w:r>
      <w:r w:rsidR="00CA473A">
        <w:t>’</w:t>
      </w:r>
      <w:r w:rsidRPr="00E4440C">
        <w:t>association en vue de l</w:t>
      </w:r>
      <w:r w:rsidR="00CA473A">
        <w:t>’</w:t>
      </w:r>
      <w:r w:rsidRPr="00E4440C">
        <w:t>entrée dans l</w:t>
      </w:r>
      <w:r w:rsidR="00CA473A">
        <w:t>’</w:t>
      </w:r>
      <w:r w:rsidRPr="00E4440C">
        <w:t xml:space="preserve">Union européenne, faisant ainsi avancer la Bosnie-Herzégovine </w:t>
      </w:r>
      <w:r>
        <w:t>vers l</w:t>
      </w:r>
      <w:r w:rsidR="00CA473A">
        <w:t>’</w:t>
      </w:r>
      <w:r>
        <w:t>intégration dans l</w:t>
      </w:r>
      <w:r w:rsidR="00CA473A">
        <w:t>’</w:t>
      </w:r>
      <w:r>
        <w:t xml:space="preserve">Union </w:t>
      </w:r>
      <w:r w:rsidRPr="00E4440C">
        <w:t>européenne.</w:t>
      </w:r>
    </w:p>
    <w:p w:rsidR="00DE0C47" w:rsidRPr="00E4440C" w:rsidRDefault="00DE0C47" w:rsidP="00DE0C47">
      <w:pPr>
        <w:pStyle w:val="SingleTxtG"/>
      </w:pPr>
      <w:r w:rsidRPr="00E4440C">
        <w:t>144.</w:t>
      </w:r>
      <w:r w:rsidRPr="00E4440C">
        <w:tab/>
        <w:t>La protection efficace des droits de l</w:t>
      </w:r>
      <w:r w:rsidR="00CA473A">
        <w:t>’</w:t>
      </w:r>
      <w:r w:rsidRPr="00E4440C">
        <w:t xml:space="preserve">homme nécessite </w:t>
      </w:r>
      <w:r>
        <w:t xml:space="preserve">un État qui </w:t>
      </w:r>
      <w:r w:rsidRPr="00E4440C">
        <w:t>fonctionne lui aussi de manière efficace</w:t>
      </w:r>
      <w:r>
        <w:t xml:space="preserve">, doté de moyens qui assurent la primauté du droit </w:t>
      </w:r>
      <w:r w:rsidRPr="00E4440C">
        <w:t>et la construction d</w:t>
      </w:r>
      <w:r w:rsidR="00CA473A">
        <w:t>’</w:t>
      </w:r>
      <w:r w:rsidRPr="00E4440C">
        <w:t xml:space="preserve">une Bosnie-Herzégovine démocratique et soucieuse de garantir la plus grande protection des </w:t>
      </w:r>
      <w:r>
        <w:t>droits de l</w:t>
      </w:r>
      <w:r w:rsidR="00CA473A">
        <w:t>’</w:t>
      </w:r>
      <w:r>
        <w:t>homme et des libertés fondamentales</w:t>
      </w:r>
      <w:r w:rsidRPr="00E4440C">
        <w:t>.</w:t>
      </w:r>
    </w:p>
    <w:p w:rsidR="00DE0C47" w:rsidRPr="00E4440C" w:rsidRDefault="00DE0C47" w:rsidP="00DE0C47">
      <w:pPr>
        <w:pStyle w:val="SingleTxtG"/>
      </w:pPr>
      <w:r w:rsidRPr="00E4440C">
        <w:t>145.</w:t>
      </w:r>
      <w:r w:rsidRPr="00E4440C">
        <w:tab/>
        <w:t>En ce sens, les autorités de la Bosnie-Herzégovine ont mis en place des organes chargés de mener à bien le processus d</w:t>
      </w:r>
      <w:r w:rsidR="00CA473A">
        <w:t>’</w:t>
      </w:r>
      <w:r w:rsidRPr="00E4440C">
        <w:t>harmonisation de la législation du pays avec celle de l</w:t>
      </w:r>
      <w:r w:rsidR="00CA473A">
        <w:t>’</w:t>
      </w:r>
      <w:r w:rsidRPr="00E4440C">
        <w:t xml:space="preserve">Union européenne, </w:t>
      </w:r>
      <w:r>
        <w:t xml:space="preserve">sur la base </w:t>
      </w:r>
      <w:r w:rsidRPr="00E4440C">
        <w:t>de l</w:t>
      </w:r>
      <w:r w:rsidR="00CA473A">
        <w:t>’</w:t>
      </w:r>
      <w:r w:rsidRPr="00E4440C">
        <w:t>acquis communautaire.</w:t>
      </w:r>
    </w:p>
    <w:p w:rsidR="00DE0C47" w:rsidRPr="00E4440C" w:rsidRDefault="00DE0C47" w:rsidP="00DE0C47">
      <w:pPr>
        <w:pStyle w:val="HChG"/>
      </w:pPr>
      <w:r>
        <w:tab/>
      </w:r>
      <w:r w:rsidRPr="00E4440C">
        <w:t>IV.</w:t>
      </w:r>
      <w:r w:rsidRPr="00E4440C">
        <w:tab/>
        <w:t>Cadre général de la protection et de la promotion</w:t>
      </w:r>
      <w:r>
        <w:br/>
      </w:r>
      <w:r w:rsidRPr="00E4440C">
        <w:t>des droits de l</w:t>
      </w:r>
      <w:r w:rsidR="00CA473A">
        <w:t>’</w:t>
      </w:r>
      <w:r w:rsidRPr="00E4440C">
        <w:t>homme</w:t>
      </w:r>
    </w:p>
    <w:p w:rsidR="00DE0C47" w:rsidRPr="00E4440C" w:rsidRDefault="00DE0C47" w:rsidP="00DE0C47">
      <w:pPr>
        <w:pStyle w:val="H1G"/>
      </w:pPr>
      <w:r>
        <w:tab/>
      </w:r>
      <w:r w:rsidRPr="00E4440C">
        <w:t>A.</w:t>
      </w:r>
      <w:r w:rsidRPr="00E4440C">
        <w:tab/>
        <w:t xml:space="preserve">Adoption des normes internationales </w:t>
      </w:r>
      <w:r>
        <w:t xml:space="preserve">relatives aux </w:t>
      </w:r>
      <w:r w:rsidRPr="00E4440C">
        <w:t>droits de l</w:t>
      </w:r>
      <w:r w:rsidR="00CA473A">
        <w:t>’</w:t>
      </w:r>
      <w:r w:rsidRPr="00E4440C">
        <w:t>homme</w:t>
      </w:r>
    </w:p>
    <w:p w:rsidR="00DE0C47" w:rsidRPr="00E4440C" w:rsidRDefault="00DE0C47" w:rsidP="00DE0C47">
      <w:pPr>
        <w:pStyle w:val="SingleTxtG"/>
      </w:pPr>
      <w:r w:rsidRPr="00E4440C">
        <w:t>146.</w:t>
      </w:r>
      <w:r w:rsidRPr="00E4440C">
        <w:tab/>
        <w:t>Désireuse de progresser et de persévérer dans le domaine de la protection des droits de l</w:t>
      </w:r>
      <w:r w:rsidR="00CA473A">
        <w:t>’</w:t>
      </w:r>
      <w:r w:rsidRPr="00E4440C">
        <w:t>homme, la Bosnie-Herzégovine a signé et ratifié un grand nombre de conventions internationales relatives aux droits de l</w:t>
      </w:r>
      <w:r w:rsidR="00CA473A">
        <w:t>’</w:t>
      </w:r>
      <w:r w:rsidRPr="00E4440C">
        <w:t>homme.</w:t>
      </w:r>
    </w:p>
    <w:p w:rsidR="00DE0C47" w:rsidRPr="00E4440C" w:rsidRDefault="00DE0C47" w:rsidP="00DE0C47">
      <w:pPr>
        <w:pStyle w:val="H23G"/>
      </w:pPr>
      <w:r>
        <w:tab/>
      </w:r>
      <w:r>
        <w:tab/>
      </w:r>
      <w:r w:rsidRPr="00E4440C">
        <w:t>Instruments internationaux relatifs aux droits de l</w:t>
      </w:r>
      <w:r w:rsidR="00CA473A">
        <w:t>’</w:t>
      </w:r>
      <w:r w:rsidRPr="00E4440C">
        <w:t>homme</w:t>
      </w:r>
    </w:p>
    <w:p w:rsidR="00DE0C47" w:rsidRPr="00E4440C" w:rsidRDefault="00DE0C47" w:rsidP="00DE0C47">
      <w:pPr>
        <w:pStyle w:val="SingleTxtG"/>
      </w:pPr>
      <w:r w:rsidRPr="00E4440C">
        <w:t>147.</w:t>
      </w:r>
      <w:r w:rsidRPr="00E4440C">
        <w:tab/>
        <w:t>Instruments internationaux relatifs aux droits de l</w:t>
      </w:r>
      <w:r w:rsidR="00CA473A">
        <w:t>’</w:t>
      </w:r>
      <w:r w:rsidRPr="00E4440C">
        <w:t>homme ratifiés par la Bosnie-Herzégovine:</w:t>
      </w:r>
    </w:p>
    <w:p w:rsidR="00DE0C47" w:rsidRDefault="00DE0C47" w:rsidP="00DE0C47">
      <w:pPr>
        <w:pStyle w:val="SingleTxtG"/>
        <w:ind w:firstLine="567"/>
      </w:pPr>
      <w:r w:rsidRPr="00E4440C">
        <w:t>a)</w:t>
      </w:r>
      <w:r w:rsidRPr="00E4440C">
        <w:tab/>
        <w:t>La Convention pour la prévention et la répression du crime de génocide (Journal officiel de la République de Bosnie-Herzégovine, n</w:t>
      </w:r>
      <w:r w:rsidRPr="00E4440C">
        <w:rPr>
          <w:vertAlign w:val="superscript"/>
        </w:rPr>
        <w:t>o</w:t>
      </w:r>
      <w:r w:rsidR="00880690">
        <w:t> </w:t>
      </w:r>
      <w:r>
        <w:t>25/93), succession le 29 </w:t>
      </w:r>
      <w:r w:rsidRPr="00E4440C">
        <w:t>décembre 1992;</w:t>
      </w:r>
    </w:p>
    <w:p w:rsidR="00DE0C47" w:rsidRDefault="00DE0C47" w:rsidP="00DE0C47">
      <w:pPr>
        <w:pStyle w:val="SingleTxtG"/>
        <w:ind w:firstLine="567"/>
      </w:pPr>
      <w:r w:rsidRPr="00E4440C">
        <w:t>b)</w:t>
      </w:r>
      <w:r w:rsidRPr="00E4440C">
        <w:tab/>
        <w:t>La Convention sur l</w:t>
      </w:r>
      <w:r w:rsidR="00CA473A">
        <w:t>’</w:t>
      </w:r>
      <w:r w:rsidRPr="00E4440C">
        <w:t>imprescriptibilité des crimes de guerre et des crimes contre l</w:t>
      </w:r>
      <w:r w:rsidR="00CA473A">
        <w:t>’</w:t>
      </w:r>
      <w:r w:rsidRPr="00E4440C">
        <w:t>humanité (Journal officiel de la République de Bosnie-Herzégovine, n</w:t>
      </w:r>
      <w:r w:rsidRPr="00E4440C">
        <w:rPr>
          <w:vertAlign w:val="superscript"/>
        </w:rPr>
        <w:t>o</w:t>
      </w:r>
      <w:r w:rsidR="00880690">
        <w:t> </w:t>
      </w:r>
      <w:r w:rsidRPr="00E4440C">
        <w:t>25/93), succession le 1</w:t>
      </w:r>
      <w:r w:rsidRPr="00E4440C">
        <w:rPr>
          <w:vertAlign w:val="superscript"/>
        </w:rPr>
        <w:t>er</w:t>
      </w:r>
      <w:r w:rsidRPr="00E4440C">
        <w:t xml:space="preserve"> septembre 1993;</w:t>
      </w:r>
    </w:p>
    <w:p w:rsidR="00DE0C47" w:rsidRDefault="00DE0C47" w:rsidP="00DE0C47">
      <w:pPr>
        <w:pStyle w:val="SingleTxtG"/>
        <w:ind w:firstLine="567"/>
      </w:pPr>
      <w:r w:rsidRPr="00E4440C">
        <w:t>c)</w:t>
      </w:r>
      <w:r w:rsidRPr="00E4440C">
        <w:tab/>
        <w:t>La Convention internationale sur l</w:t>
      </w:r>
      <w:r w:rsidR="00CA473A">
        <w:t>’</w:t>
      </w:r>
      <w:r w:rsidRPr="00E4440C">
        <w:t>élimination et la répression du crime d</w:t>
      </w:r>
      <w:r w:rsidR="00CA473A">
        <w:t>’</w:t>
      </w:r>
      <w:r w:rsidRPr="00E4440C">
        <w:t>apartheid, (Journal officiel de la République de Bosnie-Herzégovine, n</w:t>
      </w:r>
      <w:r w:rsidRPr="00E4440C">
        <w:rPr>
          <w:vertAlign w:val="superscript"/>
        </w:rPr>
        <w:t>o</w:t>
      </w:r>
      <w:r w:rsidR="00880690">
        <w:t> </w:t>
      </w:r>
      <w:r w:rsidRPr="00E4440C">
        <w:t>25/93), succession le 1</w:t>
      </w:r>
      <w:r w:rsidRPr="00E4440C">
        <w:rPr>
          <w:vertAlign w:val="superscript"/>
        </w:rPr>
        <w:t>er</w:t>
      </w:r>
      <w:r w:rsidRPr="00E4440C">
        <w:t xml:space="preserve"> septembre 1993;</w:t>
      </w:r>
    </w:p>
    <w:p w:rsidR="00DE0C47" w:rsidRDefault="00DE0C47" w:rsidP="00DE0C47">
      <w:pPr>
        <w:pStyle w:val="SingleTxtG"/>
        <w:ind w:firstLine="567"/>
      </w:pPr>
      <w:r w:rsidRPr="00E4440C">
        <w:t>d)</w:t>
      </w:r>
      <w:r w:rsidRPr="00E4440C">
        <w:tab/>
        <w:t>La Convention internationale contre l</w:t>
      </w:r>
      <w:r w:rsidR="00CA473A">
        <w:t>’</w:t>
      </w:r>
      <w:r w:rsidRPr="00E4440C">
        <w:t>apartheid dans les sports (Journal officiel de la République de Bosnie-Herzégovine, n</w:t>
      </w:r>
      <w:r w:rsidRPr="00E4440C">
        <w:rPr>
          <w:vertAlign w:val="superscript"/>
        </w:rPr>
        <w:t>o</w:t>
      </w:r>
      <w:r w:rsidR="00880690">
        <w:t> </w:t>
      </w:r>
      <w:r w:rsidRPr="00E4440C">
        <w:t>25/93), succession le 1</w:t>
      </w:r>
      <w:r w:rsidRPr="00E4440C">
        <w:rPr>
          <w:vertAlign w:val="superscript"/>
        </w:rPr>
        <w:t>er</w:t>
      </w:r>
      <w:r w:rsidRPr="00E4440C">
        <w:t xml:space="preserve"> septembre 1993;</w:t>
      </w:r>
    </w:p>
    <w:p w:rsidR="00DE0C47" w:rsidRDefault="00DE0C47" w:rsidP="00DE0C47">
      <w:pPr>
        <w:pStyle w:val="SingleTxtG"/>
        <w:ind w:firstLine="567"/>
      </w:pPr>
      <w:r w:rsidRPr="00E4440C">
        <w:t>e)</w:t>
      </w:r>
      <w:r w:rsidRPr="00E4440C">
        <w:tab/>
        <w:t>Le Pacte international relatif aux droits économiques, sociaux et culturels (Journal officiel de la République de Bosnie-Herzégovine, n</w:t>
      </w:r>
      <w:r w:rsidRPr="00E4440C">
        <w:rPr>
          <w:vertAlign w:val="superscript"/>
        </w:rPr>
        <w:t>o</w:t>
      </w:r>
      <w:r w:rsidR="00880690">
        <w:t> </w:t>
      </w:r>
      <w:r w:rsidRPr="00E4440C">
        <w:t>25/93), succession le 1</w:t>
      </w:r>
      <w:r w:rsidRPr="00E4440C">
        <w:rPr>
          <w:vertAlign w:val="superscript"/>
        </w:rPr>
        <w:t>er</w:t>
      </w:r>
      <w:r>
        <w:t> </w:t>
      </w:r>
      <w:r w:rsidRPr="00E4440C">
        <w:t>septembre 1993;</w:t>
      </w:r>
    </w:p>
    <w:p w:rsidR="00DE0C47" w:rsidRDefault="00DE0C47" w:rsidP="00DE0C47">
      <w:pPr>
        <w:pStyle w:val="SingleTxtG"/>
        <w:ind w:firstLine="567"/>
      </w:pPr>
      <w:r w:rsidRPr="00E4440C">
        <w:t>f)</w:t>
      </w:r>
      <w:r w:rsidRPr="00E4440C">
        <w:tab/>
        <w:t>Le Pacte international relatif aux droits civils et politiques (Journal officiel de la République de Bosnie-Herzégovine, n</w:t>
      </w:r>
      <w:r w:rsidRPr="00E4440C">
        <w:rPr>
          <w:vertAlign w:val="superscript"/>
        </w:rPr>
        <w:t>o</w:t>
      </w:r>
      <w:r w:rsidR="00880690">
        <w:t> </w:t>
      </w:r>
      <w:r w:rsidRPr="00E4440C">
        <w:t>25/93), succession le 1</w:t>
      </w:r>
      <w:r w:rsidRPr="00E4440C">
        <w:rPr>
          <w:vertAlign w:val="superscript"/>
        </w:rPr>
        <w:t>er</w:t>
      </w:r>
      <w:r w:rsidRPr="00E4440C">
        <w:t xml:space="preserve"> septembre 1993;</w:t>
      </w:r>
    </w:p>
    <w:p w:rsidR="00DE0C47" w:rsidRDefault="00DE0C47" w:rsidP="00DE0C47">
      <w:pPr>
        <w:pStyle w:val="SingleTxtG"/>
        <w:ind w:firstLine="567"/>
      </w:pPr>
      <w:r w:rsidRPr="00E4440C">
        <w:t>g)</w:t>
      </w:r>
      <w:r w:rsidRPr="00E4440C">
        <w:tab/>
        <w:t>Le Protocole facultatif se rapportant au Pacte international relatif aux droits civils et politiques</w:t>
      </w:r>
      <w:r>
        <w:t>,</w:t>
      </w:r>
      <w:r w:rsidRPr="00E4440C">
        <w:t xml:space="preserve"> ratifié le 1</w:t>
      </w:r>
      <w:r w:rsidRPr="009A32C2">
        <w:rPr>
          <w:vertAlign w:val="superscript"/>
        </w:rPr>
        <w:t>er</w:t>
      </w:r>
      <w:r>
        <w:t xml:space="preserve"> </w:t>
      </w:r>
      <w:r w:rsidRPr="00E4440C">
        <w:t>mars 1995;</w:t>
      </w:r>
    </w:p>
    <w:p w:rsidR="00DE0C47" w:rsidRDefault="00DE0C47" w:rsidP="00DE0C47">
      <w:pPr>
        <w:pStyle w:val="SingleTxtG"/>
        <w:ind w:firstLine="567"/>
      </w:pPr>
      <w:r w:rsidRPr="00E4440C">
        <w:t>h)</w:t>
      </w:r>
      <w:r w:rsidRPr="00E4440C">
        <w:tab/>
        <w:t xml:space="preserve">Le deuxième Protocole facultatif se rapportant au Pacte international relatif aux </w:t>
      </w:r>
      <w:r>
        <w:t>d</w:t>
      </w:r>
      <w:r w:rsidRPr="00E4440C">
        <w:t>roits civils et politiques, v</w:t>
      </w:r>
      <w:r>
        <w:t>isant à abolir la peine de mort</w:t>
      </w:r>
      <w:r w:rsidRPr="00E4440C">
        <w:t>, signé le 7 septembre 2000, ratifié le 16 mars 2001;</w:t>
      </w:r>
    </w:p>
    <w:p w:rsidR="00DE0C47" w:rsidRDefault="00DE0C47" w:rsidP="00DE0C47">
      <w:pPr>
        <w:pStyle w:val="SingleTxtG"/>
        <w:ind w:firstLine="567"/>
      </w:pPr>
      <w:r w:rsidRPr="00E4440C">
        <w:t>i)</w:t>
      </w:r>
      <w:r w:rsidRPr="00E4440C">
        <w:tab/>
        <w:t>La Convention internationale sur l</w:t>
      </w:r>
      <w:r w:rsidR="00CA473A">
        <w:t>’</w:t>
      </w:r>
      <w:r w:rsidRPr="00E4440C">
        <w:t>élimination de toutes les fo</w:t>
      </w:r>
      <w:r>
        <w:t xml:space="preserve">rmes de discrimination raciale </w:t>
      </w:r>
      <w:r w:rsidRPr="00E4440C">
        <w:t>(Journal officiel de la République de Bosnie-Herzégovine, n</w:t>
      </w:r>
      <w:r w:rsidRPr="00E4440C">
        <w:rPr>
          <w:vertAlign w:val="superscript"/>
        </w:rPr>
        <w:t>o</w:t>
      </w:r>
      <w:r w:rsidR="00880690">
        <w:t> </w:t>
      </w:r>
      <w:r w:rsidRPr="00E4440C">
        <w:t>25/93), succession le 16 juillet 1993;</w:t>
      </w:r>
    </w:p>
    <w:p w:rsidR="00DE0C47" w:rsidRDefault="00DE0C47" w:rsidP="00DE0C47">
      <w:pPr>
        <w:pStyle w:val="SingleTxtG"/>
        <w:ind w:firstLine="567"/>
      </w:pPr>
      <w:r w:rsidRPr="00E4440C">
        <w:t>j)</w:t>
      </w:r>
      <w:r w:rsidRPr="00E4440C">
        <w:tab/>
        <w:t>La Convention sur l</w:t>
      </w:r>
      <w:r w:rsidR="00CA473A">
        <w:t>’</w:t>
      </w:r>
      <w:r w:rsidRPr="00E4440C">
        <w:t>élimination de toutes les formes de discrimination à l</w:t>
      </w:r>
      <w:r w:rsidR="00CA473A">
        <w:t>’</w:t>
      </w:r>
      <w:r>
        <w:t>égard des femmes</w:t>
      </w:r>
      <w:r w:rsidRPr="00E4440C">
        <w:t xml:space="preserve"> (Journal officiel de la République de Bosnie-Herzégovine, n</w:t>
      </w:r>
      <w:r w:rsidRPr="00E4440C">
        <w:rPr>
          <w:vertAlign w:val="superscript"/>
        </w:rPr>
        <w:t>o</w:t>
      </w:r>
      <w:r w:rsidR="00880690">
        <w:t> </w:t>
      </w:r>
      <w:r w:rsidRPr="00E4440C">
        <w:t>25/93), succession le 1</w:t>
      </w:r>
      <w:r w:rsidRPr="00E4440C">
        <w:rPr>
          <w:vertAlign w:val="superscript"/>
        </w:rPr>
        <w:t>er</w:t>
      </w:r>
      <w:r w:rsidRPr="00E4440C">
        <w:t xml:space="preserve"> septembre 1993;</w:t>
      </w:r>
    </w:p>
    <w:p w:rsidR="00DE0C47" w:rsidRDefault="00DE0C47" w:rsidP="00DE0C47">
      <w:pPr>
        <w:pStyle w:val="SingleTxtG"/>
        <w:ind w:firstLine="567"/>
      </w:pPr>
      <w:r w:rsidRPr="00E4440C">
        <w:t>k)</w:t>
      </w:r>
      <w:r w:rsidRPr="00E4440C">
        <w:tab/>
        <w:t>Le Protocole facultatif à la Convention sur l</w:t>
      </w:r>
      <w:r w:rsidR="00CA473A">
        <w:t>’</w:t>
      </w:r>
      <w:r w:rsidRPr="00E4440C">
        <w:t>élimination de toutes les formes de discrimination à l</w:t>
      </w:r>
      <w:r w:rsidR="00CA473A">
        <w:t>’</w:t>
      </w:r>
      <w:r w:rsidRPr="00E4440C">
        <w:t>égard des femmes</w:t>
      </w:r>
      <w:r>
        <w:t>,</w:t>
      </w:r>
      <w:r w:rsidRPr="00E4440C">
        <w:t xml:space="preserve"> signé le 7 septembre 2000, ratifié le 4 septembre 2002;</w:t>
      </w:r>
    </w:p>
    <w:p w:rsidR="00DE0C47" w:rsidRDefault="00DE0C47" w:rsidP="00DE0C47">
      <w:pPr>
        <w:pStyle w:val="SingleTxtG"/>
        <w:ind w:firstLine="567"/>
      </w:pPr>
      <w:r w:rsidRPr="00E4440C">
        <w:t>l)</w:t>
      </w:r>
      <w:r w:rsidRPr="00E4440C">
        <w:tab/>
        <w:t>La Convention contre la torture et autres peines ou traitements cruels, inhumains ou dégradants (Journal officiel de la République de Bosnie-Herzégovine, n</w:t>
      </w:r>
      <w:r w:rsidRPr="00E4440C">
        <w:rPr>
          <w:vertAlign w:val="superscript"/>
        </w:rPr>
        <w:t>o</w:t>
      </w:r>
      <w:r w:rsidRPr="00AC2F1C">
        <w:t> </w:t>
      </w:r>
      <w:r w:rsidRPr="00E4440C">
        <w:t>25/93), succession le 1</w:t>
      </w:r>
      <w:r w:rsidRPr="00E4440C">
        <w:rPr>
          <w:vertAlign w:val="superscript"/>
        </w:rPr>
        <w:t>er</w:t>
      </w:r>
      <w:r w:rsidRPr="00E4440C">
        <w:t xml:space="preserve"> septembre 1993;</w:t>
      </w:r>
    </w:p>
    <w:p w:rsidR="00DE0C47" w:rsidRDefault="00DE0C47" w:rsidP="00DE0C47">
      <w:pPr>
        <w:pStyle w:val="SingleTxtG"/>
        <w:ind w:firstLine="567"/>
      </w:pPr>
      <w:r w:rsidRPr="00E4440C">
        <w:t>m)</w:t>
      </w:r>
      <w:r w:rsidRPr="00E4440C">
        <w:tab/>
        <w:t>La Convention relative aux droits de l</w:t>
      </w:r>
      <w:r w:rsidR="00CA473A">
        <w:t>’</w:t>
      </w:r>
      <w:r w:rsidRPr="00E4440C">
        <w:t>enfant (Journal officiel de la République de Bosnie-Herzégovine, n</w:t>
      </w:r>
      <w:r w:rsidRPr="00E4440C">
        <w:rPr>
          <w:vertAlign w:val="superscript"/>
        </w:rPr>
        <w:t>o</w:t>
      </w:r>
      <w:r w:rsidRPr="00E4440C">
        <w:t xml:space="preserve"> 25/93), succession le 1</w:t>
      </w:r>
      <w:r w:rsidRPr="00E4440C">
        <w:rPr>
          <w:vertAlign w:val="superscript"/>
        </w:rPr>
        <w:t>er</w:t>
      </w:r>
      <w:r w:rsidRPr="00E4440C">
        <w:t xml:space="preserve"> septembre 1993;</w:t>
      </w:r>
    </w:p>
    <w:p w:rsidR="00DE0C47" w:rsidRDefault="00DE0C47" w:rsidP="00DE0C47">
      <w:pPr>
        <w:pStyle w:val="SingleTxtG"/>
        <w:ind w:firstLine="567"/>
      </w:pPr>
      <w:r w:rsidRPr="00E4440C">
        <w:t>n)</w:t>
      </w:r>
      <w:r w:rsidRPr="00E4440C">
        <w:tab/>
        <w:t>Le Protocole facultatif à la Convention relative aux droits de l</w:t>
      </w:r>
      <w:r w:rsidR="00CA473A">
        <w:t>’</w:t>
      </w:r>
      <w:r w:rsidRPr="00E4440C">
        <w:t>enfant concernant l</w:t>
      </w:r>
      <w:r w:rsidR="00CA473A">
        <w:t>’</w:t>
      </w:r>
      <w:r w:rsidRPr="00E4440C">
        <w:t>implication d</w:t>
      </w:r>
      <w:r w:rsidR="00CA473A">
        <w:t>’</w:t>
      </w:r>
      <w:r w:rsidRPr="00E4440C">
        <w:t>enfants dans les conflits armés signé le 7</w:t>
      </w:r>
      <w:r w:rsidR="00880690">
        <w:t> </w:t>
      </w:r>
      <w:r w:rsidRPr="00E4440C">
        <w:t>septembre</w:t>
      </w:r>
      <w:r w:rsidR="00880690">
        <w:t> </w:t>
      </w:r>
      <w:r w:rsidRPr="00E4440C">
        <w:t>2000, l</w:t>
      </w:r>
      <w:r w:rsidR="00CA473A">
        <w:t>’</w:t>
      </w:r>
      <w:r w:rsidRPr="00E4440C">
        <w:t>instrument de ratification n</w:t>
      </w:r>
      <w:r w:rsidR="00CA473A">
        <w:t>’</w:t>
      </w:r>
      <w:r w:rsidRPr="00E4440C">
        <w:t>a pas encore été déposé;</w:t>
      </w:r>
    </w:p>
    <w:p w:rsidR="00DE0C47" w:rsidRDefault="00DE0C47" w:rsidP="00DE0C47">
      <w:pPr>
        <w:pStyle w:val="SingleTxtG"/>
        <w:ind w:firstLine="567"/>
      </w:pPr>
      <w:r w:rsidRPr="00E4440C">
        <w:t>o)</w:t>
      </w:r>
      <w:r w:rsidRPr="00E4440C">
        <w:tab/>
        <w:t>Le Protocole facultatif à la Convention des droits de l</w:t>
      </w:r>
      <w:r w:rsidR="00CA473A">
        <w:t>’</w:t>
      </w:r>
      <w:r w:rsidRPr="00E4440C">
        <w:t>enfant concernant la vente d</w:t>
      </w:r>
      <w:r w:rsidR="00CA473A">
        <w:t>’</w:t>
      </w:r>
      <w:r w:rsidRPr="00E4440C">
        <w:t>enfants, la prostitution des enfants et la pornographie mettant en scène des enfants</w:t>
      </w:r>
      <w:r>
        <w:t>,</w:t>
      </w:r>
      <w:r w:rsidRPr="00E4440C">
        <w:t xml:space="preserve"> signé le 7 septembre 2000, ratifié le 4 septembre 2002;</w:t>
      </w:r>
    </w:p>
    <w:p w:rsidR="00DE0C47" w:rsidRDefault="00DE0C47" w:rsidP="00DE0C47">
      <w:pPr>
        <w:pStyle w:val="SingleTxtG"/>
        <w:ind w:firstLine="567"/>
      </w:pPr>
      <w:r w:rsidRPr="00E4440C">
        <w:t>p)</w:t>
      </w:r>
      <w:r w:rsidRPr="00E4440C">
        <w:tab/>
        <w:t>La Convention internationale sur la protection des droits de tous les travailleurs migrants et des membres de leur famille</w:t>
      </w:r>
      <w:r>
        <w:t>,</w:t>
      </w:r>
      <w:r w:rsidRPr="00E4440C">
        <w:t xml:space="preserve"> adhésion le 13 décembre 1996;</w:t>
      </w:r>
    </w:p>
    <w:p w:rsidR="00DE0C47" w:rsidRDefault="00DE0C47" w:rsidP="00DE0C47">
      <w:pPr>
        <w:pStyle w:val="SingleTxtG"/>
        <w:ind w:firstLine="567"/>
      </w:pPr>
      <w:r w:rsidRPr="00E4440C">
        <w:t>q)</w:t>
      </w:r>
      <w:r w:rsidRPr="00E4440C">
        <w:tab/>
        <w:t>La Convention de 1951 relative au statut des réfugiés, succession le 1</w:t>
      </w:r>
      <w:r w:rsidRPr="00E210E0">
        <w:rPr>
          <w:vertAlign w:val="superscript"/>
        </w:rPr>
        <w:t>er</w:t>
      </w:r>
      <w:r w:rsidRPr="00E210E0">
        <w:t> </w:t>
      </w:r>
      <w:r w:rsidRPr="00E4440C">
        <w:t>septembre 1993;</w:t>
      </w:r>
    </w:p>
    <w:p w:rsidR="00DE0C47" w:rsidRPr="00E4440C" w:rsidRDefault="00DE0C47" w:rsidP="00DE0C47">
      <w:pPr>
        <w:pStyle w:val="SingleTxtG"/>
        <w:ind w:firstLine="567"/>
      </w:pPr>
      <w:r w:rsidRPr="00E4440C">
        <w:t>r)</w:t>
      </w:r>
      <w:r w:rsidRPr="00E4440C">
        <w:tab/>
        <w:t>Le Protocole de 1967 relatif au statut des réfugiés, succession le 1</w:t>
      </w:r>
      <w:r w:rsidRPr="00E210E0">
        <w:rPr>
          <w:vertAlign w:val="superscript"/>
        </w:rPr>
        <w:t>er</w:t>
      </w:r>
      <w:r w:rsidRPr="00E210E0">
        <w:t> </w:t>
      </w:r>
      <w:r w:rsidRPr="00E4440C">
        <w:t>septembre 1993;</w:t>
      </w:r>
    </w:p>
    <w:p w:rsidR="00DE0C47" w:rsidRPr="00E4440C" w:rsidRDefault="00DE0C47" w:rsidP="00DE0C47">
      <w:pPr>
        <w:pStyle w:val="SingleTxtG"/>
        <w:ind w:firstLine="567"/>
      </w:pPr>
      <w:r w:rsidRPr="00E4440C">
        <w:t>s)</w:t>
      </w:r>
      <w:r w:rsidRPr="00E4440C">
        <w:tab/>
        <w:t xml:space="preserve">Le Protocole additionnel à la Convention des Nations Unies contre la criminalité transnationale organisée visant à prévenir, réprimer et punir la traite des personnes, en particulier des femmes et des enfants (Journal officiel de la Bosnie-Herzégovine, </w:t>
      </w:r>
      <w:r w:rsidRPr="00C14D2A">
        <w:t>n</w:t>
      </w:r>
      <w:r w:rsidRPr="00C14D2A">
        <w:rPr>
          <w:vertAlign w:val="superscript"/>
        </w:rPr>
        <w:t>o</w:t>
      </w:r>
      <w:r>
        <w:t> </w:t>
      </w:r>
      <w:r w:rsidRPr="00E4440C">
        <w:t>3/02), ratifié le 27</w:t>
      </w:r>
      <w:r>
        <w:t> </w:t>
      </w:r>
      <w:r w:rsidRPr="00E4440C">
        <w:t>mars 2002;</w:t>
      </w:r>
    </w:p>
    <w:p w:rsidR="00DE0C47" w:rsidRPr="00E4440C" w:rsidRDefault="00DE0C47" w:rsidP="00DE0C47">
      <w:pPr>
        <w:pStyle w:val="SingleTxtG"/>
        <w:ind w:firstLine="567"/>
      </w:pPr>
      <w:r w:rsidRPr="00E4440C">
        <w:t>t)</w:t>
      </w:r>
      <w:r w:rsidRPr="00E4440C">
        <w:tab/>
        <w:t xml:space="preserve">Le Protocole contre le trafic illicite de migrants par terre, air et mer, additionnel à la Convention des Nations Unies contre la criminalité transnationale organisée (Journal officiel de la République de Bosnie-Herzégovine, </w:t>
      </w:r>
      <w:r w:rsidRPr="00C14D2A">
        <w:t>n</w:t>
      </w:r>
      <w:r w:rsidRPr="00C14D2A">
        <w:rPr>
          <w:vertAlign w:val="superscript"/>
        </w:rPr>
        <w:t>o</w:t>
      </w:r>
      <w:r>
        <w:t> </w:t>
      </w:r>
      <w:r w:rsidRPr="00E4440C">
        <w:t>3/02), ratifié le 27</w:t>
      </w:r>
      <w:r>
        <w:t> </w:t>
      </w:r>
      <w:r w:rsidRPr="00E4440C">
        <w:t>mars 2002;</w:t>
      </w:r>
    </w:p>
    <w:p w:rsidR="00DE0C47" w:rsidRPr="00E4440C" w:rsidRDefault="00DE0C47" w:rsidP="00DE0C47">
      <w:pPr>
        <w:pStyle w:val="SingleTxtG"/>
      </w:pPr>
      <w:r w:rsidRPr="00E4440C">
        <w:t>148.</w:t>
      </w:r>
      <w:r w:rsidRPr="00E4440C">
        <w:tab/>
        <w:t>La ratification de la Convention internationale pour la protection de toutes les personnes contre les disparitions forcées est en cours.</w:t>
      </w:r>
    </w:p>
    <w:p w:rsidR="00DE0C47" w:rsidRPr="00E4440C" w:rsidRDefault="00DE0C47" w:rsidP="00DE0C47">
      <w:pPr>
        <w:pStyle w:val="H23G"/>
      </w:pPr>
      <w:r>
        <w:tab/>
      </w:r>
      <w:r>
        <w:tab/>
      </w:r>
      <w:r w:rsidRPr="00E4440C">
        <w:t>Instruments de l</w:t>
      </w:r>
      <w:r w:rsidR="00CA473A">
        <w:t>’</w:t>
      </w:r>
      <w:r w:rsidRPr="00E4440C">
        <w:t>OIT relatifs aux droits de l</w:t>
      </w:r>
      <w:r w:rsidR="00CA473A">
        <w:t>’</w:t>
      </w:r>
      <w:r w:rsidRPr="00E4440C">
        <w:t>homme</w:t>
      </w:r>
    </w:p>
    <w:p w:rsidR="00DE0C47" w:rsidRPr="00E4440C" w:rsidRDefault="00DE0C47" w:rsidP="00DE0C47">
      <w:pPr>
        <w:pStyle w:val="SingleTxtG"/>
      </w:pPr>
      <w:r w:rsidRPr="00E4440C">
        <w:t>149.</w:t>
      </w:r>
      <w:r w:rsidRPr="00E4440C">
        <w:tab/>
        <w:t>Instruments de l</w:t>
      </w:r>
      <w:r w:rsidR="00CA473A">
        <w:t>’</w:t>
      </w:r>
      <w:r w:rsidRPr="00E4440C">
        <w:t>OIT relatifs aux droits de l</w:t>
      </w:r>
      <w:r w:rsidR="00CA473A">
        <w:t>’</w:t>
      </w:r>
      <w:r w:rsidRPr="00E4440C">
        <w:t>homme signés et ratifiés par la Bosnie-Herzégovine:</w:t>
      </w:r>
    </w:p>
    <w:p w:rsidR="00DE0C47" w:rsidRPr="00E4440C" w:rsidRDefault="00DE0C47" w:rsidP="00DE0C47">
      <w:pPr>
        <w:pStyle w:val="SingleTxtG"/>
        <w:ind w:firstLine="567"/>
      </w:pPr>
      <w:r w:rsidRPr="00E4440C">
        <w:t>a)</w:t>
      </w:r>
      <w:r w:rsidRPr="00E4440C">
        <w:tab/>
        <w:t>La Convention de 1930 sur le travail forcé (</w:t>
      </w:r>
      <w:r w:rsidRPr="00C14D2A">
        <w:t>n</w:t>
      </w:r>
      <w:r w:rsidRPr="00C14D2A">
        <w:rPr>
          <w:vertAlign w:val="superscript"/>
        </w:rPr>
        <w:t>o</w:t>
      </w:r>
      <w:r>
        <w:t> </w:t>
      </w:r>
      <w:r w:rsidRPr="00E4440C">
        <w:t>29);</w:t>
      </w:r>
    </w:p>
    <w:p w:rsidR="00DE0C47" w:rsidRPr="00E4440C" w:rsidRDefault="00DE0C47" w:rsidP="00DE0C47">
      <w:pPr>
        <w:pStyle w:val="SingleTxtG"/>
        <w:ind w:firstLine="567"/>
      </w:pPr>
      <w:r w:rsidRPr="00E4440C">
        <w:t>b)</w:t>
      </w:r>
      <w:r w:rsidRPr="00E4440C">
        <w:tab/>
        <w:t>La Convention de 1948 sur la liberté syndicale et la protection du droit syndical (</w:t>
      </w:r>
      <w:r w:rsidRPr="00C14D2A">
        <w:t>n</w:t>
      </w:r>
      <w:r w:rsidRPr="00C14D2A">
        <w:rPr>
          <w:vertAlign w:val="superscript"/>
        </w:rPr>
        <w:t>o</w:t>
      </w:r>
      <w:r>
        <w:t> </w:t>
      </w:r>
      <w:r w:rsidRPr="00E4440C">
        <w:t>87);</w:t>
      </w:r>
    </w:p>
    <w:p w:rsidR="00DE0C47" w:rsidRPr="00E4440C" w:rsidRDefault="00DE0C47" w:rsidP="00DE0C47">
      <w:pPr>
        <w:pStyle w:val="SingleTxtG"/>
        <w:ind w:firstLine="567"/>
      </w:pPr>
      <w:r w:rsidRPr="00E4440C">
        <w:t>c)</w:t>
      </w:r>
      <w:r w:rsidRPr="00E4440C">
        <w:tab/>
        <w:t xml:space="preserve">La Convention de 1949 </w:t>
      </w:r>
      <w:r w:rsidRPr="00303BE2">
        <w:t>sur le droit d</w:t>
      </w:r>
      <w:r w:rsidR="00CA473A">
        <w:t>’</w:t>
      </w:r>
      <w:r w:rsidRPr="00303BE2">
        <w:t>organisation et de négociation collective (</w:t>
      </w:r>
      <w:r w:rsidRPr="00C14D2A">
        <w:t>n</w:t>
      </w:r>
      <w:r w:rsidRPr="00C14D2A">
        <w:rPr>
          <w:vertAlign w:val="superscript"/>
        </w:rPr>
        <w:t>o</w:t>
      </w:r>
      <w:r>
        <w:t> </w:t>
      </w:r>
      <w:r w:rsidRPr="00E4440C">
        <w:t>98);</w:t>
      </w:r>
    </w:p>
    <w:p w:rsidR="00DE0C47" w:rsidRPr="00E4440C" w:rsidRDefault="00DE0C47" w:rsidP="00DE0C47">
      <w:pPr>
        <w:pStyle w:val="SingleTxtG"/>
        <w:ind w:firstLine="567"/>
      </w:pPr>
      <w:r w:rsidRPr="00E4440C">
        <w:t>d)</w:t>
      </w:r>
      <w:r w:rsidRPr="00E4440C">
        <w:tab/>
        <w:t>La Convention de 1951 sur l</w:t>
      </w:r>
      <w:r w:rsidR="00CA473A">
        <w:t>’</w:t>
      </w:r>
      <w:r w:rsidRPr="00E4440C">
        <w:t>égalité de rémunération (</w:t>
      </w:r>
      <w:r w:rsidRPr="00C14D2A">
        <w:t>n</w:t>
      </w:r>
      <w:r w:rsidRPr="00C14D2A">
        <w:rPr>
          <w:vertAlign w:val="superscript"/>
        </w:rPr>
        <w:t>o</w:t>
      </w:r>
      <w:r>
        <w:t> </w:t>
      </w:r>
      <w:r w:rsidRPr="00E4440C">
        <w:t>100);</w:t>
      </w:r>
    </w:p>
    <w:p w:rsidR="00DE0C47" w:rsidRPr="00E4440C" w:rsidRDefault="00DE0C47" w:rsidP="00DE0C47">
      <w:pPr>
        <w:pStyle w:val="SingleTxtG"/>
        <w:ind w:firstLine="567"/>
      </w:pPr>
      <w:r w:rsidRPr="00E4440C">
        <w:t>e)</w:t>
      </w:r>
      <w:r w:rsidRPr="00E4440C">
        <w:tab/>
        <w:t xml:space="preserve">La Convention de 1952 concernant la sécurité sociale </w:t>
      </w:r>
      <w:r>
        <w:t>(</w:t>
      </w:r>
      <w:r w:rsidRPr="00E4440C">
        <w:t>norme minimum</w:t>
      </w:r>
      <w:r>
        <w:t>)</w:t>
      </w:r>
      <w:r w:rsidRPr="00E4440C">
        <w:t xml:space="preserve"> (</w:t>
      </w:r>
      <w:r w:rsidRPr="00C14D2A">
        <w:t>n</w:t>
      </w:r>
      <w:r w:rsidRPr="00C14D2A">
        <w:rPr>
          <w:vertAlign w:val="superscript"/>
        </w:rPr>
        <w:t>o</w:t>
      </w:r>
      <w:r>
        <w:t> </w:t>
      </w:r>
      <w:r w:rsidRPr="00E4440C">
        <w:t>102);</w:t>
      </w:r>
    </w:p>
    <w:p w:rsidR="00DE0C47" w:rsidRPr="00E4440C" w:rsidRDefault="00DE0C47" w:rsidP="00DE0C47">
      <w:pPr>
        <w:pStyle w:val="SingleTxtG"/>
        <w:ind w:firstLine="567"/>
      </w:pPr>
      <w:r w:rsidRPr="00E4440C">
        <w:t>f)</w:t>
      </w:r>
      <w:r w:rsidRPr="00E4440C">
        <w:tab/>
        <w:t>La Convention de 1958 concernant la discrimination (emploi et profession) (</w:t>
      </w:r>
      <w:r w:rsidRPr="00C14D2A">
        <w:t>n</w:t>
      </w:r>
      <w:r w:rsidRPr="00C14D2A">
        <w:rPr>
          <w:vertAlign w:val="superscript"/>
        </w:rPr>
        <w:t>o</w:t>
      </w:r>
      <w:r>
        <w:t> </w:t>
      </w:r>
      <w:r w:rsidRPr="00E4440C">
        <w:t>111);</w:t>
      </w:r>
    </w:p>
    <w:p w:rsidR="00DE0C47" w:rsidRPr="00E4440C" w:rsidRDefault="00DE0C47" w:rsidP="00DE0C47">
      <w:pPr>
        <w:pStyle w:val="SingleTxtG"/>
        <w:ind w:firstLine="567"/>
      </w:pPr>
      <w:r w:rsidRPr="00E4440C">
        <w:t>g)</w:t>
      </w:r>
      <w:r w:rsidRPr="00E4440C">
        <w:tab/>
        <w:t>La Convention de 1964 sur la politique de l</w:t>
      </w:r>
      <w:r w:rsidR="00CA473A">
        <w:t>’</w:t>
      </w:r>
      <w:r w:rsidRPr="00E4440C">
        <w:t>emploi (</w:t>
      </w:r>
      <w:r w:rsidRPr="00C14D2A">
        <w:t>n</w:t>
      </w:r>
      <w:r w:rsidRPr="00C14D2A">
        <w:rPr>
          <w:vertAlign w:val="superscript"/>
        </w:rPr>
        <w:t>o</w:t>
      </w:r>
      <w:r>
        <w:t> </w:t>
      </w:r>
      <w:r w:rsidRPr="00E4440C">
        <w:t>122);</w:t>
      </w:r>
    </w:p>
    <w:p w:rsidR="00DE0C47" w:rsidRPr="00E4440C" w:rsidRDefault="00DE0C47" w:rsidP="00DE0C47">
      <w:pPr>
        <w:pStyle w:val="SingleTxtG"/>
        <w:ind w:firstLine="567"/>
      </w:pPr>
      <w:r w:rsidRPr="00E4440C">
        <w:t>h)</w:t>
      </w:r>
      <w:r w:rsidRPr="00E4440C">
        <w:tab/>
        <w:t>La Convention de 1973 sur l</w:t>
      </w:r>
      <w:r w:rsidR="00CA473A">
        <w:t>’</w:t>
      </w:r>
      <w:r w:rsidRPr="00E4440C">
        <w:t>âge minimum (</w:t>
      </w:r>
      <w:r w:rsidRPr="00C14D2A">
        <w:t>n</w:t>
      </w:r>
      <w:r w:rsidRPr="00C14D2A">
        <w:rPr>
          <w:vertAlign w:val="superscript"/>
        </w:rPr>
        <w:t>o</w:t>
      </w:r>
      <w:r>
        <w:t> </w:t>
      </w:r>
      <w:r w:rsidRPr="00E4440C">
        <w:t>138);</w:t>
      </w:r>
    </w:p>
    <w:p w:rsidR="00DE0C47" w:rsidRPr="00E4440C" w:rsidRDefault="00DE0C47" w:rsidP="00DE0C47">
      <w:pPr>
        <w:pStyle w:val="SingleTxtG"/>
        <w:ind w:firstLine="567"/>
      </w:pPr>
      <w:r w:rsidRPr="00E4440C">
        <w:t>i)</w:t>
      </w:r>
      <w:r w:rsidRPr="00E4440C">
        <w:tab/>
        <w:t>La Convention de 1999 sur les pires formes de travail des enfants (</w:t>
      </w:r>
      <w:r w:rsidRPr="00C14D2A">
        <w:t>n</w:t>
      </w:r>
      <w:r w:rsidRPr="00C14D2A">
        <w:rPr>
          <w:vertAlign w:val="superscript"/>
        </w:rPr>
        <w:t>o</w:t>
      </w:r>
      <w:r>
        <w:t> </w:t>
      </w:r>
      <w:r w:rsidRPr="00E4440C">
        <w:t>182), etc.</w:t>
      </w:r>
    </w:p>
    <w:p w:rsidR="00DE0C47" w:rsidRPr="00E4440C" w:rsidRDefault="00DE0C47" w:rsidP="00DE0C47">
      <w:pPr>
        <w:pStyle w:val="H23G"/>
      </w:pPr>
      <w:r>
        <w:tab/>
      </w:r>
      <w:r>
        <w:tab/>
      </w:r>
      <w:r w:rsidRPr="00E4440C">
        <w:t>Instruments internationaux du Conseil de l</w:t>
      </w:r>
      <w:r w:rsidR="00CA473A">
        <w:t>’</w:t>
      </w:r>
      <w:r w:rsidRPr="00E4440C">
        <w:t>Europe</w:t>
      </w:r>
    </w:p>
    <w:p w:rsidR="00DE0C47" w:rsidRPr="00E4440C" w:rsidRDefault="00DE0C47" w:rsidP="00DE0C47">
      <w:pPr>
        <w:pStyle w:val="SingleTxtG"/>
      </w:pPr>
      <w:r w:rsidRPr="00E4440C">
        <w:t>150.</w:t>
      </w:r>
      <w:r w:rsidRPr="00E4440C">
        <w:tab/>
        <w:t>Instruments internationaux du Conseil de l</w:t>
      </w:r>
      <w:r w:rsidR="00CA473A">
        <w:t>’</w:t>
      </w:r>
      <w:r w:rsidRPr="00E4440C">
        <w:t>Europe relatifs aux droits de l</w:t>
      </w:r>
      <w:r w:rsidR="00CA473A">
        <w:t>’</w:t>
      </w:r>
      <w:r w:rsidRPr="00E4440C">
        <w:t>homme signés et ratifiés par la Bosnie-Herzégovine:</w:t>
      </w:r>
    </w:p>
    <w:p w:rsidR="00DE0C47" w:rsidRPr="00E4440C" w:rsidRDefault="00DE0C47" w:rsidP="00DE0C47">
      <w:pPr>
        <w:pStyle w:val="SingleTxtG"/>
        <w:ind w:firstLine="567"/>
      </w:pPr>
      <w:r w:rsidRPr="00E4440C">
        <w:t>a)</w:t>
      </w:r>
      <w:r w:rsidRPr="00E4440C">
        <w:tab/>
        <w:t>La Convention de sauvegarde des droits de l</w:t>
      </w:r>
      <w:r w:rsidR="00CA473A">
        <w:t>’</w:t>
      </w:r>
      <w:r w:rsidRPr="00E4440C">
        <w:t>homme et des libertés fondamentales</w:t>
      </w:r>
      <w:r>
        <w:t>,</w:t>
      </w:r>
      <w:r w:rsidRPr="00E4440C">
        <w:t xml:space="preserve"> signée le 24</w:t>
      </w:r>
      <w:r>
        <w:t> </w:t>
      </w:r>
      <w:r w:rsidRPr="00E4440C">
        <w:t>avril 2002, ratifiée le 12</w:t>
      </w:r>
      <w:r>
        <w:t> </w:t>
      </w:r>
      <w:r w:rsidRPr="00E4440C">
        <w:t>juillet 2002, entrée en vigueur le 12</w:t>
      </w:r>
      <w:r>
        <w:t> </w:t>
      </w:r>
      <w:r w:rsidRPr="00E4440C">
        <w:t>juillet 2002;</w:t>
      </w:r>
    </w:p>
    <w:p w:rsidR="00DE0C47" w:rsidRPr="00E4440C" w:rsidRDefault="00DE0C47" w:rsidP="00DE0C47">
      <w:pPr>
        <w:pStyle w:val="SingleTxtG"/>
        <w:ind w:firstLine="567"/>
      </w:pPr>
      <w:r w:rsidRPr="00E4440C">
        <w:t>b)</w:t>
      </w:r>
      <w:r w:rsidRPr="00E4440C">
        <w:tab/>
        <w:t xml:space="preserve">Le Protocole additionnel à la Convention de sauvegarde des </w:t>
      </w:r>
      <w:r>
        <w:t>d</w:t>
      </w:r>
      <w:r w:rsidRPr="00E4440C">
        <w:t>roits de l</w:t>
      </w:r>
      <w:r w:rsidR="00CA473A">
        <w:t>’</w:t>
      </w:r>
      <w:r>
        <w:t>h</w:t>
      </w:r>
      <w:r w:rsidRPr="00E4440C">
        <w:t xml:space="preserve">omme et des </w:t>
      </w:r>
      <w:r>
        <w:t>l</w:t>
      </w:r>
      <w:r w:rsidRPr="00E4440C">
        <w:t>ibertés fondamentales</w:t>
      </w:r>
      <w:r>
        <w:t>,</w:t>
      </w:r>
      <w:r w:rsidRPr="00E4440C">
        <w:t xml:space="preserve"> signé le 24</w:t>
      </w:r>
      <w:r>
        <w:t> </w:t>
      </w:r>
      <w:r w:rsidRPr="00E4440C">
        <w:t>avril 2002, ratifié le 12</w:t>
      </w:r>
      <w:r>
        <w:t> </w:t>
      </w:r>
      <w:r w:rsidRPr="00E4440C">
        <w:t>juillet 2002, entré en vigueur le 12</w:t>
      </w:r>
      <w:r>
        <w:t> </w:t>
      </w:r>
      <w:r w:rsidRPr="00E4440C">
        <w:t>juillet 2002;</w:t>
      </w:r>
    </w:p>
    <w:p w:rsidR="00DE0C47" w:rsidRPr="00E4440C" w:rsidRDefault="00DE0C47" w:rsidP="00DE0C47">
      <w:pPr>
        <w:pStyle w:val="SingleTxtG"/>
        <w:ind w:firstLine="567"/>
      </w:pPr>
      <w:r w:rsidRPr="00E4440C">
        <w:t>c)</w:t>
      </w:r>
      <w:r w:rsidRPr="00E4440C">
        <w:tab/>
        <w:t xml:space="preserve">Le Protocole </w:t>
      </w:r>
      <w:r w:rsidRPr="00C14D2A">
        <w:t>n</w:t>
      </w:r>
      <w:r w:rsidRPr="00C14D2A">
        <w:rPr>
          <w:vertAlign w:val="superscript"/>
        </w:rPr>
        <w:t>o</w:t>
      </w:r>
      <w:r>
        <w:t> </w:t>
      </w:r>
      <w:r w:rsidRPr="00E4440C">
        <w:t xml:space="preserve">2 à la Convention de sauvegarde des </w:t>
      </w:r>
      <w:r>
        <w:t>d</w:t>
      </w:r>
      <w:r w:rsidRPr="00E4440C">
        <w:t>roits de l</w:t>
      </w:r>
      <w:r w:rsidR="00CA473A">
        <w:t>’</w:t>
      </w:r>
      <w:r>
        <w:t>h</w:t>
      </w:r>
      <w:r w:rsidRPr="00E4440C">
        <w:t xml:space="preserve">omme et des </w:t>
      </w:r>
      <w:r>
        <w:t>l</w:t>
      </w:r>
      <w:r w:rsidRPr="00E4440C">
        <w:t xml:space="preserve">ibertés fondamentales, attribuant à la Cour européenne des </w:t>
      </w:r>
      <w:r>
        <w:t>d</w:t>
      </w:r>
      <w:r w:rsidRPr="00E4440C">
        <w:t>roits de l</w:t>
      </w:r>
      <w:r w:rsidR="00CA473A">
        <w:t>’</w:t>
      </w:r>
      <w:r>
        <w:t>h</w:t>
      </w:r>
      <w:r w:rsidRPr="00E4440C">
        <w:t>omme la compétence de donner des avis consultatifs</w:t>
      </w:r>
      <w:r>
        <w:t>,</w:t>
      </w:r>
      <w:r w:rsidRPr="00E4440C">
        <w:t xml:space="preserve"> signé le 24</w:t>
      </w:r>
      <w:r>
        <w:t> </w:t>
      </w:r>
      <w:r w:rsidRPr="00E4440C">
        <w:t>avril 2002, ratifié le 12</w:t>
      </w:r>
      <w:r>
        <w:t> </w:t>
      </w:r>
      <w:r w:rsidRPr="00E4440C">
        <w:t>juillet 2002, entré en vigueur le 12</w:t>
      </w:r>
      <w:r>
        <w:t> </w:t>
      </w:r>
      <w:r w:rsidRPr="00E4440C">
        <w:t>juillet 2002;</w:t>
      </w:r>
    </w:p>
    <w:p w:rsidR="00DE0C47" w:rsidRPr="00E4440C" w:rsidRDefault="00DE0C47" w:rsidP="00DE0C47">
      <w:pPr>
        <w:pStyle w:val="SingleTxtG"/>
        <w:ind w:firstLine="567"/>
      </w:pPr>
      <w:r w:rsidRPr="00E4440C">
        <w:t>d)</w:t>
      </w:r>
      <w:r w:rsidRPr="00E4440C">
        <w:tab/>
        <w:t xml:space="preserve">Le Protocole </w:t>
      </w:r>
      <w:r w:rsidRPr="00C14D2A">
        <w:t>n</w:t>
      </w:r>
      <w:r w:rsidRPr="00C14D2A">
        <w:rPr>
          <w:vertAlign w:val="superscript"/>
        </w:rPr>
        <w:t>o</w:t>
      </w:r>
      <w:r>
        <w:t> </w:t>
      </w:r>
      <w:r w:rsidRPr="00E4440C">
        <w:t xml:space="preserve">3 à la Convention de sauvegarde des </w:t>
      </w:r>
      <w:r>
        <w:t>d</w:t>
      </w:r>
      <w:r w:rsidRPr="00E4440C">
        <w:t>roits de l</w:t>
      </w:r>
      <w:r w:rsidR="00CA473A">
        <w:t>’</w:t>
      </w:r>
      <w:r>
        <w:t>h</w:t>
      </w:r>
      <w:r w:rsidRPr="00E4440C">
        <w:t xml:space="preserve">omme et des </w:t>
      </w:r>
      <w:r>
        <w:t>l</w:t>
      </w:r>
      <w:r w:rsidRPr="00E4440C">
        <w:t>ibertés fondamentales, modifiant les articles</w:t>
      </w:r>
      <w:r>
        <w:t> </w:t>
      </w:r>
      <w:r w:rsidRPr="00E4440C">
        <w:t>29, 30 et 34 de la Convention</w:t>
      </w:r>
      <w:r>
        <w:t>,</w:t>
      </w:r>
      <w:r w:rsidRPr="00E4440C">
        <w:t xml:space="preserve"> signé le 24</w:t>
      </w:r>
      <w:r>
        <w:t> </w:t>
      </w:r>
      <w:r w:rsidRPr="00E4440C">
        <w:t>avril 2002, ratifié le 12</w:t>
      </w:r>
      <w:r>
        <w:t> </w:t>
      </w:r>
      <w:r w:rsidRPr="00E4440C">
        <w:t>juillet 2002, entré en vigueur le 12</w:t>
      </w:r>
      <w:r>
        <w:t> </w:t>
      </w:r>
      <w:r w:rsidRPr="00E4440C">
        <w:t>juillet 2002;</w:t>
      </w:r>
    </w:p>
    <w:p w:rsidR="00DE0C47" w:rsidRPr="00E4440C" w:rsidRDefault="00DE0C47" w:rsidP="00DE0C47">
      <w:pPr>
        <w:pStyle w:val="SingleTxtG"/>
        <w:ind w:firstLine="567"/>
      </w:pPr>
      <w:r w:rsidRPr="00E4440C">
        <w:t>e)</w:t>
      </w:r>
      <w:r w:rsidRPr="00E4440C">
        <w:tab/>
        <w:t xml:space="preserve">Le Protocole </w:t>
      </w:r>
      <w:r w:rsidRPr="00C14D2A">
        <w:t>n</w:t>
      </w:r>
      <w:r w:rsidRPr="00C14D2A">
        <w:rPr>
          <w:vertAlign w:val="superscript"/>
        </w:rPr>
        <w:t>o</w:t>
      </w:r>
      <w:r>
        <w:t> </w:t>
      </w:r>
      <w:r w:rsidRPr="00E4440C">
        <w:t xml:space="preserve">4 à la Convention de sauvegarde des </w:t>
      </w:r>
      <w:r>
        <w:t>d</w:t>
      </w:r>
      <w:r w:rsidRPr="00E4440C">
        <w:t>roits de l</w:t>
      </w:r>
      <w:r w:rsidR="00CA473A">
        <w:t>’</w:t>
      </w:r>
      <w:r>
        <w:t>h</w:t>
      </w:r>
      <w:r w:rsidRPr="00E4440C">
        <w:t xml:space="preserve">omme et des </w:t>
      </w:r>
      <w:r>
        <w:t>l</w:t>
      </w:r>
      <w:r w:rsidRPr="00E4440C">
        <w:t>ibertés fondamentales, reconnaissant certains droits et libertés autres que ceux figurant déjà dans la Convention et dans le premier Protocole additionnel à la Convention</w:t>
      </w:r>
      <w:r>
        <w:t>,</w:t>
      </w:r>
      <w:r w:rsidRPr="00E4440C">
        <w:t xml:space="preserve"> signé le 24</w:t>
      </w:r>
      <w:r>
        <w:t> </w:t>
      </w:r>
      <w:r w:rsidRPr="00E4440C">
        <w:t xml:space="preserve">avril 2002, ratifié le </w:t>
      </w:r>
      <w:r>
        <w:t>1</w:t>
      </w:r>
      <w:r w:rsidRPr="00E4440C">
        <w:t>2</w:t>
      </w:r>
      <w:r>
        <w:t> </w:t>
      </w:r>
      <w:r w:rsidRPr="00E4440C">
        <w:t>juillet 2002, entré en vigueur le 12</w:t>
      </w:r>
      <w:r>
        <w:t> </w:t>
      </w:r>
      <w:r w:rsidRPr="00E4440C">
        <w:t>juillet 2002;</w:t>
      </w:r>
    </w:p>
    <w:p w:rsidR="00DE0C47" w:rsidRPr="00E4440C" w:rsidRDefault="00DE0C47" w:rsidP="00DE0C47">
      <w:pPr>
        <w:pStyle w:val="SingleTxtG"/>
        <w:ind w:firstLine="567"/>
      </w:pPr>
      <w:r w:rsidRPr="00E4440C">
        <w:t>f)</w:t>
      </w:r>
      <w:r w:rsidRPr="00E4440C">
        <w:tab/>
        <w:t xml:space="preserve">Le Protocole </w:t>
      </w:r>
      <w:r w:rsidRPr="00C14D2A">
        <w:t>n</w:t>
      </w:r>
      <w:r w:rsidRPr="00C14D2A">
        <w:rPr>
          <w:vertAlign w:val="superscript"/>
        </w:rPr>
        <w:t>o</w:t>
      </w:r>
      <w:r>
        <w:t> </w:t>
      </w:r>
      <w:r w:rsidRPr="00E4440C">
        <w:t xml:space="preserve">5 à la Convention de sauvegarde des </w:t>
      </w:r>
      <w:r>
        <w:t>d</w:t>
      </w:r>
      <w:r w:rsidRPr="00E4440C">
        <w:t>roits de l</w:t>
      </w:r>
      <w:r w:rsidR="00CA473A">
        <w:t>’</w:t>
      </w:r>
      <w:r>
        <w:t>h</w:t>
      </w:r>
      <w:r w:rsidRPr="00E4440C">
        <w:t xml:space="preserve">omme et des </w:t>
      </w:r>
      <w:r>
        <w:t>l</w:t>
      </w:r>
      <w:r w:rsidRPr="00E4440C">
        <w:t>ibertés fondamentales, modifiant les articles</w:t>
      </w:r>
      <w:r>
        <w:t> </w:t>
      </w:r>
      <w:r w:rsidRPr="00E4440C">
        <w:t>22 et 4</w:t>
      </w:r>
      <w:r>
        <w:t>4</w:t>
      </w:r>
      <w:r w:rsidRPr="00E4440C">
        <w:t xml:space="preserve"> de la Convention</w:t>
      </w:r>
      <w:r>
        <w:t>,</w:t>
      </w:r>
      <w:r w:rsidRPr="00E4440C">
        <w:t xml:space="preserve"> signé le 24</w:t>
      </w:r>
      <w:r>
        <w:t> </w:t>
      </w:r>
      <w:r w:rsidRPr="00E4440C">
        <w:t>avril 2002, ratifié le 12</w:t>
      </w:r>
      <w:r>
        <w:t> </w:t>
      </w:r>
      <w:r w:rsidRPr="00E4440C">
        <w:t>juillet 2002, entré en vigueur le 12</w:t>
      </w:r>
      <w:r>
        <w:t> </w:t>
      </w:r>
      <w:r w:rsidRPr="00E4440C">
        <w:t>juillet 2002;</w:t>
      </w:r>
    </w:p>
    <w:p w:rsidR="00DE0C47" w:rsidRPr="00E4440C" w:rsidRDefault="00DE0C47" w:rsidP="00DE0C47">
      <w:pPr>
        <w:pStyle w:val="SingleTxtG"/>
        <w:ind w:firstLine="567"/>
      </w:pPr>
      <w:r w:rsidRPr="00E4440C">
        <w:t>g)</w:t>
      </w:r>
      <w:r w:rsidRPr="00E4440C">
        <w:tab/>
        <w:t xml:space="preserve">Le Protocole </w:t>
      </w:r>
      <w:r w:rsidRPr="00C14D2A">
        <w:t>n</w:t>
      </w:r>
      <w:r w:rsidRPr="00C14D2A">
        <w:rPr>
          <w:vertAlign w:val="superscript"/>
        </w:rPr>
        <w:t>o</w:t>
      </w:r>
      <w:r>
        <w:t> </w:t>
      </w:r>
      <w:r w:rsidRPr="00E4440C">
        <w:t xml:space="preserve">6 à la Convention de sauvegarde des </w:t>
      </w:r>
      <w:r>
        <w:t>d</w:t>
      </w:r>
      <w:r w:rsidRPr="00E4440C">
        <w:t>roits de l</w:t>
      </w:r>
      <w:r w:rsidR="00CA473A">
        <w:t>’</w:t>
      </w:r>
      <w:r>
        <w:t>h</w:t>
      </w:r>
      <w:r w:rsidRPr="00E4440C">
        <w:t xml:space="preserve">omme et des </w:t>
      </w:r>
      <w:r>
        <w:t>l</w:t>
      </w:r>
      <w:r w:rsidRPr="00E4440C">
        <w:t>ibertés fondamentales concernant l</w:t>
      </w:r>
      <w:r w:rsidR="00CA473A">
        <w:t>’</w:t>
      </w:r>
      <w:r w:rsidRPr="00E4440C">
        <w:t>abolition de la peine de mort</w:t>
      </w:r>
      <w:r>
        <w:t>,</w:t>
      </w:r>
      <w:r w:rsidRPr="00E4440C">
        <w:t xml:space="preserve"> signé le 24</w:t>
      </w:r>
      <w:r>
        <w:t> </w:t>
      </w:r>
      <w:r w:rsidRPr="00E4440C">
        <w:t>avril 2002, ratifié le 12</w:t>
      </w:r>
      <w:r>
        <w:t> </w:t>
      </w:r>
      <w:r w:rsidRPr="00E4440C">
        <w:t>juillet 2002, entré en vigueur le 1</w:t>
      </w:r>
      <w:r w:rsidRPr="00AF71EB">
        <w:rPr>
          <w:vertAlign w:val="superscript"/>
        </w:rPr>
        <w:t>er</w:t>
      </w:r>
      <w:r>
        <w:t> </w:t>
      </w:r>
      <w:r w:rsidRPr="00E4440C">
        <w:t>août 2002;</w:t>
      </w:r>
    </w:p>
    <w:p w:rsidR="00DE0C47" w:rsidRPr="00E4440C" w:rsidRDefault="00DE0C47" w:rsidP="00DE0C47">
      <w:pPr>
        <w:pStyle w:val="SingleTxtG"/>
        <w:ind w:firstLine="567"/>
      </w:pPr>
      <w:r w:rsidRPr="00E4440C">
        <w:t>h)</w:t>
      </w:r>
      <w:r w:rsidRPr="00E4440C">
        <w:tab/>
        <w:t xml:space="preserve">Le Protocole </w:t>
      </w:r>
      <w:r w:rsidRPr="00C14D2A">
        <w:t>n</w:t>
      </w:r>
      <w:r w:rsidRPr="00C14D2A">
        <w:rPr>
          <w:vertAlign w:val="superscript"/>
        </w:rPr>
        <w:t>o</w:t>
      </w:r>
      <w:r>
        <w:t> </w:t>
      </w:r>
      <w:r w:rsidRPr="00E4440C">
        <w:t xml:space="preserve">7 à la Convention de sauvegarde des </w:t>
      </w:r>
      <w:r>
        <w:t>d</w:t>
      </w:r>
      <w:r w:rsidRPr="00E4440C">
        <w:t>roits de l</w:t>
      </w:r>
      <w:r w:rsidR="00CA473A">
        <w:t>’</w:t>
      </w:r>
      <w:r>
        <w:t>h</w:t>
      </w:r>
      <w:r w:rsidRPr="00E4440C">
        <w:t xml:space="preserve">omme et des </w:t>
      </w:r>
      <w:r>
        <w:t>l</w:t>
      </w:r>
      <w:r w:rsidRPr="00E4440C">
        <w:t>ibertés fondamentales</w:t>
      </w:r>
      <w:r>
        <w:t>,</w:t>
      </w:r>
      <w:r w:rsidRPr="00E4440C">
        <w:t xml:space="preserve"> signé le 24</w:t>
      </w:r>
      <w:r>
        <w:t> </w:t>
      </w:r>
      <w:r w:rsidRPr="00E4440C">
        <w:t>avril 2002, ratifié le 12</w:t>
      </w:r>
      <w:r>
        <w:t> </w:t>
      </w:r>
      <w:r w:rsidRPr="00E4440C">
        <w:t>juillet 2002, entré en vigueur le 1</w:t>
      </w:r>
      <w:r w:rsidRPr="00AF71EB">
        <w:rPr>
          <w:vertAlign w:val="superscript"/>
        </w:rPr>
        <w:t>er</w:t>
      </w:r>
      <w:r>
        <w:t> </w:t>
      </w:r>
      <w:r w:rsidRPr="00E4440C">
        <w:t>octobre 2002;</w:t>
      </w:r>
    </w:p>
    <w:p w:rsidR="00DE0C47" w:rsidRPr="00E4440C" w:rsidRDefault="00DE0C47" w:rsidP="00DE0C47">
      <w:pPr>
        <w:pStyle w:val="SingleTxtG"/>
        <w:ind w:firstLine="567"/>
      </w:pPr>
      <w:r w:rsidRPr="00E4440C">
        <w:t>i)</w:t>
      </w:r>
      <w:r w:rsidRPr="00E4440C">
        <w:tab/>
        <w:t xml:space="preserve">Le Protocole </w:t>
      </w:r>
      <w:r w:rsidRPr="00C14D2A">
        <w:t>n</w:t>
      </w:r>
      <w:r w:rsidRPr="00C14D2A">
        <w:rPr>
          <w:vertAlign w:val="superscript"/>
        </w:rPr>
        <w:t>o</w:t>
      </w:r>
      <w:r>
        <w:t> </w:t>
      </w:r>
      <w:r w:rsidRPr="00E4440C">
        <w:t xml:space="preserve">8 à la Convention de sauvegarde des </w:t>
      </w:r>
      <w:r>
        <w:t>d</w:t>
      </w:r>
      <w:r w:rsidRPr="00E4440C">
        <w:t>roits de l</w:t>
      </w:r>
      <w:r w:rsidR="00CA473A">
        <w:t>’</w:t>
      </w:r>
      <w:r>
        <w:t>h</w:t>
      </w:r>
      <w:r w:rsidRPr="00E4440C">
        <w:t xml:space="preserve">omme et des </w:t>
      </w:r>
      <w:r>
        <w:t>l</w:t>
      </w:r>
      <w:r w:rsidRPr="00E4440C">
        <w:t>ibertés fondamentales</w:t>
      </w:r>
      <w:r>
        <w:t>,</w:t>
      </w:r>
      <w:r w:rsidRPr="00E4440C">
        <w:t xml:space="preserve"> signé le 24</w:t>
      </w:r>
      <w:r>
        <w:t> </w:t>
      </w:r>
      <w:r w:rsidRPr="00E4440C">
        <w:t>avril 2002, ratifié le 12</w:t>
      </w:r>
      <w:r>
        <w:t> </w:t>
      </w:r>
      <w:r w:rsidRPr="00E4440C">
        <w:t>juillet 2002, entré en vigueur le 12</w:t>
      </w:r>
      <w:r>
        <w:t> </w:t>
      </w:r>
      <w:r w:rsidRPr="00E4440C">
        <w:t>juillet 2002;</w:t>
      </w:r>
    </w:p>
    <w:p w:rsidR="00DE0C47" w:rsidRPr="00E4440C" w:rsidRDefault="00DE0C47" w:rsidP="00DE0C47">
      <w:pPr>
        <w:pStyle w:val="SingleTxtG"/>
        <w:ind w:firstLine="567"/>
      </w:pPr>
      <w:r w:rsidRPr="00E4440C">
        <w:t>j)</w:t>
      </w:r>
      <w:r w:rsidRPr="00E4440C">
        <w:tab/>
        <w:t>La Convention européenne pour la prévention de la torture et des peines ou traitements inhumains ou dégradants</w:t>
      </w:r>
      <w:r>
        <w:t>,</w:t>
      </w:r>
      <w:r w:rsidRPr="00E4440C">
        <w:t xml:space="preserve"> signée le 12</w:t>
      </w:r>
      <w:r>
        <w:t> </w:t>
      </w:r>
      <w:r w:rsidRPr="00E4440C">
        <w:t>juillet 2002, ratifiée le 12</w:t>
      </w:r>
      <w:r>
        <w:t> </w:t>
      </w:r>
      <w:r w:rsidRPr="00E4440C">
        <w:t>juillet 2002, entrée en vigueur le 1</w:t>
      </w:r>
      <w:r w:rsidRPr="00D44496">
        <w:rPr>
          <w:vertAlign w:val="superscript"/>
        </w:rPr>
        <w:t>er</w:t>
      </w:r>
      <w:r>
        <w:t> </w:t>
      </w:r>
      <w:r w:rsidRPr="00E4440C">
        <w:t>novembre 2002;</w:t>
      </w:r>
    </w:p>
    <w:p w:rsidR="00DE0C47" w:rsidRPr="00E4440C" w:rsidRDefault="00DE0C47" w:rsidP="00DE0C47">
      <w:pPr>
        <w:pStyle w:val="SingleTxtG"/>
        <w:ind w:firstLine="567"/>
      </w:pPr>
      <w:r w:rsidRPr="00E4440C">
        <w:t>k)</w:t>
      </w:r>
      <w:r w:rsidRPr="00E4440C">
        <w:tab/>
        <w:t xml:space="preserve">Le Protocole </w:t>
      </w:r>
      <w:r w:rsidRPr="00C14D2A">
        <w:t>n</w:t>
      </w:r>
      <w:r w:rsidRPr="00C14D2A">
        <w:rPr>
          <w:vertAlign w:val="superscript"/>
        </w:rPr>
        <w:t>o</w:t>
      </w:r>
      <w:r>
        <w:t> </w:t>
      </w:r>
      <w:r w:rsidRPr="00E4440C">
        <w:t xml:space="preserve">11 à la Convention de sauvegarde des </w:t>
      </w:r>
      <w:r>
        <w:t>d</w:t>
      </w:r>
      <w:r w:rsidRPr="00E4440C">
        <w:t>roits de l</w:t>
      </w:r>
      <w:r w:rsidR="00CA473A">
        <w:t>’</w:t>
      </w:r>
      <w:r>
        <w:t>h</w:t>
      </w:r>
      <w:r w:rsidRPr="00E4440C">
        <w:t xml:space="preserve">omme et des </w:t>
      </w:r>
      <w:r>
        <w:t>l</w:t>
      </w:r>
      <w:r w:rsidRPr="00E4440C">
        <w:t>ibertés fondamentales, portant restructuration du mécanisme de contrôle établi par la Convention, signé le 24</w:t>
      </w:r>
      <w:r>
        <w:t> </w:t>
      </w:r>
      <w:r w:rsidRPr="00E4440C">
        <w:t>avril 2002, ratifié le 12</w:t>
      </w:r>
      <w:r>
        <w:t> </w:t>
      </w:r>
      <w:r w:rsidRPr="00E4440C">
        <w:t>juillet 2002, entré en vigueur le 12</w:t>
      </w:r>
      <w:r>
        <w:t> </w:t>
      </w:r>
      <w:r w:rsidRPr="00E4440C">
        <w:t>juillet 2002;</w:t>
      </w:r>
    </w:p>
    <w:p w:rsidR="00DE0C47" w:rsidRPr="00E4440C" w:rsidRDefault="00DE0C47" w:rsidP="00DE0C47">
      <w:pPr>
        <w:pStyle w:val="SingleTxtG"/>
        <w:ind w:firstLine="567"/>
      </w:pPr>
      <w:r w:rsidRPr="00E4440C">
        <w:t>l)</w:t>
      </w:r>
      <w:r w:rsidRPr="00E4440C">
        <w:tab/>
        <w:t>La Convention-cadre pour la protection des minorités nationales</w:t>
      </w:r>
      <w:r>
        <w:t>,</w:t>
      </w:r>
      <w:r w:rsidRPr="00E4440C">
        <w:t xml:space="preserve"> ratifiée le 24</w:t>
      </w:r>
      <w:r>
        <w:t> </w:t>
      </w:r>
      <w:r w:rsidRPr="00E4440C">
        <w:t>février 2000, entrée en vigueur le 1</w:t>
      </w:r>
      <w:r w:rsidRPr="00D44496">
        <w:rPr>
          <w:vertAlign w:val="superscript"/>
        </w:rPr>
        <w:t>er</w:t>
      </w:r>
      <w:r>
        <w:t> </w:t>
      </w:r>
      <w:r w:rsidRPr="00E4440C">
        <w:t>juin 2001;</w:t>
      </w:r>
    </w:p>
    <w:p w:rsidR="00DE0C47" w:rsidRPr="00E4440C" w:rsidRDefault="00DE0C47" w:rsidP="00DE0C47">
      <w:pPr>
        <w:pStyle w:val="SingleTxtG"/>
        <w:ind w:firstLine="567"/>
      </w:pPr>
      <w:r w:rsidRPr="00E4440C">
        <w:t>m)</w:t>
      </w:r>
      <w:r w:rsidRPr="00E4440C">
        <w:tab/>
        <w:t xml:space="preserve">Le Protocole </w:t>
      </w:r>
      <w:r w:rsidRPr="00C14D2A">
        <w:t>n</w:t>
      </w:r>
      <w:r w:rsidRPr="00C14D2A">
        <w:rPr>
          <w:vertAlign w:val="superscript"/>
        </w:rPr>
        <w:t>o</w:t>
      </w:r>
      <w:r>
        <w:t> </w:t>
      </w:r>
      <w:r w:rsidRPr="00E4440C">
        <w:t xml:space="preserve">12 à la Convention de sauvegarde des </w:t>
      </w:r>
      <w:r>
        <w:t>d</w:t>
      </w:r>
      <w:r w:rsidRPr="00E4440C">
        <w:t>roits de l</w:t>
      </w:r>
      <w:r w:rsidR="00CA473A">
        <w:t>’</w:t>
      </w:r>
      <w:r>
        <w:t>h</w:t>
      </w:r>
      <w:r w:rsidRPr="00E4440C">
        <w:t xml:space="preserve">omme et des </w:t>
      </w:r>
      <w:r>
        <w:t>l</w:t>
      </w:r>
      <w:r w:rsidRPr="00E4440C">
        <w:t>ibertés fondamentales, signé le 24</w:t>
      </w:r>
      <w:r>
        <w:t> </w:t>
      </w:r>
      <w:r w:rsidRPr="00E4440C">
        <w:t>avril 2002</w:t>
      </w:r>
      <w:r>
        <w:t>,</w:t>
      </w:r>
      <w:r w:rsidRPr="00E4440C">
        <w:t xml:space="preserve"> ratifié le 29</w:t>
      </w:r>
      <w:r>
        <w:t> </w:t>
      </w:r>
      <w:r w:rsidRPr="00E4440C">
        <w:t>juillet 2003;</w:t>
      </w:r>
    </w:p>
    <w:p w:rsidR="00DE0C47" w:rsidRPr="00E4440C" w:rsidRDefault="00DE0C47" w:rsidP="00DE0C47">
      <w:pPr>
        <w:pStyle w:val="SingleTxtG"/>
        <w:ind w:firstLine="567"/>
      </w:pPr>
      <w:r w:rsidRPr="00E4440C">
        <w:t>n)</w:t>
      </w:r>
      <w:r w:rsidRPr="00E4440C">
        <w:tab/>
        <w:t xml:space="preserve">Le Protocole </w:t>
      </w:r>
      <w:r w:rsidRPr="00C14D2A">
        <w:t>n</w:t>
      </w:r>
      <w:r w:rsidRPr="00C14D2A">
        <w:rPr>
          <w:vertAlign w:val="superscript"/>
        </w:rPr>
        <w:t>o</w:t>
      </w:r>
      <w:r>
        <w:t> </w:t>
      </w:r>
      <w:r w:rsidRPr="00E4440C">
        <w:t>13 à l</w:t>
      </w:r>
      <w:r>
        <w:t>a Convention de sauvegarde des d</w:t>
      </w:r>
      <w:r w:rsidRPr="00E4440C">
        <w:t>roits de l</w:t>
      </w:r>
      <w:r w:rsidR="00CA473A">
        <w:t>’</w:t>
      </w:r>
      <w:r>
        <w:t>h</w:t>
      </w:r>
      <w:r w:rsidRPr="00E4440C">
        <w:t xml:space="preserve">omme et des </w:t>
      </w:r>
      <w:r>
        <w:t>l</w:t>
      </w:r>
      <w:r w:rsidRPr="00E4440C">
        <w:t>ibertés fondamentales, signé le 3</w:t>
      </w:r>
      <w:r>
        <w:t> </w:t>
      </w:r>
      <w:r w:rsidRPr="00E4440C">
        <w:t>mai 2002, ratifié le 29</w:t>
      </w:r>
      <w:r>
        <w:t> </w:t>
      </w:r>
      <w:r w:rsidRPr="00E4440C">
        <w:t>juillet 2003, entré en vigueur le 1</w:t>
      </w:r>
      <w:r w:rsidRPr="00D44496">
        <w:rPr>
          <w:vertAlign w:val="superscript"/>
        </w:rPr>
        <w:t>er</w:t>
      </w:r>
      <w:r>
        <w:t> </w:t>
      </w:r>
      <w:r w:rsidRPr="00E4440C">
        <w:t>novembre 2003;</w:t>
      </w:r>
    </w:p>
    <w:p w:rsidR="00DE0C47" w:rsidRPr="00E4440C" w:rsidRDefault="00DE0C47" w:rsidP="00DE0C47">
      <w:pPr>
        <w:pStyle w:val="SingleTxtG"/>
        <w:ind w:firstLine="567"/>
      </w:pPr>
      <w:r w:rsidRPr="00E4440C">
        <w:t>o)</w:t>
      </w:r>
      <w:r w:rsidRPr="00E4440C">
        <w:tab/>
        <w:t>La Charte sociale européenne (révisée), 1996, signée le 24</w:t>
      </w:r>
      <w:r>
        <w:t> </w:t>
      </w:r>
      <w:r w:rsidRPr="00E4440C">
        <w:t>mai 2004, ratifiée le 7</w:t>
      </w:r>
      <w:r>
        <w:t> </w:t>
      </w:r>
      <w:r w:rsidRPr="00E4440C">
        <w:t>octobre 2008;</w:t>
      </w:r>
    </w:p>
    <w:p w:rsidR="00DE0C47" w:rsidRPr="00E4440C" w:rsidRDefault="00DE0C47" w:rsidP="00DE0C47">
      <w:pPr>
        <w:pStyle w:val="SingleTxtG"/>
        <w:ind w:firstLine="567"/>
      </w:pPr>
      <w:r w:rsidRPr="00E4440C">
        <w:t>p)</w:t>
      </w:r>
      <w:r w:rsidRPr="00E4440C">
        <w:tab/>
        <w:t xml:space="preserve">Le Protocole </w:t>
      </w:r>
      <w:r w:rsidRPr="00C14D2A">
        <w:t>n</w:t>
      </w:r>
      <w:r w:rsidRPr="00C14D2A">
        <w:rPr>
          <w:vertAlign w:val="superscript"/>
        </w:rPr>
        <w:t>o</w:t>
      </w:r>
      <w:r>
        <w:t> </w:t>
      </w:r>
      <w:r w:rsidRPr="00E4440C">
        <w:t xml:space="preserve">14 à la Convention de sauvegarde des </w:t>
      </w:r>
      <w:r>
        <w:t>d</w:t>
      </w:r>
      <w:r w:rsidRPr="00E4440C">
        <w:t>roits de l</w:t>
      </w:r>
      <w:r w:rsidR="00CA473A">
        <w:t>’</w:t>
      </w:r>
      <w:r>
        <w:t>h</w:t>
      </w:r>
      <w:r w:rsidRPr="00E4440C">
        <w:t xml:space="preserve">omme et des </w:t>
      </w:r>
      <w:r>
        <w:t>l</w:t>
      </w:r>
      <w:r w:rsidRPr="00E4440C">
        <w:t>ibertés fondamentales, ratifié en 2006</w:t>
      </w:r>
      <w:r>
        <w:t>, sachant qu</w:t>
      </w:r>
      <w:r w:rsidR="00CA473A">
        <w:t>’</w:t>
      </w:r>
      <w:r w:rsidRPr="00E4440C">
        <w:t>après l</w:t>
      </w:r>
      <w:r w:rsidR="00CA473A">
        <w:t>’</w:t>
      </w:r>
      <w:r w:rsidRPr="00E4440C">
        <w:t xml:space="preserve">adhésion de la Fédération de Russie au Protocole </w:t>
      </w:r>
      <w:r w:rsidRPr="00C14D2A">
        <w:t>n</w:t>
      </w:r>
      <w:r w:rsidRPr="00C14D2A">
        <w:rPr>
          <w:vertAlign w:val="superscript"/>
        </w:rPr>
        <w:t>o</w:t>
      </w:r>
      <w:r>
        <w:t> </w:t>
      </w:r>
      <w:r w:rsidRPr="00E4440C">
        <w:t xml:space="preserve">14 à la Convention de sauvegarde des </w:t>
      </w:r>
      <w:r>
        <w:t>d</w:t>
      </w:r>
      <w:r w:rsidRPr="00E4440C">
        <w:t>roits de l</w:t>
      </w:r>
      <w:r w:rsidR="00CA473A">
        <w:t>’</w:t>
      </w:r>
      <w:r>
        <w:t>h</w:t>
      </w:r>
      <w:r w:rsidRPr="00E4440C">
        <w:t xml:space="preserve">omme et des </w:t>
      </w:r>
      <w:r>
        <w:t>l</w:t>
      </w:r>
      <w:r w:rsidRPr="00E4440C">
        <w:t>ibertés fondamentales, le processus de ratification a été interrompu</w:t>
      </w:r>
      <w:r>
        <w:t xml:space="preserve">, ayant perdu </w:t>
      </w:r>
      <w:r w:rsidRPr="00E4440C">
        <w:t xml:space="preserve">son importance et </w:t>
      </w:r>
      <w:r>
        <w:t xml:space="preserve">sa </w:t>
      </w:r>
      <w:r w:rsidRPr="00E4440C">
        <w:t>pertinence.</w:t>
      </w:r>
    </w:p>
    <w:p w:rsidR="00DE0C47" w:rsidRPr="00E4440C" w:rsidRDefault="00DE0C47" w:rsidP="00DE0C47">
      <w:pPr>
        <w:pStyle w:val="SingleTxtG"/>
      </w:pPr>
      <w:r w:rsidRPr="00E4440C">
        <w:t>151.</w:t>
      </w:r>
      <w:r w:rsidRPr="00E4440C">
        <w:tab/>
        <w:t>Instruments du Conseil de l</w:t>
      </w:r>
      <w:r w:rsidR="00CA473A">
        <w:t>’</w:t>
      </w:r>
      <w:r w:rsidRPr="00E4440C">
        <w:t>Europe relatifs aux droits de l</w:t>
      </w:r>
      <w:r w:rsidR="00CA473A">
        <w:t>’</w:t>
      </w:r>
      <w:r w:rsidRPr="00E4440C">
        <w:t xml:space="preserve">homme signés mais non ratifiés par la Bosnie-Herzégovine: </w:t>
      </w:r>
      <w:r w:rsidR="00FC0499">
        <w:t>l</w:t>
      </w:r>
      <w:r w:rsidRPr="00E4440C">
        <w:t>a Charte européenne des langues régionales ou minoritaires</w:t>
      </w:r>
      <w:r>
        <w:t>,</w:t>
      </w:r>
      <w:r w:rsidRPr="00E4440C">
        <w:t xml:space="preserve"> signée le 7</w:t>
      </w:r>
      <w:r>
        <w:t> </w:t>
      </w:r>
      <w:r w:rsidRPr="00E4440C">
        <w:t>septembre 2005 et le 21</w:t>
      </w:r>
      <w:r>
        <w:t> </w:t>
      </w:r>
      <w:r w:rsidRPr="00E4440C">
        <w:t>septembre 2010.</w:t>
      </w:r>
    </w:p>
    <w:p w:rsidR="00DE0C47" w:rsidRPr="00E4440C" w:rsidRDefault="00DE0C47" w:rsidP="00DE0C47">
      <w:pPr>
        <w:pStyle w:val="H1G"/>
      </w:pPr>
      <w:r>
        <w:tab/>
      </w:r>
      <w:r w:rsidRPr="00E4440C">
        <w:t>B.</w:t>
      </w:r>
      <w:r>
        <w:tab/>
      </w:r>
      <w:r w:rsidRPr="00E4440C">
        <w:t>Cadre juridique de la protection des droits de l</w:t>
      </w:r>
      <w:r w:rsidR="00CA473A">
        <w:t>’</w:t>
      </w:r>
      <w:r w:rsidRPr="00E4440C">
        <w:t>homme au niveau national</w:t>
      </w:r>
    </w:p>
    <w:p w:rsidR="00DE0C47" w:rsidRPr="00E4440C" w:rsidRDefault="00DE0C47" w:rsidP="00DE0C47">
      <w:pPr>
        <w:pStyle w:val="SingleTxtG"/>
      </w:pPr>
      <w:r w:rsidRPr="00E4440C">
        <w:t>152.</w:t>
      </w:r>
      <w:r w:rsidRPr="00E4440C">
        <w:tab/>
        <w:t xml:space="preserve">Afin de </w:t>
      </w:r>
      <w:r>
        <w:t xml:space="preserve">mieux faire comprendre </w:t>
      </w:r>
      <w:r w:rsidRPr="00E4440C">
        <w:t>la situation relative aux droits de l</w:t>
      </w:r>
      <w:r w:rsidR="00CA473A">
        <w:t>’</w:t>
      </w:r>
      <w:r w:rsidRPr="00E4440C">
        <w:t>homme en Bosnie-Herzégovine, le texte ci-dessous expose le cadre normatif et juridique</w:t>
      </w:r>
      <w:r>
        <w:t xml:space="preserve"> dans lequel s</w:t>
      </w:r>
      <w:r w:rsidR="00CA473A">
        <w:t>’</w:t>
      </w:r>
      <w:r>
        <w:t xml:space="preserve">inscrivent ces droits, ainsi que </w:t>
      </w:r>
      <w:r w:rsidRPr="00E4440C">
        <w:t>les obstacles objectifs</w:t>
      </w:r>
      <w:r>
        <w:t xml:space="preserve"> que doivent surmonter </w:t>
      </w:r>
      <w:r w:rsidRPr="00E4440C">
        <w:t>le pays afin de faire avancer et de promouvoir les droits de l</w:t>
      </w:r>
      <w:r w:rsidR="00CA473A">
        <w:t>’</w:t>
      </w:r>
      <w:r w:rsidRPr="00E4440C">
        <w:t>homme.</w:t>
      </w:r>
    </w:p>
    <w:p w:rsidR="00DE0C47" w:rsidRPr="00E4440C" w:rsidRDefault="00DE0C47" w:rsidP="00DE0C47">
      <w:pPr>
        <w:pStyle w:val="SingleTxtG"/>
      </w:pPr>
      <w:r w:rsidRPr="00E4440C">
        <w:t>153.</w:t>
      </w:r>
      <w:r w:rsidRPr="00E4440C">
        <w:tab/>
        <w:t xml:space="preserve">La loi sur la protection des minorités nationales a été adoptée et est entrée en vigueur en mai 2003 (Journal officiel de Bosnie-Herzégovine, </w:t>
      </w:r>
      <w:r w:rsidRPr="00C14D2A">
        <w:t>n</w:t>
      </w:r>
      <w:r w:rsidRPr="00C14D2A">
        <w:rPr>
          <w:vertAlign w:val="superscript"/>
        </w:rPr>
        <w:t>o</w:t>
      </w:r>
      <w:r>
        <w:t> </w:t>
      </w:r>
      <w:r w:rsidRPr="00E4440C">
        <w:t>12/03). Elle a ensuite été publiée dans les trois langues officielles dans l</w:t>
      </w:r>
      <w:r>
        <w:t>e</w:t>
      </w:r>
      <w:r w:rsidRPr="00E4440C">
        <w:t xml:space="preserve"> </w:t>
      </w:r>
      <w:r>
        <w:t>«</w:t>
      </w:r>
      <w:r w:rsidRPr="00E4440C">
        <w:t>Journal officiel de Bosnie-Herzégovine</w:t>
      </w:r>
      <w:r>
        <w:t>»</w:t>
      </w:r>
      <w:r w:rsidRPr="00E4440C">
        <w:t xml:space="preserve"> et a été traduite en anglais et en langue rom, ce qui </w:t>
      </w:r>
      <w:r>
        <w:t>est très</w:t>
      </w:r>
      <w:r w:rsidRPr="00E4440C">
        <w:t xml:space="preserve"> important </w:t>
      </w:r>
      <w:r>
        <w:t xml:space="preserve">pour </w:t>
      </w:r>
      <w:r w:rsidRPr="00E4440C">
        <w:t>l</w:t>
      </w:r>
      <w:r w:rsidR="00CA473A">
        <w:t>’</w:t>
      </w:r>
      <w:r w:rsidRPr="00E4440C">
        <w:t>émancipation de la minorité nationale rom.</w:t>
      </w:r>
    </w:p>
    <w:p w:rsidR="00DE0C47" w:rsidRPr="00E4440C" w:rsidRDefault="00DE0C47" w:rsidP="00DE0C47">
      <w:pPr>
        <w:pStyle w:val="SingleTxtG"/>
      </w:pPr>
      <w:r w:rsidRPr="00E4440C">
        <w:t>154.</w:t>
      </w:r>
      <w:r w:rsidRPr="00E4440C">
        <w:tab/>
        <w:t>L</w:t>
      </w:r>
      <w:r w:rsidR="00CA473A">
        <w:t>’</w:t>
      </w:r>
      <w:r w:rsidRPr="00E4440C">
        <w:t xml:space="preserve">Assemblée nationale de la Republika Srpska, organe suprême du pouvoir législatif, a adopté </w:t>
      </w:r>
      <w:r>
        <w:t xml:space="preserve">dès la fin </w:t>
      </w:r>
      <w:r w:rsidRPr="00E4440C">
        <w:t>décembre</w:t>
      </w:r>
      <w:r>
        <w:t xml:space="preserve"> </w:t>
      </w:r>
      <w:r w:rsidRPr="00E4440C">
        <w:t xml:space="preserve">2004 la loi sur la protection des minorités nationales en Republika Srpska (Journal officiel de Republika Srpska, </w:t>
      </w:r>
      <w:r w:rsidRPr="00C14D2A">
        <w:t>n</w:t>
      </w:r>
      <w:r w:rsidRPr="00C14D2A">
        <w:rPr>
          <w:vertAlign w:val="superscript"/>
        </w:rPr>
        <w:t>o</w:t>
      </w:r>
      <w:r>
        <w:t> </w:t>
      </w:r>
      <w:r w:rsidRPr="00E4440C">
        <w:t>2/05). L</w:t>
      </w:r>
      <w:r w:rsidR="00CA473A">
        <w:t>’</w:t>
      </w:r>
      <w:r w:rsidRPr="00E4440C">
        <w:t>Assemblée parlementaire de la Fédération de Bosnie-Herzégovine n</w:t>
      </w:r>
      <w:r w:rsidR="00CA473A">
        <w:t>’</w:t>
      </w:r>
      <w:r w:rsidRPr="00E4440C">
        <w:t>a pas encore achevé ce processus, bien qu</w:t>
      </w:r>
      <w:r w:rsidR="00CA473A">
        <w:t>’</w:t>
      </w:r>
      <w:r w:rsidRPr="00E4440C">
        <w:t xml:space="preserve">elle </w:t>
      </w:r>
      <w:r>
        <w:t>s</w:t>
      </w:r>
      <w:r w:rsidR="00CA473A">
        <w:t>’</w:t>
      </w:r>
      <w:r>
        <w:t>y emploie</w:t>
      </w:r>
      <w:r w:rsidRPr="00E4440C">
        <w:t xml:space="preserve"> activement.</w:t>
      </w:r>
    </w:p>
    <w:p w:rsidR="00DE0C47" w:rsidRPr="00E4440C" w:rsidRDefault="00DE0C47" w:rsidP="00DE0C47">
      <w:pPr>
        <w:pStyle w:val="SingleTxtG"/>
      </w:pPr>
      <w:r w:rsidRPr="00E4440C">
        <w:t>155.</w:t>
      </w:r>
      <w:r w:rsidRPr="00E4440C">
        <w:tab/>
        <w:t xml:space="preserve">La loi portant modification de la loi sur la protection des minorités nationales a été adoptée en octobre 2005 (Journal officiel de Bosnie-Herzégovine, </w:t>
      </w:r>
      <w:r w:rsidRPr="00C14D2A">
        <w:t>n</w:t>
      </w:r>
      <w:r w:rsidRPr="00C14D2A">
        <w:rPr>
          <w:vertAlign w:val="superscript"/>
        </w:rPr>
        <w:t>o</w:t>
      </w:r>
      <w:r>
        <w:t> </w:t>
      </w:r>
      <w:r w:rsidRPr="00E4440C">
        <w:t>76/05).</w:t>
      </w:r>
    </w:p>
    <w:p w:rsidR="00DE0C47" w:rsidRPr="00E4440C" w:rsidRDefault="00DE0C47" w:rsidP="00DE0C47">
      <w:pPr>
        <w:pStyle w:val="SingleTxtG"/>
      </w:pPr>
      <w:r w:rsidRPr="00E4440C">
        <w:t>156.</w:t>
      </w:r>
      <w:r w:rsidRPr="00E4440C">
        <w:tab/>
        <w:t>La décision d</w:t>
      </w:r>
      <w:r w:rsidR="00CA473A">
        <w:t>’</w:t>
      </w:r>
      <w:r w:rsidRPr="00E4440C">
        <w:t>instituer un Conseil pour les minorités nationales au sein de l</w:t>
      </w:r>
      <w:r w:rsidR="00CA473A">
        <w:t>’</w:t>
      </w:r>
      <w:r w:rsidRPr="00E4440C">
        <w:t xml:space="preserve">Assemblée parlementaire de Bosnie-Herzégovine a été adoptée et publiée en mai 2006 (Journal officiel de Bosnie-Herzégovine, </w:t>
      </w:r>
      <w:r w:rsidRPr="00C14D2A">
        <w:t>n</w:t>
      </w:r>
      <w:r w:rsidRPr="00C14D2A">
        <w:rPr>
          <w:vertAlign w:val="superscript"/>
        </w:rPr>
        <w:t>o</w:t>
      </w:r>
      <w:r>
        <w:t> </w:t>
      </w:r>
      <w:r w:rsidRPr="00E4440C">
        <w:t xml:space="preserve">38/06) et a </w:t>
      </w:r>
      <w:r>
        <w:t xml:space="preserve">servi de base à la </w:t>
      </w:r>
      <w:r w:rsidRPr="00E4440C">
        <w:t>création de cet organe consultatif. Des organes ayant les mêmes compétences on</w:t>
      </w:r>
      <w:r>
        <w:t>t</w:t>
      </w:r>
      <w:r w:rsidRPr="00E4440C">
        <w:t xml:space="preserve"> été créés au sein de l</w:t>
      </w:r>
      <w:r w:rsidR="00CA473A">
        <w:t>’</w:t>
      </w:r>
      <w:r w:rsidRPr="00E4440C">
        <w:t>Assemblée nationale de la Republika Srpska et du Parlement de la Fédération de Bosnie-Herzégovine.</w:t>
      </w:r>
    </w:p>
    <w:p w:rsidR="00DE0C47" w:rsidRPr="00E4440C" w:rsidRDefault="00DE0C47" w:rsidP="00DE0C47">
      <w:pPr>
        <w:pStyle w:val="SingleTxtG"/>
      </w:pPr>
      <w:r w:rsidRPr="00E4440C">
        <w:t>157.</w:t>
      </w:r>
      <w:r w:rsidRPr="00E4440C">
        <w:tab/>
        <w:t>En février 2004, avec la médiation de la Mission de l</w:t>
      </w:r>
      <w:r w:rsidR="00CA473A">
        <w:t>’</w:t>
      </w:r>
      <w:r w:rsidRPr="00E4440C">
        <w:t xml:space="preserve">OSCE dans le pays, les autorités </w:t>
      </w:r>
      <w:r w:rsidRPr="00303BE2">
        <w:t>d</w:t>
      </w:r>
      <w:r w:rsidRPr="00E4440C">
        <w:t>e Bosnie-Herzégovine ont adopté un plan d</w:t>
      </w:r>
      <w:r w:rsidR="00CA473A">
        <w:t>’</w:t>
      </w:r>
      <w:r w:rsidRPr="00E4440C">
        <w:t>action pour répondre aux besoins éducatifs des Roms et des membres des autres minorités nationales en Bosnie-Herzégovine. Ce plan d</w:t>
      </w:r>
      <w:r w:rsidR="00CA473A">
        <w:t>’</w:t>
      </w:r>
      <w:r w:rsidRPr="00E4440C">
        <w:t xml:space="preserve">action </w:t>
      </w:r>
      <w:r>
        <w:t>est en cours d</w:t>
      </w:r>
      <w:r w:rsidR="00CA473A">
        <w:t>’</w:t>
      </w:r>
      <w:r>
        <w:t>examen par le C</w:t>
      </w:r>
      <w:r w:rsidRPr="00E4440C">
        <w:t xml:space="preserve">omité </w:t>
      </w:r>
      <w:r>
        <w:t>créé à cet effet</w:t>
      </w:r>
      <w:r w:rsidRPr="00E4440C">
        <w:t>.</w:t>
      </w:r>
    </w:p>
    <w:p w:rsidR="00DE0C47" w:rsidRPr="00777D9E" w:rsidRDefault="00DE0C47" w:rsidP="00DE0C47">
      <w:pPr>
        <w:pStyle w:val="SingleTxtG"/>
      </w:pPr>
      <w:r w:rsidRPr="00777D9E">
        <w:t>158.</w:t>
      </w:r>
      <w:r w:rsidRPr="00777D9E">
        <w:tab/>
        <w:t>Le Ministère des droits de l</w:t>
      </w:r>
      <w:r w:rsidR="00CA473A">
        <w:t>’</w:t>
      </w:r>
      <w:r w:rsidRPr="00777D9E">
        <w:t>homme et des réfugiés de Bosnie-Herzégovine a élaboré, en collaboration avec le Comité des Roms de Bosnie-Herzégovine, une stratégie visant à résoudre les problèmes de la communauté rom, stratégie que le Conseil des ministres a adoptée et publiée dans le Journal officiel de Bosnie-Herzégovine, n</w:t>
      </w:r>
      <w:r w:rsidRPr="00777D9E">
        <w:rPr>
          <w:vertAlign w:val="superscript"/>
        </w:rPr>
        <w:t>o</w:t>
      </w:r>
      <w:r>
        <w:t> </w:t>
      </w:r>
      <w:r w:rsidRPr="00777D9E">
        <w:t>67/05, en date du 27</w:t>
      </w:r>
      <w:r>
        <w:t> </w:t>
      </w:r>
      <w:r w:rsidRPr="00777D9E">
        <w:t>septembre 2005. Cette stratégie prévoit l</w:t>
      </w:r>
      <w:r w:rsidR="00CA473A">
        <w:t>’</w:t>
      </w:r>
      <w:r w:rsidRPr="00777D9E">
        <w:t>adoption d</w:t>
      </w:r>
      <w:r w:rsidR="00CA473A">
        <w:t>’</w:t>
      </w:r>
      <w:r w:rsidRPr="00777D9E">
        <w:t>un programme spécifique d</w:t>
      </w:r>
      <w:r w:rsidR="00CA473A">
        <w:t>’</w:t>
      </w:r>
      <w:r w:rsidRPr="00777D9E">
        <w:t>activités ayant pour objectif d</w:t>
      </w:r>
      <w:r w:rsidR="00CA473A">
        <w:t>’</w:t>
      </w:r>
      <w:r w:rsidRPr="00777D9E">
        <w:t xml:space="preserve">améliorer la situation sociale de la communauté rom en Bosnie-Herzégovine dans des </w:t>
      </w:r>
      <w:r>
        <w:t xml:space="preserve">différents domaines: </w:t>
      </w:r>
      <w:r w:rsidRPr="00777D9E">
        <w:t xml:space="preserve">éducation, emploi, logement, </w:t>
      </w:r>
      <w:r>
        <w:t xml:space="preserve">santé, protection </w:t>
      </w:r>
      <w:r w:rsidRPr="00777D9E">
        <w:t>sociale</w:t>
      </w:r>
      <w:r>
        <w:t>,</w:t>
      </w:r>
      <w:r w:rsidRPr="00777D9E">
        <w:t xml:space="preserve"> </w:t>
      </w:r>
      <w:r>
        <w:t>recensement</w:t>
      </w:r>
      <w:r w:rsidRPr="00777D9E">
        <w:t xml:space="preserve"> des besoins des Roms</w:t>
      </w:r>
      <w:r>
        <w:t>, etc.</w:t>
      </w:r>
    </w:p>
    <w:p w:rsidR="00DE0C47" w:rsidRPr="00777D9E" w:rsidRDefault="00DE0C47" w:rsidP="00DE0C47">
      <w:pPr>
        <w:pStyle w:val="SingleTxtG"/>
      </w:pPr>
      <w:r>
        <w:t>159.</w:t>
      </w:r>
      <w:r>
        <w:tab/>
        <w:t>Le 3 </w:t>
      </w:r>
      <w:r w:rsidRPr="00777D9E">
        <w:t>juillet 2008, le Conseil des ministres de Bosnie-Herzégovine a adopté le plan d</w:t>
      </w:r>
      <w:r w:rsidR="00CA473A">
        <w:t>’</w:t>
      </w:r>
      <w:r w:rsidRPr="00777D9E">
        <w:t xml:space="preserve">action pour les </w:t>
      </w:r>
      <w:r>
        <w:t>R</w:t>
      </w:r>
      <w:r w:rsidRPr="00777D9E">
        <w:t xml:space="preserve">oms </w:t>
      </w:r>
      <w:r>
        <w:t xml:space="preserve">visant à résoudre les problèmes que ces derniers connaissent </w:t>
      </w:r>
      <w:r w:rsidRPr="00777D9E">
        <w:t>en matière d</w:t>
      </w:r>
      <w:r w:rsidR="00CA473A">
        <w:t>’</w:t>
      </w:r>
      <w:r w:rsidRPr="00777D9E">
        <w:t>emploi, de loge</w:t>
      </w:r>
      <w:r>
        <w:t>ment et de soins de santé. Le 4 </w:t>
      </w:r>
      <w:r w:rsidRPr="00777D9E">
        <w:t xml:space="preserve">septembre 2008, à la Conférence tenue à Belgrade, la Bosnie-Herzégovine a adhéré </w:t>
      </w:r>
      <w:r>
        <w:t>au programme «</w:t>
      </w:r>
      <w:r w:rsidRPr="00777D9E">
        <w:t xml:space="preserve">Décennie </w:t>
      </w:r>
      <w:r>
        <w:t>de l</w:t>
      </w:r>
      <w:r w:rsidR="00CA473A">
        <w:t>’</w:t>
      </w:r>
      <w:r>
        <w:t xml:space="preserve">inclusion </w:t>
      </w:r>
      <w:r w:rsidRPr="00777D9E">
        <w:t>des Roms</w:t>
      </w:r>
      <w:r>
        <w:t>»</w:t>
      </w:r>
      <w:r w:rsidRPr="00777D9E">
        <w:t>, puis elle a créé, au début de 2009, un comité de coord</w:t>
      </w:r>
      <w:r>
        <w:t>i</w:t>
      </w:r>
      <w:r w:rsidRPr="00777D9E">
        <w:t>nat</w:t>
      </w:r>
      <w:r>
        <w:t>ion</w:t>
      </w:r>
      <w:r w:rsidRPr="00777D9E">
        <w:t xml:space="preserve"> chargé de surveiller et de mettre en œuvre le plan d</w:t>
      </w:r>
      <w:r w:rsidR="00CA473A">
        <w:t>’</w:t>
      </w:r>
      <w:r w:rsidRPr="00777D9E">
        <w:t>action, et le Président du Conseil</w:t>
      </w:r>
      <w:r>
        <w:t xml:space="preserve"> des ministres a nommé un coordon</w:t>
      </w:r>
      <w:r w:rsidRPr="00777D9E">
        <w:t xml:space="preserve">nateur national </w:t>
      </w:r>
      <w:r>
        <w:t>pour la Décennie</w:t>
      </w:r>
      <w:r w:rsidRPr="00777D9E">
        <w:t>. À la fin de 2009, dans le cadre de ce plan d</w:t>
      </w:r>
      <w:r w:rsidR="00CA473A">
        <w:t>’</w:t>
      </w:r>
      <w:r w:rsidRPr="00777D9E">
        <w:t xml:space="preserve">action, la Bosnie-Herzégovine a </w:t>
      </w:r>
      <w:r>
        <w:t xml:space="preserve">procédé au </w:t>
      </w:r>
      <w:r w:rsidRPr="00777D9E">
        <w:t>recens</w:t>
      </w:r>
      <w:r>
        <w:t>ement d</w:t>
      </w:r>
      <w:r w:rsidRPr="00777D9E">
        <w:t>es besoins de la communauté rom dans les domaines précités.</w:t>
      </w:r>
    </w:p>
    <w:p w:rsidR="00DE0C47" w:rsidRPr="00777D9E" w:rsidRDefault="00DE0C47" w:rsidP="00DE0C47">
      <w:pPr>
        <w:pStyle w:val="SingleTxtG"/>
      </w:pPr>
      <w:r w:rsidRPr="00777D9E">
        <w:t>160.</w:t>
      </w:r>
      <w:r w:rsidRPr="00777D9E">
        <w:tab/>
        <w:t>L</w:t>
      </w:r>
      <w:r w:rsidR="00CA473A">
        <w:t>’</w:t>
      </w:r>
      <w:r w:rsidRPr="00777D9E">
        <w:t>adoption de la loi sur la protection des minorités nationales a permis d</w:t>
      </w:r>
      <w:r w:rsidR="00CA473A">
        <w:t>’</w:t>
      </w:r>
      <w:r w:rsidRPr="00777D9E">
        <w:t xml:space="preserve">étendre officiellement les possibilités </w:t>
      </w:r>
      <w:r>
        <w:t>qu</w:t>
      </w:r>
      <w:r w:rsidR="00CA473A">
        <w:t>’</w:t>
      </w:r>
      <w:r>
        <w:t xml:space="preserve">elles avaient </w:t>
      </w:r>
      <w:r w:rsidRPr="00777D9E">
        <w:t>d</w:t>
      </w:r>
      <w:r w:rsidR="00CA473A">
        <w:t>’</w:t>
      </w:r>
      <w:r w:rsidRPr="00777D9E">
        <w:t xml:space="preserve">exercer leurs droits, en particulier </w:t>
      </w:r>
      <w:r>
        <w:t>après</w:t>
      </w:r>
      <w:r w:rsidRPr="00777D9E">
        <w:t xml:space="preserve"> la promulgation de </w:t>
      </w:r>
      <w:r>
        <w:t>la législation appropriée et l</w:t>
      </w:r>
      <w:r w:rsidR="00CA473A">
        <w:t>’</w:t>
      </w:r>
      <w:r>
        <w:t xml:space="preserve">adoption des </w:t>
      </w:r>
      <w:r w:rsidRPr="00777D9E">
        <w:t>instruments internationaux fondamentaux relatifs à la protection des minorités nationales. La Convention-cadre pour la protection des minorités nationales, la Convention de sauvegarde des droits de l</w:t>
      </w:r>
      <w:r w:rsidR="00CA473A">
        <w:t>’</w:t>
      </w:r>
      <w:r w:rsidRPr="00777D9E">
        <w:t>homme et des libertés fondamentales et la Charte européenne des langues régionales ou minoritaires occupent une place particulièrement importante dans les mesures de protection des minorités nationales.</w:t>
      </w:r>
    </w:p>
    <w:p w:rsidR="00DE0C47" w:rsidRPr="00777D9E" w:rsidRDefault="00DE0C47" w:rsidP="00DE0C47">
      <w:pPr>
        <w:pStyle w:val="SingleTxtG"/>
      </w:pPr>
      <w:r w:rsidRPr="00777D9E">
        <w:t>161.</w:t>
      </w:r>
      <w:r w:rsidRPr="00777D9E">
        <w:tab/>
        <w:t>La Bosnie-Herzégovine s</w:t>
      </w:r>
      <w:r w:rsidR="00CA473A">
        <w:t>’</w:t>
      </w:r>
      <w:r w:rsidRPr="00777D9E">
        <w:t>est engagée à respecter le droit à la liberté de religion et à la libre expression des croyances religieuses, qu</w:t>
      </w:r>
      <w:r w:rsidR="00CA473A">
        <w:t>’</w:t>
      </w:r>
      <w:r w:rsidRPr="00777D9E">
        <w:t>elle garantit au premier chef dans sa Constitution, dans laquelle est in</w:t>
      </w:r>
      <w:r>
        <w:t>corpo</w:t>
      </w:r>
      <w:r w:rsidRPr="00777D9E">
        <w:t>rée la Convention de sauvegarde des droits de l</w:t>
      </w:r>
      <w:r w:rsidR="00CA473A">
        <w:t>’</w:t>
      </w:r>
      <w:r w:rsidRPr="00777D9E">
        <w:t>homme et des libertés fondamentales de l</w:t>
      </w:r>
      <w:r w:rsidR="00CA473A">
        <w:t>’</w:t>
      </w:r>
      <w:r w:rsidRPr="00777D9E">
        <w:t>homme et du citoyen.</w:t>
      </w:r>
    </w:p>
    <w:p w:rsidR="00DE0C47" w:rsidRPr="00777D9E" w:rsidRDefault="00DE0C47" w:rsidP="00DE0C47">
      <w:pPr>
        <w:pStyle w:val="SingleTxtG"/>
      </w:pPr>
      <w:r w:rsidRPr="00777D9E">
        <w:t>162.</w:t>
      </w:r>
      <w:r w:rsidRPr="00777D9E">
        <w:tab/>
        <w:t>En mars 2004, afin de garantir l</w:t>
      </w:r>
      <w:r w:rsidR="00CA473A">
        <w:t>’</w:t>
      </w:r>
      <w:r w:rsidRPr="00777D9E">
        <w:t>exercice du droit à la liberté de conscience et de</w:t>
      </w:r>
      <w:r>
        <w:t xml:space="preserve"> religion en application de sa c</w:t>
      </w:r>
      <w:r w:rsidRPr="00777D9E">
        <w:t xml:space="preserve">onstitution et des normes internationales les plus élevées, la Bosnie-Herzégovine a adopté, par procédure parlementaire, la loi sur la liberté de religion et le statut juridique des églises et communautés religieuses de Bosnie-Herzégovine, souhaitant ainsi contribuer à la compréhension mutuelle </w:t>
      </w:r>
      <w:r>
        <w:t xml:space="preserve">eu égard au </w:t>
      </w:r>
      <w:r w:rsidRPr="00777D9E">
        <w:t>patrimoine du pays ainsi qu</w:t>
      </w:r>
      <w:r w:rsidR="00CA473A">
        <w:t>’</w:t>
      </w:r>
      <w:r>
        <w:t>à</w:t>
      </w:r>
      <w:r w:rsidRPr="00777D9E">
        <w:t xml:space="preserve"> ses valeurs traditionnelles séculaires de tolérance et coexistence.</w:t>
      </w:r>
    </w:p>
    <w:p w:rsidR="00DE0C47" w:rsidRPr="00777D9E" w:rsidRDefault="00DE0C47" w:rsidP="00DE0C47">
      <w:pPr>
        <w:pStyle w:val="SingleTxtG"/>
      </w:pPr>
      <w:r w:rsidRPr="00777D9E">
        <w:t>163.</w:t>
      </w:r>
      <w:r w:rsidRPr="00777D9E">
        <w:tab/>
        <w:t>En application de la loi précitée, la Bosnie-Herzégovine a signé et ratifié les deux instruments juridiques internationaux suivants:</w:t>
      </w:r>
    </w:p>
    <w:p w:rsidR="00DE0C47" w:rsidRPr="00777D9E" w:rsidRDefault="00DE0C47" w:rsidP="00DE0C47">
      <w:pPr>
        <w:pStyle w:val="SingleTxtG"/>
        <w:ind w:firstLine="567"/>
      </w:pPr>
      <w:r w:rsidRPr="00777D9E">
        <w:t>a)</w:t>
      </w:r>
      <w:r w:rsidRPr="00777D9E">
        <w:tab/>
        <w:t>L</w:t>
      </w:r>
      <w:r w:rsidR="00CA473A">
        <w:t>’</w:t>
      </w:r>
      <w:r w:rsidRPr="00777D9E">
        <w:t>Accord fondamental entre la Bosnie-Herzégovine et le Saint-Siège, signé en avril 2006, et le Protocole additionnel s</w:t>
      </w:r>
      <w:r w:rsidR="00CA473A">
        <w:t>’</w:t>
      </w:r>
      <w:r w:rsidRPr="00777D9E">
        <w:t>y rapportant, signé en septembre 2006. En septembre 2010, au Vatican, la délégation de Bosnie-Herzégovine a conclu un concordat avec les représentants du Saint-Siège portant sur l</w:t>
      </w:r>
      <w:r>
        <w:t>es services d</w:t>
      </w:r>
      <w:r w:rsidR="00CA473A">
        <w:t>’</w:t>
      </w:r>
      <w:r>
        <w:t xml:space="preserve">aumônerie </w:t>
      </w:r>
      <w:r w:rsidRPr="00777D9E">
        <w:t>au sein des forc</w:t>
      </w:r>
      <w:r>
        <w:t>es armées de Bosnie-Herzégovine;</w:t>
      </w:r>
    </w:p>
    <w:p w:rsidR="00DE0C47" w:rsidRPr="00777D9E" w:rsidRDefault="00DE0C47" w:rsidP="00DE0C47">
      <w:pPr>
        <w:pStyle w:val="SingleTxtG"/>
        <w:ind w:firstLine="567"/>
      </w:pPr>
      <w:r w:rsidRPr="00777D9E">
        <w:t>b)</w:t>
      </w:r>
      <w:r w:rsidRPr="00777D9E">
        <w:tab/>
        <w:t>L</w:t>
      </w:r>
      <w:r w:rsidR="00CA473A">
        <w:t>’</w:t>
      </w:r>
      <w:r w:rsidRPr="00777D9E">
        <w:t>Accord fondamental entre la Bosnie-Herzégovine et l</w:t>
      </w:r>
      <w:r w:rsidR="00CA473A">
        <w:t>’</w:t>
      </w:r>
      <w:r w:rsidRPr="00777D9E">
        <w:t>Église orthodoxe serbe, signé en 2007 et ratifié en 2008.</w:t>
      </w:r>
    </w:p>
    <w:p w:rsidR="00DE0C47" w:rsidRPr="00777D9E" w:rsidRDefault="00DE0C47" w:rsidP="00DE0C47">
      <w:pPr>
        <w:pStyle w:val="SingleTxtG"/>
      </w:pPr>
      <w:r w:rsidRPr="00777D9E">
        <w:t>164.</w:t>
      </w:r>
      <w:r w:rsidRPr="00777D9E">
        <w:tab/>
        <w:t>L</w:t>
      </w:r>
      <w:r w:rsidR="00CA473A">
        <w:t>’</w:t>
      </w:r>
      <w:r w:rsidRPr="00777D9E">
        <w:t>élaboration d</w:t>
      </w:r>
      <w:r w:rsidR="00CA473A">
        <w:t>’</w:t>
      </w:r>
      <w:r w:rsidRPr="00777D9E">
        <w:t>un accord similaire entre la Bosnie-Herzégovine et la communauté musulmane du pays est en cours.</w:t>
      </w:r>
    </w:p>
    <w:p w:rsidR="00DE0C47" w:rsidRPr="00777D9E" w:rsidRDefault="00DE0C47" w:rsidP="00DE0C47">
      <w:pPr>
        <w:pStyle w:val="SingleTxtG"/>
      </w:pPr>
      <w:r w:rsidRPr="00777D9E">
        <w:t>165.</w:t>
      </w:r>
      <w:r w:rsidRPr="00777D9E">
        <w:tab/>
        <w:t>En application des dispositions de l</w:t>
      </w:r>
      <w:r w:rsidR="00CA473A">
        <w:t>’</w:t>
      </w:r>
      <w:r w:rsidRPr="00777D9E">
        <w:t>Accord fondamental entre la Bosnie-Herzégovine et le Saint-Siège, le Comité mixte pour la mise en œuvre de l</w:t>
      </w:r>
      <w:r w:rsidR="00CA473A">
        <w:t>’</w:t>
      </w:r>
      <w:r w:rsidRPr="00777D9E">
        <w:t>Accord a été créé en décembre 2008.</w:t>
      </w:r>
    </w:p>
    <w:p w:rsidR="00DE0C47" w:rsidRPr="00777D9E" w:rsidRDefault="00DE0C47" w:rsidP="00DE0C47">
      <w:pPr>
        <w:pStyle w:val="SingleTxtG"/>
      </w:pPr>
      <w:r w:rsidRPr="00777D9E">
        <w:t>166.</w:t>
      </w:r>
      <w:r w:rsidRPr="00777D9E">
        <w:tab/>
        <w:t>Parmi les mesures les plus probantes visant à promouvoir l</w:t>
      </w:r>
      <w:r w:rsidR="00CA473A">
        <w:t>’</w:t>
      </w:r>
      <w:r w:rsidRPr="00777D9E">
        <w:t>égalité des sexes figurent l</w:t>
      </w:r>
      <w:r w:rsidR="00CA473A">
        <w:t>’</w:t>
      </w:r>
      <w:r w:rsidRPr="00777D9E">
        <w:t>adoption de la loi sur l</w:t>
      </w:r>
      <w:r w:rsidR="00CA473A">
        <w:t>’</w:t>
      </w:r>
      <w:r w:rsidRPr="00777D9E">
        <w:t>égalité entre les hommes et les femmes en Bosnie-Herzégovine (Journal officiel de Bosnie-Herzégovine, n</w:t>
      </w:r>
      <w:r w:rsidRPr="00777D9E">
        <w:rPr>
          <w:vertAlign w:val="superscript"/>
        </w:rPr>
        <w:t>o</w:t>
      </w:r>
      <w:r>
        <w:t> </w:t>
      </w:r>
      <w:r w:rsidRPr="00777D9E">
        <w:t xml:space="preserve">32/10 </w:t>
      </w:r>
      <w:r>
        <w:t>−</w:t>
      </w:r>
      <w:r w:rsidRPr="00777D9E">
        <w:t xml:space="preserve"> texte révisé), qui est conforme aux dispositions de la Convention des Nations Unies sur l</w:t>
      </w:r>
      <w:r w:rsidR="00CA473A">
        <w:t>’</w:t>
      </w:r>
      <w:r w:rsidRPr="00777D9E">
        <w:t>élimination de toutes les formes de discrimination à l</w:t>
      </w:r>
      <w:r w:rsidR="00CA473A">
        <w:t>’</w:t>
      </w:r>
      <w:r w:rsidRPr="00777D9E">
        <w:t>égard des femmes, ainsi que la création de l</w:t>
      </w:r>
      <w:r w:rsidR="00CA473A">
        <w:t>’</w:t>
      </w:r>
      <w:r w:rsidRPr="00777D9E">
        <w:t>Agence pour l</w:t>
      </w:r>
      <w:r w:rsidR="00CA473A">
        <w:t>’</w:t>
      </w:r>
      <w:r w:rsidRPr="00777D9E">
        <w:t>égalité entre les hommes et les femmes en Bosnie-Herzégovine, de la Commission pour l</w:t>
      </w:r>
      <w:r w:rsidR="00CA473A">
        <w:t>’</w:t>
      </w:r>
      <w:r w:rsidRPr="00777D9E">
        <w:t>égalité des sexes relevant de la Chambre des représentants de l</w:t>
      </w:r>
      <w:r w:rsidR="00CA473A">
        <w:t>’</w:t>
      </w:r>
      <w:r w:rsidRPr="00777D9E">
        <w:t>Assemblée parlementa</w:t>
      </w:r>
      <w:r>
        <w:t>ire de Bosnie-Herzégovine, des C</w:t>
      </w:r>
      <w:r w:rsidRPr="00777D9E">
        <w:t xml:space="preserve">entres </w:t>
      </w:r>
      <w:r>
        <w:t xml:space="preserve">de lutte contre les disparités hommes-femmes </w:t>
      </w:r>
      <w:r w:rsidRPr="00777D9E">
        <w:t>au niveau des Entités et de tous les autres mécanismes institutionnels</w:t>
      </w:r>
      <w:r>
        <w:t xml:space="preserve"> de ce type</w:t>
      </w:r>
      <w:r w:rsidRPr="00777D9E">
        <w:t>, que ce soit au niveau de l</w:t>
      </w:r>
      <w:r w:rsidR="00CA473A">
        <w:t>’</w:t>
      </w:r>
      <w:r w:rsidRPr="00777D9E">
        <w:t>État, des Entités, des cantons, des villes ou des municipalités, au sein du pouvoir exécutif aussi bien que législatif.</w:t>
      </w:r>
    </w:p>
    <w:p w:rsidR="00DE0C47" w:rsidRPr="00777D9E" w:rsidRDefault="00DE0C47" w:rsidP="00DE0C47">
      <w:pPr>
        <w:pStyle w:val="SingleTxtG"/>
      </w:pPr>
      <w:r w:rsidRPr="00777D9E">
        <w:t>167.</w:t>
      </w:r>
      <w:r w:rsidRPr="00777D9E">
        <w:tab/>
        <w:t xml:space="preserve">En 2009 ont été adoptés </w:t>
      </w:r>
      <w:r>
        <w:t xml:space="preserve">les </w:t>
      </w:r>
      <w:r w:rsidRPr="00777D9E">
        <w:t>modification</w:t>
      </w:r>
      <w:r>
        <w:t>s</w:t>
      </w:r>
      <w:r w:rsidRPr="00777D9E">
        <w:t xml:space="preserve"> de la loi sur l</w:t>
      </w:r>
      <w:r w:rsidR="00CA473A">
        <w:t>’</w:t>
      </w:r>
      <w:r w:rsidRPr="00777D9E">
        <w:t>égalité entre les hommes et les femmes en Bosnie-Herzégovine (</w:t>
      </w:r>
      <w:r w:rsidRPr="00FA3271">
        <w:t>Journal officiel</w:t>
      </w:r>
      <w:r>
        <w:t xml:space="preserve"> de Bosnie-</w:t>
      </w:r>
      <w:r w:rsidRPr="00777D9E">
        <w:t>Herzégovine, n</w:t>
      </w:r>
      <w:r w:rsidRPr="00777D9E">
        <w:rPr>
          <w:vertAlign w:val="superscript"/>
        </w:rPr>
        <w:t>o</w:t>
      </w:r>
      <w:r>
        <w:t> </w:t>
      </w:r>
      <w:r w:rsidRPr="00777D9E">
        <w:t>102/09) et le texte révisé de la loi (</w:t>
      </w:r>
      <w:r w:rsidRPr="00FA3271">
        <w:t>Journal officiel</w:t>
      </w:r>
      <w:r w:rsidRPr="00777D9E">
        <w:t xml:space="preserve"> de Bosnie-Herzégovine, n</w:t>
      </w:r>
      <w:r w:rsidRPr="00777D9E">
        <w:rPr>
          <w:vertAlign w:val="superscript"/>
        </w:rPr>
        <w:t>o</w:t>
      </w:r>
      <w:r>
        <w:t> </w:t>
      </w:r>
      <w:r w:rsidRPr="00777D9E">
        <w:t xml:space="preserve">32/10). Les modifications </w:t>
      </w:r>
      <w:r>
        <w:t xml:space="preserve">apportées </w:t>
      </w:r>
      <w:r w:rsidRPr="00777D9E">
        <w:t>à la loi sont conformes aux directives de l</w:t>
      </w:r>
      <w:r w:rsidR="00CA473A">
        <w:t>’</w:t>
      </w:r>
      <w:r w:rsidRPr="00777D9E">
        <w:t>UE et aux recommandations générales du Comité des Nations Unies pour l</w:t>
      </w:r>
      <w:r w:rsidR="00CA473A">
        <w:t>’</w:t>
      </w:r>
      <w:r w:rsidRPr="00777D9E">
        <w:t>élimination de la discrimination à l</w:t>
      </w:r>
      <w:r w:rsidR="00CA473A">
        <w:t>’</w:t>
      </w:r>
      <w:r w:rsidRPr="00777D9E">
        <w:t>égard des femmes. La loi promeut et définit clairement les termes et obligations des institutions compétentes.</w:t>
      </w:r>
    </w:p>
    <w:p w:rsidR="00DE0C47" w:rsidRPr="00777D9E" w:rsidRDefault="00DE0C47" w:rsidP="00DE0C47">
      <w:pPr>
        <w:pStyle w:val="SingleTxtG"/>
      </w:pPr>
      <w:r w:rsidRPr="00777D9E">
        <w:t>168.</w:t>
      </w:r>
      <w:r w:rsidRPr="00777D9E">
        <w:tab/>
        <w:t>En 2006, le Conseil des ministres a adopté un plan d</w:t>
      </w:r>
      <w:r w:rsidR="00CA473A">
        <w:t>’</w:t>
      </w:r>
      <w:r w:rsidRPr="00777D9E">
        <w:t>action sur l</w:t>
      </w:r>
      <w:r w:rsidR="00CA473A">
        <w:t>’</w:t>
      </w:r>
      <w:r w:rsidRPr="00777D9E">
        <w:t>égalité des sexes, un document stratégique visant à favoriser l</w:t>
      </w:r>
      <w:r w:rsidR="00CA473A">
        <w:t>’</w:t>
      </w:r>
      <w:r w:rsidRPr="00777D9E">
        <w:t xml:space="preserve">inclusion et la </w:t>
      </w:r>
      <w:r>
        <w:t>concrét</w:t>
      </w:r>
      <w:r w:rsidRPr="00777D9E">
        <w:t xml:space="preserve">isation </w:t>
      </w:r>
      <w:r>
        <w:t xml:space="preserve">du principe </w:t>
      </w:r>
      <w:r w:rsidRPr="00777D9E">
        <w:t>de l</w:t>
      </w:r>
      <w:r w:rsidR="00CA473A">
        <w:t>’</w:t>
      </w:r>
      <w:r w:rsidRPr="00777D9E">
        <w:t>égalité entre les hommes et les femmes en Bosnie-Herzégovine dans tous les domaines de la vie publique et privée. Il comprend 15 chapitres, à savoir: intégration européenne à la lumière de l</w:t>
      </w:r>
      <w:r w:rsidR="00CA473A">
        <w:t>’</w:t>
      </w:r>
      <w:r w:rsidRPr="00777D9E">
        <w:t>égalité hommes</w:t>
      </w:r>
      <w:r>
        <w:t>-</w:t>
      </w:r>
      <w:r w:rsidRPr="00777D9E">
        <w:t xml:space="preserve">femmes; coopération et renforcement des capacités; stratégies macroéconomiques et stratégies de développement; établissement de budgets tenant compte des disparités hommes-femmes; vie politique et prise de décisions; emploi et marché du travail; insertion sociale; </w:t>
      </w:r>
      <w:r>
        <w:t xml:space="preserve">promotion de </w:t>
      </w:r>
      <w:r w:rsidRPr="00777D9E">
        <w:t xml:space="preserve">médias </w:t>
      </w:r>
      <w:r>
        <w:t xml:space="preserve">attentifs aux disparités </w:t>
      </w:r>
      <w:r w:rsidRPr="00777D9E">
        <w:t>hommes-femmes; formation permanente; santé; prévention et protection; violence dans la famille; harcèlement sexuel; harcèlement et traite des êtres humains; rôle de l</w:t>
      </w:r>
      <w:r w:rsidR="00CA473A">
        <w:t>’</w:t>
      </w:r>
      <w:r w:rsidRPr="00777D9E">
        <w:t xml:space="preserve">homme; </w:t>
      </w:r>
      <w:r>
        <w:t>concili</w:t>
      </w:r>
      <w:r w:rsidRPr="00777D9E">
        <w:t>ation</w:t>
      </w:r>
      <w:r>
        <w:t xml:space="preserve"> entre</w:t>
      </w:r>
      <w:r w:rsidRPr="00777D9E">
        <w:t xml:space="preserve"> travail et vie de famille; </w:t>
      </w:r>
      <w:r>
        <w:t xml:space="preserve">disparités </w:t>
      </w:r>
      <w:r w:rsidRPr="00777D9E">
        <w:t>hommes</w:t>
      </w:r>
      <w:r>
        <w:t>-</w:t>
      </w:r>
      <w:r w:rsidRPr="00777D9E">
        <w:t xml:space="preserve">femmes et environnement durable; technologies de </w:t>
      </w:r>
      <w:r>
        <w:t xml:space="preserve">la </w:t>
      </w:r>
      <w:r w:rsidRPr="00777D9E">
        <w:t>communication et de l</w:t>
      </w:r>
      <w:r w:rsidR="00CA473A">
        <w:t>’</w:t>
      </w:r>
      <w:r w:rsidRPr="00777D9E">
        <w:t>information. Le principal objectif du plan d</w:t>
      </w:r>
      <w:r w:rsidR="00CA473A">
        <w:t>’</w:t>
      </w:r>
      <w:r w:rsidRPr="00777D9E">
        <w:t>action sur l</w:t>
      </w:r>
      <w:r w:rsidR="00CA473A">
        <w:t>’</w:t>
      </w:r>
      <w:r w:rsidRPr="00777D9E">
        <w:t xml:space="preserve">égalité des sexes est de faire en sorte que les institutions concernées </w:t>
      </w:r>
      <w:r>
        <w:t>se chargent d</w:t>
      </w:r>
      <w:r w:rsidR="00CA473A">
        <w:t>’</w:t>
      </w:r>
      <w:r>
        <w:t>exécuter l</w:t>
      </w:r>
      <w:r w:rsidRPr="00777D9E">
        <w:t xml:space="preserve">es activités </w:t>
      </w:r>
      <w:r>
        <w:t xml:space="preserve">relevant </w:t>
      </w:r>
      <w:r w:rsidRPr="00777D9E">
        <w:t xml:space="preserve">de leurs compétences </w:t>
      </w:r>
      <w:r>
        <w:t>mises en place dans le cadre du plan</w:t>
      </w:r>
      <w:r w:rsidRPr="00777D9E">
        <w:t xml:space="preserve"> précité, qu</w:t>
      </w:r>
      <w:r w:rsidR="00CA473A">
        <w:t>’</w:t>
      </w:r>
      <w:r w:rsidRPr="00777D9E">
        <w:t>elles les in</w:t>
      </w:r>
      <w:r>
        <w:t>scriv</w:t>
      </w:r>
      <w:r w:rsidRPr="00777D9E">
        <w:t xml:space="preserve">ent </w:t>
      </w:r>
      <w:r>
        <w:t>à</w:t>
      </w:r>
      <w:r w:rsidRPr="00777D9E">
        <w:t xml:space="preserve"> leurs programmes de travail ordinaires et qu</w:t>
      </w:r>
      <w:r w:rsidR="00CA473A">
        <w:t>’</w:t>
      </w:r>
      <w:r w:rsidRPr="00777D9E">
        <w:t>elles prévoient les financements nécessaires dans leurs budgets.</w:t>
      </w:r>
    </w:p>
    <w:p w:rsidR="00DE0C47" w:rsidRPr="00777D9E" w:rsidRDefault="00DE0C47" w:rsidP="00DE0C47">
      <w:pPr>
        <w:pStyle w:val="SingleTxtG"/>
      </w:pPr>
      <w:r w:rsidRPr="00777D9E">
        <w:t>169.</w:t>
      </w:r>
      <w:r w:rsidRPr="00777D9E">
        <w:tab/>
        <w:t>L</w:t>
      </w:r>
      <w:r w:rsidR="00CA473A">
        <w:t>’</w:t>
      </w:r>
      <w:r w:rsidRPr="00777D9E">
        <w:t>Agence pour l</w:t>
      </w:r>
      <w:r w:rsidR="00CA473A">
        <w:t>’</w:t>
      </w:r>
      <w:r w:rsidRPr="00777D9E">
        <w:t xml:space="preserve">égalité entre les hommes et les femmes a commencé à mettre en place un mécanisme financier </w:t>
      </w:r>
      <w:r>
        <w:t>en vue d</w:t>
      </w:r>
      <w:r w:rsidR="00CA473A">
        <w:t>’</w:t>
      </w:r>
      <w:r>
        <w:t xml:space="preserve">exécuter le </w:t>
      </w:r>
      <w:r w:rsidRPr="00777D9E">
        <w:t>plan d</w:t>
      </w:r>
      <w:r w:rsidR="00CA473A">
        <w:t>’</w:t>
      </w:r>
      <w:r w:rsidRPr="00777D9E">
        <w:t>action sur l</w:t>
      </w:r>
      <w:r w:rsidR="00CA473A">
        <w:t>’</w:t>
      </w:r>
      <w:r w:rsidRPr="00777D9E">
        <w:t xml:space="preserve">égalité des sexes en Bosnie-Herzégovine (programme FIGAP) en collaboration avec les </w:t>
      </w:r>
      <w:r>
        <w:t>C</w:t>
      </w:r>
      <w:r w:rsidRPr="00777D9E">
        <w:t xml:space="preserve">entres </w:t>
      </w:r>
      <w:r>
        <w:t xml:space="preserve">de lutte contre les disparités hommes-femmes </w:t>
      </w:r>
      <w:r w:rsidRPr="00777D9E">
        <w:t>opérant au niveau des Entités. Cette collaboration a permis de conclure un accord entre le groupe de donateurs et le Conseil des ministres de Bosnie-Herzégovine portant sur le financement commun des activités du plan d</w:t>
      </w:r>
      <w:r w:rsidR="00CA473A">
        <w:t>’</w:t>
      </w:r>
      <w:r w:rsidRPr="00777D9E">
        <w:t>action sur l</w:t>
      </w:r>
      <w:r w:rsidR="00CA473A">
        <w:t>’</w:t>
      </w:r>
      <w:r w:rsidRPr="00777D9E">
        <w:t>égalité des sexes de Bosnie-Herzégovine.</w:t>
      </w:r>
    </w:p>
    <w:p w:rsidR="00DE0C47" w:rsidRPr="00777D9E" w:rsidRDefault="00DE0C47" w:rsidP="00DE0C47">
      <w:pPr>
        <w:pStyle w:val="SingleTxtG"/>
      </w:pPr>
      <w:r w:rsidRPr="00777D9E">
        <w:t>170.</w:t>
      </w:r>
      <w:r w:rsidRPr="00777D9E">
        <w:tab/>
        <w:t xml:space="preserve">Le programme FIGAP prévoit une période de cinq ans pour </w:t>
      </w:r>
      <w:r>
        <w:t>l</w:t>
      </w:r>
      <w:r w:rsidR="00CA473A">
        <w:t>’</w:t>
      </w:r>
      <w:r>
        <w:t>exécu</w:t>
      </w:r>
      <w:r w:rsidRPr="00777D9E">
        <w:t>tion du plan d</w:t>
      </w:r>
      <w:r w:rsidR="00CA473A">
        <w:t>’</w:t>
      </w:r>
      <w:r w:rsidRPr="00777D9E">
        <w:t>action sur l</w:t>
      </w:r>
      <w:r w:rsidR="00CA473A">
        <w:t>’</w:t>
      </w:r>
      <w:r w:rsidRPr="00777D9E">
        <w:t xml:space="preserve">égalité des sexes. Les priorités et les plans annuels du programme FIGAP seront adaptés aux plans des différentes institutions concernées à tous les niveaux. Le programme FIGAP prévoit des activités visant à renforcer davantage les capacités des mécanismes institutionnels relatifs aux questions de </w:t>
      </w:r>
      <w:r>
        <w:t xml:space="preserve">disparités </w:t>
      </w:r>
      <w:r w:rsidRPr="00777D9E">
        <w:t xml:space="preserve">entre hommes et femmes en Bosnie-Herzégovine ainsi que </w:t>
      </w:r>
      <w:r>
        <w:t>celles de</w:t>
      </w:r>
      <w:r w:rsidRPr="00777D9E">
        <w:t xml:space="preserve"> leurs partenaires institutionnels et non institutionnels, </w:t>
      </w:r>
      <w:r>
        <w:t>définis dans le</w:t>
      </w:r>
      <w:r w:rsidRPr="00777D9E">
        <w:t xml:space="preserve"> plan d</w:t>
      </w:r>
      <w:r w:rsidR="00CA473A">
        <w:t>’</w:t>
      </w:r>
      <w:r w:rsidRPr="00777D9E">
        <w:t>action</w:t>
      </w:r>
      <w:r>
        <w:t>.</w:t>
      </w:r>
    </w:p>
    <w:p w:rsidR="00DE0C47" w:rsidRPr="00777D9E" w:rsidRDefault="00DE0C47" w:rsidP="00DE0C47">
      <w:pPr>
        <w:pStyle w:val="SingleTxtG"/>
      </w:pPr>
      <w:r>
        <w:t>171.</w:t>
      </w:r>
      <w:r>
        <w:tab/>
      </w:r>
      <w:r w:rsidRPr="00777D9E">
        <w:t>L</w:t>
      </w:r>
      <w:r w:rsidR="00CA473A">
        <w:t>’</w:t>
      </w:r>
      <w:r w:rsidRPr="00777D9E">
        <w:t>objectif de cette démarche est d</w:t>
      </w:r>
      <w:r w:rsidR="00CA473A">
        <w:t>’</w:t>
      </w:r>
      <w:r w:rsidRPr="00777D9E">
        <w:t>assurer l</w:t>
      </w:r>
      <w:r w:rsidR="00CA473A">
        <w:t>’</w:t>
      </w:r>
      <w:r w:rsidRPr="00777D9E">
        <w:t>intégration du principe de l</w:t>
      </w:r>
      <w:r w:rsidR="00CA473A">
        <w:t>’</w:t>
      </w:r>
      <w:r w:rsidRPr="00777D9E">
        <w:t xml:space="preserve">égalité entre les hommes et </w:t>
      </w:r>
      <w:r>
        <w:t>les femmes à tous les niveaux des</w:t>
      </w:r>
      <w:r w:rsidRPr="00777D9E">
        <w:t xml:space="preserve"> </w:t>
      </w:r>
      <w:r>
        <w:t>pouvoirs publics car c</w:t>
      </w:r>
      <w:r w:rsidR="00CA473A">
        <w:t>’</w:t>
      </w:r>
      <w:r>
        <w:t xml:space="preserve">est à </w:t>
      </w:r>
      <w:r w:rsidRPr="00777D9E">
        <w:t xml:space="preserve">toutes les institutions </w:t>
      </w:r>
      <w:r>
        <w:t>qu</w:t>
      </w:r>
      <w:r w:rsidR="00CA473A">
        <w:t>’</w:t>
      </w:r>
      <w:r>
        <w:t>il appartient d</w:t>
      </w:r>
      <w:r w:rsidR="00CA473A">
        <w:t>’</w:t>
      </w:r>
      <w:r w:rsidRPr="00777D9E">
        <w:t xml:space="preserve">adhérer et </w:t>
      </w:r>
      <w:r>
        <w:t xml:space="preserve">de </w:t>
      </w:r>
      <w:r w:rsidRPr="00777D9E">
        <w:t>s</w:t>
      </w:r>
      <w:r w:rsidR="00CA473A">
        <w:t>’</w:t>
      </w:r>
      <w:r w:rsidRPr="00777D9E">
        <w:t>engager pour le faire avancer.</w:t>
      </w:r>
    </w:p>
    <w:p w:rsidR="00DE0C47" w:rsidRPr="00777D9E" w:rsidRDefault="00DE0C47" w:rsidP="00DE0C47">
      <w:pPr>
        <w:pStyle w:val="SingleTxtG"/>
        <w:rPr>
          <w:lang w:val="fr-FR"/>
        </w:rPr>
      </w:pPr>
      <w:r w:rsidRPr="00777D9E">
        <w:t>172.</w:t>
      </w:r>
      <w:r w:rsidRPr="00777D9E">
        <w:tab/>
        <w:t>L</w:t>
      </w:r>
      <w:r w:rsidR="00CA473A">
        <w:t>’</w:t>
      </w:r>
      <w:r w:rsidRPr="00777D9E">
        <w:t>intégration du principe de l</w:t>
      </w:r>
      <w:r w:rsidR="00CA473A">
        <w:t>’</w:t>
      </w:r>
      <w:r w:rsidRPr="00777D9E">
        <w:t>égalité entre les hommes et les femmes dans la Stratégie de développement de Bosnie-Herzégovine pour la période 2008-2013 ainsi que dans la Stratégie d</w:t>
      </w:r>
      <w:r w:rsidR="00CA473A">
        <w:t>’</w:t>
      </w:r>
      <w:r w:rsidRPr="00777D9E">
        <w:t xml:space="preserve">insertion sociale pour la période 2008-2013 de la Direction de la planification économique de Bosnie-Herzégovine </w:t>
      </w:r>
      <w:r>
        <w:t xml:space="preserve">est une </w:t>
      </w:r>
      <w:r w:rsidRPr="00777D9E">
        <w:t xml:space="preserve">condition </w:t>
      </w:r>
      <w:r>
        <w:t xml:space="preserve">préalable </w:t>
      </w:r>
      <w:r w:rsidRPr="00777D9E">
        <w:t xml:space="preserve">à la réduction de la pauvreté, étant donné la </w:t>
      </w:r>
      <w:r>
        <w:t>«</w:t>
      </w:r>
      <w:r w:rsidRPr="00777D9E">
        <w:t>féminisation</w:t>
      </w:r>
      <w:r>
        <w:t>» croissante</w:t>
      </w:r>
      <w:r w:rsidRPr="00777D9E">
        <w:t xml:space="preserve"> de la pauvreté dans le pays. Cette démarche </w:t>
      </w:r>
      <w:r>
        <w:t>traduit</w:t>
      </w:r>
      <w:r w:rsidRPr="00777D9E">
        <w:t xml:space="preserve"> la </w:t>
      </w:r>
      <w:r w:rsidRPr="00777D9E">
        <w:rPr>
          <w:lang w:val="fr-FR"/>
        </w:rPr>
        <w:t>nécessité d</w:t>
      </w:r>
      <w:r w:rsidR="00CA473A">
        <w:rPr>
          <w:lang w:val="fr-FR"/>
        </w:rPr>
        <w:t>’</w:t>
      </w:r>
      <w:r w:rsidRPr="00777D9E">
        <w:rPr>
          <w:lang w:val="fr-FR"/>
        </w:rPr>
        <w:t>intégrer une dimension liée à l</w:t>
      </w:r>
      <w:r w:rsidR="00CA473A">
        <w:rPr>
          <w:lang w:val="fr-FR"/>
        </w:rPr>
        <w:t>’</w:t>
      </w:r>
      <w:r w:rsidRPr="00777D9E">
        <w:rPr>
          <w:lang w:val="fr-FR"/>
        </w:rPr>
        <w:t>égalité entre les hommes et les femmes dans les pro</w:t>
      </w:r>
      <w:r>
        <w:rPr>
          <w:lang w:val="fr-FR"/>
        </w:rPr>
        <w:t>gramme</w:t>
      </w:r>
      <w:r w:rsidRPr="00777D9E">
        <w:rPr>
          <w:lang w:val="fr-FR"/>
        </w:rPr>
        <w:t>s de développement les plus importants d</w:t>
      </w:r>
      <w:r>
        <w:rPr>
          <w:lang w:val="fr-FR"/>
        </w:rPr>
        <w:t xml:space="preserve">u </w:t>
      </w:r>
      <w:r w:rsidRPr="00777D9E">
        <w:rPr>
          <w:lang w:val="fr-FR"/>
        </w:rPr>
        <w:t xml:space="preserve">pays et </w:t>
      </w:r>
      <w:r>
        <w:rPr>
          <w:lang w:val="fr-FR"/>
        </w:rPr>
        <w:t xml:space="preserve">va dans le sens des </w:t>
      </w:r>
      <w:r w:rsidRPr="00777D9E">
        <w:rPr>
          <w:lang w:val="fr-FR"/>
        </w:rPr>
        <w:t xml:space="preserve">objectifs du cadre international pour le développement </w:t>
      </w:r>
      <w:r>
        <w:rPr>
          <w:lang w:val="fr-FR"/>
        </w:rPr>
        <w:t>gl</w:t>
      </w:r>
      <w:r w:rsidRPr="00777D9E">
        <w:rPr>
          <w:lang w:val="fr-FR"/>
        </w:rPr>
        <w:t>o</w:t>
      </w:r>
      <w:r>
        <w:rPr>
          <w:lang w:val="fr-FR"/>
        </w:rPr>
        <w:t>b</w:t>
      </w:r>
      <w:r w:rsidRPr="00777D9E">
        <w:rPr>
          <w:lang w:val="fr-FR"/>
        </w:rPr>
        <w:t>al, la réduction de la pauvreté et la promotion de l</w:t>
      </w:r>
      <w:r w:rsidR="00CA473A">
        <w:rPr>
          <w:lang w:val="fr-FR"/>
        </w:rPr>
        <w:t>’</w:t>
      </w:r>
      <w:r w:rsidRPr="00777D9E">
        <w:rPr>
          <w:lang w:val="fr-FR"/>
        </w:rPr>
        <w:t>exercice des droits de l</w:t>
      </w:r>
      <w:r w:rsidR="00CA473A">
        <w:rPr>
          <w:lang w:val="fr-FR"/>
        </w:rPr>
        <w:t>’</w:t>
      </w:r>
      <w:r w:rsidRPr="00777D9E">
        <w:rPr>
          <w:lang w:val="fr-FR"/>
        </w:rPr>
        <w:t>homme et de l</w:t>
      </w:r>
      <w:r w:rsidR="00CA473A">
        <w:rPr>
          <w:lang w:val="fr-FR"/>
        </w:rPr>
        <w:t>’</w:t>
      </w:r>
      <w:r w:rsidRPr="00777D9E">
        <w:rPr>
          <w:lang w:val="fr-FR"/>
        </w:rPr>
        <w:t>égalité entre les hommes et les femmes.</w:t>
      </w:r>
    </w:p>
    <w:p w:rsidR="00DE0C47" w:rsidRPr="00777D9E" w:rsidRDefault="00DE0C47" w:rsidP="00DE0C47">
      <w:pPr>
        <w:pStyle w:val="SingleTxtG"/>
      </w:pPr>
      <w:r w:rsidRPr="00777D9E">
        <w:rPr>
          <w:lang w:val="fr-FR"/>
        </w:rPr>
        <w:t>173.</w:t>
      </w:r>
      <w:r w:rsidRPr="00777D9E">
        <w:rPr>
          <w:lang w:val="fr-FR"/>
        </w:rPr>
        <w:tab/>
        <w:t>L</w:t>
      </w:r>
      <w:r w:rsidR="00CA473A">
        <w:rPr>
          <w:lang w:val="fr-FR"/>
        </w:rPr>
        <w:t>’</w:t>
      </w:r>
      <w:r w:rsidRPr="00777D9E">
        <w:t>Agence pour l</w:t>
      </w:r>
      <w:r w:rsidR="00CA473A">
        <w:t>’</w:t>
      </w:r>
      <w:r w:rsidRPr="00777D9E">
        <w:t>égalité entre les hommes et les femmes, le Ministère des droits de l</w:t>
      </w:r>
      <w:r w:rsidR="00CA473A">
        <w:t>’</w:t>
      </w:r>
      <w:r w:rsidRPr="00777D9E">
        <w:t xml:space="preserve">homme et des réfugiés, en collaboration avec les Ministères des affaires étrangères, de la défense, et de la sécurité, ainsi que le Centre </w:t>
      </w:r>
      <w:r>
        <w:t>d</w:t>
      </w:r>
      <w:r w:rsidR="00CA473A">
        <w:t>’</w:t>
      </w:r>
      <w:r>
        <w:t xml:space="preserve">action antimines </w:t>
      </w:r>
      <w:r w:rsidRPr="00777D9E">
        <w:t xml:space="preserve">de Bosnie-Herzégovine (BHMAC), les </w:t>
      </w:r>
      <w:r>
        <w:t>C</w:t>
      </w:r>
      <w:r w:rsidRPr="00777D9E">
        <w:t xml:space="preserve">entres </w:t>
      </w:r>
      <w:r>
        <w:t>de lutte contre les disparités hommes-femmes</w:t>
      </w:r>
      <w:r w:rsidRPr="00777D9E">
        <w:t xml:space="preserve"> opérant au niveau des Entités, les services de police des Entités et les organisations non gouvernementales ont rapidement reconnu l</w:t>
      </w:r>
      <w:r w:rsidR="00CA473A">
        <w:t>’</w:t>
      </w:r>
      <w:r w:rsidRPr="00777D9E">
        <w:t>importance, pour la Bosnie-Herzégovine,</w:t>
      </w:r>
      <w:r>
        <w:t xml:space="preserve"> de</w:t>
      </w:r>
      <w:r w:rsidRPr="00777D9E">
        <w:t xml:space="preserve"> la résolution 1325 du Conseil de sécurité des Nations Unies sur les femmes, la paix et la sécurité. </w:t>
      </w:r>
      <w:r>
        <w:t>D</w:t>
      </w:r>
      <w:r w:rsidRPr="00777D9E">
        <w:t xml:space="preserve">e nombreuses activités ont été menées </w:t>
      </w:r>
      <w:r>
        <w:t>jusqu</w:t>
      </w:r>
      <w:r w:rsidR="00CA473A">
        <w:t>’</w:t>
      </w:r>
      <w:r>
        <w:t xml:space="preserve">à présent en vue </w:t>
      </w:r>
      <w:r w:rsidRPr="00777D9E">
        <w:t>d</w:t>
      </w:r>
      <w:r w:rsidR="00CA473A">
        <w:t>’</w:t>
      </w:r>
      <w:r w:rsidRPr="00777D9E">
        <w:t>assurer l</w:t>
      </w:r>
      <w:r w:rsidR="00CA473A">
        <w:t>’</w:t>
      </w:r>
      <w:r w:rsidRPr="00777D9E">
        <w:t xml:space="preserve">application de ladite résolution </w:t>
      </w:r>
      <w:r>
        <w:t xml:space="preserve">et ont </w:t>
      </w:r>
      <w:r w:rsidRPr="00777D9E">
        <w:t>donn</w:t>
      </w:r>
      <w:r>
        <w:t xml:space="preserve">é </w:t>
      </w:r>
      <w:r w:rsidRPr="00777D9E">
        <w:t>lieu à l</w:t>
      </w:r>
      <w:r w:rsidR="00CA473A">
        <w:t>’</w:t>
      </w:r>
      <w:r w:rsidRPr="00777D9E">
        <w:t>élaboration du Plan d</w:t>
      </w:r>
      <w:r w:rsidR="00CA473A">
        <w:t>’</w:t>
      </w:r>
      <w:r w:rsidRPr="00777D9E">
        <w:t>action pour l</w:t>
      </w:r>
      <w:r w:rsidR="00CA473A">
        <w:t>’</w:t>
      </w:r>
      <w:r w:rsidRPr="00777D9E">
        <w:t xml:space="preserve">application de la résolution 1325 du Conseil de sécurité des Nations Unies en Bosnie-Herzégovine, </w:t>
      </w:r>
      <w:r>
        <w:t>lequel</w:t>
      </w:r>
      <w:r w:rsidRPr="00777D9E">
        <w:t xml:space="preserve"> est le premier plan d</w:t>
      </w:r>
      <w:r w:rsidR="00CA473A">
        <w:t>’</w:t>
      </w:r>
      <w:r w:rsidRPr="00777D9E">
        <w:t>action dans la région</w:t>
      </w:r>
      <w:r>
        <w:t xml:space="preserve"> et sert</w:t>
      </w:r>
      <w:r w:rsidRPr="00777D9E">
        <w:t xml:space="preserve"> déjà </w:t>
      </w:r>
      <w:r>
        <w:t>de</w:t>
      </w:r>
      <w:r w:rsidRPr="00777D9E">
        <w:t xml:space="preserve"> modèle pour l</w:t>
      </w:r>
      <w:r w:rsidR="00CA473A">
        <w:t>’</w:t>
      </w:r>
      <w:r w:rsidRPr="00777D9E">
        <w:t>élaboration d</w:t>
      </w:r>
      <w:r w:rsidR="00CA473A">
        <w:t>’</w:t>
      </w:r>
      <w:r w:rsidRPr="00777D9E">
        <w:t>autres plans d</w:t>
      </w:r>
      <w:r w:rsidR="00CA473A">
        <w:t>’</w:t>
      </w:r>
      <w:r w:rsidRPr="00777D9E">
        <w:t xml:space="preserve">action </w:t>
      </w:r>
      <w:r>
        <w:t>d</w:t>
      </w:r>
      <w:r w:rsidRPr="00777D9E">
        <w:t>e</w:t>
      </w:r>
      <w:r>
        <w:t xml:space="preserve"> </w:t>
      </w:r>
      <w:r w:rsidRPr="00777D9E">
        <w:t xml:space="preserve">ce </w:t>
      </w:r>
      <w:r>
        <w:t>type</w:t>
      </w:r>
      <w:r w:rsidRPr="00777D9E">
        <w:t>.</w:t>
      </w:r>
    </w:p>
    <w:p w:rsidR="00DE0C47" w:rsidRPr="00777D9E" w:rsidRDefault="00DE0C47" w:rsidP="00DE0C47">
      <w:pPr>
        <w:pStyle w:val="SingleTxtG"/>
      </w:pPr>
      <w:r w:rsidRPr="00777D9E">
        <w:t>174.</w:t>
      </w:r>
      <w:r w:rsidRPr="00777D9E">
        <w:tab/>
        <w:t>La Bosnie-Herzégovine accorde une attention particulière aux victimes de la violence dans la famille. Les femmes représentent 92</w:t>
      </w:r>
      <w:r>
        <w:t> </w:t>
      </w:r>
      <w:r w:rsidRPr="00777D9E">
        <w:t>% à 98</w:t>
      </w:r>
      <w:r>
        <w:t> </w:t>
      </w:r>
      <w:r w:rsidRPr="00777D9E">
        <w:t>% du nombre total de victimes recensées. La Stratégie visant à prévenir et combattre la violence dans la famille pour la période 2009-2011 (Journal officiel de Bosnie-Herzégovine, n</w:t>
      </w:r>
      <w:r w:rsidRPr="00777D9E">
        <w:rPr>
          <w:vertAlign w:val="superscript"/>
        </w:rPr>
        <w:t>o</w:t>
      </w:r>
      <w:r>
        <w:t> </w:t>
      </w:r>
      <w:r w:rsidRPr="00777D9E">
        <w:t>70/09) a été adoptée au niveau de l</w:t>
      </w:r>
      <w:r w:rsidR="00CA473A">
        <w:t>’</w:t>
      </w:r>
      <w:r w:rsidRPr="00777D9E">
        <w:t xml:space="preserve">État afin de définir les activités </w:t>
      </w:r>
      <w:r>
        <w:t xml:space="preserve">à engager pour </w:t>
      </w:r>
      <w:r w:rsidRPr="00777D9E">
        <w:t>prévenir et éliminer la violence dans la famille. Le Plan stratégique visant à prévenir la violence dans la famille dans la Fédération de Bosnie-Herzégovine pour la période 2009-2010 et le Plan d</w:t>
      </w:r>
      <w:r w:rsidR="00CA473A">
        <w:t>’</w:t>
      </w:r>
      <w:r w:rsidRPr="00777D9E">
        <w:t>action visant à combattre la violence dans la famille dans la Republika Srpska pour 2008 et 2009 ont été adoptés au niveau des Entités.</w:t>
      </w:r>
    </w:p>
    <w:p w:rsidR="00DE0C47" w:rsidRPr="00777D9E" w:rsidRDefault="00DE0C47" w:rsidP="00DE0C47">
      <w:pPr>
        <w:pStyle w:val="SingleTxtG"/>
      </w:pPr>
      <w:r w:rsidRPr="00777D9E">
        <w:t>175.</w:t>
      </w:r>
      <w:r w:rsidRPr="00777D9E">
        <w:tab/>
        <w:t>Afin d</w:t>
      </w:r>
      <w:r w:rsidR="00CA473A">
        <w:t>’</w:t>
      </w:r>
      <w:r w:rsidRPr="00777D9E">
        <w:t>assurer un niveau élevé de protection des droits de l</w:t>
      </w:r>
      <w:r w:rsidR="00CA473A">
        <w:t>’</w:t>
      </w:r>
      <w:r w:rsidRPr="00777D9E">
        <w:t>homme, les deux Entités ont adopté la loi sur la protection contre la violence dans la famille en Fédération de Bosnie-Herzégovine (Journal officiel de la Fédération de Bosnie-Herzégovine, n</w:t>
      </w:r>
      <w:r w:rsidRPr="00777D9E">
        <w:rPr>
          <w:vertAlign w:val="superscript"/>
        </w:rPr>
        <w:t>o</w:t>
      </w:r>
      <w:r>
        <w:t> </w:t>
      </w:r>
      <w:r w:rsidRPr="00777D9E">
        <w:t xml:space="preserve">22/05) et la loi sur la protection contre la violence dans </w:t>
      </w:r>
      <w:r>
        <w:t xml:space="preserve">la famille en Republika Srpska </w:t>
      </w:r>
      <w:r w:rsidRPr="00777D9E">
        <w:t>(Journal officiel de Republika Srpska, n</w:t>
      </w:r>
      <w:r w:rsidRPr="00777D9E">
        <w:rPr>
          <w:vertAlign w:val="superscript"/>
        </w:rPr>
        <w:t>o</w:t>
      </w:r>
      <w:r>
        <w:t> </w:t>
      </w:r>
      <w:r w:rsidRPr="00777D9E">
        <w:t>118/05) ainsi que la loi portant modification de la loi sur la protection contre la violence dans la famille en Republika Srpska (Journal officiel de Republika Srpska, n</w:t>
      </w:r>
      <w:r w:rsidRPr="00777D9E">
        <w:rPr>
          <w:vertAlign w:val="superscript"/>
        </w:rPr>
        <w:t>o</w:t>
      </w:r>
      <w:r>
        <w:t> </w:t>
      </w:r>
      <w:r w:rsidRPr="00777D9E">
        <w:t>17/08) prévoyant des sanctions pour les contrevenants et la protection juridique des victimes.</w:t>
      </w:r>
    </w:p>
    <w:p w:rsidR="00DE0C47" w:rsidRPr="00777D9E" w:rsidRDefault="00DE0C47" w:rsidP="00DE0C47">
      <w:pPr>
        <w:pStyle w:val="SingleTxtG"/>
      </w:pPr>
      <w:r w:rsidRPr="00777D9E">
        <w:t>176.</w:t>
      </w:r>
      <w:r w:rsidRPr="00777D9E">
        <w:tab/>
      </w:r>
      <w:r>
        <w:t>Instruite par l</w:t>
      </w:r>
      <w:r w:rsidR="00CA473A">
        <w:t>’</w:t>
      </w:r>
      <w:r>
        <w:t>expérience malheureuse</w:t>
      </w:r>
      <w:r w:rsidRPr="00777D9E">
        <w:t xml:space="preserve"> du dernier conflit armé </w:t>
      </w:r>
      <w:r>
        <w:t>(</w:t>
      </w:r>
      <w:r w:rsidRPr="00777D9E">
        <w:t>1992 à 1995</w:t>
      </w:r>
      <w:r>
        <w:t>) qui a</w:t>
      </w:r>
      <w:r w:rsidRPr="00777D9E">
        <w:t xml:space="preserve"> </w:t>
      </w:r>
      <w:r>
        <w:t>fai</w:t>
      </w:r>
      <w:r w:rsidRPr="00777D9E">
        <w:t>t un grand nombre de victimes, la Bosnie-Herzégovine a adopté la loi sur les personnes disparues (Journal officiel de Bosnie-Herzégovine, n</w:t>
      </w:r>
      <w:r w:rsidRPr="00777D9E">
        <w:rPr>
          <w:vertAlign w:val="superscript"/>
        </w:rPr>
        <w:t>o</w:t>
      </w:r>
      <w:r>
        <w:t> </w:t>
      </w:r>
      <w:r w:rsidRPr="00777D9E">
        <w:t>50/04) et créé l</w:t>
      </w:r>
      <w:r w:rsidR="00CA473A">
        <w:t>’</w:t>
      </w:r>
      <w:r w:rsidRPr="00777D9E">
        <w:t xml:space="preserve">Institut </w:t>
      </w:r>
      <w:r>
        <w:t>d</w:t>
      </w:r>
      <w:r w:rsidRPr="00777D9E">
        <w:t>es personnes disparues (le nombre de pe</w:t>
      </w:r>
      <w:r>
        <w:t xml:space="preserve">rsonnes disparues dans le pays </w:t>
      </w:r>
      <w:r w:rsidRPr="00777D9E">
        <w:t>e</w:t>
      </w:r>
      <w:r>
        <w:t>st</w:t>
      </w:r>
      <w:r w:rsidRPr="00777D9E">
        <w:t xml:space="preserve"> </w:t>
      </w:r>
      <w:r>
        <w:t>d</w:t>
      </w:r>
      <w:r w:rsidR="00CA473A">
        <w:t>’</w:t>
      </w:r>
      <w:r w:rsidRPr="00777D9E">
        <w:t>environ 8 000). En sa qualité de membre de l</w:t>
      </w:r>
      <w:r w:rsidR="00CA473A">
        <w:t>’</w:t>
      </w:r>
      <w:r w:rsidRPr="00777D9E">
        <w:t>Organisation des Nations Unies et du Conseil de l</w:t>
      </w:r>
      <w:r w:rsidR="00CA473A">
        <w:t>’</w:t>
      </w:r>
      <w:r w:rsidRPr="00777D9E">
        <w:t>Europe et en tant que pays d</w:t>
      </w:r>
      <w:r w:rsidR="00CA473A">
        <w:t>’</w:t>
      </w:r>
      <w:r w:rsidRPr="00777D9E">
        <w:t>Europe dont l</w:t>
      </w:r>
      <w:r w:rsidR="00CA473A">
        <w:t>’</w:t>
      </w:r>
      <w:r w:rsidRPr="00777D9E">
        <w:t>existence remonte à plus d</w:t>
      </w:r>
      <w:r w:rsidR="00CA473A">
        <w:t>’</w:t>
      </w:r>
      <w:r w:rsidRPr="00777D9E">
        <w:t>un millénaire, la Bosnie-Herzégovi</w:t>
      </w:r>
      <w:r>
        <w:t>ne a récemment signé un Accord de stabilisation et d</w:t>
      </w:r>
      <w:r w:rsidR="00CA473A">
        <w:t>’</w:t>
      </w:r>
      <w:r w:rsidRPr="00777D9E">
        <w:t xml:space="preserve">association </w:t>
      </w:r>
      <w:r>
        <w:t>avec</w:t>
      </w:r>
      <w:r w:rsidRPr="00777D9E">
        <w:t xml:space="preserve"> l</w:t>
      </w:r>
      <w:r w:rsidR="00CA473A">
        <w:t>’</w:t>
      </w:r>
      <w:r w:rsidRPr="00777D9E">
        <w:t>Union européenne et s</w:t>
      </w:r>
      <w:r w:rsidR="00CA473A">
        <w:t>’</w:t>
      </w:r>
      <w:r>
        <w:t xml:space="preserve">engage − comme </w:t>
      </w:r>
      <w:r w:rsidRPr="00777D9E">
        <w:t>en témoigne l</w:t>
      </w:r>
      <w:r w:rsidR="00CA473A">
        <w:t>’</w:t>
      </w:r>
      <w:r w:rsidRPr="00777D9E">
        <w:t>adoption des lois précitées</w:t>
      </w:r>
      <w:r>
        <w:t> −</w:t>
      </w:r>
      <w:r w:rsidRPr="00777D9E">
        <w:t xml:space="preserve"> à renforcer une société démocratique multinationale et multiculturelle au sein de laquelle les trois peuples constitutifs et les 17 minorités nationales</w:t>
      </w:r>
      <w:r>
        <w:t xml:space="preserve"> </w:t>
      </w:r>
      <w:r w:rsidRPr="00777D9E">
        <w:t>du pays énumérées dans la loi p</w:t>
      </w:r>
      <w:r>
        <w:t>o</w:t>
      </w:r>
      <w:r w:rsidRPr="00777D9E">
        <w:t>u</w:t>
      </w:r>
      <w:r>
        <w:t>rro</w:t>
      </w:r>
      <w:r w:rsidRPr="00777D9E">
        <w:t>nt exercer pleinement les droits qui leur sont garantis par les instruments internationaux a</w:t>
      </w:r>
      <w:r>
        <w:t>fin</w:t>
      </w:r>
      <w:r w:rsidRPr="00777D9E">
        <w:t xml:space="preserve"> de les protéger</w:t>
      </w:r>
      <w:r>
        <w:t>, sans crainte d</w:t>
      </w:r>
      <w:r w:rsidR="00CA473A">
        <w:t>’</w:t>
      </w:r>
      <w:r w:rsidRPr="00777D9E">
        <w:t>un nouveau génocide.</w:t>
      </w:r>
    </w:p>
    <w:p w:rsidR="00DE0C47" w:rsidRDefault="00DE0C47" w:rsidP="00DE0C47">
      <w:pPr>
        <w:pStyle w:val="SingleTxtG"/>
      </w:pPr>
      <w:r w:rsidRPr="00777D9E">
        <w:t>177.</w:t>
      </w:r>
      <w:r w:rsidRPr="00777D9E">
        <w:tab/>
        <w:t>À l</w:t>
      </w:r>
      <w:r w:rsidR="00CA473A">
        <w:t>’</w:t>
      </w:r>
      <w:r w:rsidRPr="00777D9E">
        <w:t xml:space="preserve">instar des pays européens </w:t>
      </w:r>
      <w:r>
        <w:t xml:space="preserve">favorables à </w:t>
      </w:r>
      <w:r w:rsidRPr="00777D9E">
        <w:t>l</w:t>
      </w:r>
      <w:r w:rsidR="00CA473A">
        <w:t>’</w:t>
      </w:r>
      <w:r w:rsidRPr="00777D9E">
        <w:t>adoption d</w:t>
      </w:r>
      <w:r w:rsidR="00CA473A">
        <w:t>’</w:t>
      </w:r>
      <w:r w:rsidRPr="00777D9E">
        <w:t>une législation complète en matière de lutte contre la discrimination, la Bosnie-Herzégovine a adopté la loi sur l</w:t>
      </w:r>
      <w:r w:rsidR="00CA473A">
        <w:t>’</w:t>
      </w:r>
      <w:r w:rsidRPr="00777D9E">
        <w:t>interdiction de la discrimination. De plus, la loi sur l</w:t>
      </w:r>
      <w:r w:rsidR="00CA473A">
        <w:t>’</w:t>
      </w:r>
      <w:r w:rsidRPr="00777D9E">
        <w:t>interdiction de toutes les organisations fascistes ou néo-fascistes et de l</w:t>
      </w:r>
      <w:r w:rsidR="00CA473A">
        <w:t>’</w:t>
      </w:r>
      <w:r w:rsidRPr="00777D9E">
        <w:t>utilisation de leurs symboles en Bosnie-Herzégovine a été soumise à l</w:t>
      </w:r>
      <w:r w:rsidR="00CA473A">
        <w:t>’</w:t>
      </w:r>
      <w:r w:rsidRPr="00777D9E">
        <w:t>examen du Parlement.</w:t>
      </w:r>
    </w:p>
    <w:p w:rsidR="00FC0499" w:rsidRPr="00AF3EE4" w:rsidRDefault="00FC0499" w:rsidP="00FC0499">
      <w:pPr>
        <w:pStyle w:val="H1G"/>
      </w:pPr>
      <w:r>
        <w:tab/>
      </w:r>
      <w:r w:rsidRPr="00AF3EE4">
        <w:t>C.</w:t>
      </w:r>
      <w:r w:rsidRPr="00AF3EE4">
        <w:tab/>
        <w:t>Promotion des droits de l</w:t>
      </w:r>
      <w:r>
        <w:t>’</w:t>
      </w:r>
      <w:r w:rsidRPr="00AF3EE4">
        <w:t>homme au niveau de l</w:t>
      </w:r>
      <w:r>
        <w:t>’</w:t>
      </w:r>
      <w:r w:rsidRPr="00AF3EE4">
        <w:t>État</w:t>
      </w:r>
    </w:p>
    <w:p w:rsidR="00FC0499" w:rsidRPr="00AF3EE4" w:rsidRDefault="00FC0499" w:rsidP="00FC0499">
      <w:pPr>
        <w:pStyle w:val="H23G"/>
      </w:pPr>
      <w:r>
        <w:tab/>
      </w:r>
      <w:r>
        <w:tab/>
      </w:r>
      <w:r w:rsidRPr="00AF3EE4">
        <w:t>Institutions pour la protection des droits de l</w:t>
      </w:r>
      <w:r>
        <w:t>’</w:t>
      </w:r>
      <w:r w:rsidRPr="00AF3EE4">
        <w:t>homme en Bosnie-Herzégovine</w:t>
      </w:r>
    </w:p>
    <w:p w:rsidR="00FC0499" w:rsidRPr="00AF3EE4" w:rsidRDefault="00FC0499" w:rsidP="00FC0499">
      <w:pPr>
        <w:pStyle w:val="SingleTxtG"/>
      </w:pPr>
      <w:r w:rsidRPr="00AF3EE4">
        <w:t>178.</w:t>
      </w:r>
      <w:r w:rsidRPr="00AF3EE4">
        <w:tab/>
        <w:t>Conformément aux lois en vigueur en Bosnie-Herzégovine, les institutions ci-après ont actuellement pour mission de promouvoir, développer et protéger les droits de l</w:t>
      </w:r>
      <w:r>
        <w:t>’</w:t>
      </w:r>
      <w:r w:rsidRPr="00AF3EE4">
        <w:t>homme au niveau de l</w:t>
      </w:r>
      <w:r>
        <w:t>’</w:t>
      </w:r>
      <w:r w:rsidRPr="00AF3EE4">
        <w:t>État: la Cour constitutionnelle de Bosnie-Herzégovine, la Cour de Bosnie-Herzégovine, l</w:t>
      </w:r>
      <w:r>
        <w:t>’i</w:t>
      </w:r>
      <w:r w:rsidRPr="00AF3EE4">
        <w:t>nstitution du Médiateur pour les droits de l</w:t>
      </w:r>
      <w:r>
        <w:t>’</w:t>
      </w:r>
      <w:r w:rsidRPr="00AF3EE4">
        <w:t>homme de Bosnie-Herzégovine (créée conformément à l</w:t>
      </w:r>
      <w:r>
        <w:t>’</w:t>
      </w:r>
      <w:r w:rsidRPr="00AF3EE4">
        <w:t>annexe 6 d</w:t>
      </w:r>
      <w:r>
        <w:t>e l’Accord de paix de Dayton</w:t>
      </w:r>
      <w:r w:rsidRPr="00AF3EE4">
        <w:t>), le Ministère des droits de l</w:t>
      </w:r>
      <w:r>
        <w:t>’</w:t>
      </w:r>
      <w:r w:rsidRPr="00AF3EE4">
        <w:t>homme et des réfugiés de Bosnie-Herzégovine, l</w:t>
      </w:r>
      <w:r>
        <w:t>’</w:t>
      </w:r>
      <w:r w:rsidRPr="00AF3EE4">
        <w:t>Institut pour les personnes disparues de Bosnie-Herzégovine, et</w:t>
      </w:r>
      <w:r>
        <w:t>, enfin,</w:t>
      </w:r>
      <w:r w:rsidRPr="00AF3EE4">
        <w:t xml:space="preserve"> les </w:t>
      </w:r>
      <w:r>
        <w:t>c</w:t>
      </w:r>
      <w:r w:rsidRPr="00AF3EE4">
        <w:t xml:space="preserve">ommissions et </w:t>
      </w:r>
      <w:r>
        <w:t>c</w:t>
      </w:r>
      <w:r w:rsidRPr="00AF3EE4">
        <w:t>omités chargés des questions relatives aux droits de l</w:t>
      </w:r>
      <w:r>
        <w:t>’</w:t>
      </w:r>
      <w:r w:rsidRPr="00AF3EE4">
        <w:t>homme et rattachés à l</w:t>
      </w:r>
      <w:r>
        <w:t>’</w:t>
      </w:r>
      <w:r w:rsidRPr="00AF3EE4">
        <w:t>Assemblée parlementaire de la Bosnie-Herzégovine et les Assemblées des Entités et du district de Br</w:t>
      </w:r>
      <w:r w:rsidR="00F32136">
        <w:t>c</w:t>
      </w:r>
      <w:r w:rsidRPr="00AF3EE4">
        <w:t>ko.</w:t>
      </w:r>
    </w:p>
    <w:p w:rsidR="00FC0499" w:rsidRPr="00AF3EE4" w:rsidRDefault="00FC0499" w:rsidP="00FC0499">
      <w:pPr>
        <w:pStyle w:val="H23G"/>
      </w:pPr>
      <w:r>
        <w:tab/>
      </w:r>
      <w:r>
        <w:tab/>
      </w:r>
      <w:r w:rsidRPr="00AF3EE4">
        <w:t>La Cour constitutionnelle de Bosnie-Herzégovine</w:t>
      </w:r>
    </w:p>
    <w:p w:rsidR="00FC0499" w:rsidRPr="00AF3EE4" w:rsidRDefault="00FC0499" w:rsidP="00FC0499">
      <w:pPr>
        <w:pStyle w:val="SingleTxtG"/>
      </w:pPr>
      <w:r w:rsidRPr="00AF3EE4">
        <w:t>179.</w:t>
      </w:r>
      <w:r w:rsidRPr="00AF3EE4">
        <w:tab/>
        <w:t xml:space="preserve">La Cour constitutionnelle de Bosnie-Herzégovine a compétence exclusive pour le règlement de tout différend apparaissant, dans le cadre de la Constitution de la Bosnie-Herzégovine, entre les deux Entités, entre la Bosnie-Herzégovine et une Entité ou les deux Entités, ou entre </w:t>
      </w:r>
      <w:r>
        <w:t>l</w:t>
      </w:r>
      <w:r w:rsidRPr="00AF3EE4">
        <w:t>es institutions de Bosnie-Herzégovine.</w:t>
      </w:r>
      <w:r>
        <w:t xml:space="preserve"> </w:t>
      </w:r>
      <w:r w:rsidRPr="00AF3EE4">
        <w:t>Elle est compétente pour apprécier, à la demande de tout tribunal de Bosnie-Herzégovine, si une loi dont la validité est déterminante pour la décision que le tribunal en question va rendre, est conforme à la Constitution, à la Convention européenne de sauvegarde des droits de l</w:t>
      </w:r>
      <w:r>
        <w:t>’</w:t>
      </w:r>
      <w:r w:rsidRPr="00AF3EE4">
        <w:t>homme et des libertés fondamentales et à ses protocoles, ou aux lois de la Bosnie-Herzégovine ou encore pour examiner s</w:t>
      </w:r>
      <w:r>
        <w:t>’</w:t>
      </w:r>
      <w:r w:rsidRPr="00AF3EE4">
        <w:t xml:space="preserve">il existe </w:t>
      </w:r>
      <w:r>
        <w:t xml:space="preserve">ou s’applique </w:t>
      </w:r>
      <w:r w:rsidRPr="00AF3EE4">
        <w:t>une règle générale de droit international pertinen</w:t>
      </w:r>
      <w:r>
        <w:t>te pour la décision en question</w:t>
      </w:r>
      <w:r w:rsidRPr="00AF3EE4">
        <w:t>. Les décisions de la Cour constitutionnelle sont définitives et obligatoires.</w:t>
      </w:r>
    </w:p>
    <w:p w:rsidR="00FC0499" w:rsidRPr="00AF3EE4" w:rsidRDefault="00FC0499" w:rsidP="00FC0499">
      <w:pPr>
        <w:pStyle w:val="SingleTxtG"/>
      </w:pPr>
      <w:r w:rsidRPr="00AF3EE4">
        <w:t>180.</w:t>
      </w:r>
      <w:r w:rsidRPr="00AF3EE4">
        <w:tab/>
        <w:t>La Cour constitutionnelle est composée de neuf membres, dont quatre sont désignés par la Chambre des</w:t>
      </w:r>
      <w:r>
        <w:t xml:space="preserve"> </w:t>
      </w:r>
      <w:r w:rsidRPr="00AF3EE4">
        <w:t>Représentants de la</w:t>
      </w:r>
      <w:r>
        <w:t xml:space="preserve"> </w:t>
      </w:r>
      <w:r w:rsidRPr="00AF3EE4">
        <w:t>Fédération de Bosnie</w:t>
      </w:r>
      <w:r w:rsidRPr="00AF3EE4">
        <w:noBreakHyphen/>
        <w:t>Herzégovine, deux par l</w:t>
      </w:r>
      <w:r>
        <w:t>’</w:t>
      </w:r>
      <w:r w:rsidRPr="00AF3EE4">
        <w:t>Assemblée nationale de la</w:t>
      </w:r>
      <w:r>
        <w:t xml:space="preserve"> </w:t>
      </w:r>
      <w:r w:rsidRPr="00AF3EE4">
        <w:t>Republika Srpska, et trois par le Président de la Cour européenne des droits de l</w:t>
      </w:r>
      <w:r>
        <w:t xml:space="preserve">’homme après </w:t>
      </w:r>
      <w:r w:rsidRPr="00AF3EE4">
        <w:t>consultation avec la présidence. Le mandat des premiers juges désignés est de cinq ans</w:t>
      </w:r>
      <w:r>
        <w:t>,</w:t>
      </w:r>
      <w:r w:rsidRPr="00AF3EE4">
        <w:t xml:space="preserve"> sauf s</w:t>
      </w:r>
      <w:r>
        <w:t>’</w:t>
      </w:r>
      <w:r w:rsidRPr="00AF3EE4">
        <w:t>ils se démettent avant ce délai ou s</w:t>
      </w:r>
      <w:r>
        <w:t>’</w:t>
      </w:r>
      <w:r w:rsidRPr="00AF3EE4">
        <w:t xml:space="preserve">ils sont révoqués </w:t>
      </w:r>
      <w:r>
        <w:t xml:space="preserve">pour juste motif </w:t>
      </w:r>
      <w:r w:rsidRPr="00AF3EE4">
        <w:t xml:space="preserve">par consensus </w:t>
      </w:r>
      <w:r>
        <w:t xml:space="preserve">entre les </w:t>
      </w:r>
      <w:r w:rsidRPr="00AF3EE4">
        <w:t>autres juges. Ils</w:t>
      </w:r>
      <w:r>
        <w:t xml:space="preserve"> </w:t>
      </w:r>
      <w:r w:rsidRPr="00AF3EE4">
        <w:t>ne peuvent effectuer un deuxième mandat. Les juges peuvent rester en fonction jusqu</w:t>
      </w:r>
      <w:r>
        <w:t>’</w:t>
      </w:r>
      <w:r w:rsidRPr="00AF3EE4">
        <w:t>à l</w:t>
      </w:r>
      <w:r>
        <w:t>’</w:t>
      </w:r>
      <w:r w:rsidRPr="00AF3EE4">
        <w:t>âge de 70</w:t>
      </w:r>
      <w:r>
        <w:t> </w:t>
      </w:r>
      <w:r w:rsidRPr="00AF3EE4">
        <w:t>ans, sauf s</w:t>
      </w:r>
      <w:r>
        <w:t>’</w:t>
      </w:r>
      <w:r w:rsidRPr="00AF3EE4">
        <w:t>ils se démettent ou s</w:t>
      </w:r>
      <w:r>
        <w:t>’</w:t>
      </w:r>
      <w:r w:rsidRPr="00AF3EE4">
        <w:t>ils sont révoqués pour juste motif par consensus entre les autres juges.</w:t>
      </w:r>
    </w:p>
    <w:p w:rsidR="00FC0499" w:rsidRPr="00AF3EE4" w:rsidRDefault="00FC0499" w:rsidP="00FC0499">
      <w:pPr>
        <w:pStyle w:val="SingleTxtG"/>
      </w:pPr>
      <w:r w:rsidRPr="00AF3EE4">
        <w:t>181.</w:t>
      </w:r>
      <w:r w:rsidRPr="00AF3EE4">
        <w:tab/>
        <w:t>La Commission des droits de l</w:t>
      </w:r>
      <w:r>
        <w:t>’</w:t>
      </w:r>
      <w:r w:rsidRPr="00AF3EE4">
        <w:t xml:space="preserve">homme exerce ses fonctions au sein de la Cour constitutionnelle de Bosnie-Herzégovine. </w:t>
      </w:r>
      <w:r>
        <w:t>S</w:t>
      </w:r>
      <w:r w:rsidRPr="00AF3EE4">
        <w:t xml:space="preserve">es </w:t>
      </w:r>
      <w:r>
        <w:t xml:space="preserve">activités ont commencé </w:t>
      </w:r>
      <w:r w:rsidRPr="00AF3EE4">
        <w:t xml:space="preserve">après </w:t>
      </w:r>
      <w:r>
        <w:t xml:space="preserve">qu’a pris fin l’existence </w:t>
      </w:r>
      <w:r w:rsidRPr="00AF3EE4">
        <w:t>de la Chambre des droits de l</w:t>
      </w:r>
      <w:r>
        <w:t>’</w:t>
      </w:r>
      <w:r w:rsidRPr="00AF3EE4">
        <w:t xml:space="preserve">homme, institution </w:t>
      </w:r>
      <w:r w:rsidRPr="00FC291C">
        <w:rPr>
          <w:i/>
        </w:rPr>
        <w:t>sui generis</w:t>
      </w:r>
      <w:r w:rsidRPr="00AF3EE4">
        <w:t xml:space="preserve"> créée conformément à l</w:t>
      </w:r>
      <w:r>
        <w:t>’</w:t>
      </w:r>
      <w:r w:rsidRPr="00AF3EE4">
        <w:t>article 6 de l</w:t>
      </w:r>
      <w:r>
        <w:t>’</w:t>
      </w:r>
      <w:r w:rsidRPr="00AF3EE4">
        <w:t>Accord de paix de Dayton pour la Bosnie-Herzégovine et chargée d</w:t>
      </w:r>
      <w:r>
        <w:t>’</w:t>
      </w:r>
      <w:r w:rsidRPr="00AF3EE4">
        <w:t>examiner les cas de violations alléguées ou constatées des droits de l</w:t>
      </w:r>
      <w:r>
        <w:t>’</w:t>
      </w:r>
      <w:r w:rsidRPr="00AF3EE4">
        <w:t>homme garantis par la Convention européenne de sauvegarde des droits de</w:t>
      </w:r>
      <w:r>
        <w:t xml:space="preserve"> </w:t>
      </w:r>
      <w:r w:rsidRPr="00AF3EE4">
        <w:t>l</w:t>
      </w:r>
      <w:r>
        <w:t>’</w:t>
      </w:r>
      <w:r w:rsidRPr="00AF3EE4">
        <w:t xml:space="preserve">homme et des libertés fondamentales et ses </w:t>
      </w:r>
      <w:r>
        <w:t>protocoles additionnels</w:t>
      </w:r>
      <w:r w:rsidRPr="00AF3EE4">
        <w:t>.</w:t>
      </w:r>
    </w:p>
    <w:p w:rsidR="00FC0499" w:rsidRPr="00AF3EE4" w:rsidRDefault="00FC0499" w:rsidP="00FC0499">
      <w:pPr>
        <w:pStyle w:val="SingleTxtG"/>
      </w:pPr>
      <w:r w:rsidRPr="00AF3EE4">
        <w:t>182.</w:t>
      </w:r>
      <w:r w:rsidRPr="00AF3EE4">
        <w:tab/>
        <w:t>Ayant ratifié la Convention européenne de sauvegarde des droits de</w:t>
      </w:r>
      <w:r>
        <w:t xml:space="preserve"> </w:t>
      </w:r>
      <w:r w:rsidRPr="00AF3EE4">
        <w:t>l</w:t>
      </w:r>
      <w:r>
        <w:t>’</w:t>
      </w:r>
      <w:r w:rsidRPr="00AF3EE4">
        <w:t>homme et des libertés fondamentales ainsi que ses protocoles</w:t>
      </w:r>
      <w:r>
        <w:t xml:space="preserve"> le 12 juillet 2002</w:t>
      </w:r>
      <w:r w:rsidRPr="00AF3EE4">
        <w:t>, la Bosnie-Herzégovine, conformément aux mécanismes de contrôle dudit document, relève de la juridiction de la Cour européenne des droits de l</w:t>
      </w:r>
      <w:r>
        <w:t>’</w:t>
      </w:r>
      <w:r w:rsidRPr="00AF3EE4">
        <w:t xml:space="preserve">homme. Compte tenu de ce qui précède, le Parlement de Bosnie-Herzégovine, sur </w:t>
      </w:r>
      <w:r>
        <w:t xml:space="preserve">proposition </w:t>
      </w:r>
      <w:r w:rsidRPr="00AF3EE4">
        <w:t xml:space="preserve">du Conseil des ministres, a adopté la décision relative au transfert des compétences de la </w:t>
      </w:r>
      <w:r>
        <w:t xml:space="preserve">Chambre </w:t>
      </w:r>
      <w:r w:rsidRPr="00AF3EE4">
        <w:t>des droits de l</w:t>
      </w:r>
      <w:r>
        <w:t>’</w:t>
      </w:r>
      <w:r w:rsidRPr="00AF3EE4">
        <w:t>homme</w:t>
      </w:r>
      <w:r>
        <w:t xml:space="preserve"> </w:t>
      </w:r>
      <w:r w:rsidRPr="00AF3EE4">
        <w:t>à la Cour constitutionnelle de Bosnie-Herzégovine.</w:t>
      </w:r>
    </w:p>
    <w:p w:rsidR="00FC0499" w:rsidRPr="00AF3EE4" w:rsidRDefault="00FC0499" w:rsidP="00FC0499">
      <w:pPr>
        <w:pStyle w:val="H23G"/>
      </w:pPr>
      <w:r>
        <w:tab/>
      </w:r>
      <w:r>
        <w:tab/>
      </w:r>
      <w:r w:rsidRPr="00AF3EE4">
        <w:t>La Cour de Bosnie-Herzégovine</w:t>
      </w:r>
    </w:p>
    <w:p w:rsidR="00FC0499" w:rsidRPr="00AF3EE4" w:rsidRDefault="00FC0499" w:rsidP="00FC0499">
      <w:pPr>
        <w:pStyle w:val="SingleTxtG"/>
      </w:pPr>
      <w:r w:rsidRPr="00AF3EE4">
        <w:t>183.</w:t>
      </w:r>
      <w:r w:rsidRPr="00AF3EE4">
        <w:tab/>
        <w:t>La Cour de Bosnie-Herzégovine garantit une meilleure protection et un plus grand respect des droits de l</w:t>
      </w:r>
      <w:r>
        <w:t>’</w:t>
      </w:r>
      <w:r w:rsidRPr="00AF3EE4">
        <w:t>homme et de la primauté du droit. Elle a été créée conformément aux dispositions de la loi sur la Cour, entrée en vigueur en juillet 2003. La Cour de Bosnie-Herzégovine se</w:t>
      </w:r>
      <w:r>
        <w:t xml:space="preserve"> </w:t>
      </w:r>
      <w:r w:rsidRPr="00AF3EE4">
        <w:t>compose de 15 juges. L</w:t>
      </w:r>
      <w:r>
        <w:t>’</w:t>
      </w:r>
      <w:r w:rsidRPr="00AF3EE4">
        <w:t>impartialité lors de la sélection des juges est assurée par la Commission pour la nomination des juges et le Conseil supérieur de</w:t>
      </w:r>
      <w:r>
        <w:t xml:space="preserve"> </w:t>
      </w:r>
      <w:r w:rsidRPr="00AF3EE4">
        <w:t>la magistrature et du parquet de Bosnie-Herzégovine. Les fonctions judiciaires des juges les empêchent d</w:t>
      </w:r>
      <w:r>
        <w:t>’</w:t>
      </w:r>
      <w:r w:rsidRPr="00AF3EE4">
        <w:t>assumer une quelconque responsabilité politique. La Cour comporte trois chambres: la Chambre pénal</w:t>
      </w:r>
      <w:r>
        <w:t>e, la Chambre administrative et la C</w:t>
      </w:r>
      <w:r w:rsidRPr="00AF3EE4">
        <w:t>hambre d</w:t>
      </w:r>
      <w:r>
        <w:t>’appel</w:t>
      </w:r>
      <w:r w:rsidRPr="00AF3EE4">
        <w:t>.</w:t>
      </w:r>
    </w:p>
    <w:p w:rsidR="00FC0499" w:rsidRPr="00AF3EE4" w:rsidRDefault="00FC0499" w:rsidP="00FC0499">
      <w:pPr>
        <w:pStyle w:val="SingleTxtG"/>
      </w:pPr>
      <w:r>
        <w:t>184.</w:t>
      </w:r>
      <w:r>
        <w:tab/>
      </w:r>
      <w:r w:rsidRPr="00AF3EE4">
        <w:t>La Cour de Bosnie-Herzégovine est compétente pour statuer de manière définitive et contraignante sur les questions liées à l</w:t>
      </w:r>
      <w:r>
        <w:t>’</w:t>
      </w:r>
      <w:r w:rsidRPr="00AF3EE4">
        <w:t>application des lois de l</w:t>
      </w:r>
      <w:r>
        <w:t>’</w:t>
      </w:r>
      <w:r w:rsidRPr="00AF3EE4">
        <w:t xml:space="preserve">État et des instruments internationaux </w:t>
      </w:r>
      <w:r>
        <w:t xml:space="preserve">sur appel </w:t>
      </w:r>
      <w:r w:rsidRPr="00AF3EE4">
        <w:t>de tout tribunal d</w:t>
      </w:r>
      <w:r>
        <w:t>’</w:t>
      </w:r>
      <w:r w:rsidRPr="00AF3EE4">
        <w:t>une</w:t>
      </w:r>
      <w:r>
        <w:t xml:space="preserve"> </w:t>
      </w:r>
      <w:r w:rsidR="00F32136">
        <w:t>Entité ou du district de Brc</w:t>
      </w:r>
      <w:r w:rsidRPr="00AF3EE4">
        <w:t>ko chargé de contrôler l</w:t>
      </w:r>
      <w:r>
        <w:t>’</w:t>
      </w:r>
      <w:r w:rsidRPr="00AF3EE4">
        <w:t>application des lois de l</w:t>
      </w:r>
      <w:r>
        <w:t>’</w:t>
      </w:r>
      <w:r w:rsidRPr="00AF3EE4">
        <w:t>État; pour les questions liées à des conflits de compétence entre les tribunaux des Entités; pour reprendre les procédures pénales; pour les questions soulevées par les décisions/actes administratifs définitifs des institutions de Bosnie-Herzégovine; pour les questions soulevées par les décisions judiciaires sur la légalité d</w:t>
      </w:r>
      <w:r>
        <w:t>’</w:t>
      </w:r>
      <w:r w:rsidRPr="00AF3EE4">
        <w:t>actes individuels et généraux fondés sur les lois de l</w:t>
      </w:r>
      <w:r>
        <w:t>’</w:t>
      </w:r>
      <w:r w:rsidRPr="00AF3EE4">
        <w:t>État; sur les litiges liés à la</w:t>
      </w:r>
      <w:r>
        <w:t xml:space="preserve"> </w:t>
      </w:r>
      <w:r w:rsidRPr="00AF3EE4">
        <w:t>propriété entre l</w:t>
      </w:r>
      <w:r>
        <w:t>’</w:t>
      </w:r>
      <w:r w:rsidRPr="00AF3EE4">
        <w:t>État, d</w:t>
      </w:r>
      <w:r>
        <w:t>’</w:t>
      </w:r>
      <w:r w:rsidRPr="00AF3EE4">
        <w:t xml:space="preserve">une part, et les Entités et le district de </w:t>
      </w:r>
      <w:r w:rsidR="00F32136" w:rsidRPr="00AF3EE4">
        <w:t>Brcko</w:t>
      </w:r>
      <w:r w:rsidRPr="00AF3EE4">
        <w:t>, etc., d</w:t>
      </w:r>
      <w:r>
        <w:t>’</w:t>
      </w:r>
      <w:r w:rsidRPr="00AF3EE4">
        <w:t>autre part. Les</w:t>
      </w:r>
      <w:r>
        <w:t xml:space="preserve"> </w:t>
      </w:r>
      <w:r w:rsidRPr="00AF3EE4">
        <w:t xml:space="preserve">décisions de la Cour sont définitives et obligatoires. </w:t>
      </w:r>
    </w:p>
    <w:p w:rsidR="00FC0499" w:rsidRPr="00AF3EE4" w:rsidRDefault="00FC0499" w:rsidP="00FC0499">
      <w:pPr>
        <w:pStyle w:val="H23G"/>
      </w:pPr>
      <w:r>
        <w:tab/>
      </w:r>
      <w:r>
        <w:tab/>
      </w:r>
      <w:r w:rsidRPr="00AF3EE4">
        <w:t>Le médiateur des droits de l</w:t>
      </w:r>
      <w:r>
        <w:t>’</w:t>
      </w:r>
      <w:r w:rsidRPr="00AF3EE4">
        <w:t xml:space="preserve">homme pour la Bosnie-Herzégovine </w:t>
      </w:r>
    </w:p>
    <w:p w:rsidR="00FC0499" w:rsidRPr="00AF3EE4" w:rsidRDefault="00FC0499" w:rsidP="00FC0499">
      <w:pPr>
        <w:pStyle w:val="SingleTxtG"/>
      </w:pPr>
      <w:r w:rsidRPr="00AF3EE4">
        <w:t>185.</w:t>
      </w:r>
      <w:r w:rsidRPr="00AF3EE4">
        <w:tab/>
        <w:t>Le médiateur des droits de l</w:t>
      </w:r>
      <w:r>
        <w:t>’</w:t>
      </w:r>
      <w:r w:rsidRPr="00AF3EE4">
        <w:t>homme en Bosnie-Herzégovine (ci-après le médiateur) est habilité à instruire les violations alléguées des droits de l</w:t>
      </w:r>
      <w:r>
        <w:t>’</w:t>
      </w:r>
      <w:r w:rsidRPr="00AF3EE4">
        <w:t>homme et à communiquer ses résultats et recommandations. Le médiateur peut mener une instruction, d</w:t>
      </w:r>
      <w:r>
        <w:t>’</w:t>
      </w:r>
      <w:r w:rsidRPr="00AF3EE4">
        <w:t>office ou en réponse à une allégation, et ses activités ont pour but le règlement pacifique des</w:t>
      </w:r>
      <w:r>
        <w:t xml:space="preserve"> </w:t>
      </w:r>
      <w:r w:rsidRPr="00AF3EE4">
        <w:t>litiges. Il instruit les plaintes concernant les violations des droits de l</w:t>
      </w:r>
      <w:r>
        <w:t>’</w:t>
      </w:r>
      <w:r w:rsidRPr="00AF3EE4">
        <w:t>homme, annonce immédiatement ses conclusions et en informe l</w:t>
      </w:r>
      <w:r>
        <w:t>’</w:t>
      </w:r>
      <w:r w:rsidRPr="00AF3EE4">
        <w:t>agent ou l</w:t>
      </w:r>
      <w:r>
        <w:t>’</w:t>
      </w:r>
      <w:r w:rsidRPr="00AF3EE4">
        <w:t>institution compétent. Il peut à tout moment introduire une procédure devant la Chambre des droits de l</w:t>
      </w:r>
      <w:r>
        <w:t>’</w:t>
      </w:r>
      <w:r w:rsidRPr="00AF3EE4">
        <w:t xml:space="preserve">homme. Il peut consulter et examiner tous les documents officiels. </w:t>
      </w:r>
    </w:p>
    <w:p w:rsidR="00FC0499" w:rsidRPr="00AF3EE4" w:rsidRDefault="00FC0499" w:rsidP="00FC0499">
      <w:pPr>
        <w:pStyle w:val="SingleTxtG"/>
      </w:pPr>
      <w:r w:rsidRPr="00AF3EE4">
        <w:t>186.</w:t>
      </w:r>
      <w:r w:rsidRPr="00AF3EE4">
        <w:tab/>
        <w:t>Conformément à l</w:t>
      </w:r>
      <w:r>
        <w:t>’</w:t>
      </w:r>
      <w:r w:rsidRPr="00AF3EE4">
        <w:t>article IV de l</w:t>
      </w:r>
      <w:r>
        <w:t>’</w:t>
      </w:r>
      <w:r w:rsidRPr="00AF3EE4">
        <w:t>annexe 6</w:t>
      </w:r>
      <w:r>
        <w:t xml:space="preserve"> de l’Accord de paix</w:t>
      </w:r>
      <w:r w:rsidRPr="00AF3EE4">
        <w:t>, le médiateur doit être désigné par le Président en exercice de l</w:t>
      </w:r>
      <w:r>
        <w:t>’</w:t>
      </w:r>
      <w:r w:rsidRPr="00AF3EE4">
        <w:t>Organisation pour la sécurité et la coopération en Europe (OSCE) et ne peut être citoyen ni de la Bosnie-Herzégovine ni d</w:t>
      </w:r>
      <w:r>
        <w:t>’</w:t>
      </w:r>
      <w:r w:rsidRPr="00AF3EE4">
        <w:t>aucun autre État voisin.</w:t>
      </w:r>
    </w:p>
    <w:p w:rsidR="00FC0499" w:rsidRPr="00AF3EE4" w:rsidRDefault="00FC0499" w:rsidP="00FC0499">
      <w:pPr>
        <w:pStyle w:val="SingleTxtG"/>
      </w:pPr>
      <w:r w:rsidRPr="00AF3EE4">
        <w:t>187.</w:t>
      </w:r>
      <w:r w:rsidRPr="00AF3EE4">
        <w:tab/>
        <w:t>Le</w:t>
      </w:r>
      <w:r>
        <w:t xml:space="preserve"> </w:t>
      </w:r>
      <w:r w:rsidRPr="00AF3EE4">
        <w:t xml:space="preserve">12 décembre 2000, le Haut Représentant a </w:t>
      </w:r>
      <w:r>
        <w:t xml:space="preserve">appliqué </w:t>
      </w:r>
      <w:r w:rsidRPr="00AF3EE4">
        <w:t>la loi sur le médiateur des droits de</w:t>
      </w:r>
      <w:r>
        <w:t xml:space="preserve"> </w:t>
      </w:r>
      <w:r w:rsidRPr="00AF3EE4">
        <w:t>l</w:t>
      </w:r>
      <w:r>
        <w:t>’</w:t>
      </w:r>
      <w:r w:rsidRPr="00AF3EE4">
        <w:t>homme pour la Bosnie-Herzégovine, permettant le transfert des responsabilités aux autorités du pays.</w:t>
      </w:r>
    </w:p>
    <w:p w:rsidR="00FC0499" w:rsidRPr="00AF3EE4" w:rsidRDefault="00FC0499" w:rsidP="00FC0499">
      <w:pPr>
        <w:pStyle w:val="SingleTxtG"/>
        <w:keepLines/>
      </w:pPr>
      <w:r w:rsidRPr="00AF3EE4">
        <w:t>188.</w:t>
      </w:r>
      <w:r w:rsidRPr="00AF3EE4">
        <w:tab/>
      </w:r>
      <w:r>
        <w:t>Dans l’intervalle</w:t>
      </w:r>
      <w:r w:rsidRPr="00AF3EE4">
        <w:t>, la loi sur le médiateur des droits de l</w:t>
      </w:r>
      <w:r>
        <w:t>’</w:t>
      </w:r>
      <w:r w:rsidRPr="00AF3EE4">
        <w:t>homme a été approuvée par le Parlement de</w:t>
      </w:r>
      <w:r>
        <w:t xml:space="preserve"> </w:t>
      </w:r>
      <w:r w:rsidRPr="00AF3EE4">
        <w:t>Bosnie-Herzégovine, et la première grande condition pour le transfert des compétences à la Bosnie-Herzégovine s</w:t>
      </w:r>
      <w:r>
        <w:t>’</w:t>
      </w:r>
      <w:r w:rsidRPr="00AF3EE4">
        <w:t>est ainsi trouvée remplie. Le mandat du médiateur nommé par le Président en exercice de l</w:t>
      </w:r>
      <w:r>
        <w:t>’</w:t>
      </w:r>
      <w:r w:rsidRPr="00AF3EE4">
        <w:t>OSCE a expiré le 31 décembre 2003. La présidence de la Bosnie-Herzégovine a</w:t>
      </w:r>
      <w:r>
        <w:t xml:space="preserve"> </w:t>
      </w:r>
      <w:r w:rsidRPr="00AF3EE4">
        <w:t>nommé de nouveaux médiateurs d</w:t>
      </w:r>
      <w:r>
        <w:t>’</w:t>
      </w:r>
      <w:r w:rsidRPr="00AF3EE4">
        <w:t>État −</w:t>
      </w:r>
      <w:r>
        <w:t xml:space="preserve"> </w:t>
      </w:r>
      <w:r w:rsidRPr="00AF3EE4">
        <w:t>un Bosniaque, un Serbe et un Croate</w:t>
      </w:r>
      <w:r>
        <w:t xml:space="preserve"> </w:t>
      </w:r>
      <w:r w:rsidRPr="00AF3EE4">
        <w:t>− qui ont pris leurs fo</w:t>
      </w:r>
      <w:r>
        <w:t>nctions le 6 janvier 2004. Le 4 </w:t>
      </w:r>
      <w:r w:rsidRPr="00AF3EE4">
        <w:t>décembre 2008, l</w:t>
      </w:r>
      <w:r>
        <w:t>’</w:t>
      </w:r>
      <w:r w:rsidRPr="00AF3EE4">
        <w:t>Assemblée parlementaire de Bosnie-Herzégovine a nommé trois médiateurs des droits de l</w:t>
      </w:r>
      <w:r>
        <w:t>’</w:t>
      </w:r>
      <w:r w:rsidRPr="00AF3EE4">
        <w:t>homme venant des trois nations constitutives.</w:t>
      </w:r>
    </w:p>
    <w:p w:rsidR="00FC0499" w:rsidRPr="00AF3EE4" w:rsidRDefault="00FC0499" w:rsidP="00FC0499">
      <w:pPr>
        <w:pStyle w:val="SingleTxtG"/>
      </w:pPr>
      <w:r w:rsidRPr="00AF3EE4">
        <w:t>189.</w:t>
      </w:r>
      <w:r w:rsidRPr="00AF3EE4">
        <w:tab/>
        <w:t>En août 2007, le Parlement de la Fédération de Bosnie-Herzégovine a également adopté la loi sur les modalités d</w:t>
      </w:r>
      <w:r>
        <w:t>’</w:t>
      </w:r>
      <w:r w:rsidRPr="00AF3EE4">
        <w:t>interruption des activités du médiateur de la Fédération de Bosnie-Herzégovine pendant la période de transition et sur le transfert des compétences à l</w:t>
      </w:r>
      <w:r>
        <w:t>’i</w:t>
      </w:r>
      <w:r w:rsidRPr="00AF3EE4">
        <w:t>nstitution du Médiateur des droits de l</w:t>
      </w:r>
      <w:r>
        <w:t>’</w:t>
      </w:r>
      <w:r w:rsidRPr="00AF3EE4">
        <w:t>homme de Bosnie-Herzégovine, et, en décembre 2009, l</w:t>
      </w:r>
      <w:r>
        <w:t>’</w:t>
      </w:r>
      <w:r w:rsidRPr="00AF3EE4">
        <w:t>Assemblée nationale de la Republika Srpska a adopté la loi abrogeant la loi sur le médiateur des droits de l</w:t>
      </w:r>
      <w:r>
        <w:t>’</w:t>
      </w:r>
      <w:r w:rsidRPr="00AF3EE4">
        <w:t xml:space="preserve">homme de la Republika Srpska </w:t>
      </w:r>
      <w:r>
        <w:t>−</w:t>
      </w:r>
      <w:r w:rsidRPr="00AF3EE4">
        <w:t xml:space="preserve"> Protecteur des droits de l</w:t>
      </w:r>
      <w:r>
        <w:t>’</w:t>
      </w:r>
      <w:r w:rsidRPr="00AF3EE4">
        <w:t>homme (Journal officiel de Republika Srpska, n</w:t>
      </w:r>
      <w:r w:rsidRPr="00AF3EE4">
        <w:rPr>
          <w:vertAlign w:val="superscript"/>
        </w:rPr>
        <w:t>o</w:t>
      </w:r>
      <w:r w:rsidRPr="00AF3EE4">
        <w:t xml:space="preserve"> 118/09).</w:t>
      </w:r>
    </w:p>
    <w:p w:rsidR="00FC0499" w:rsidRPr="00AF3EE4" w:rsidRDefault="00FC0499" w:rsidP="00FC0499">
      <w:pPr>
        <w:pStyle w:val="SingleTxtG"/>
      </w:pPr>
      <w:r w:rsidRPr="00AF3EE4">
        <w:t>190.</w:t>
      </w:r>
      <w:r w:rsidRPr="00AF3EE4">
        <w:tab/>
        <w:t xml:space="preserve">Les nouveaux départements ci-après ont été instaurés au sein du bureau du médiateur: département des droits des enfants, département </w:t>
      </w:r>
      <w:r>
        <w:t xml:space="preserve">de la </w:t>
      </w:r>
      <w:r w:rsidRPr="00AF3EE4">
        <w:t xml:space="preserve">protection </w:t>
      </w:r>
      <w:r>
        <w:t xml:space="preserve">des droits </w:t>
      </w:r>
      <w:r w:rsidRPr="00AF3EE4">
        <w:t xml:space="preserve">des </w:t>
      </w:r>
      <w:r>
        <w:t xml:space="preserve">personnes </w:t>
      </w:r>
      <w:r w:rsidRPr="00AF3EE4">
        <w:t>handicapé</w:t>
      </w:r>
      <w:r>
        <w:t>e</w:t>
      </w:r>
      <w:r w:rsidRPr="00AF3EE4">
        <w:t xml:space="preserve">s, département </w:t>
      </w:r>
      <w:r>
        <w:t>d</w:t>
      </w:r>
      <w:r w:rsidRPr="00AF3EE4">
        <w:t xml:space="preserve">es droits des minorités ethniques, religieuses et autres, département </w:t>
      </w:r>
      <w:r>
        <w:t>d</w:t>
      </w:r>
      <w:r w:rsidRPr="00AF3EE4">
        <w:t xml:space="preserve">es droits économiques, sociaux et culturels, département </w:t>
      </w:r>
      <w:r>
        <w:t>d</w:t>
      </w:r>
      <w:r w:rsidRPr="00AF3EE4">
        <w:t>es droits politiques et civils, département pour l</w:t>
      </w:r>
      <w:r>
        <w:t>’</w:t>
      </w:r>
      <w:r w:rsidRPr="00AF3EE4">
        <w:t xml:space="preserve">élimination de toutes les formes de discrimination, département </w:t>
      </w:r>
      <w:r>
        <w:t xml:space="preserve">de </w:t>
      </w:r>
      <w:r w:rsidRPr="00AF3EE4">
        <w:t>la protection des droits des détenus et des prisonniers.</w:t>
      </w:r>
    </w:p>
    <w:p w:rsidR="00FC0499" w:rsidRPr="00AF3EE4" w:rsidRDefault="00FC0499" w:rsidP="00FC0499">
      <w:pPr>
        <w:pStyle w:val="SingleTxtG"/>
      </w:pPr>
      <w:r w:rsidRPr="00AF3EE4">
        <w:t>191.</w:t>
      </w:r>
      <w:r w:rsidRPr="00AF3EE4">
        <w:tab/>
        <w:t>Le bureau du médiateur des droits de l</w:t>
      </w:r>
      <w:r>
        <w:t>’</w:t>
      </w:r>
      <w:r w:rsidRPr="00AF3EE4">
        <w:t>homme de Bosnie-Herzégovine et les institutions des médiateurs des Entités ont fusionné et un mécanisme national pour la protection des droits de l</w:t>
      </w:r>
      <w:r>
        <w:t>’</w:t>
      </w:r>
      <w:r w:rsidRPr="00AF3EE4">
        <w:t>homme en Bosnie-Herzégovine a été mis en place.</w:t>
      </w:r>
    </w:p>
    <w:p w:rsidR="00FC0499" w:rsidRPr="00AF3EE4" w:rsidRDefault="00FC0499" w:rsidP="00FC0499">
      <w:pPr>
        <w:pStyle w:val="SingleTxtG"/>
      </w:pPr>
      <w:r w:rsidRPr="00AF3EE4">
        <w:t>192.</w:t>
      </w:r>
      <w:r w:rsidRPr="00AF3EE4">
        <w:tab/>
        <w:t xml:space="preserve">Quinze employés des organisations des Entités travaillent à présent au sein de ce mécanisme. Toutes les affaires en cours ont été reprises, résolues et archivées. La principale difficulté réside dans le financement du personnel, car le budget des institutions de Bosnie-Herzégovine devant le prendre en charge a été réduit par rapport à 2009. Il est </w:t>
      </w:r>
      <w:r>
        <w:t xml:space="preserve">prévu </w:t>
      </w:r>
      <w:r w:rsidRPr="00AF3EE4">
        <w:t>que, à partir de décembre 2010, ces institutions s</w:t>
      </w:r>
      <w:r>
        <w:t>eront</w:t>
      </w:r>
      <w:r w:rsidRPr="00AF3EE4">
        <w:t xml:space="preserve"> financées par le budget de Bosnie-Herzégovine. Sont actuellement examinées des solutions pour assurer le financement adéquat des médiateurs de Bosnie-Herzégovine grâce à une augmentation du budget pour 2011.</w:t>
      </w:r>
    </w:p>
    <w:p w:rsidR="00FC0499" w:rsidRPr="00AF3EE4" w:rsidRDefault="00FC0499" w:rsidP="00FC0499">
      <w:pPr>
        <w:pStyle w:val="H23G"/>
      </w:pPr>
      <w:r>
        <w:tab/>
      </w:r>
      <w:r>
        <w:tab/>
      </w:r>
      <w:r w:rsidRPr="00AF3EE4">
        <w:t>Le Ministère des droits de l</w:t>
      </w:r>
      <w:r>
        <w:t>’</w:t>
      </w:r>
      <w:r w:rsidRPr="00AF3EE4">
        <w:t>homme et des réfugiés de Bosnie-Herzégovine</w:t>
      </w:r>
    </w:p>
    <w:p w:rsidR="00FC0499" w:rsidRPr="00AF3EE4" w:rsidRDefault="00FC0499" w:rsidP="00FC0499">
      <w:pPr>
        <w:pStyle w:val="SingleTxtG"/>
        <w:rPr>
          <w:lang w:val="en-US"/>
        </w:rPr>
      </w:pPr>
      <w:r w:rsidRPr="00AF3EE4">
        <w:t>193.</w:t>
      </w:r>
      <w:r w:rsidRPr="00AF3EE4">
        <w:tab/>
        <w:t>Le Ministère des droits de l</w:t>
      </w:r>
      <w:r>
        <w:t>’</w:t>
      </w:r>
      <w:r w:rsidRPr="00AF3EE4">
        <w:t>homme et des réfugiés de Bosnie-Herzégovine a été créé en avril 2000</w:t>
      </w:r>
      <w:r>
        <w:t xml:space="preserve"> et investit</w:t>
      </w:r>
      <w:r w:rsidRPr="00AF3EE4">
        <w:t xml:space="preserve"> notamment des responsabilités suivantes: la</w:t>
      </w:r>
      <w:r>
        <w:t xml:space="preserve"> </w:t>
      </w:r>
      <w:r w:rsidRPr="00AF3EE4">
        <w:t>promotion et la protection des droits et libertés individuels et collectifs; la conception et la mise en</w:t>
      </w:r>
      <w:r>
        <w:t xml:space="preserve"> </w:t>
      </w:r>
      <w:r w:rsidRPr="00AF3EE4">
        <w:t>œuvre des activités entreprises en exécution des obligations liées à l</w:t>
      </w:r>
      <w:r>
        <w:t>’</w:t>
      </w:r>
      <w:r w:rsidRPr="00AF3EE4">
        <w:t>adhésion de la</w:t>
      </w:r>
      <w:r>
        <w:t xml:space="preserve"> </w:t>
      </w:r>
      <w:r w:rsidRPr="00AF3EE4">
        <w:t>Bosnie-Herzégovine aux organisations euro</w:t>
      </w:r>
      <w:r w:rsidRPr="00AF3EE4">
        <w:noBreakHyphen/>
        <w:t>atlantiques, en particulier celles qui permettent la</w:t>
      </w:r>
      <w:r>
        <w:t xml:space="preserve"> </w:t>
      </w:r>
      <w:r w:rsidRPr="00AF3EE4">
        <w:t>mise en œuvre de la Convention européenne de sauvegarde des droits de l</w:t>
      </w:r>
      <w:r>
        <w:t>’</w:t>
      </w:r>
      <w:r w:rsidRPr="00AF3EE4">
        <w:t>homme et des libertés fondamentales et ses protocoles</w:t>
      </w:r>
      <w:r>
        <w:t xml:space="preserve"> </w:t>
      </w:r>
      <w:r w:rsidRPr="00AF3EE4">
        <w:t>et la création de l</w:t>
      </w:r>
      <w:r>
        <w:t>’</w:t>
      </w:r>
      <w:r w:rsidRPr="00AF3EE4">
        <w:t>Agence pour l</w:t>
      </w:r>
      <w:r>
        <w:t>’</w:t>
      </w:r>
      <w:r w:rsidRPr="00AF3EE4">
        <w:t xml:space="preserve">égalité entre les </w:t>
      </w:r>
      <w:r>
        <w:t xml:space="preserve">sexes </w:t>
      </w:r>
      <w:r w:rsidRPr="00AF3EE4">
        <w:t>en Bosnie-Herzégovine.</w:t>
      </w:r>
    </w:p>
    <w:p w:rsidR="00FC0499" w:rsidRPr="00AF3EE4" w:rsidRDefault="00FC0499" w:rsidP="00FC0499">
      <w:pPr>
        <w:pStyle w:val="H23G"/>
      </w:pPr>
      <w:r>
        <w:tab/>
      </w:r>
      <w:r>
        <w:tab/>
      </w:r>
      <w:r w:rsidRPr="00AF3EE4">
        <w:t>L</w:t>
      </w:r>
      <w:r>
        <w:t>’</w:t>
      </w:r>
      <w:r w:rsidRPr="00AF3EE4">
        <w:t xml:space="preserve">Institut </w:t>
      </w:r>
      <w:r>
        <w:t>d</w:t>
      </w:r>
      <w:r w:rsidRPr="00AF3EE4">
        <w:t>es personnes disparues de Bosnie-Herzégovine</w:t>
      </w:r>
    </w:p>
    <w:p w:rsidR="00FC0499" w:rsidRPr="00AF3EE4" w:rsidRDefault="00FC0499" w:rsidP="00FC0499">
      <w:pPr>
        <w:pStyle w:val="SingleTxtG"/>
      </w:pPr>
      <w:r w:rsidRPr="00AF3EE4">
        <w:t>194.</w:t>
      </w:r>
      <w:r w:rsidRPr="00AF3EE4">
        <w:tab/>
        <w:t>La loi sur les personnes disparues (Journal officiel de Bosnie-Herzégovine, n</w:t>
      </w:r>
      <w:r w:rsidRPr="00AF3EE4">
        <w:rPr>
          <w:vertAlign w:val="superscript"/>
        </w:rPr>
        <w:t>o</w:t>
      </w:r>
      <w:r w:rsidRPr="00AF3EE4">
        <w:t xml:space="preserve"> 50/04) a été adoptée à la fin de 2004. Elle établit les principes visant à améliorer les procédures de recherche, la définition d</w:t>
      </w:r>
      <w:r>
        <w:t>’une</w:t>
      </w:r>
      <w:r w:rsidRPr="00AF3EE4">
        <w:t xml:space="preserve"> personne disparue, les modalités de tenue d</w:t>
      </w:r>
      <w:r>
        <w:t>’</w:t>
      </w:r>
      <w:r w:rsidRPr="00AF3EE4">
        <w:t>un fichier central, l</w:t>
      </w:r>
      <w:r>
        <w:t>’</w:t>
      </w:r>
      <w:r w:rsidRPr="00AF3EE4">
        <w:t>exercice des droits sociaux et autres par les membres des familles de personnes disparues, ainsi que d</w:t>
      </w:r>
      <w:r>
        <w:t>’</w:t>
      </w:r>
      <w:r w:rsidRPr="00AF3EE4">
        <w:t>autres questions touchant la recherche des personnes disparues à partir de la Bosnie-Herzé</w:t>
      </w:r>
      <w:r>
        <w:t>govine et en Bosnie-Herzégovine</w:t>
      </w:r>
      <w:r w:rsidRPr="00AF3EE4">
        <w:t>.</w:t>
      </w:r>
    </w:p>
    <w:p w:rsidR="00FC0499" w:rsidRPr="00AF3EE4" w:rsidRDefault="00FC0499" w:rsidP="00FC0499">
      <w:pPr>
        <w:pStyle w:val="SingleTxtG"/>
      </w:pPr>
      <w:r w:rsidRPr="00AF3EE4">
        <w:t>195.</w:t>
      </w:r>
      <w:r w:rsidRPr="00AF3EE4">
        <w:tab/>
        <w:t>La loi précitée énonce et garantit les pleins droits pour les familles des personnes disparues de savoir ce qu</w:t>
      </w:r>
      <w:r>
        <w:t>’</w:t>
      </w:r>
      <w:r w:rsidRPr="00AF3EE4">
        <w:t>il est advenu de leurs parents et proches disparus, où ils se trouvent, ou s</w:t>
      </w:r>
      <w:r>
        <w:t>’</w:t>
      </w:r>
      <w:r w:rsidRPr="00AF3EE4">
        <w:t>ils sont décédés, de connaître les circonstances, la cause de la mort et le lieu d</w:t>
      </w:r>
      <w:r>
        <w:t>’</w:t>
      </w:r>
      <w:r w:rsidRPr="00AF3EE4">
        <w:t>ensevelissement s</w:t>
      </w:r>
      <w:r>
        <w:t>’</w:t>
      </w:r>
      <w:r w:rsidRPr="00AF3EE4">
        <w:t>il est connu, et le droit d</w:t>
      </w:r>
      <w:r>
        <w:t>’obtenir leur dépouille.</w:t>
      </w:r>
      <w:r w:rsidRPr="00AF3EE4">
        <w:t xml:space="preserve"> Les autorités sont tenues de fournir les informations disponibles aux familles des personnes disparues et aux institutions ayant compétence pour rechercher les personnes disparues, ainsi que toute l</w:t>
      </w:r>
      <w:r>
        <w:t>’</w:t>
      </w:r>
      <w:r w:rsidRPr="00AF3EE4">
        <w:t>assistance permettant d</w:t>
      </w:r>
      <w:r>
        <w:t>’</w:t>
      </w:r>
      <w:r w:rsidRPr="00AF3EE4">
        <w:t>améliorer les procédures de recherche et d</w:t>
      </w:r>
      <w:r>
        <w:t>’</w:t>
      </w:r>
      <w:r w:rsidRPr="00AF3EE4">
        <w:t>élucider les cas de disparition de personnes</w:t>
      </w:r>
      <w:r>
        <w:t xml:space="preserve"> originaires ou non </w:t>
      </w:r>
      <w:r w:rsidRPr="00AF3EE4">
        <w:t xml:space="preserve">de </w:t>
      </w:r>
      <w:r>
        <w:t>Bosnie-Herzégovine</w:t>
      </w:r>
      <w:r w:rsidRPr="00AF3EE4">
        <w:t>.</w:t>
      </w:r>
    </w:p>
    <w:p w:rsidR="00FC0499" w:rsidRPr="00AF3EE4" w:rsidRDefault="00FC0499" w:rsidP="00FC0499">
      <w:pPr>
        <w:pStyle w:val="SingleTxtG"/>
      </w:pPr>
      <w:r w:rsidRPr="00AF3EE4">
        <w:t>196.</w:t>
      </w:r>
      <w:r w:rsidRPr="00AF3EE4">
        <w:tab/>
        <w:t>Afin de faire progresser le processus de recherche et d</w:t>
      </w:r>
      <w:r>
        <w:t>’</w:t>
      </w:r>
      <w:r w:rsidRPr="00AF3EE4">
        <w:t>identifier de manière efficace les restes des personnes disparues</w:t>
      </w:r>
      <w:r>
        <w:t>, une institution indépendante ayant pour mission de rechercher les personnes disparues originaires ou non</w:t>
      </w:r>
      <w:r w:rsidRPr="00AF3EE4">
        <w:t xml:space="preserve"> </w:t>
      </w:r>
      <w:r>
        <w:t xml:space="preserve">de </w:t>
      </w:r>
      <w:r w:rsidRPr="00AF3EE4">
        <w:t>Bosnie-Herzégovine</w:t>
      </w:r>
      <w:r>
        <w:t xml:space="preserve"> a été créée, au niveau de l’État, à savoir l’Institut des personnes disparues de Bosnie-Herzégovine </w:t>
      </w:r>
      <w:r w:rsidRPr="00AF3EE4">
        <w:t>(ci</w:t>
      </w:r>
      <w:r>
        <w:noBreakHyphen/>
      </w:r>
      <w:r w:rsidRPr="00AF3EE4">
        <w:t>après l</w:t>
      </w:r>
      <w:r>
        <w:t>’</w:t>
      </w:r>
      <w:r w:rsidRPr="00AF3EE4">
        <w:t>Institut). Les cofondateurs de l</w:t>
      </w:r>
      <w:r>
        <w:t>’</w:t>
      </w:r>
      <w:r w:rsidRPr="00AF3EE4">
        <w:t>Institut sont le Conseil des ministres de Bosnie-Herzégovine et la Commission interna</w:t>
      </w:r>
      <w:r>
        <w:t>tionale des personnes disparues</w:t>
      </w:r>
      <w:r w:rsidRPr="00AF3EE4">
        <w:t>.</w:t>
      </w:r>
    </w:p>
    <w:p w:rsidR="00FC0499" w:rsidRPr="00AF3EE4" w:rsidRDefault="00FC0499" w:rsidP="00FC0499">
      <w:pPr>
        <w:pStyle w:val="SingleTxtG"/>
      </w:pPr>
      <w:r w:rsidRPr="00AF3EE4">
        <w:t>197.</w:t>
      </w:r>
      <w:r w:rsidRPr="00AF3EE4">
        <w:tab/>
        <w:t>Bien que la loi prévoie la création du Fonds d</w:t>
      </w:r>
      <w:r>
        <w:t>’</w:t>
      </w:r>
      <w:r w:rsidRPr="00AF3EE4">
        <w:t>aide aux familles de personnes disparues, cette organisation administrative indépendante n</w:t>
      </w:r>
      <w:r>
        <w:t>’</w:t>
      </w:r>
      <w:r w:rsidRPr="00AF3EE4">
        <w:t>a pas encore débuté ses travaux, car les gouvernements de la Fédération de Bosnie-Herzégovine, de la Republika Srpska et du district de Br</w:t>
      </w:r>
      <w:r w:rsidR="00F32136">
        <w:t>c</w:t>
      </w:r>
      <w:r w:rsidRPr="00AF3EE4">
        <w:t xml:space="preserve">ko ne sont pas parvenus à </w:t>
      </w:r>
      <w:r>
        <w:t xml:space="preserve">un accord sur le </w:t>
      </w:r>
      <w:r w:rsidRPr="00AF3EE4">
        <w:t>pourcentage du budget du Fonds</w:t>
      </w:r>
      <w:r>
        <w:t xml:space="preserve"> qu’ils allaient financer</w:t>
      </w:r>
      <w:r w:rsidRPr="00AF3EE4">
        <w:t xml:space="preserve">. Les questions liées au financement et au siège ont été </w:t>
      </w:r>
      <w:r>
        <w:t xml:space="preserve">renvoyées </w:t>
      </w:r>
      <w:r w:rsidRPr="00AF3EE4">
        <w:t>aux autorités compétentes et des solutions sont attendues rapidement.</w:t>
      </w:r>
    </w:p>
    <w:p w:rsidR="00FC0499" w:rsidRPr="00AF3EE4" w:rsidRDefault="00FC0499" w:rsidP="00FC0499">
      <w:pPr>
        <w:pStyle w:val="SingleTxtG"/>
      </w:pPr>
      <w:r w:rsidRPr="00AF3EE4">
        <w:t>198.</w:t>
      </w:r>
      <w:r w:rsidRPr="00AF3EE4">
        <w:tab/>
        <w:t>L</w:t>
      </w:r>
      <w:r>
        <w:t>’</w:t>
      </w:r>
      <w:r w:rsidRPr="00AF3EE4">
        <w:t xml:space="preserve">importance de </w:t>
      </w:r>
      <w:r>
        <w:t xml:space="preserve">la question du financement des activités </w:t>
      </w:r>
      <w:r w:rsidRPr="00AF3EE4">
        <w:t>de l</w:t>
      </w:r>
      <w:r>
        <w:t>’</w:t>
      </w:r>
      <w:r w:rsidRPr="00AF3EE4">
        <w:t xml:space="preserve">Institut découle du fait que la Bosnie-Herzégovine </w:t>
      </w:r>
      <w:r>
        <w:t xml:space="preserve">cherche </w:t>
      </w:r>
      <w:r w:rsidRPr="00AF3EE4">
        <w:t xml:space="preserve">toujours </w:t>
      </w:r>
      <w:r>
        <w:t xml:space="preserve">à élucider les cas </w:t>
      </w:r>
      <w:r w:rsidRPr="00AF3EE4">
        <w:t>de 8</w:t>
      </w:r>
      <w:r>
        <w:t xml:space="preserve"> </w:t>
      </w:r>
      <w:r w:rsidRPr="00AF3EE4">
        <w:t>000 personnes disparues</w:t>
      </w:r>
      <w:r>
        <w:t xml:space="preserve"> et à les retrouver</w:t>
      </w:r>
      <w:r w:rsidRPr="00AF3EE4">
        <w:t>. La protection des droits de l</w:t>
      </w:r>
      <w:r>
        <w:t>’</w:t>
      </w:r>
      <w:r w:rsidRPr="00AF3EE4">
        <w:t xml:space="preserve">homme et des libertés fondamentales est </w:t>
      </w:r>
      <w:r>
        <w:t xml:space="preserve">une tâche importante </w:t>
      </w:r>
      <w:r w:rsidRPr="00AF3EE4">
        <w:t>assurée par les commissions et comités parlementaires ci-après, qui sont des organes de travail permanents de l</w:t>
      </w:r>
      <w:r>
        <w:t>’</w:t>
      </w:r>
      <w:r w:rsidRPr="00AF3EE4">
        <w:t>Assemblée parlementaire de Bosnie-Herzégovine: la Commission mixte des droits de l</w:t>
      </w:r>
      <w:r>
        <w:t>’</w:t>
      </w:r>
      <w:r w:rsidRPr="00AF3EE4">
        <w:t>homme, des droits de l</w:t>
      </w:r>
      <w:r>
        <w:t>’</w:t>
      </w:r>
      <w:r w:rsidRPr="00AF3EE4">
        <w:t>enfant, de la jeunesse, de l</w:t>
      </w:r>
      <w:r>
        <w:t>’</w:t>
      </w:r>
      <w:r w:rsidRPr="00AF3EE4">
        <w:t>immigration, des réfugiés, des demandeurs d</w:t>
      </w:r>
      <w:r>
        <w:t>’</w:t>
      </w:r>
      <w:r w:rsidRPr="00AF3EE4">
        <w:t>asile et de l</w:t>
      </w:r>
      <w:r>
        <w:t>’</w:t>
      </w:r>
      <w:r w:rsidRPr="00AF3EE4">
        <w:t>éthique; la Commission des droits de l</w:t>
      </w:r>
      <w:r>
        <w:t>’</w:t>
      </w:r>
      <w:r w:rsidRPr="00AF3EE4">
        <w:t>homme et des libertés de la Chambre des peuples du Parlement de la Fédération de Bosnie-Herzégovine; la Commission des droits de l</w:t>
      </w:r>
      <w:r>
        <w:t>’</w:t>
      </w:r>
      <w:r w:rsidRPr="00AF3EE4">
        <w:t>homme et des libertés de la Chambre des représentants de la Fédération de Bosnie-Herzégovine; enfin, le Comité pour l</w:t>
      </w:r>
      <w:r>
        <w:t>’</w:t>
      </w:r>
      <w:r w:rsidRPr="00AF3EE4">
        <w:t>égalité des chances de l</w:t>
      </w:r>
      <w:r>
        <w:t>’</w:t>
      </w:r>
      <w:r w:rsidRPr="00AF3EE4">
        <w:t>Assemblée nationale de la Republika Srpska. Ces organes de travail traitent en général de problèmes de protection des droits de l</w:t>
      </w:r>
      <w:r>
        <w:t>’</w:t>
      </w:r>
      <w:r w:rsidRPr="00AF3EE4">
        <w:t>homme souvent signalés par les médiateurs, les citoyens, les organisations politiques, les organisations de la société civile, ainsi que d</w:t>
      </w:r>
      <w:r>
        <w:t>’</w:t>
      </w:r>
      <w:r w:rsidRPr="00AF3EE4">
        <w:t xml:space="preserve">autres organisations et communautés. </w:t>
      </w:r>
      <w:r>
        <w:t xml:space="preserve">Ils en </w:t>
      </w:r>
      <w:r w:rsidRPr="00AF3EE4">
        <w:t xml:space="preserve">informent les autorités compétentes </w:t>
      </w:r>
      <w:r>
        <w:t>qui étudient et prennent les</w:t>
      </w:r>
      <w:r w:rsidRPr="00AF3EE4">
        <w:t xml:space="preserve"> décisions et mesures appropriées.</w:t>
      </w:r>
    </w:p>
    <w:p w:rsidR="00FC0499" w:rsidRPr="00AF3EE4" w:rsidRDefault="00FC0499" w:rsidP="00FC0499">
      <w:pPr>
        <w:pStyle w:val="H23G"/>
      </w:pPr>
      <w:r>
        <w:tab/>
      </w:r>
      <w:r>
        <w:tab/>
      </w:r>
      <w:r w:rsidRPr="00AF3EE4">
        <w:t>Le rôle de la société civile</w:t>
      </w:r>
    </w:p>
    <w:p w:rsidR="00FC0499" w:rsidRPr="00AF3EE4" w:rsidRDefault="00FC0499" w:rsidP="00FC0499">
      <w:pPr>
        <w:pStyle w:val="SingleTxtG"/>
      </w:pPr>
      <w:r w:rsidRPr="00AF3EE4">
        <w:t>199.</w:t>
      </w:r>
      <w:r w:rsidRPr="00AF3EE4">
        <w:tab/>
        <w:t>La Bosnie-Herzégovine s</w:t>
      </w:r>
      <w:r>
        <w:t>’</w:t>
      </w:r>
      <w:r w:rsidRPr="00AF3EE4">
        <w:t>attache de plus en plus à intégrer le secteur non gouvernemental dans tous les aspects de la société. Ainsi, le secteur non gouvernemental joue un rôle toujours plus important dans la direction des affaires publiques et dans la prestation de services dans le cadre d</w:t>
      </w:r>
      <w:r>
        <w:t>’</w:t>
      </w:r>
      <w:r w:rsidRPr="00AF3EE4">
        <w:t>activités liées à la protection des intérêts publics touchant les citoyens.</w:t>
      </w:r>
    </w:p>
    <w:p w:rsidR="00FC0499" w:rsidRPr="00AF3EE4" w:rsidRDefault="00FC0499" w:rsidP="00FC0499">
      <w:pPr>
        <w:pStyle w:val="SingleTxtG"/>
      </w:pPr>
      <w:r w:rsidRPr="00AF3EE4">
        <w:t>200.</w:t>
      </w:r>
      <w:r w:rsidRPr="00AF3EE4">
        <w:tab/>
        <w:t xml:space="preserve">Le statut juridique du secteur non gouvernemental est régi par les dispositions de la Constitution de Bosnie-Herzégovine et des Constitutions des Entités. </w:t>
      </w:r>
      <w:r>
        <w:t xml:space="preserve">C’est sur cette base que </w:t>
      </w:r>
      <w:r w:rsidRPr="00AF3EE4">
        <w:t>la loi sur les associations et les fondations (Journal officiel de Bosnie-Herzégovine, n</w:t>
      </w:r>
      <w:r w:rsidRPr="00AF3EE4">
        <w:rPr>
          <w:vertAlign w:val="superscript"/>
        </w:rPr>
        <w:t>o</w:t>
      </w:r>
      <w:r>
        <w:t> </w:t>
      </w:r>
      <w:r w:rsidRPr="00AF3EE4">
        <w:t>32/01 et n</w:t>
      </w:r>
      <w:r w:rsidRPr="00AF3EE4">
        <w:rPr>
          <w:vertAlign w:val="superscript"/>
        </w:rPr>
        <w:t>o</w:t>
      </w:r>
      <w:r>
        <w:t> </w:t>
      </w:r>
      <w:r w:rsidRPr="00AF3EE4">
        <w:t>42/03) a été adoptée et sa valeur incontestable repose sur le fait qu</w:t>
      </w:r>
      <w:r>
        <w:t>’</w:t>
      </w:r>
      <w:r w:rsidRPr="00AF3EE4">
        <w:t>elle place au même niveau toutes les personnes où qu</w:t>
      </w:r>
      <w:r>
        <w:t>’</w:t>
      </w:r>
      <w:r w:rsidRPr="00AF3EE4">
        <w:t>elles se trouvent sur le territoire</w:t>
      </w:r>
      <w:r>
        <w:t xml:space="preserve"> et leur permet</w:t>
      </w:r>
      <w:r w:rsidRPr="00AF3EE4">
        <w:t xml:space="preserve"> d</w:t>
      </w:r>
      <w:r>
        <w:t>’</w:t>
      </w:r>
      <w:r w:rsidRPr="00AF3EE4">
        <w:t>exercer et protéger, dans les mêmes conditions, leur droit internationalement reconnu de se constituer librement en association.</w:t>
      </w:r>
    </w:p>
    <w:p w:rsidR="00FC0499" w:rsidRPr="00AF3EE4" w:rsidRDefault="00FC0499" w:rsidP="00FC0499">
      <w:pPr>
        <w:pStyle w:val="SingleTxtG"/>
      </w:pPr>
      <w:r w:rsidRPr="00AF3EE4">
        <w:t>201.</w:t>
      </w:r>
      <w:r w:rsidRPr="00AF3EE4">
        <w:tab/>
        <w:t xml:space="preserve">Le Département de la société civile, dont les compétences sont très larges, a été créé </w:t>
      </w:r>
      <w:r>
        <w:t xml:space="preserve">sous la tutelle du </w:t>
      </w:r>
      <w:r w:rsidRPr="00AF3EE4">
        <w:t xml:space="preserve">Ministère de la justice pour apporter un soutien institutionnel aux organisations de la société civile en Bosnie-Herzégovine. Outre les obligations </w:t>
      </w:r>
      <w:r>
        <w:t xml:space="preserve">relatives </w:t>
      </w:r>
      <w:r w:rsidRPr="00AF3EE4">
        <w:t>à l</w:t>
      </w:r>
      <w:r>
        <w:t>’</w:t>
      </w:r>
      <w:r w:rsidRPr="00AF3EE4">
        <w:t>élaboration de la Stratégie visant à créer un environnement favorable au développement de la société civile de Bosnie-Herzégovine, pour l</w:t>
      </w:r>
      <w:r>
        <w:t>aquelle</w:t>
      </w:r>
      <w:r w:rsidRPr="00AF3EE4">
        <w:t xml:space="preserve"> des propositions ont déjà été faites, tout est fait pour permettre aux organisations non gouvernementales de jouer un rôle important dans le processus législatif, notamment au stade consultatif.</w:t>
      </w:r>
    </w:p>
    <w:p w:rsidR="00FC0499" w:rsidRPr="00AF3EE4" w:rsidRDefault="00FC0499" w:rsidP="00FC0499">
      <w:pPr>
        <w:pStyle w:val="SingleTxtG"/>
      </w:pPr>
      <w:r w:rsidRPr="00AF3EE4">
        <w:t>202.</w:t>
      </w:r>
      <w:r w:rsidRPr="00AF3EE4">
        <w:tab/>
        <w:t>À cet égard, il incombe au secteur des administrations publiques d</w:t>
      </w:r>
      <w:r>
        <w:t>’</w:t>
      </w:r>
      <w:r w:rsidRPr="00AF3EE4">
        <w:t>assurer l</w:t>
      </w:r>
      <w:r>
        <w:t>’</w:t>
      </w:r>
      <w:r w:rsidRPr="00AF3EE4">
        <w:t>indépendance du secteur non gouvernemental, de lui apporter un soutien matériel et financier et d</w:t>
      </w:r>
      <w:r>
        <w:t>’</w:t>
      </w:r>
      <w:r w:rsidRPr="00AF3EE4">
        <w:t>élaborer des solutions juridiques et autres qui lui permettront de se renforcer. Le secteur non gouvernemental doit, quant à lui, adopter une attitude plus responsable dans l</w:t>
      </w:r>
      <w:r>
        <w:t>’</w:t>
      </w:r>
      <w:r w:rsidRPr="00AF3EE4">
        <w:t>exécution de ses obligations et dans l</w:t>
      </w:r>
      <w:r>
        <w:t>’</w:t>
      </w:r>
      <w:r w:rsidRPr="00AF3EE4">
        <w:t>utilisation des ressources disponibles et s</w:t>
      </w:r>
      <w:r>
        <w:t>’</w:t>
      </w:r>
      <w:r w:rsidRPr="00AF3EE4">
        <w:t xml:space="preserve">associer </w:t>
      </w:r>
      <w:r>
        <w:t xml:space="preserve">spontanément </w:t>
      </w:r>
      <w:r w:rsidRPr="00AF3EE4">
        <w:t>au développement global et à l</w:t>
      </w:r>
      <w:r>
        <w:t>’</w:t>
      </w:r>
      <w:r w:rsidRPr="00AF3EE4">
        <w:t xml:space="preserve">effort de communication, tout en </w:t>
      </w:r>
      <w:r>
        <w:t xml:space="preserve">s’efforçant </w:t>
      </w:r>
      <w:r w:rsidRPr="00AF3EE4">
        <w:t>de renforcer et d</w:t>
      </w:r>
      <w:r>
        <w:t>’</w:t>
      </w:r>
      <w:r w:rsidRPr="00AF3EE4">
        <w:t>améliorer constamment la qualité de son travail et de ses activités.</w:t>
      </w:r>
    </w:p>
    <w:p w:rsidR="00FC0499" w:rsidRPr="00AF3EE4" w:rsidRDefault="00FC0499" w:rsidP="00FC0499">
      <w:pPr>
        <w:pStyle w:val="H1G"/>
      </w:pPr>
      <w:r>
        <w:tab/>
      </w:r>
      <w:r w:rsidRPr="00AF3EE4">
        <w:t>D.</w:t>
      </w:r>
      <w:r>
        <w:tab/>
      </w:r>
      <w:r w:rsidRPr="00AF3EE4">
        <w:t>Établissement de rapports au niveau national</w:t>
      </w:r>
    </w:p>
    <w:p w:rsidR="00FC0499" w:rsidRPr="00AF3EE4" w:rsidRDefault="00FC0499" w:rsidP="00FC0499">
      <w:pPr>
        <w:pStyle w:val="SingleTxtG"/>
      </w:pPr>
      <w:r w:rsidRPr="00AF3EE4">
        <w:t>203.</w:t>
      </w:r>
      <w:r w:rsidRPr="00AF3EE4">
        <w:tab/>
        <w:t>La Bosnie-Herzégovine prépare actuellement un rapport sur l</w:t>
      </w:r>
      <w:r>
        <w:t>’</w:t>
      </w:r>
      <w:r w:rsidRPr="00AF3EE4">
        <w:t>application des instruments internationaux relatifs aux droits de l</w:t>
      </w:r>
      <w:r>
        <w:t>’</w:t>
      </w:r>
      <w:r w:rsidRPr="00AF3EE4">
        <w:t xml:space="preserve">homme et, conformément aux procédures établies, elle </w:t>
      </w:r>
      <w:r>
        <w:t xml:space="preserve">désigne </w:t>
      </w:r>
      <w:r w:rsidRPr="00AF3EE4">
        <w:t>des groupes de travail interministériels chargés de participer à la préparation des rapports à soumettre aux comités compétents. Le Ministère des droits de l</w:t>
      </w:r>
      <w:r>
        <w:t>’</w:t>
      </w:r>
      <w:r w:rsidRPr="00AF3EE4">
        <w:t>homme et des réfugiés de Bosnie-Herzégovine joue un rôle de coordination dans la préparation des rapports de la Bosnie-Herzégovine.</w:t>
      </w:r>
    </w:p>
    <w:p w:rsidR="00FC0499" w:rsidRPr="00AF3EE4" w:rsidRDefault="00FC0499" w:rsidP="00FC0499">
      <w:pPr>
        <w:pStyle w:val="SingleTxtG"/>
      </w:pPr>
      <w:r w:rsidRPr="00AF3EE4">
        <w:t>204.</w:t>
      </w:r>
      <w:r w:rsidRPr="00AF3EE4">
        <w:tab/>
        <w:t>Les groupes de travail in</w:t>
      </w:r>
      <w:r>
        <w:t>terministériels se composent de</w:t>
      </w:r>
      <w:r w:rsidRPr="00AF3EE4">
        <w:t xml:space="preserve"> représentants des institutions compétentes au nive</w:t>
      </w:r>
      <w:r>
        <w:t>au de la Bosnie-Herzégovine, de</w:t>
      </w:r>
      <w:r w:rsidRPr="00AF3EE4">
        <w:t xml:space="preserve"> représentants d</w:t>
      </w:r>
      <w:r>
        <w:t>es ministères des Entités et de</w:t>
      </w:r>
      <w:r w:rsidRPr="00AF3EE4">
        <w:t xml:space="preserve"> représentants du district d</w:t>
      </w:r>
      <w:r w:rsidR="00F32136">
        <w:t>e Brc</w:t>
      </w:r>
      <w:r w:rsidRPr="00AF3EE4">
        <w:t xml:space="preserve">ko. Ainsi, tous les niveaux du </w:t>
      </w:r>
      <w:r>
        <w:t>G</w:t>
      </w:r>
      <w:r w:rsidRPr="00AF3EE4">
        <w:t>ouvernement de Bosnie-Herzégovine y sont représentés. Les représentants du secteur non gouvernemental y participent également activement.</w:t>
      </w:r>
    </w:p>
    <w:p w:rsidR="00FC0499" w:rsidRPr="00AF3EE4" w:rsidRDefault="00FC0499" w:rsidP="00FC0499">
      <w:pPr>
        <w:pStyle w:val="SingleTxtG"/>
      </w:pPr>
      <w:r w:rsidRPr="00AF3EE4">
        <w:t>205.</w:t>
      </w:r>
      <w:r w:rsidRPr="00AF3EE4">
        <w:tab/>
        <w:t xml:space="preserve">En avril 2007, le Conseil des ministres a conclu un accord de coopération avec le secteur </w:t>
      </w:r>
      <w:r>
        <w:t xml:space="preserve">des organisations </w:t>
      </w:r>
      <w:r w:rsidRPr="00AF3EE4">
        <w:t>non gouvernemental</w:t>
      </w:r>
      <w:r>
        <w:t>es</w:t>
      </w:r>
      <w:r w:rsidRPr="00AF3EE4">
        <w:t xml:space="preserve"> de Bosnie-Herzégovine. Cet accord prévoit un cadre qui aidera à orienter l</w:t>
      </w:r>
      <w:r>
        <w:t>es</w:t>
      </w:r>
      <w:r w:rsidRPr="00AF3EE4">
        <w:t xml:space="preserve"> relation</w:t>
      </w:r>
      <w:r>
        <w:t>s</w:t>
      </w:r>
      <w:r w:rsidRPr="00AF3EE4">
        <w:t xml:space="preserve"> commune</w:t>
      </w:r>
      <w:r>
        <w:t>s à tous les niveaux du G</w:t>
      </w:r>
      <w:r w:rsidRPr="00AF3EE4">
        <w:t xml:space="preserve">ouvernement, du niveau </w:t>
      </w:r>
      <w:r>
        <w:t xml:space="preserve">local </w:t>
      </w:r>
      <w:r w:rsidRPr="00AF3EE4">
        <w:t xml:space="preserve">au niveau national. Le secteur </w:t>
      </w:r>
      <w:r>
        <w:t xml:space="preserve">des ONG joue un rôle important dans </w:t>
      </w:r>
      <w:r w:rsidRPr="00AF3EE4">
        <w:t>la société, car les organisations non gouvernementales constituent un troisième secteur travaillant de concert avec le</w:t>
      </w:r>
      <w:r>
        <w:t>s</w:t>
      </w:r>
      <w:r w:rsidRPr="00AF3EE4">
        <w:t xml:space="preserve"> secteur</w:t>
      </w:r>
      <w:r>
        <w:t>s</w:t>
      </w:r>
      <w:r w:rsidRPr="00AF3EE4">
        <w:t xml:space="preserve"> des administrations publiques et des </w:t>
      </w:r>
      <w:r>
        <w:t>entreprises</w:t>
      </w:r>
      <w:r w:rsidRPr="00AF3EE4">
        <w:t>. L</w:t>
      </w:r>
      <w:r>
        <w:t>’</w:t>
      </w:r>
      <w:r w:rsidRPr="00AF3EE4">
        <w:t xml:space="preserve">accord précité a pour objectif de créer une </w:t>
      </w:r>
      <w:r>
        <w:t xml:space="preserve">nouvelle formule de </w:t>
      </w:r>
      <w:r w:rsidRPr="00AF3EE4">
        <w:t xml:space="preserve">partenariat entre le Conseil des ministres du pays et le secteur </w:t>
      </w:r>
      <w:r>
        <w:t>des ONG</w:t>
      </w:r>
      <w:r w:rsidRPr="00AF3EE4">
        <w:t>.</w:t>
      </w:r>
    </w:p>
    <w:p w:rsidR="00FC0499" w:rsidRPr="00AF3EE4" w:rsidRDefault="00FC0499" w:rsidP="00FC0499">
      <w:pPr>
        <w:pStyle w:val="SingleTxtG"/>
      </w:pPr>
      <w:r w:rsidRPr="00AF3EE4">
        <w:t>206.</w:t>
      </w:r>
      <w:r w:rsidRPr="00AF3EE4">
        <w:tab/>
        <w:t>À cet égard, les organisations non gouvernementales participent à des entretiens publics menés à des fins de consultation avec la société civile et donnent des suggestions et des opinions sur les projets de rapports. Des tables rondes et des séminaires sont également organisés dans le cadre de l</w:t>
      </w:r>
      <w:r>
        <w:t>’</w:t>
      </w:r>
      <w:r w:rsidRPr="00AF3EE4">
        <w:t>établissement des rapports de la Bosnie-Herzégovine.</w:t>
      </w:r>
    </w:p>
    <w:p w:rsidR="00FC0499" w:rsidRPr="00AF3EE4" w:rsidRDefault="00FC0499" w:rsidP="00FC0499">
      <w:pPr>
        <w:pStyle w:val="SingleTxtG"/>
      </w:pPr>
      <w:r w:rsidRPr="00AF3EE4">
        <w:t>207.</w:t>
      </w:r>
      <w:r w:rsidRPr="00AF3EE4">
        <w:tab/>
        <w:t>Le projet de rapport est soumis à l</w:t>
      </w:r>
      <w:r>
        <w:t>’</w:t>
      </w:r>
      <w:r w:rsidRPr="00AF3EE4">
        <w:t>examen d</w:t>
      </w:r>
      <w:r>
        <w:t>’</w:t>
      </w:r>
      <w:r w:rsidRPr="00AF3EE4">
        <w:t>experts éminents dans un certain nombre de domaines dont relèvent les instruments internationaux. Il est ensuite soumis aux institutions compétentes pour que celles-ci donnent leur opinion, en particulier le Bureau de la législation du Conseil des ministres de Bosnie-Herzégovine et d</w:t>
      </w:r>
      <w:r>
        <w:t>’</w:t>
      </w:r>
      <w:r w:rsidRPr="00AF3EE4">
        <w:t xml:space="preserve">autres ministères </w:t>
      </w:r>
      <w:r>
        <w:t>concernés</w:t>
      </w:r>
      <w:r w:rsidRPr="00AF3EE4">
        <w:t>. Après réception des opinions précitées et avant que le rapport soit présenté aux comités compétents, celui-ci est soumis, accompagné d</w:t>
      </w:r>
      <w:r>
        <w:t>’</w:t>
      </w:r>
      <w:r w:rsidRPr="00AF3EE4">
        <w:t>un projet de conclusions, au Conseil des ministres pour examen et adoption.</w:t>
      </w:r>
    </w:p>
    <w:p w:rsidR="00FC0499" w:rsidRPr="00AF3EE4" w:rsidRDefault="00FC0499" w:rsidP="00FC0499">
      <w:pPr>
        <w:pStyle w:val="SingleTxtG"/>
        <w:keepLines/>
      </w:pPr>
      <w:r w:rsidRPr="00AF3EE4">
        <w:t>208.</w:t>
      </w:r>
      <w:r w:rsidRPr="00AF3EE4">
        <w:tab/>
        <w:t>Lorsque le Conseil des ministres a adopté le rapport, le Ministère des droits de l</w:t>
      </w:r>
      <w:r>
        <w:t>’</w:t>
      </w:r>
      <w:r w:rsidRPr="00AF3EE4">
        <w:t>homme et des réfugiés le publie sur le site et envoie un avis concernant l</w:t>
      </w:r>
      <w:r>
        <w:t>’</w:t>
      </w:r>
      <w:r w:rsidRPr="00AF3EE4">
        <w:t>adoption du rapport au Conseil des ministres, à l</w:t>
      </w:r>
      <w:r>
        <w:t>’</w:t>
      </w:r>
      <w:r w:rsidRPr="00AF3EE4">
        <w:t>Assemblée parlementaire de Bosnie-Herzégovine, aux gouvernements des Entités et du district de Br</w:t>
      </w:r>
      <w:r w:rsidR="00F32136">
        <w:t>c</w:t>
      </w:r>
      <w:r w:rsidRPr="00AF3EE4">
        <w:t>ko, aux organes judiciaires et législatifs et à toutes les institutions pertinentes du pays.</w:t>
      </w:r>
    </w:p>
    <w:p w:rsidR="00FC0499" w:rsidRPr="00AF3EE4" w:rsidRDefault="00FC0499" w:rsidP="00FC0499">
      <w:pPr>
        <w:pStyle w:val="SingleTxtG"/>
      </w:pPr>
      <w:r w:rsidRPr="00AF3EE4">
        <w:t>209.</w:t>
      </w:r>
      <w:r w:rsidRPr="00AF3EE4">
        <w:tab/>
        <w:t>Certains rapports, notamment l</w:t>
      </w:r>
      <w:r>
        <w:t>’</w:t>
      </w:r>
      <w:r w:rsidRPr="00AF3EE4">
        <w:t>Examen périodique universel sur la situation des droits de l</w:t>
      </w:r>
      <w:r>
        <w:t>’</w:t>
      </w:r>
      <w:r w:rsidRPr="00AF3EE4">
        <w:t>homme en Bosnie-Herzégovine, ont été rendus publics et sont par conséquent accessibles au grand public pour consultation.</w:t>
      </w:r>
    </w:p>
    <w:p w:rsidR="00FC0499" w:rsidRPr="00AF3EE4" w:rsidRDefault="00FC0499" w:rsidP="00FC0499">
      <w:pPr>
        <w:pStyle w:val="SingleTxtG"/>
      </w:pPr>
      <w:r w:rsidRPr="00AF3EE4">
        <w:t>210.</w:t>
      </w:r>
      <w:r w:rsidRPr="00AF3EE4">
        <w:tab/>
        <w:t>Les observations et recommandations finales ainsi que le</w:t>
      </w:r>
      <w:r>
        <w:t xml:space="preserve"> projet de conclusions présenté</w:t>
      </w:r>
      <w:r w:rsidRPr="00AF3EE4">
        <w:t>s par les organis</w:t>
      </w:r>
      <w:r>
        <w:t>mes internationaux sont soumis</w:t>
      </w:r>
      <w:r w:rsidRPr="00AF3EE4">
        <w:t xml:space="preserve"> au Conseil des ministres de Bosnie-Herzégovine pour adoption. De plus, les observations finales, les recommandations du Comité et les rapports de Bosnie-Herzégovine sont présentés à toutes les autorités et institutions du pays et sont publiés sur le site du Ministère des droits de l</w:t>
      </w:r>
      <w:r>
        <w:t>’</w:t>
      </w:r>
      <w:r w:rsidRPr="00AF3EE4">
        <w:t>homme et des réfugiés de Bosnie-Herzégovine. Ils paraissent dans les trois langues officielles de Bosnie-Herzégovine et dans les deux alphabets en usage dans le pays. S</w:t>
      </w:r>
      <w:r>
        <w:t>’</w:t>
      </w:r>
      <w:r w:rsidRPr="00AF3EE4">
        <w:t>appuyant sur les observations et recommandations finales des comités compétents, le Ministère des droits de l</w:t>
      </w:r>
      <w:r>
        <w:t>’</w:t>
      </w:r>
      <w:r w:rsidRPr="00AF3EE4">
        <w:t>homme et des réfugiés a préparé un plan-cadre, adopté par le Conseil des ministres, pour l</w:t>
      </w:r>
      <w:r>
        <w:t>’</w:t>
      </w:r>
      <w:r w:rsidRPr="00AF3EE4">
        <w:t xml:space="preserve">application des recommandations finales des comités des Nations Unies pour la période 2008-2010, qui </w:t>
      </w:r>
      <w:r>
        <w:t xml:space="preserve">fait l’objet d’une mise </w:t>
      </w:r>
      <w:r w:rsidRPr="00AF3EE4">
        <w:t xml:space="preserve">en œuvre et </w:t>
      </w:r>
      <w:r>
        <w:t>d’un suivi réguliers</w:t>
      </w:r>
      <w:r w:rsidRPr="00AF3EE4">
        <w:t>.</w:t>
      </w:r>
    </w:p>
    <w:p w:rsidR="00FC0499" w:rsidRPr="00AF3EE4" w:rsidRDefault="00FC0499" w:rsidP="00FC0499">
      <w:pPr>
        <w:pStyle w:val="SingleTxtG"/>
      </w:pPr>
      <w:r w:rsidRPr="00AF3EE4">
        <w:t>211.</w:t>
      </w:r>
      <w:r w:rsidRPr="00AF3EE4">
        <w:tab/>
        <w:t>La Bosnie-Herzégovine a présenté aux comités compétents de l</w:t>
      </w:r>
      <w:r>
        <w:t>’</w:t>
      </w:r>
      <w:r w:rsidRPr="00AF3EE4">
        <w:t xml:space="preserve">Organisation des Nations Unies les rapports </w:t>
      </w:r>
      <w:r>
        <w:t xml:space="preserve">initiaux </w:t>
      </w:r>
      <w:r w:rsidRPr="00AF3EE4">
        <w:t>ci-après portant sur l</w:t>
      </w:r>
      <w:r>
        <w:t>’</w:t>
      </w:r>
      <w:r w:rsidRPr="00AF3EE4">
        <w:t>application des instruments internationaux relatifs aux droits de l</w:t>
      </w:r>
      <w:r>
        <w:t>’</w:t>
      </w:r>
      <w:r w:rsidRPr="00AF3EE4">
        <w:t>homme:</w:t>
      </w:r>
    </w:p>
    <w:p w:rsidR="00FC0499" w:rsidRPr="00AF3EE4" w:rsidRDefault="00FC0499" w:rsidP="00FC0499">
      <w:pPr>
        <w:pStyle w:val="Bullet1G"/>
      </w:pPr>
      <w:r w:rsidRPr="00AF3EE4">
        <w:t>Le rapport sur l</w:t>
      </w:r>
      <w:r>
        <w:t>’</w:t>
      </w:r>
      <w:r w:rsidRPr="00AF3EE4">
        <w:t xml:space="preserve">application de la </w:t>
      </w:r>
      <w:hyperlink r:id="rId8" w:history="1">
        <w:r w:rsidRPr="00AF3EE4">
          <w:t>Convention internationale sur l</w:t>
        </w:r>
        <w:r>
          <w:t xml:space="preserve">’élimination de toutes </w:t>
        </w:r>
        <w:r w:rsidRPr="00AF3EE4">
          <w:t>les formes de discrimination raciale</w:t>
        </w:r>
      </w:hyperlink>
      <w:r w:rsidRPr="00AF3EE4">
        <w:t xml:space="preserve">, qui a </w:t>
      </w:r>
      <w:r>
        <w:t xml:space="preserve">été examiné </w:t>
      </w:r>
      <w:r w:rsidRPr="00AF3EE4">
        <w:t>en février 2005;</w:t>
      </w:r>
    </w:p>
    <w:p w:rsidR="00FC0499" w:rsidRPr="00AF3EE4" w:rsidRDefault="00FC0499" w:rsidP="00FC0499">
      <w:pPr>
        <w:pStyle w:val="Bullet1G"/>
      </w:pPr>
      <w:r w:rsidRPr="00AF3EE4">
        <w:t>Le rapport initial au Comité des droits de l</w:t>
      </w:r>
      <w:r>
        <w:t>’</w:t>
      </w:r>
      <w:r w:rsidRPr="00AF3EE4">
        <w:t>enfant, présenté en mai 2005;</w:t>
      </w:r>
    </w:p>
    <w:p w:rsidR="00FC0499" w:rsidRPr="00AF3EE4" w:rsidRDefault="00FC0499" w:rsidP="00FC0499">
      <w:pPr>
        <w:pStyle w:val="Bullet1G"/>
      </w:pPr>
      <w:r w:rsidRPr="00AF3EE4">
        <w:t>Le rapport initial sur l</w:t>
      </w:r>
      <w:r>
        <w:t>’</w:t>
      </w:r>
      <w:r w:rsidRPr="00AF3EE4">
        <w:t>application du Pacte international relatif aux droits économiques, sociaux et culturels pour la période 1993-2003, présenté à la mi-novembre 2005;</w:t>
      </w:r>
    </w:p>
    <w:p w:rsidR="00FC0499" w:rsidRPr="00AF3EE4" w:rsidRDefault="00FC0499" w:rsidP="00FC0499">
      <w:pPr>
        <w:pStyle w:val="Bullet1G"/>
      </w:pPr>
      <w:r w:rsidRPr="00AF3EE4">
        <w:t>Le rapport sur l</w:t>
      </w:r>
      <w:r>
        <w:t>’</w:t>
      </w:r>
      <w:r w:rsidRPr="00AF3EE4">
        <w:t>application de la Convention contre la torture et autres peines ou traitements cruels, inhumains ou dégradants, présenté en novembre 2005;</w:t>
      </w:r>
    </w:p>
    <w:p w:rsidR="00FC0499" w:rsidRPr="00AF3EE4" w:rsidRDefault="00FC0499" w:rsidP="00FC0499">
      <w:pPr>
        <w:pStyle w:val="Bullet1G"/>
      </w:pPr>
      <w:r w:rsidRPr="00AF3EE4">
        <w:t>Le rapport sur l</w:t>
      </w:r>
      <w:r>
        <w:t>’</w:t>
      </w:r>
      <w:r w:rsidRPr="00AF3EE4">
        <w:t>application de la Convention sur l</w:t>
      </w:r>
      <w:r>
        <w:t>’</w:t>
      </w:r>
      <w:r w:rsidRPr="00AF3EE4">
        <w:t>élimination de toutes les formes de discrimination à l</w:t>
      </w:r>
      <w:r>
        <w:t>’</w:t>
      </w:r>
      <w:r w:rsidRPr="00AF3EE4">
        <w:t>égard des femmes, présenté en mai 2006;</w:t>
      </w:r>
    </w:p>
    <w:p w:rsidR="00FC0499" w:rsidRPr="00AF3EE4" w:rsidRDefault="00FC0499" w:rsidP="00FC0499">
      <w:pPr>
        <w:pStyle w:val="Bullet1G"/>
      </w:pPr>
      <w:r w:rsidRPr="00AF3EE4">
        <w:t>Le rapport initial sur l</w:t>
      </w:r>
      <w:r>
        <w:t>’</w:t>
      </w:r>
      <w:r w:rsidRPr="00AF3EE4">
        <w:t>application du Pacte international relatif aux droits civils et politiques, présenté en octobre 2006;</w:t>
      </w:r>
    </w:p>
    <w:p w:rsidR="00FC0499" w:rsidRDefault="00FC0499" w:rsidP="00FC0499">
      <w:pPr>
        <w:pStyle w:val="Bullet1G"/>
      </w:pPr>
      <w:r w:rsidRPr="00AF3EE4">
        <w:t>Le rapport initial sur l</w:t>
      </w:r>
      <w:r>
        <w:t>’</w:t>
      </w:r>
      <w:r w:rsidRPr="00AF3EE4">
        <w:t>application de la Convention internationale sur la protection des droits de tous les travailleurs migrants et des membres de leur famille pour la période 20</w:t>
      </w:r>
      <w:r>
        <w:t>03-2006, présenté en avril 2009.</w:t>
      </w:r>
    </w:p>
    <w:p w:rsidR="00FC0499" w:rsidRPr="00AF3EE4" w:rsidRDefault="00FC0499" w:rsidP="00FC0499">
      <w:pPr>
        <w:pStyle w:val="SingleTxtG"/>
      </w:pPr>
      <w:r w:rsidRPr="00AF3EE4">
        <w:t>212.</w:t>
      </w:r>
      <w:r w:rsidRPr="00AF3EE4">
        <w:tab/>
      </w:r>
      <w:r>
        <w:t xml:space="preserve">Ont été élaborés </w:t>
      </w:r>
      <w:r w:rsidRPr="00AF3EE4">
        <w:t>et soumis aux comités compétents de l</w:t>
      </w:r>
      <w:r>
        <w:t>’Organisation des Nations </w:t>
      </w:r>
      <w:r w:rsidRPr="00AF3EE4">
        <w:t>Unies</w:t>
      </w:r>
      <w:r>
        <w:t xml:space="preserve"> les documents ci-après</w:t>
      </w:r>
      <w:r w:rsidRPr="00AF3EE4">
        <w:t>:</w:t>
      </w:r>
    </w:p>
    <w:p w:rsidR="00FC0499" w:rsidRPr="00AF3EE4" w:rsidRDefault="00FC0499" w:rsidP="00FC0499">
      <w:pPr>
        <w:pStyle w:val="Bullet1G"/>
      </w:pPr>
      <w:r w:rsidRPr="00AF3EE4">
        <w:t>Les septième et huitième rapports périodiques sur l</w:t>
      </w:r>
      <w:r>
        <w:t>’</w:t>
      </w:r>
      <w:r w:rsidRPr="00AF3EE4">
        <w:t>application de la Convention internationale sur l</w:t>
      </w:r>
      <w:r>
        <w:t>’</w:t>
      </w:r>
      <w:r w:rsidRPr="00AF3EE4">
        <w:t xml:space="preserve">élimination de toutes les formes de discrimination raciale, qui ont été </w:t>
      </w:r>
      <w:r>
        <w:t xml:space="preserve">soumis </w:t>
      </w:r>
      <w:r w:rsidRPr="00AF3EE4">
        <w:t>en juillet 2008</w:t>
      </w:r>
      <w:r>
        <w:t>,</w:t>
      </w:r>
      <w:r w:rsidRPr="00AF3EE4">
        <w:t xml:space="preserve"> </w:t>
      </w:r>
      <w:r>
        <w:t xml:space="preserve">la présentation étant prévue </w:t>
      </w:r>
      <w:r w:rsidRPr="00AF3EE4">
        <w:t>en août 2010;</w:t>
      </w:r>
    </w:p>
    <w:p w:rsidR="00FC0499" w:rsidRPr="00AF3EE4" w:rsidRDefault="00FC0499" w:rsidP="00FC0499">
      <w:pPr>
        <w:pStyle w:val="Bullet1G"/>
      </w:pPr>
      <w:r w:rsidRPr="00AF3EE4">
        <w:t>Le</w:t>
      </w:r>
      <w:r>
        <w:t>s</w:t>
      </w:r>
      <w:r w:rsidRPr="00AF3EE4">
        <w:t xml:space="preserve"> deuxième, troisième et quatrième rapports périodiques sur l</w:t>
      </w:r>
      <w:r>
        <w:t>’</w:t>
      </w:r>
      <w:r w:rsidRPr="00AF3EE4">
        <w:t>application de la Convention relative aux droits de l</w:t>
      </w:r>
      <w:r>
        <w:t>’</w:t>
      </w:r>
      <w:r w:rsidRPr="00AF3EE4">
        <w:t>enfant</w:t>
      </w:r>
      <w:r>
        <w:t xml:space="preserve"> réunis en un seul document</w:t>
      </w:r>
      <w:r w:rsidRPr="00AF3EE4">
        <w:t>;</w:t>
      </w:r>
    </w:p>
    <w:p w:rsidR="00FC0499" w:rsidRPr="00AF3EE4" w:rsidRDefault="00FC0499" w:rsidP="00FC0499">
      <w:pPr>
        <w:pStyle w:val="Bullet1G"/>
      </w:pPr>
      <w:r w:rsidRPr="00AF3EE4">
        <w:t>Le deuxième rapport périodique sur l</w:t>
      </w:r>
      <w:r>
        <w:t>’</w:t>
      </w:r>
      <w:r w:rsidRPr="00AF3EE4">
        <w:t>application du Pacte international relatif aux droits économiques, sociaux et culturels;</w:t>
      </w:r>
    </w:p>
    <w:p w:rsidR="00FC0499" w:rsidRPr="00AF3EE4" w:rsidRDefault="00FC0499" w:rsidP="00FC0499">
      <w:pPr>
        <w:pStyle w:val="Bullet1G"/>
      </w:pPr>
      <w:r w:rsidRPr="00AF3EE4">
        <w:t xml:space="preserve">Le rapport périodique au Comité contre la torture, qui a été élaboré sur la base </w:t>
      </w:r>
      <w:r>
        <w:t>de la liste de</w:t>
      </w:r>
      <w:r w:rsidRPr="00AF3EE4">
        <w:t xml:space="preserve"> </w:t>
      </w:r>
      <w:r>
        <w:t>questions établie par le</w:t>
      </w:r>
      <w:r w:rsidRPr="00AF3EE4">
        <w:t xml:space="preserve"> Comité, a été adopté par le Conseil des ministres en septembre 2009 et sera présenté en novembre 2010;</w:t>
      </w:r>
    </w:p>
    <w:p w:rsidR="00FC0499" w:rsidRPr="00AF3EE4" w:rsidRDefault="00FC0499" w:rsidP="00FC0499">
      <w:pPr>
        <w:pStyle w:val="Bullet1G"/>
      </w:pPr>
      <w:r w:rsidRPr="00AF3EE4">
        <w:t>Les rapports présentés au titre du Protocole facultatif à la Convention relative aux droits de l</w:t>
      </w:r>
      <w:r>
        <w:t>’</w:t>
      </w:r>
      <w:r w:rsidRPr="00AF3EE4">
        <w:t>enfant concernant l</w:t>
      </w:r>
      <w:r>
        <w:t>’</w:t>
      </w:r>
      <w:r w:rsidRPr="00AF3EE4">
        <w:t>implication d</w:t>
      </w:r>
      <w:r>
        <w:t>’</w:t>
      </w:r>
      <w:r w:rsidRPr="00AF3EE4">
        <w:t>enfants dans les conflits armés et du Protocole facultatif à la Convention relative aux droits de l</w:t>
      </w:r>
      <w:r>
        <w:t>’</w:t>
      </w:r>
      <w:r w:rsidRPr="00AF3EE4">
        <w:t>enfant concernant la vente d</w:t>
      </w:r>
      <w:r>
        <w:t>’</w:t>
      </w:r>
      <w:r w:rsidRPr="00AF3EE4">
        <w:t>enfants, la prostitution des enfants et la pornographie mettant en scène des enfants;</w:t>
      </w:r>
    </w:p>
    <w:p w:rsidR="00FC0499" w:rsidRPr="00AF3EE4" w:rsidRDefault="00FC0499" w:rsidP="00FC0499">
      <w:pPr>
        <w:pStyle w:val="Bullet1G"/>
      </w:pPr>
      <w:r w:rsidRPr="00AF3EE4">
        <w:t xml:space="preserve">Le rapport du Comité européen pour la prévention de la torture et des peines ou traitements inhumains ou dégradants, </w:t>
      </w:r>
      <w:r>
        <w:t xml:space="preserve">établi </w:t>
      </w:r>
      <w:r w:rsidRPr="00AF3EE4">
        <w:t xml:space="preserve">après une </w:t>
      </w:r>
      <w:r>
        <w:t>visite d’inspection en mai 2009, a été adopté par le Conseil des ministres en septembre 2009</w:t>
      </w:r>
      <w:r w:rsidRPr="00AF3EE4">
        <w:t>;</w:t>
      </w:r>
    </w:p>
    <w:p w:rsidR="00FC0499" w:rsidRPr="00AF3EE4" w:rsidRDefault="00FC0499" w:rsidP="00FC0499">
      <w:pPr>
        <w:pStyle w:val="Bullet1G"/>
      </w:pPr>
      <w:r w:rsidRPr="00AF3EE4">
        <w:t>L</w:t>
      </w:r>
      <w:r>
        <w:t>e rapport soumis au titre de l’</w:t>
      </w:r>
      <w:r w:rsidRPr="00AF3EE4">
        <w:t>Examen périodique universel sur la situation des droits de l</w:t>
      </w:r>
      <w:r>
        <w:t>’</w:t>
      </w:r>
      <w:r w:rsidRPr="00AF3EE4">
        <w:t>homme, adopté et présenté avec succès au Conseil des droits de l</w:t>
      </w:r>
      <w:r>
        <w:t>’</w:t>
      </w:r>
      <w:r w:rsidRPr="00AF3EE4">
        <w:t>homme en février 2010.</w:t>
      </w:r>
    </w:p>
    <w:p w:rsidR="00FC0499" w:rsidRPr="00AF3EE4" w:rsidRDefault="00FC0499" w:rsidP="00FC0499">
      <w:pPr>
        <w:pStyle w:val="SingleTxtG"/>
      </w:pPr>
      <w:r w:rsidRPr="00AF3EE4">
        <w:t>213.</w:t>
      </w:r>
      <w:r w:rsidRPr="00AF3EE4">
        <w:tab/>
        <w:t>L</w:t>
      </w:r>
      <w:r>
        <w:t>’établissement</w:t>
      </w:r>
      <w:r w:rsidRPr="00AF3EE4">
        <w:t xml:space="preserve"> du deuxième rapport périodique sur l</w:t>
      </w:r>
      <w:r>
        <w:t>’</w:t>
      </w:r>
      <w:r w:rsidRPr="00AF3EE4">
        <w:t>application du Pacte international relatif aux droits civils et politiques et du rapport sur l</w:t>
      </w:r>
      <w:r>
        <w:t>’</w:t>
      </w:r>
      <w:r w:rsidRPr="00AF3EE4">
        <w:t>application de la Charte sociale européenne révisée touche à sa fin.</w:t>
      </w:r>
    </w:p>
    <w:p w:rsidR="00FC0499" w:rsidRDefault="00FC0499" w:rsidP="00FC0499">
      <w:pPr>
        <w:pStyle w:val="SingleTxtG"/>
      </w:pPr>
      <w:r w:rsidRPr="00AF3EE4">
        <w:t>214.</w:t>
      </w:r>
      <w:r w:rsidRPr="00AF3EE4">
        <w:tab/>
        <w:t xml:space="preserve">Des activités ont été planifiées en 2011 </w:t>
      </w:r>
      <w:r>
        <w:t xml:space="preserve">en vue d’établir </w:t>
      </w:r>
      <w:r w:rsidRPr="00AF3EE4">
        <w:t>les rapports périodiques sur l</w:t>
      </w:r>
      <w:r>
        <w:t>’</w:t>
      </w:r>
      <w:r w:rsidRPr="00AF3EE4">
        <w:t>application de la Convention internationale sur l</w:t>
      </w:r>
      <w:r>
        <w:t>’</w:t>
      </w:r>
      <w:r w:rsidRPr="00AF3EE4">
        <w:t>élimination de toutes les formes de discrimination raciale et sur l</w:t>
      </w:r>
      <w:r>
        <w:t>’</w:t>
      </w:r>
      <w:r w:rsidRPr="00AF3EE4">
        <w:t>application de la Convention internationale sur la protection des droits de tous les travailleurs migrants et des membres de leur famille en Bosnie-Herzégovine.</w:t>
      </w:r>
    </w:p>
    <w:p w:rsidR="00FC0499" w:rsidRPr="001A6800" w:rsidRDefault="00FC0499" w:rsidP="00FC0499">
      <w:pPr>
        <w:pStyle w:val="SingleTxtG"/>
        <w:spacing w:before="240" w:after="0"/>
        <w:jc w:val="center"/>
        <w:rPr>
          <w:u w:val="single"/>
        </w:rPr>
      </w:pPr>
      <w:r>
        <w:rPr>
          <w:u w:val="single"/>
        </w:rPr>
        <w:tab/>
      </w:r>
      <w:r>
        <w:rPr>
          <w:u w:val="single"/>
        </w:rPr>
        <w:tab/>
      </w:r>
      <w:r>
        <w:rPr>
          <w:u w:val="single"/>
        </w:rPr>
        <w:tab/>
      </w:r>
    </w:p>
    <w:p w:rsidR="00DE0C47" w:rsidRPr="00DE0C47" w:rsidRDefault="00DE0C47" w:rsidP="00DE0C47">
      <w:pPr>
        <w:pStyle w:val="SingleTxtG"/>
        <w:spacing w:before="240" w:after="0"/>
        <w:jc w:val="center"/>
        <w:rPr>
          <w:u w:val="single"/>
        </w:rPr>
      </w:pPr>
    </w:p>
    <w:sectPr w:rsidR="00DE0C47" w:rsidRPr="00DE0C47" w:rsidSect="004B332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AD4" w:rsidRDefault="00BF7AD4"/>
  </w:endnote>
  <w:endnote w:type="continuationSeparator" w:id="0">
    <w:p w:rsidR="00BF7AD4" w:rsidRDefault="00BF7AD4"/>
  </w:endnote>
  <w:endnote w:type="continuationNotice" w:id="1">
    <w:p w:rsidR="00BF7AD4" w:rsidRDefault="00BF7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C4" w:rsidRPr="004B3322" w:rsidRDefault="00283CC4" w:rsidP="004B3322">
    <w:pPr>
      <w:pStyle w:val="Footer"/>
      <w:tabs>
        <w:tab w:val="right" w:pos="9638"/>
      </w:tabs>
    </w:pPr>
    <w:r w:rsidRPr="004B3322">
      <w:rPr>
        <w:b/>
        <w:sz w:val="18"/>
      </w:rPr>
      <w:fldChar w:fldCharType="begin"/>
    </w:r>
    <w:r w:rsidRPr="004B3322">
      <w:rPr>
        <w:b/>
        <w:sz w:val="18"/>
      </w:rPr>
      <w:instrText xml:space="preserve"> PAGE  \* MERGEFORMAT </w:instrText>
    </w:r>
    <w:r w:rsidRPr="004B3322">
      <w:rPr>
        <w:b/>
        <w:sz w:val="18"/>
      </w:rPr>
      <w:fldChar w:fldCharType="separate"/>
    </w:r>
    <w:r>
      <w:rPr>
        <w:b/>
        <w:noProof/>
        <w:sz w:val="18"/>
      </w:rPr>
      <w:t>2</w:t>
    </w:r>
    <w:r w:rsidRPr="004B3322">
      <w:rPr>
        <w:b/>
        <w:sz w:val="18"/>
      </w:rPr>
      <w:fldChar w:fldCharType="end"/>
    </w:r>
    <w:r>
      <w:rPr>
        <w:b/>
        <w:sz w:val="18"/>
      </w:rPr>
      <w:tab/>
    </w:r>
    <w:r>
      <w:t>GE.11-47443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C4" w:rsidRPr="004B3322" w:rsidRDefault="00283CC4" w:rsidP="004B3322">
    <w:pPr>
      <w:pStyle w:val="Footer"/>
      <w:tabs>
        <w:tab w:val="right" w:pos="9638"/>
      </w:tabs>
      <w:rPr>
        <w:b/>
        <w:sz w:val="18"/>
      </w:rPr>
    </w:pPr>
    <w:r>
      <w:t>GE.11-47443</w:t>
    </w:r>
    <w:r>
      <w:tab/>
    </w:r>
    <w:r w:rsidRPr="004B3322">
      <w:rPr>
        <w:b/>
        <w:sz w:val="18"/>
      </w:rPr>
      <w:fldChar w:fldCharType="begin"/>
    </w:r>
    <w:r w:rsidRPr="004B3322">
      <w:rPr>
        <w:b/>
        <w:sz w:val="18"/>
      </w:rPr>
      <w:instrText xml:space="preserve"> PAGE  \* MERGEFORMAT </w:instrText>
    </w:r>
    <w:r w:rsidRPr="004B3322">
      <w:rPr>
        <w:b/>
        <w:sz w:val="18"/>
      </w:rPr>
      <w:fldChar w:fldCharType="separate"/>
    </w:r>
    <w:r>
      <w:rPr>
        <w:b/>
        <w:noProof/>
        <w:sz w:val="18"/>
      </w:rPr>
      <w:t>41</w:t>
    </w:r>
    <w:r w:rsidRPr="004B332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C4" w:rsidRPr="004B3322" w:rsidRDefault="00283CC4">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11-47443  (F)    210212    020312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AD4" w:rsidRPr="00D27D5E" w:rsidRDefault="00BF7AD4" w:rsidP="00D27D5E">
      <w:pPr>
        <w:tabs>
          <w:tab w:val="right" w:pos="2155"/>
        </w:tabs>
        <w:spacing w:after="80"/>
        <w:ind w:left="680"/>
        <w:rPr>
          <w:u w:val="single"/>
        </w:rPr>
      </w:pPr>
      <w:r>
        <w:rPr>
          <w:u w:val="single"/>
        </w:rPr>
        <w:tab/>
      </w:r>
    </w:p>
  </w:footnote>
  <w:footnote w:type="continuationSeparator" w:id="0">
    <w:p w:rsidR="00BF7AD4" w:rsidRPr="000A39A0" w:rsidRDefault="00BF7AD4" w:rsidP="000A39A0">
      <w:pPr>
        <w:tabs>
          <w:tab w:val="right" w:pos="2155"/>
        </w:tabs>
        <w:spacing w:after="80"/>
        <w:ind w:left="680"/>
        <w:rPr>
          <w:u w:val="single"/>
        </w:rPr>
      </w:pPr>
      <w:r w:rsidRPr="000A39A0">
        <w:rPr>
          <w:u w:val="single"/>
        </w:rPr>
        <w:tab/>
      </w:r>
    </w:p>
  </w:footnote>
  <w:footnote w:type="continuationNotice" w:id="1">
    <w:p w:rsidR="00BF7AD4" w:rsidRDefault="00BF7AD4"/>
  </w:footnote>
  <w:footnote w:id="2">
    <w:p w:rsidR="00283CC4" w:rsidRPr="00706545" w:rsidRDefault="00283CC4">
      <w:pPr>
        <w:pStyle w:val="FootnoteText"/>
      </w:pPr>
      <w:r>
        <w:tab/>
      </w:r>
      <w:r w:rsidRPr="00706545">
        <w:rPr>
          <w:rStyle w:val="FootnoteReference"/>
          <w:sz w:val="20"/>
          <w:vertAlign w:val="baseline"/>
        </w:rPr>
        <w:t>*</w:t>
      </w:r>
      <w:r>
        <w:rPr>
          <w:sz w:val="20"/>
        </w:rPr>
        <w:tab/>
      </w:r>
      <w:r>
        <w:t xml:space="preserve">Conformément aux informations communiquées aux États parties concernant le traitement de leurs rapports, le présent document n’a pas été revu par les services d’édition avant d’être envoyé aux services de traduction de l’Organisation des </w:t>
      </w:r>
      <w:r>
        <w:rPr>
          <w:rFonts w:eastAsia="MS Mincho"/>
        </w:rPr>
        <w:t>Nations Unies</w:t>
      </w:r>
      <w:r>
        <w:t xml:space="preserve">. </w:t>
      </w:r>
    </w:p>
  </w:footnote>
  <w:footnote w:id="3">
    <w:p w:rsidR="00283CC4" w:rsidRDefault="00283CC4" w:rsidP="003A53B4">
      <w:pPr>
        <w:pStyle w:val="FootnoteText"/>
      </w:pPr>
      <w:r>
        <w:tab/>
      </w:r>
      <w:r>
        <w:rPr>
          <w:rStyle w:val="FootnoteReference"/>
        </w:rPr>
        <w:footnoteRef/>
      </w:r>
      <w:r>
        <w:tab/>
        <w:t xml:space="preserve">Le paragraphe 1 de l’article 1 de la Constitution de la Bosnie-Herzégovine dispose que «La République de Bosnie-Herzégovine, ci-après dénommée officiellement «Bosnie-Herzégovine», conservera son existence légale en tant qu’État au regard du droit international, avec sa structure interne modifiée, comme précisé ci-après, et ses frontières actuelles reconnues au plan international. Elle restera un État Membre de l’Organisation des </w:t>
      </w:r>
      <w:r>
        <w:rPr>
          <w:rFonts w:eastAsia="MS Mincho"/>
        </w:rPr>
        <w:t>Nations Unies</w:t>
      </w:r>
      <w:r>
        <w:t xml:space="preserve"> et pourra, en tant que Bosnie-Herzégovine, maintenir ou demander son adhésion à des organisations du système des </w:t>
      </w:r>
      <w:r>
        <w:rPr>
          <w:rFonts w:eastAsia="MS Mincho"/>
        </w:rPr>
        <w:t>Nations Unies</w:t>
      </w:r>
      <w:r>
        <w:t xml:space="preserve"> et à d’autres organisations internationales.».</w:t>
      </w:r>
    </w:p>
  </w:footnote>
  <w:footnote w:id="4">
    <w:p w:rsidR="00283CC4" w:rsidRDefault="00283CC4" w:rsidP="00DE0C47">
      <w:pPr>
        <w:pStyle w:val="FootnoteText"/>
      </w:pPr>
      <w:r>
        <w:tab/>
      </w:r>
      <w:r>
        <w:rPr>
          <w:rStyle w:val="FootnoteReference"/>
        </w:rPr>
        <w:footnoteRef/>
      </w:r>
      <w:r>
        <w:tab/>
      </w:r>
      <w:r w:rsidRPr="00E6083C">
        <w:rPr>
          <w:i/>
        </w:rPr>
        <w:t>Rapport sur le développement humain 2001</w:t>
      </w:r>
      <w:r>
        <w:t>, publié en 2002. Appendice 2: La population de la Bosnie-Herzégovine de 1991 à 2001.</w:t>
      </w:r>
    </w:p>
  </w:footnote>
  <w:footnote w:id="5">
    <w:p w:rsidR="00283CC4" w:rsidRDefault="00283CC4" w:rsidP="00DE0C47">
      <w:pPr>
        <w:pStyle w:val="FootnoteText"/>
      </w:pPr>
      <w:r>
        <w:tab/>
      </w:r>
      <w:r>
        <w:rPr>
          <w:rStyle w:val="FootnoteReference"/>
        </w:rPr>
        <w:footnoteRef/>
      </w:r>
      <w:r>
        <w:tab/>
        <w:t xml:space="preserve">Une partie du travail de recherche d’Ilijas Bošnjović, publié par International Forum Bosnia dans </w:t>
      </w:r>
      <w:r w:rsidRPr="002D421D">
        <w:rPr>
          <w:i/>
        </w:rPr>
        <w:t>La guerre</w:t>
      </w:r>
      <w:r>
        <w:rPr>
          <w:i/>
        </w:rPr>
        <w:t xml:space="preserve"> en </w:t>
      </w:r>
      <w:r w:rsidRPr="00603DB4">
        <w:rPr>
          <w:i/>
        </w:rPr>
        <w:t>Bosnie-Herzégovine</w:t>
      </w:r>
      <w:r>
        <w:rPr>
          <w:i/>
        </w:rPr>
        <w:t>1992-1996</w:t>
      </w:r>
      <w:r>
        <w:t xml:space="preserve">, L’Harmattan, Paris 1997, et aussi dans </w:t>
      </w:r>
      <w:r w:rsidRPr="00603DB4">
        <w:rPr>
          <w:i/>
        </w:rPr>
        <w:t>Oslobodjenje</w:t>
      </w:r>
      <w:r>
        <w:t xml:space="preserve"> et autres journaux de Bosnie-Herzégovine. Le projet de recherche d’Ilijas Bošnjović, «La population de Bosnie-Herzégovine de 1878 à 2001» était en cours de réalisation au moment de la publication du </w:t>
      </w:r>
      <w:r w:rsidRPr="00DA429E">
        <w:rPr>
          <w:i/>
        </w:rPr>
        <w:t>Rapport sur le développement humain</w:t>
      </w:r>
      <w:r>
        <w:t>.</w:t>
      </w:r>
    </w:p>
  </w:footnote>
  <w:footnote w:id="6">
    <w:p w:rsidR="00283CC4" w:rsidRDefault="00283CC4" w:rsidP="00DE0C47">
      <w:pPr>
        <w:pStyle w:val="FootnoteText"/>
      </w:pPr>
      <w:r>
        <w:tab/>
      </w:r>
      <w:r>
        <w:rPr>
          <w:rStyle w:val="FootnoteReference"/>
        </w:rPr>
        <w:footnoteRef/>
      </w:r>
      <w:r>
        <w:tab/>
        <w:t>Agence de statistique de Bosnie-Herzégovine, bulletin thématique «Démographie», décembre 2009.</w:t>
      </w:r>
    </w:p>
  </w:footnote>
  <w:footnote w:id="7">
    <w:p w:rsidR="00283CC4" w:rsidRDefault="00283CC4" w:rsidP="00DE0C47">
      <w:pPr>
        <w:pStyle w:val="FootnoteText"/>
      </w:pPr>
      <w:r>
        <w:tab/>
      </w:r>
      <w:r>
        <w:rPr>
          <w:rStyle w:val="FootnoteReference"/>
        </w:rPr>
        <w:footnoteRef/>
      </w:r>
      <w:r>
        <w:tab/>
        <w:t>Central Intelligence Agency, The World Factbook (estimation de juillet 2008).</w:t>
      </w:r>
    </w:p>
  </w:footnote>
  <w:footnote w:id="8">
    <w:p w:rsidR="00283CC4" w:rsidRDefault="00283CC4" w:rsidP="00DE0C47">
      <w:pPr>
        <w:pStyle w:val="FootnoteText"/>
      </w:pPr>
      <w:r>
        <w:tab/>
      </w:r>
      <w:r>
        <w:rPr>
          <w:rStyle w:val="FootnoteReference"/>
        </w:rPr>
        <w:footnoteRef/>
      </w:r>
      <w:r>
        <w:tab/>
        <w:t>Analyse comparative concernant l’exercice de leurs droits par les réfugiés et les personnes déplacées, décembre 2005.</w:t>
      </w:r>
    </w:p>
  </w:footnote>
  <w:footnote w:id="9">
    <w:p w:rsidR="00283CC4" w:rsidRDefault="00283CC4" w:rsidP="00DE0C47">
      <w:pPr>
        <w:pStyle w:val="FootnoteText"/>
      </w:pPr>
      <w:r>
        <w:tab/>
      </w:r>
      <w:r>
        <w:rPr>
          <w:rStyle w:val="FootnoteReference"/>
        </w:rPr>
        <w:footnoteRef/>
      </w:r>
      <w:r>
        <w:tab/>
        <w:t>Suad Arnautovic, Président de la Commission centrale des élections, à l’occasion d’une conférence de presse le 13 juin 2008.</w:t>
      </w:r>
    </w:p>
  </w:footnote>
  <w:footnote w:id="10">
    <w:p w:rsidR="00283CC4" w:rsidRPr="00DA0536" w:rsidRDefault="00283CC4" w:rsidP="00DE0C47">
      <w:pPr>
        <w:pStyle w:val="FootnoteText"/>
        <w:rPr>
          <w:lang w:val="fr-FR"/>
        </w:rPr>
      </w:pPr>
      <w:r>
        <w:tab/>
      </w:r>
      <w:r w:rsidRPr="00C003BF">
        <w:rPr>
          <w:rStyle w:val="FootnoteReference"/>
        </w:rPr>
        <w:footnoteRef/>
      </w:r>
      <w:r>
        <w:tab/>
      </w:r>
      <w:r w:rsidRPr="00DA0536">
        <w:rPr>
          <w:lang w:val="fr-FR"/>
        </w:rPr>
        <w:t>En 2000, la communauté internationale présente en Bosnie-Herzégovine a constitué une cellule afin de réaliser le Plan d</w:t>
      </w:r>
      <w:r>
        <w:rPr>
          <w:lang w:val="fr-FR"/>
        </w:rPr>
        <w:t>’</w:t>
      </w:r>
      <w:r w:rsidRPr="00DA0536">
        <w:rPr>
          <w:lang w:val="fr-FR"/>
        </w:rPr>
        <w:t>application de la loi sur les biens fonciers, qui est chargée du suivi et de la mise en application des règlements en la matière avec la participation de ses quatre organisations internationales, à savoir: le Bureau du Haut</w:t>
      </w:r>
      <w:r>
        <w:rPr>
          <w:lang w:val="fr-FR"/>
        </w:rPr>
        <w:t xml:space="preserve"> </w:t>
      </w:r>
      <w:r w:rsidRPr="00DA0536">
        <w:rPr>
          <w:lang w:val="fr-FR"/>
        </w:rPr>
        <w:t>Représentant, l</w:t>
      </w:r>
      <w:r>
        <w:rPr>
          <w:lang w:val="fr-FR"/>
        </w:rPr>
        <w:t>’</w:t>
      </w:r>
      <w:r w:rsidRPr="00DA0536">
        <w:rPr>
          <w:lang w:val="fr-FR"/>
        </w:rPr>
        <w:t>OSCE, l</w:t>
      </w:r>
      <w:r>
        <w:rPr>
          <w:lang w:val="fr-FR"/>
        </w:rPr>
        <w:t>’</w:t>
      </w:r>
      <w:r w:rsidRPr="00DA0536">
        <w:rPr>
          <w:lang w:val="fr-FR"/>
        </w:rPr>
        <w:t>UNHCR et la Commission chargée de régler les réclamations des réfugiés et personnes déplacées portant sur des biens fonciers.</w:t>
      </w:r>
      <w:r>
        <w:rPr>
          <w:lang w:val="fr-FR"/>
        </w:rPr>
        <w:t xml:space="preserve"> </w:t>
      </w:r>
      <w:r w:rsidRPr="00DA0536">
        <w:rPr>
          <w:lang w:val="fr-FR"/>
        </w:rPr>
        <w:t>Les représentants du Plan ont alors commencé à publier des statistiques mensuelles, allant du niveau municipal au niveau national, en analysant et comparant les indicateurs.</w:t>
      </w:r>
    </w:p>
  </w:footnote>
  <w:footnote w:id="11">
    <w:p w:rsidR="00283CC4" w:rsidRDefault="00283CC4" w:rsidP="00DE0C47">
      <w:pPr>
        <w:pStyle w:val="FootnoteText"/>
      </w:pPr>
      <w:r>
        <w:tab/>
      </w:r>
      <w:r>
        <w:rPr>
          <w:rStyle w:val="FootnoteReference"/>
        </w:rPr>
        <w:footnoteRef/>
      </w:r>
      <w:r>
        <w:tab/>
      </w:r>
      <w:r w:rsidRPr="00401840">
        <w:rPr>
          <w:lang w:val="fr-FR"/>
        </w:rPr>
        <w:t xml:space="preserve">Agence de statistique de Bosnie-Herzégovine, Bulletin </w:t>
      </w:r>
      <w:r w:rsidRPr="007C6E64">
        <w:rPr>
          <w:rFonts w:eastAsia="MS Mincho"/>
          <w:lang w:val="fr-FR"/>
        </w:rPr>
        <w:t>n</w:t>
      </w:r>
      <w:r w:rsidRPr="007C6E64">
        <w:rPr>
          <w:rFonts w:eastAsia="MS Mincho"/>
          <w:vertAlign w:val="superscript"/>
          <w:lang w:val="fr-FR"/>
        </w:rPr>
        <w:t>o</w:t>
      </w:r>
      <w:r>
        <w:rPr>
          <w:lang w:val="fr-FR"/>
        </w:rPr>
        <w:t xml:space="preserve"> 11, </w:t>
      </w:r>
      <w:r w:rsidRPr="00401840">
        <w:rPr>
          <w:lang w:val="fr-FR"/>
        </w:rPr>
        <w:t>Emploi par secteurs, novembre 2009 (données provisoires)</w:t>
      </w:r>
      <w:r>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C4" w:rsidRPr="004B3322" w:rsidRDefault="00283CC4">
    <w:pPr>
      <w:pStyle w:val="Header"/>
    </w:pPr>
    <w:r>
      <w:t>HRI/CORE/BIH/2011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C4" w:rsidRPr="004B3322" w:rsidRDefault="00283CC4" w:rsidP="004B3322">
    <w:pPr>
      <w:pStyle w:val="Header"/>
      <w:jc w:val="right"/>
    </w:pPr>
    <w:r>
      <w:t>HRI/CORE/BIH/2011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7A40"/>
    <w:rsid w:val="0000783C"/>
    <w:rsid w:val="00016AC5"/>
    <w:rsid w:val="000A2E68"/>
    <w:rsid w:val="000A39A0"/>
    <w:rsid w:val="000F41F2"/>
    <w:rsid w:val="001565AC"/>
    <w:rsid w:val="00160540"/>
    <w:rsid w:val="00192EEB"/>
    <w:rsid w:val="001A20FB"/>
    <w:rsid w:val="001D7F8A"/>
    <w:rsid w:val="001E3FEB"/>
    <w:rsid w:val="001E4A02"/>
    <w:rsid w:val="00205ABE"/>
    <w:rsid w:val="00225A8C"/>
    <w:rsid w:val="00236C57"/>
    <w:rsid w:val="002659F1"/>
    <w:rsid w:val="00283CC4"/>
    <w:rsid w:val="00287E79"/>
    <w:rsid w:val="002928F9"/>
    <w:rsid w:val="002A5133"/>
    <w:rsid w:val="002A5D07"/>
    <w:rsid w:val="002C0C23"/>
    <w:rsid w:val="002C2B12"/>
    <w:rsid w:val="003016B7"/>
    <w:rsid w:val="00325BCC"/>
    <w:rsid w:val="00332879"/>
    <w:rsid w:val="003515AA"/>
    <w:rsid w:val="00371C1C"/>
    <w:rsid w:val="00374106"/>
    <w:rsid w:val="003976D5"/>
    <w:rsid w:val="003A53B4"/>
    <w:rsid w:val="003B0B54"/>
    <w:rsid w:val="003D6C68"/>
    <w:rsid w:val="004159D0"/>
    <w:rsid w:val="00451DE7"/>
    <w:rsid w:val="004A6E44"/>
    <w:rsid w:val="004A7339"/>
    <w:rsid w:val="004B3322"/>
    <w:rsid w:val="004C5D02"/>
    <w:rsid w:val="004D571D"/>
    <w:rsid w:val="00530543"/>
    <w:rsid w:val="00543D5E"/>
    <w:rsid w:val="00560689"/>
    <w:rsid w:val="00571F41"/>
    <w:rsid w:val="00577FB9"/>
    <w:rsid w:val="005E5D1F"/>
    <w:rsid w:val="005F6059"/>
    <w:rsid w:val="005F7E1C"/>
    <w:rsid w:val="00611D43"/>
    <w:rsid w:val="00612D48"/>
    <w:rsid w:val="00616B45"/>
    <w:rsid w:val="00617A69"/>
    <w:rsid w:val="00630D9B"/>
    <w:rsid w:val="00631953"/>
    <w:rsid w:val="006439EC"/>
    <w:rsid w:val="0066321A"/>
    <w:rsid w:val="006B4590"/>
    <w:rsid w:val="006C340C"/>
    <w:rsid w:val="006E2CC4"/>
    <w:rsid w:val="006F34F6"/>
    <w:rsid w:val="0070347C"/>
    <w:rsid w:val="00706545"/>
    <w:rsid w:val="007176C1"/>
    <w:rsid w:val="00735166"/>
    <w:rsid w:val="00772C7C"/>
    <w:rsid w:val="00790198"/>
    <w:rsid w:val="007B6175"/>
    <w:rsid w:val="007B6459"/>
    <w:rsid w:val="007D7641"/>
    <w:rsid w:val="007F55CB"/>
    <w:rsid w:val="00801277"/>
    <w:rsid w:val="00812BB6"/>
    <w:rsid w:val="00844750"/>
    <w:rsid w:val="00846954"/>
    <w:rsid w:val="00856606"/>
    <w:rsid w:val="00880690"/>
    <w:rsid w:val="008A12E0"/>
    <w:rsid w:val="008B44C4"/>
    <w:rsid w:val="008E4AAC"/>
    <w:rsid w:val="008E7FAE"/>
    <w:rsid w:val="00911BF7"/>
    <w:rsid w:val="00977EC8"/>
    <w:rsid w:val="009A35CC"/>
    <w:rsid w:val="009B22A3"/>
    <w:rsid w:val="009D3A8C"/>
    <w:rsid w:val="009E7956"/>
    <w:rsid w:val="00A2492E"/>
    <w:rsid w:val="00AC67A1"/>
    <w:rsid w:val="00AC7977"/>
    <w:rsid w:val="00AD0AAA"/>
    <w:rsid w:val="00AE352C"/>
    <w:rsid w:val="00B32E2D"/>
    <w:rsid w:val="00B61990"/>
    <w:rsid w:val="00B85C98"/>
    <w:rsid w:val="00B86D20"/>
    <w:rsid w:val="00BF0556"/>
    <w:rsid w:val="00BF0C08"/>
    <w:rsid w:val="00BF3AE0"/>
    <w:rsid w:val="00BF7AD4"/>
    <w:rsid w:val="00C014BB"/>
    <w:rsid w:val="00C261F8"/>
    <w:rsid w:val="00C33100"/>
    <w:rsid w:val="00C43383"/>
    <w:rsid w:val="00C76467"/>
    <w:rsid w:val="00CA473A"/>
    <w:rsid w:val="00CA770B"/>
    <w:rsid w:val="00CA7A40"/>
    <w:rsid w:val="00CD1A71"/>
    <w:rsid w:val="00CD1FBB"/>
    <w:rsid w:val="00CD3FDA"/>
    <w:rsid w:val="00CD73F3"/>
    <w:rsid w:val="00D016B5"/>
    <w:rsid w:val="00D034F1"/>
    <w:rsid w:val="00D27D5E"/>
    <w:rsid w:val="00D321A4"/>
    <w:rsid w:val="00DA3499"/>
    <w:rsid w:val="00DB31B1"/>
    <w:rsid w:val="00DD3B9C"/>
    <w:rsid w:val="00DE0C47"/>
    <w:rsid w:val="00DE5D6F"/>
    <w:rsid w:val="00DE6D90"/>
    <w:rsid w:val="00DF002F"/>
    <w:rsid w:val="00E0244D"/>
    <w:rsid w:val="00E444F6"/>
    <w:rsid w:val="00E7175E"/>
    <w:rsid w:val="00E81E94"/>
    <w:rsid w:val="00E82607"/>
    <w:rsid w:val="00E930C7"/>
    <w:rsid w:val="00EE3DA0"/>
    <w:rsid w:val="00EF179F"/>
    <w:rsid w:val="00F32136"/>
    <w:rsid w:val="00F60E0A"/>
    <w:rsid w:val="00FA5A79"/>
    <w:rsid w:val="00FB0BFE"/>
    <w:rsid w:val="00FB4C51"/>
    <w:rsid w:val="00FC0499"/>
    <w:rsid w:val="00FC7782"/>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C1C"/>
    <w:pPr>
      <w:suppressAutoHyphens/>
      <w:spacing w:line="240" w:lineRule="atLeast"/>
    </w:pPr>
    <w:rPr>
      <w:lang w:eastAsia="en-US"/>
    </w:rPr>
  </w:style>
  <w:style w:type="paragraph" w:styleId="Heading1">
    <w:name w:val="heading 1"/>
    <w:aliases w:val="Table_G"/>
    <w:basedOn w:val="SingleTxtG"/>
    <w:next w:val="SingleTxtG"/>
    <w:qFormat/>
    <w:rsid w:val="00371C1C"/>
    <w:pPr>
      <w:keepNext/>
      <w:keepLines/>
      <w:spacing w:after="0" w:line="240" w:lineRule="auto"/>
      <w:ind w:right="0"/>
      <w:jc w:val="left"/>
      <w:outlineLvl w:val="0"/>
    </w:pPr>
  </w:style>
  <w:style w:type="paragraph" w:styleId="Heading2">
    <w:name w:val="heading 2"/>
    <w:basedOn w:val="Normal"/>
    <w:next w:val="Normal"/>
    <w:qFormat/>
    <w:rsid w:val="00371C1C"/>
    <w:pPr>
      <w:outlineLvl w:val="1"/>
    </w:pPr>
  </w:style>
  <w:style w:type="paragraph" w:styleId="Heading3">
    <w:name w:val="heading 3"/>
    <w:basedOn w:val="Normal"/>
    <w:next w:val="Normal"/>
    <w:qFormat/>
    <w:rsid w:val="00371C1C"/>
    <w:pPr>
      <w:outlineLvl w:val="2"/>
    </w:pPr>
  </w:style>
  <w:style w:type="paragraph" w:styleId="Heading4">
    <w:name w:val="heading 4"/>
    <w:basedOn w:val="Normal"/>
    <w:next w:val="Normal"/>
    <w:qFormat/>
    <w:rsid w:val="00371C1C"/>
    <w:pPr>
      <w:outlineLvl w:val="3"/>
    </w:pPr>
  </w:style>
  <w:style w:type="paragraph" w:styleId="Heading5">
    <w:name w:val="heading 5"/>
    <w:basedOn w:val="Normal"/>
    <w:next w:val="Normal"/>
    <w:qFormat/>
    <w:rsid w:val="00371C1C"/>
    <w:pPr>
      <w:outlineLvl w:val="4"/>
    </w:pPr>
  </w:style>
  <w:style w:type="paragraph" w:styleId="Heading6">
    <w:name w:val="heading 6"/>
    <w:basedOn w:val="Normal"/>
    <w:next w:val="Normal"/>
    <w:qFormat/>
    <w:rsid w:val="00371C1C"/>
    <w:pPr>
      <w:outlineLvl w:val="5"/>
    </w:pPr>
  </w:style>
  <w:style w:type="paragraph" w:styleId="Heading7">
    <w:name w:val="heading 7"/>
    <w:basedOn w:val="Normal"/>
    <w:next w:val="Normal"/>
    <w:qFormat/>
    <w:rsid w:val="00371C1C"/>
    <w:pPr>
      <w:outlineLvl w:val="6"/>
    </w:pPr>
  </w:style>
  <w:style w:type="paragraph" w:styleId="Heading8">
    <w:name w:val="heading 8"/>
    <w:basedOn w:val="Normal"/>
    <w:next w:val="Normal"/>
    <w:qFormat/>
    <w:rsid w:val="00371C1C"/>
    <w:pPr>
      <w:outlineLvl w:val="7"/>
    </w:pPr>
  </w:style>
  <w:style w:type="paragraph" w:styleId="Heading9">
    <w:name w:val="heading 9"/>
    <w:basedOn w:val="Normal"/>
    <w:next w:val="Normal"/>
    <w:qFormat/>
    <w:rsid w:val="00371C1C"/>
    <w:pPr>
      <w:outlineLvl w:val="8"/>
    </w:pPr>
  </w:style>
  <w:style w:type="character" w:default="1" w:styleId="DefaultParagraphFont">
    <w:name w:val="Default Paragraph Font"/>
    <w:semiHidden/>
    <w:rsid w:val="00371C1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71C1C"/>
  </w:style>
  <w:style w:type="paragraph" w:customStyle="1" w:styleId="HMG">
    <w:name w:val="_ H __M_G"/>
    <w:basedOn w:val="Normal"/>
    <w:next w:val="Normal"/>
    <w:rsid w:val="00371C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71C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71C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71C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71C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71C1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371C1C"/>
    <w:pPr>
      <w:spacing w:after="120"/>
      <w:ind w:left="1134" w:right="1134"/>
      <w:jc w:val="both"/>
    </w:pPr>
  </w:style>
  <w:style w:type="paragraph" w:customStyle="1" w:styleId="SLG">
    <w:name w:val="__S_L_G"/>
    <w:basedOn w:val="Normal"/>
    <w:next w:val="Normal"/>
    <w:rsid w:val="00371C1C"/>
    <w:pPr>
      <w:keepNext/>
      <w:keepLines/>
      <w:spacing w:before="240" w:after="240" w:line="580" w:lineRule="exact"/>
      <w:ind w:left="1134" w:right="1134"/>
    </w:pPr>
    <w:rPr>
      <w:b/>
      <w:sz w:val="56"/>
    </w:rPr>
  </w:style>
  <w:style w:type="paragraph" w:customStyle="1" w:styleId="SMG">
    <w:name w:val="__S_M_G"/>
    <w:basedOn w:val="Normal"/>
    <w:next w:val="Normal"/>
    <w:rsid w:val="00371C1C"/>
    <w:pPr>
      <w:keepNext/>
      <w:keepLines/>
      <w:spacing w:before="240" w:after="240" w:line="420" w:lineRule="exact"/>
      <w:ind w:left="1134" w:right="1134"/>
    </w:pPr>
    <w:rPr>
      <w:b/>
      <w:sz w:val="40"/>
    </w:rPr>
  </w:style>
  <w:style w:type="paragraph" w:customStyle="1" w:styleId="SSG">
    <w:name w:val="__S_S_G"/>
    <w:basedOn w:val="Normal"/>
    <w:next w:val="Normal"/>
    <w:rsid w:val="00371C1C"/>
    <w:pPr>
      <w:keepNext/>
      <w:keepLines/>
      <w:spacing w:before="240" w:after="240" w:line="300" w:lineRule="exact"/>
      <w:ind w:left="1134" w:right="1134"/>
    </w:pPr>
    <w:rPr>
      <w:b/>
      <w:sz w:val="28"/>
    </w:rPr>
  </w:style>
  <w:style w:type="paragraph" w:customStyle="1" w:styleId="XLargeG">
    <w:name w:val="__XLarge_G"/>
    <w:basedOn w:val="Normal"/>
    <w:next w:val="Normal"/>
    <w:rsid w:val="00371C1C"/>
    <w:pPr>
      <w:keepNext/>
      <w:keepLines/>
      <w:spacing w:before="240" w:after="240" w:line="420" w:lineRule="exact"/>
      <w:ind w:left="1134" w:right="1134"/>
    </w:pPr>
    <w:rPr>
      <w:b/>
      <w:sz w:val="40"/>
    </w:rPr>
  </w:style>
  <w:style w:type="paragraph" w:customStyle="1" w:styleId="Bullet1G">
    <w:name w:val="_Bullet 1_G"/>
    <w:basedOn w:val="Normal"/>
    <w:rsid w:val="00371C1C"/>
    <w:pPr>
      <w:numPr>
        <w:numId w:val="1"/>
      </w:numPr>
      <w:spacing w:after="120"/>
      <w:ind w:right="1134"/>
      <w:jc w:val="both"/>
    </w:pPr>
  </w:style>
  <w:style w:type="paragraph" w:customStyle="1" w:styleId="Bullet2G">
    <w:name w:val="_Bullet 2_G"/>
    <w:basedOn w:val="Normal"/>
    <w:rsid w:val="00371C1C"/>
    <w:pPr>
      <w:numPr>
        <w:numId w:val="2"/>
      </w:numPr>
      <w:spacing w:after="120"/>
      <w:ind w:right="1134"/>
      <w:jc w:val="both"/>
    </w:pPr>
  </w:style>
  <w:style w:type="character" w:styleId="FootnoteReference">
    <w:name w:val="footnote reference"/>
    <w:aliases w:val="4_G"/>
    <w:rsid w:val="00371C1C"/>
    <w:rPr>
      <w:rFonts w:ascii="Times New Roman" w:hAnsi="Times New Roman"/>
      <w:sz w:val="18"/>
      <w:vertAlign w:val="superscript"/>
      <w:lang w:val="fr-CH"/>
    </w:rPr>
  </w:style>
  <w:style w:type="character" w:styleId="EndnoteReference">
    <w:name w:val="endnote reference"/>
    <w:aliases w:val="1_G"/>
    <w:basedOn w:val="FootnoteReference"/>
    <w:rsid w:val="00371C1C"/>
    <w:rPr>
      <w:rFonts w:ascii="Times New Roman" w:hAnsi="Times New Roman"/>
      <w:sz w:val="18"/>
      <w:vertAlign w:val="superscript"/>
      <w:lang w:val="fr-CH"/>
    </w:rPr>
  </w:style>
  <w:style w:type="paragraph" w:styleId="Header">
    <w:name w:val="header"/>
    <w:aliases w:val="6_G"/>
    <w:basedOn w:val="Normal"/>
    <w:next w:val="Normal"/>
    <w:rsid w:val="00371C1C"/>
    <w:pPr>
      <w:pBdr>
        <w:bottom w:val="single" w:sz="4" w:space="4" w:color="auto"/>
      </w:pBdr>
      <w:spacing w:line="240" w:lineRule="auto"/>
    </w:pPr>
    <w:rPr>
      <w:b/>
      <w:sz w:val="18"/>
    </w:rPr>
  </w:style>
  <w:style w:type="paragraph" w:styleId="FootnoteText">
    <w:name w:val="footnote text"/>
    <w:aliases w:val="5_G"/>
    <w:basedOn w:val="Normal"/>
    <w:link w:val="FootnoteTextChar"/>
    <w:rsid w:val="00371C1C"/>
    <w:pPr>
      <w:tabs>
        <w:tab w:val="right" w:pos="1021"/>
      </w:tabs>
      <w:spacing w:line="220" w:lineRule="exact"/>
      <w:ind w:left="1134" w:right="1134" w:hanging="1134"/>
    </w:pPr>
    <w:rPr>
      <w:sz w:val="18"/>
    </w:rPr>
  </w:style>
  <w:style w:type="paragraph" w:styleId="EndnoteText">
    <w:name w:val="endnote text"/>
    <w:aliases w:val="2_G"/>
    <w:basedOn w:val="FootnoteText"/>
    <w:rsid w:val="00371C1C"/>
  </w:style>
  <w:style w:type="character" w:styleId="PageNumber">
    <w:name w:val="page number"/>
    <w:aliases w:val="7_G"/>
    <w:rsid w:val="00371C1C"/>
    <w:rPr>
      <w:rFonts w:ascii="Times New Roman" w:hAnsi="Times New Roman"/>
      <w:b/>
      <w:sz w:val="18"/>
      <w:lang w:val="fr-CH"/>
    </w:rPr>
  </w:style>
  <w:style w:type="paragraph" w:styleId="Footer">
    <w:name w:val="footer"/>
    <w:aliases w:val="3_G"/>
    <w:basedOn w:val="Normal"/>
    <w:next w:val="Normal"/>
    <w:rsid w:val="00371C1C"/>
    <w:pPr>
      <w:spacing w:line="240" w:lineRule="auto"/>
    </w:pPr>
    <w:rPr>
      <w:sz w:val="16"/>
    </w:rPr>
  </w:style>
  <w:style w:type="character" w:styleId="Hyperlink">
    <w:name w:val="Hyperlink"/>
    <w:semiHidden/>
    <w:rsid w:val="00371C1C"/>
    <w:rPr>
      <w:color w:val="auto"/>
      <w:u w:val="none"/>
    </w:rPr>
  </w:style>
  <w:style w:type="character" w:styleId="FollowedHyperlink">
    <w:name w:val="FollowedHyperlink"/>
    <w:semiHidden/>
    <w:rsid w:val="00371C1C"/>
    <w:rPr>
      <w:color w:val="auto"/>
      <w:u w:val="none"/>
    </w:rPr>
  </w:style>
  <w:style w:type="table" w:styleId="TableGrid1">
    <w:name w:val="Table Grid 1"/>
    <w:basedOn w:val="TableNormal"/>
    <w:semiHidden/>
    <w:rsid w:val="00371C1C"/>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371C1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ar">
    <w:name w:val="_ Single Txt_G Car"/>
    <w:link w:val="SingleTxtG"/>
    <w:rsid w:val="00DE0C47"/>
    <w:rPr>
      <w:lang w:val="fr-CH" w:eastAsia="en-US" w:bidi="ar-SA"/>
    </w:rPr>
  </w:style>
  <w:style w:type="character" w:customStyle="1" w:styleId="FootnoteTextChar">
    <w:name w:val="Footnote Text Char"/>
    <w:aliases w:val="5_G Char"/>
    <w:link w:val="FootnoteText"/>
    <w:rsid w:val="003A53B4"/>
    <w:rPr>
      <w:sz w:val="18"/>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2.ohchr.org/french/law/cerd.ht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2</Pages>
  <Words>20554</Words>
  <Characters>111406</Characters>
  <Application>Microsoft Office Word</Application>
  <DocSecurity>4</DocSecurity>
  <Lines>2273</Lines>
  <Paragraphs>1118</Paragraphs>
  <ScaleCrop>false</ScaleCrop>
  <HeadingPairs>
    <vt:vector size="2" baseType="variant">
      <vt:variant>
        <vt:lpstr>Titre</vt:lpstr>
      </vt:variant>
      <vt:variant>
        <vt:i4>1</vt:i4>
      </vt:variant>
    </vt:vector>
  </HeadingPairs>
  <TitlesOfParts>
    <vt:vector size="1" baseType="lpstr">
      <vt:lpstr>HRI/CORE/BIH/2011</vt:lpstr>
    </vt:vector>
  </TitlesOfParts>
  <Company>Corinne</Company>
  <LinksUpToDate>false</LinksUpToDate>
  <CharactersWithSpaces>130842</CharactersWithSpaces>
  <SharedDoc>false</SharedDoc>
  <HLinks>
    <vt:vector size="6" baseType="variant">
      <vt:variant>
        <vt:i4>5374034</vt:i4>
      </vt:variant>
      <vt:variant>
        <vt:i4>0</vt:i4>
      </vt:variant>
      <vt:variant>
        <vt:i4>0</vt:i4>
      </vt:variant>
      <vt:variant>
        <vt:i4>5</vt:i4>
      </vt:variant>
      <vt:variant>
        <vt:lpwstr>http://www2.ohchr.org/french/law/cerd.htm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HRI/CORE/BIH/2011</dc:title>
  <dc:subject>Final</dc:subject>
  <dc:creator>BURDIN</dc:creator>
  <cp:keywords/>
  <dc:description/>
  <cp:lastModifiedBy>Vigny</cp:lastModifiedBy>
  <cp:revision>2</cp:revision>
  <cp:lastPrinted>2012-03-02T14:21:00Z</cp:lastPrinted>
  <dcterms:created xsi:type="dcterms:W3CDTF">2012-03-02T15:13:00Z</dcterms:created>
  <dcterms:modified xsi:type="dcterms:W3CDTF">2012-03-02T15:13:00Z</dcterms:modified>
</cp:coreProperties>
</file>