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9772A2" w:rsidTr="005D308A">
        <w:trPr>
          <w:trHeight w:hRule="exact" w:val="851"/>
        </w:trPr>
        <w:tc>
          <w:tcPr>
            <w:tcW w:w="1280" w:type="dxa"/>
            <w:tcBorders>
              <w:bottom w:val="single" w:sz="4" w:space="0" w:color="auto"/>
            </w:tcBorders>
            <w:shd w:val="clear" w:color="auto" w:fill="auto"/>
          </w:tcPr>
          <w:p w:rsidR="002D5AAC" w:rsidRPr="009772A2" w:rsidRDefault="002D5AAC" w:rsidP="005D308A">
            <w:pPr>
              <w:suppressAutoHyphens/>
            </w:pPr>
          </w:p>
        </w:tc>
        <w:tc>
          <w:tcPr>
            <w:tcW w:w="2273" w:type="dxa"/>
            <w:tcBorders>
              <w:bottom w:val="single" w:sz="4" w:space="0" w:color="auto"/>
            </w:tcBorders>
            <w:shd w:val="clear" w:color="auto" w:fill="auto"/>
            <w:vAlign w:val="bottom"/>
          </w:tcPr>
          <w:p w:rsidR="002D5AAC" w:rsidRPr="005D308A" w:rsidRDefault="00BD33EE" w:rsidP="005D308A">
            <w:pPr>
              <w:suppressAutoHyphens/>
              <w:spacing w:after="80" w:line="300" w:lineRule="exact"/>
              <w:rPr>
                <w:sz w:val="28"/>
              </w:rPr>
            </w:pPr>
            <w:r w:rsidRPr="005D308A">
              <w:rPr>
                <w:sz w:val="28"/>
              </w:rPr>
              <w:t>Naciones Unidas</w:t>
            </w:r>
          </w:p>
        </w:tc>
        <w:tc>
          <w:tcPr>
            <w:tcW w:w="6086" w:type="dxa"/>
            <w:gridSpan w:val="2"/>
            <w:tcBorders>
              <w:bottom w:val="single" w:sz="4" w:space="0" w:color="auto"/>
            </w:tcBorders>
            <w:shd w:val="clear" w:color="auto" w:fill="auto"/>
            <w:vAlign w:val="bottom"/>
          </w:tcPr>
          <w:p w:rsidR="002D5AAC" w:rsidRPr="009772A2" w:rsidRDefault="00CE184D" w:rsidP="005D308A">
            <w:pPr>
              <w:suppressAutoHyphens/>
              <w:jc w:val="right"/>
            </w:pPr>
            <w:r w:rsidRPr="005D308A">
              <w:rPr>
                <w:sz w:val="40"/>
              </w:rPr>
              <w:t>HRI</w:t>
            </w:r>
            <w:r w:rsidRPr="009772A2">
              <w:t>/CORE/LSO/2016</w:t>
            </w:r>
          </w:p>
        </w:tc>
      </w:tr>
      <w:tr w:rsidR="002D5AAC" w:rsidRPr="009772A2" w:rsidTr="005D308A">
        <w:trPr>
          <w:trHeight w:hRule="exact" w:val="2835"/>
        </w:trPr>
        <w:tc>
          <w:tcPr>
            <w:tcW w:w="1280" w:type="dxa"/>
            <w:tcBorders>
              <w:top w:val="single" w:sz="4" w:space="0" w:color="auto"/>
              <w:bottom w:val="single" w:sz="12" w:space="0" w:color="auto"/>
            </w:tcBorders>
            <w:shd w:val="clear" w:color="auto" w:fill="auto"/>
          </w:tcPr>
          <w:p w:rsidR="002D5AAC" w:rsidRPr="009772A2" w:rsidRDefault="00BD33EE" w:rsidP="005D308A">
            <w:pPr>
              <w:suppressAutoHyphens/>
              <w:spacing w:before="120"/>
              <w:jc w:val="center"/>
            </w:pPr>
            <w:r w:rsidRPr="009772A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5D308A" w:rsidRDefault="00CE184D" w:rsidP="005D308A">
            <w:pPr>
              <w:suppressAutoHyphens/>
              <w:spacing w:before="120" w:line="360" w:lineRule="exact"/>
              <w:rPr>
                <w:b/>
                <w:sz w:val="34"/>
                <w:szCs w:val="34"/>
              </w:rPr>
            </w:pPr>
            <w:r w:rsidRPr="005D308A">
              <w:rPr>
                <w:b/>
                <w:sz w:val="34"/>
                <w:szCs w:val="34"/>
              </w:rPr>
              <w:t>Instrumentos Internacionales</w:t>
            </w:r>
            <w:r w:rsidRPr="005D308A">
              <w:rPr>
                <w:b/>
                <w:sz w:val="34"/>
                <w:szCs w:val="34"/>
              </w:rPr>
              <w:br/>
              <w:t>de Derechos Humanos</w:t>
            </w:r>
          </w:p>
        </w:tc>
        <w:tc>
          <w:tcPr>
            <w:tcW w:w="2819" w:type="dxa"/>
            <w:tcBorders>
              <w:top w:val="single" w:sz="4" w:space="0" w:color="auto"/>
              <w:bottom w:val="single" w:sz="12" w:space="0" w:color="auto"/>
            </w:tcBorders>
            <w:shd w:val="clear" w:color="auto" w:fill="auto"/>
          </w:tcPr>
          <w:p w:rsidR="00CE184D" w:rsidRPr="009772A2" w:rsidRDefault="00CE184D" w:rsidP="005D308A">
            <w:pPr>
              <w:suppressAutoHyphens/>
              <w:spacing w:before="240" w:line="240" w:lineRule="exact"/>
            </w:pPr>
            <w:r w:rsidRPr="009772A2">
              <w:t>Distr. general</w:t>
            </w:r>
          </w:p>
          <w:p w:rsidR="00CE184D" w:rsidRPr="009772A2" w:rsidRDefault="00CE184D" w:rsidP="005D308A">
            <w:pPr>
              <w:suppressAutoHyphens/>
              <w:spacing w:line="240" w:lineRule="exact"/>
            </w:pPr>
            <w:r w:rsidRPr="009772A2">
              <w:t>5 de agosto de 2016</w:t>
            </w:r>
          </w:p>
          <w:p w:rsidR="00CE184D" w:rsidRPr="009772A2" w:rsidRDefault="00CE184D" w:rsidP="005D308A">
            <w:pPr>
              <w:suppressAutoHyphens/>
              <w:spacing w:line="240" w:lineRule="exact"/>
            </w:pPr>
            <w:r w:rsidRPr="009772A2">
              <w:t>Español</w:t>
            </w:r>
          </w:p>
          <w:p w:rsidR="002D5AAC" w:rsidRPr="009772A2" w:rsidRDefault="00CE184D" w:rsidP="005D308A">
            <w:pPr>
              <w:suppressAutoHyphens/>
              <w:spacing w:line="240" w:lineRule="exact"/>
            </w:pPr>
            <w:r w:rsidRPr="009772A2">
              <w:t>Original: inglés</w:t>
            </w:r>
          </w:p>
        </w:tc>
      </w:tr>
    </w:tbl>
    <w:p w:rsidR="00CE184D" w:rsidRPr="009772A2" w:rsidRDefault="00CE184D" w:rsidP="00CE184D">
      <w:pPr>
        <w:pStyle w:val="HMG"/>
      </w:pPr>
      <w:r w:rsidRPr="009772A2">
        <w:tab/>
      </w:r>
      <w:r w:rsidRPr="009772A2">
        <w:tab/>
        <w:t>Documento básico que forma parte integrante</w:t>
      </w:r>
      <w:r w:rsidRPr="009772A2">
        <w:br/>
        <w:t>de los informes de los Estados partes</w:t>
      </w:r>
    </w:p>
    <w:p w:rsidR="00CE184D" w:rsidRPr="009772A2" w:rsidRDefault="00CE184D" w:rsidP="00CE184D">
      <w:pPr>
        <w:pStyle w:val="HMG"/>
      </w:pPr>
      <w:r w:rsidRPr="009772A2">
        <w:tab/>
      </w:r>
      <w:r w:rsidRPr="009772A2">
        <w:tab/>
        <w:t>Lesotho</w:t>
      </w:r>
      <w:r w:rsidRPr="009772A2">
        <w:rPr>
          <w:rStyle w:val="FootnoteReference"/>
          <w:b w:val="0"/>
          <w:sz w:val="20"/>
          <w:vertAlign w:val="baseline"/>
        </w:rPr>
        <w:footnoteReference w:customMarkFollows="1" w:id="1"/>
        <w:t>*</w:t>
      </w:r>
    </w:p>
    <w:p w:rsidR="00CE184D" w:rsidRPr="009772A2" w:rsidRDefault="00CE184D" w:rsidP="00CE184D">
      <w:pPr>
        <w:pStyle w:val="SingleTxtG"/>
        <w:jc w:val="right"/>
      </w:pPr>
      <w:r w:rsidRPr="009772A2">
        <w:t>[Fecha de recepción: 7 de abril de 2016]</w:t>
      </w:r>
    </w:p>
    <w:p w:rsidR="00CE184D" w:rsidRPr="009772A2" w:rsidRDefault="00CE184D" w:rsidP="00CE184D">
      <w:pPr>
        <w:spacing w:after="120"/>
        <w:rPr>
          <w:sz w:val="28"/>
        </w:rPr>
      </w:pPr>
      <w:r w:rsidRPr="009772A2">
        <w:br w:type="page"/>
      </w:r>
      <w:r w:rsidRPr="009772A2">
        <w:rPr>
          <w:sz w:val="28"/>
        </w:rPr>
        <w:t>Índice</w:t>
      </w:r>
    </w:p>
    <w:p w:rsidR="00CE184D" w:rsidRPr="009772A2" w:rsidRDefault="00CE184D" w:rsidP="00CE184D">
      <w:pPr>
        <w:tabs>
          <w:tab w:val="right" w:pos="9638"/>
        </w:tabs>
        <w:spacing w:after="120"/>
        <w:ind w:left="283"/>
        <w:rPr>
          <w:sz w:val="18"/>
        </w:rPr>
      </w:pPr>
      <w:r w:rsidRPr="009772A2">
        <w:rPr>
          <w:i/>
          <w:sz w:val="18"/>
        </w:rPr>
        <w:tab/>
        <w:t>Página</w:t>
      </w:r>
    </w:p>
    <w:p w:rsidR="00CE184D" w:rsidRPr="009772A2" w:rsidRDefault="00285AF7" w:rsidP="00285AF7">
      <w:pPr>
        <w:tabs>
          <w:tab w:val="right" w:pos="850"/>
          <w:tab w:val="left" w:pos="1134"/>
          <w:tab w:val="left" w:pos="1559"/>
          <w:tab w:val="left" w:pos="1984"/>
          <w:tab w:val="left" w:leader="dot" w:pos="8929"/>
          <w:tab w:val="right" w:pos="9638"/>
        </w:tabs>
        <w:spacing w:after="120"/>
      </w:pPr>
      <w:r w:rsidRPr="009772A2">
        <w:tab/>
      </w:r>
      <w:r w:rsidR="00CE184D" w:rsidRPr="009772A2">
        <w:t>I.</w:t>
      </w:r>
      <w:r w:rsidR="00CE184D" w:rsidRPr="009772A2">
        <w:tab/>
        <w:t>El territorio y la población</w:t>
      </w:r>
      <w:r w:rsidRPr="009772A2">
        <w:tab/>
      </w:r>
      <w:r w:rsidRPr="009772A2">
        <w:tab/>
      </w:r>
      <w:r w:rsidR="00D26910" w:rsidRPr="009772A2">
        <w:t>3</w:t>
      </w:r>
    </w:p>
    <w:p w:rsidR="00CE184D" w:rsidRPr="009772A2" w:rsidRDefault="00285AF7" w:rsidP="00285AF7">
      <w:pPr>
        <w:tabs>
          <w:tab w:val="right" w:pos="850"/>
          <w:tab w:val="left" w:pos="1134"/>
          <w:tab w:val="left" w:pos="1559"/>
          <w:tab w:val="left" w:pos="1984"/>
          <w:tab w:val="left" w:leader="dot" w:pos="8929"/>
          <w:tab w:val="right" w:pos="9638"/>
        </w:tabs>
        <w:spacing w:after="120"/>
      </w:pPr>
      <w:r w:rsidRPr="009772A2">
        <w:tab/>
      </w:r>
      <w:r w:rsidRPr="009772A2">
        <w:tab/>
      </w:r>
      <w:r w:rsidR="00CE184D" w:rsidRPr="009772A2">
        <w:t>A.</w:t>
      </w:r>
      <w:r w:rsidR="00CE184D" w:rsidRPr="009772A2">
        <w:tab/>
        <w:t>Ter</w:t>
      </w:r>
      <w:r w:rsidRPr="009772A2">
        <w:t>ritorio</w:t>
      </w:r>
      <w:r w:rsidRPr="009772A2">
        <w:tab/>
      </w:r>
      <w:r w:rsidRPr="009772A2">
        <w:tab/>
      </w:r>
      <w:r w:rsidR="00D26910" w:rsidRPr="009772A2">
        <w:t>3</w:t>
      </w:r>
    </w:p>
    <w:p w:rsidR="00CE184D" w:rsidRPr="009772A2" w:rsidRDefault="00285AF7" w:rsidP="00285AF7">
      <w:pPr>
        <w:tabs>
          <w:tab w:val="right" w:pos="850"/>
          <w:tab w:val="left" w:pos="1134"/>
          <w:tab w:val="left" w:pos="1559"/>
          <w:tab w:val="left" w:pos="1984"/>
          <w:tab w:val="left" w:leader="dot" w:pos="8929"/>
          <w:tab w:val="right" w:pos="9638"/>
        </w:tabs>
        <w:spacing w:after="120"/>
      </w:pPr>
      <w:r w:rsidRPr="009772A2">
        <w:tab/>
      </w:r>
      <w:r w:rsidRPr="009772A2">
        <w:tab/>
      </w:r>
      <w:r w:rsidR="00CE184D" w:rsidRPr="009772A2">
        <w:t>B.</w:t>
      </w:r>
      <w:r w:rsidR="00CE184D" w:rsidRPr="009772A2">
        <w:tab/>
        <w:t>Población</w:t>
      </w:r>
      <w:r w:rsidRPr="009772A2">
        <w:tab/>
      </w:r>
      <w:r w:rsidRPr="009772A2">
        <w:tab/>
      </w:r>
      <w:r w:rsidR="00D26910" w:rsidRPr="009772A2">
        <w:t>3</w:t>
      </w:r>
    </w:p>
    <w:p w:rsidR="00CE184D" w:rsidRPr="009772A2" w:rsidRDefault="00285AF7" w:rsidP="00285AF7">
      <w:pPr>
        <w:tabs>
          <w:tab w:val="right" w:pos="850"/>
          <w:tab w:val="left" w:pos="1134"/>
          <w:tab w:val="left" w:pos="1559"/>
          <w:tab w:val="left" w:pos="1984"/>
          <w:tab w:val="left" w:leader="dot" w:pos="8929"/>
          <w:tab w:val="right" w:pos="9638"/>
        </w:tabs>
        <w:spacing w:after="120"/>
      </w:pPr>
      <w:r w:rsidRPr="009772A2">
        <w:tab/>
      </w:r>
      <w:r w:rsidRPr="009772A2">
        <w:tab/>
      </w:r>
      <w:r w:rsidR="00CE184D" w:rsidRPr="009772A2">
        <w:t>C.</w:t>
      </w:r>
      <w:r w:rsidR="00CE184D" w:rsidRPr="009772A2">
        <w:tab/>
        <w:t>Recursos e indicadores socioeconómicos</w:t>
      </w:r>
      <w:r w:rsidRPr="009772A2">
        <w:tab/>
      </w:r>
      <w:r w:rsidRPr="009772A2">
        <w:tab/>
      </w:r>
      <w:r w:rsidR="00D26910" w:rsidRPr="009772A2">
        <w:t>5</w:t>
      </w:r>
    </w:p>
    <w:p w:rsidR="00CE184D" w:rsidRPr="009772A2" w:rsidRDefault="00285AF7" w:rsidP="00285AF7">
      <w:pPr>
        <w:tabs>
          <w:tab w:val="right" w:pos="850"/>
          <w:tab w:val="left" w:pos="1134"/>
          <w:tab w:val="left" w:pos="1559"/>
          <w:tab w:val="left" w:pos="1984"/>
          <w:tab w:val="left" w:leader="dot" w:pos="8929"/>
          <w:tab w:val="right" w:pos="9638"/>
        </w:tabs>
        <w:spacing w:after="120"/>
      </w:pPr>
      <w:r w:rsidRPr="009772A2">
        <w:tab/>
        <w:t>II.</w:t>
      </w:r>
      <w:r w:rsidR="00CE184D" w:rsidRPr="009772A2">
        <w:tab/>
        <w:t>Estructuras del gobierno constitucional y estructuras políticas generales</w:t>
      </w:r>
      <w:r w:rsidRPr="009772A2">
        <w:tab/>
      </w:r>
      <w:r w:rsidRPr="009772A2">
        <w:tab/>
      </w:r>
      <w:r w:rsidR="00D26910" w:rsidRPr="009772A2">
        <w:t>18</w:t>
      </w:r>
    </w:p>
    <w:p w:rsidR="00CE184D" w:rsidRPr="009772A2" w:rsidRDefault="00285AF7" w:rsidP="00285AF7">
      <w:pPr>
        <w:tabs>
          <w:tab w:val="right" w:pos="850"/>
          <w:tab w:val="left" w:pos="1134"/>
          <w:tab w:val="left" w:pos="1559"/>
          <w:tab w:val="left" w:pos="1984"/>
          <w:tab w:val="left" w:leader="dot" w:pos="8929"/>
          <w:tab w:val="right" w:pos="9638"/>
        </w:tabs>
        <w:spacing w:after="120"/>
      </w:pPr>
      <w:r w:rsidRPr="009772A2">
        <w:tab/>
      </w:r>
      <w:r w:rsidRPr="009772A2">
        <w:tab/>
      </w:r>
      <w:r w:rsidR="00CE184D" w:rsidRPr="009772A2">
        <w:t>A.</w:t>
      </w:r>
      <w:r w:rsidR="00CE184D" w:rsidRPr="009772A2">
        <w:tab/>
        <w:t>Poder legislativo/Parlamento</w:t>
      </w:r>
      <w:r w:rsidRPr="009772A2">
        <w:tab/>
      </w:r>
      <w:r w:rsidRPr="009772A2">
        <w:tab/>
      </w:r>
      <w:r w:rsidR="00D26910" w:rsidRPr="009772A2">
        <w:t>18</w:t>
      </w:r>
    </w:p>
    <w:p w:rsidR="00CE184D" w:rsidRPr="009772A2" w:rsidRDefault="00285AF7" w:rsidP="00285AF7">
      <w:pPr>
        <w:tabs>
          <w:tab w:val="right" w:pos="850"/>
          <w:tab w:val="left" w:pos="1134"/>
          <w:tab w:val="left" w:pos="1559"/>
          <w:tab w:val="left" w:pos="1984"/>
          <w:tab w:val="left" w:leader="dot" w:pos="8929"/>
          <w:tab w:val="right" w:pos="9638"/>
        </w:tabs>
        <w:spacing w:after="120"/>
      </w:pPr>
      <w:r w:rsidRPr="009772A2">
        <w:tab/>
      </w:r>
      <w:r w:rsidRPr="009772A2">
        <w:tab/>
      </w:r>
      <w:r w:rsidR="00CE184D" w:rsidRPr="009772A2">
        <w:t>B.</w:t>
      </w:r>
      <w:r w:rsidR="00CE184D" w:rsidRPr="009772A2">
        <w:tab/>
        <w:t>Poder ejecutivo</w:t>
      </w:r>
      <w:r w:rsidRPr="009772A2">
        <w:tab/>
      </w:r>
      <w:r w:rsidRPr="009772A2">
        <w:tab/>
      </w:r>
      <w:r w:rsidR="00D26910" w:rsidRPr="009772A2">
        <w:t>18</w:t>
      </w:r>
    </w:p>
    <w:p w:rsidR="00CE184D" w:rsidRPr="009772A2" w:rsidRDefault="00285AF7" w:rsidP="00285AF7">
      <w:pPr>
        <w:tabs>
          <w:tab w:val="right" w:pos="850"/>
          <w:tab w:val="left" w:pos="1134"/>
          <w:tab w:val="left" w:pos="1559"/>
          <w:tab w:val="left" w:pos="1984"/>
          <w:tab w:val="left" w:leader="dot" w:pos="8929"/>
          <w:tab w:val="right" w:pos="9638"/>
        </w:tabs>
        <w:spacing w:after="120"/>
      </w:pPr>
      <w:r w:rsidRPr="009772A2">
        <w:tab/>
      </w:r>
      <w:r w:rsidRPr="009772A2">
        <w:tab/>
        <w:t>C.</w:t>
      </w:r>
      <w:r w:rsidR="00CE184D" w:rsidRPr="009772A2">
        <w:tab/>
        <w:t>Poder judicial</w:t>
      </w:r>
      <w:r w:rsidRPr="009772A2">
        <w:tab/>
      </w:r>
      <w:r w:rsidRPr="009772A2">
        <w:tab/>
      </w:r>
      <w:r w:rsidR="00D26910" w:rsidRPr="009772A2">
        <w:t>19</w:t>
      </w:r>
    </w:p>
    <w:p w:rsidR="00CE184D" w:rsidRPr="009772A2" w:rsidRDefault="00285AF7" w:rsidP="00F42DD4">
      <w:pPr>
        <w:tabs>
          <w:tab w:val="right" w:pos="850"/>
          <w:tab w:val="left" w:pos="1134"/>
          <w:tab w:val="left" w:pos="1559"/>
          <w:tab w:val="left" w:pos="1984"/>
          <w:tab w:val="left" w:leader="dot" w:pos="8929"/>
          <w:tab w:val="right" w:pos="9638"/>
        </w:tabs>
        <w:spacing w:after="120"/>
      </w:pPr>
      <w:r w:rsidRPr="009772A2">
        <w:tab/>
        <w:t>III.</w:t>
      </w:r>
      <w:r w:rsidR="00CE184D" w:rsidRPr="009772A2">
        <w:tab/>
        <w:t xml:space="preserve">Principales iniciativas y programas </w:t>
      </w:r>
      <w:r w:rsidR="00F42DD4">
        <w:t>de gobierno</w:t>
      </w:r>
      <w:r w:rsidRPr="009772A2">
        <w:tab/>
      </w:r>
      <w:r w:rsidRPr="009772A2">
        <w:tab/>
      </w:r>
      <w:r w:rsidR="00D26910" w:rsidRPr="009772A2">
        <w:t>20</w:t>
      </w:r>
    </w:p>
    <w:p w:rsidR="00CE184D" w:rsidRPr="009772A2" w:rsidRDefault="00285AF7" w:rsidP="00285AF7">
      <w:pPr>
        <w:tabs>
          <w:tab w:val="right" w:pos="850"/>
          <w:tab w:val="left" w:pos="1134"/>
          <w:tab w:val="left" w:pos="1559"/>
          <w:tab w:val="left" w:pos="1984"/>
          <w:tab w:val="left" w:leader="dot" w:pos="8929"/>
          <w:tab w:val="right" w:pos="9638"/>
        </w:tabs>
        <w:spacing w:after="120"/>
      </w:pPr>
      <w:r w:rsidRPr="009772A2">
        <w:tab/>
      </w:r>
      <w:r w:rsidRPr="009772A2">
        <w:tab/>
      </w:r>
      <w:r w:rsidR="00CE184D" w:rsidRPr="009772A2">
        <w:t>A.</w:t>
      </w:r>
      <w:r w:rsidR="00CE184D" w:rsidRPr="009772A2">
        <w:tab/>
        <w:t>Visión Nacional 2020</w:t>
      </w:r>
      <w:r w:rsidRPr="009772A2">
        <w:tab/>
      </w:r>
      <w:r w:rsidRPr="009772A2">
        <w:tab/>
      </w:r>
      <w:r w:rsidR="00D26910" w:rsidRPr="009772A2">
        <w:t>20</w:t>
      </w:r>
    </w:p>
    <w:p w:rsidR="00CE184D" w:rsidRPr="009772A2" w:rsidRDefault="00285AF7" w:rsidP="00285AF7">
      <w:pPr>
        <w:tabs>
          <w:tab w:val="right" w:pos="850"/>
          <w:tab w:val="left" w:pos="1134"/>
          <w:tab w:val="left" w:pos="1559"/>
          <w:tab w:val="left" w:pos="1984"/>
          <w:tab w:val="left" w:leader="dot" w:pos="8929"/>
          <w:tab w:val="right" w:pos="9638"/>
        </w:tabs>
        <w:spacing w:after="120"/>
      </w:pPr>
      <w:r w:rsidRPr="009772A2">
        <w:tab/>
      </w:r>
      <w:r w:rsidRPr="009772A2">
        <w:tab/>
      </w:r>
      <w:r w:rsidR="00CE184D" w:rsidRPr="009772A2">
        <w:t>B.</w:t>
      </w:r>
      <w:r w:rsidR="00CE184D" w:rsidRPr="009772A2">
        <w:tab/>
        <w:t>Objetivos de Desarrollo del Milenio</w:t>
      </w:r>
      <w:r w:rsidRPr="009772A2">
        <w:tab/>
      </w:r>
      <w:r w:rsidRPr="009772A2">
        <w:tab/>
      </w:r>
      <w:r w:rsidR="00D26910" w:rsidRPr="009772A2">
        <w:t>20</w:t>
      </w:r>
    </w:p>
    <w:p w:rsidR="00CE184D" w:rsidRPr="009772A2" w:rsidRDefault="00285AF7" w:rsidP="00F42DD4">
      <w:pPr>
        <w:tabs>
          <w:tab w:val="right" w:pos="850"/>
          <w:tab w:val="left" w:pos="1134"/>
          <w:tab w:val="left" w:pos="1559"/>
          <w:tab w:val="left" w:pos="1984"/>
          <w:tab w:val="left" w:leader="dot" w:pos="8929"/>
          <w:tab w:val="right" w:pos="9638"/>
        </w:tabs>
        <w:spacing w:after="120"/>
      </w:pPr>
      <w:r w:rsidRPr="009772A2">
        <w:tab/>
      </w:r>
      <w:r w:rsidRPr="009772A2">
        <w:tab/>
      </w:r>
      <w:r w:rsidR="00CE184D" w:rsidRPr="009772A2">
        <w:t>C.</w:t>
      </w:r>
      <w:r w:rsidR="00CE184D" w:rsidRPr="009772A2">
        <w:tab/>
        <w:t>Plan Nacional de Desarrollo Estratégico (2012/13</w:t>
      </w:r>
      <w:r w:rsidRPr="009772A2">
        <w:t>-</w:t>
      </w:r>
      <w:r w:rsidR="00CE184D" w:rsidRPr="009772A2">
        <w:t>2016/17)</w:t>
      </w:r>
      <w:r w:rsidRPr="009772A2">
        <w:tab/>
      </w:r>
      <w:r w:rsidRPr="009772A2">
        <w:tab/>
      </w:r>
      <w:r w:rsidR="00D26910" w:rsidRPr="009772A2">
        <w:t>20</w:t>
      </w:r>
    </w:p>
    <w:p w:rsidR="00CE184D" w:rsidRPr="009772A2" w:rsidRDefault="00285AF7" w:rsidP="00285AF7">
      <w:pPr>
        <w:tabs>
          <w:tab w:val="right" w:pos="850"/>
          <w:tab w:val="left" w:pos="1134"/>
          <w:tab w:val="left" w:pos="1559"/>
          <w:tab w:val="left" w:pos="1984"/>
          <w:tab w:val="left" w:leader="dot" w:pos="8929"/>
          <w:tab w:val="right" w:pos="9638"/>
        </w:tabs>
        <w:spacing w:after="120"/>
      </w:pPr>
      <w:r w:rsidRPr="009772A2">
        <w:tab/>
        <w:t>IV.</w:t>
      </w:r>
      <w:r w:rsidR="00CE184D" w:rsidRPr="009772A2">
        <w:tab/>
        <w:t>Mecanismo institucional encargado de supervisar la efectividad de los derechos humanos</w:t>
      </w:r>
      <w:r w:rsidRPr="009772A2">
        <w:tab/>
      </w:r>
      <w:r w:rsidRPr="009772A2">
        <w:tab/>
      </w:r>
      <w:r w:rsidR="00D26910" w:rsidRPr="009772A2">
        <w:t>21</w:t>
      </w:r>
    </w:p>
    <w:p w:rsidR="00CE184D" w:rsidRPr="009772A2" w:rsidRDefault="00AE6414" w:rsidP="00285AF7">
      <w:pPr>
        <w:tabs>
          <w:tab w:val="right" w:pos="850"/>
          <w:tab w:val="left" w:pos="1134"/>
          <w:tab w:val="left" w:pos="1559"/>
          <w:tab w:val="left" w:pos="1984"/>
          <w:tab w:val="left" w:leader="dot" w:pos="8929"/>
          <w:tab w:val="right" w:pos="9638"/>
        </w:tabs>
        <w:spacing w:after="120"/>
      </w:pPr>
      <w:r w:rsidRPr="009772A2">
        <w:tab/>
      </w:r>
      <w:r w:rsidRPr="009772A2">
        <w:tab/>
        <w:t>A.</w:t>
      </w:r>
      <w:r w:rsidR="00CE184D" w:rsidRPr="009772A2">
        <w:tab/>
        <w:t>Comisión Electoral Independiente</w:t>
      </w:r>
      <w:r w:rsidRPr="009772A2">
        <w:tab/>
      </w:r>
      <w:r w:rsidRPr="009772A2">
        <w:tab/>
      </w:r>
      <w:r w:rsidR="00D26910" w:rsidRPr="009772A2">
        <w:t>21</w:t>
      </w:r>
    </w:p>
    <w:p w:rsidR="00CE184D" w:rsidRPr="009772A2" w:rsidRDefault="00AE6414" w:rsidP="00285AF7">
      <w:pPr>
        <w:tabs>
          <w:tab w:val="right" w:pos="850"/>
          <w:tab w:val="left" w:pos="1134"/>
          <w:tab w:val="left" w:pos="1559"/>
          <w:tab w:val="left" w:pos="1984"/>
          <w:tab w:val="left" w:leader="dot" w:pos="8929"/>
          <w:tab w:val="right" w:pos="9638"/>
        </w:tabs>
        <w:spacing w:after="120"/>
      </w:pPr>
      <w:r w:rsidRPr="009772A2">
        <w:tab/>
      </w:r>
      <w:r w:rsidRPr="009772A2">
        <w:tab/>
        <w:t>B.</w:t>
      </w:r>
      <w:r w:rsidR="00CE184D" w:rsidRPr="009772A2">
        <w:tab/>
        <w:t>Defensor del Pueblo</w:t>
      </w:r>
      <w:r w:rsidRPr="009772A2">
        <w:tab/>
      </w:r>
      <w:r w:rsidRPr="009772A2">
        <w:tab/>
      </w:r>
      <w:r w:rsidR="00D26910" w:rsidRPr="009772A2">
        <w:t>21</w:t>
      </w:r>
    </w:p>
    <w:p w:rsidR="00CE184D" w:rsidRPr="009772A2" w:rsidRDefault="00AE6414" w:rsidP="00285AF7">
      <w:pPr>
        <w:tabs>
          <w:tab w:val="right" w:pos="850"/>
          <w:tab w:val="left" w:pos="1134"/>
          <w:tab w:val="left" w:pos="1559"/>
          <w:tab w:val="left" w:pos="1984"/>
          <w:tab w:val="left" w:leader="dot" w:pos="8929"/>
          <w:tab w:val="right" w:pos="9638"/>
        </w:tabs>
        <w:spacing w:after="120"/>
      </w:pPr>
      <w:r w:rsidRPr="009772A2">
        <w:tab/>
      </w:r>
      <w:r w:rsidRPr="009772A2">
        <w:tab/>
        <w:t>C.</w:t>
      </w:r>
      <w:r w:rsidR="00CE184D" w:rsidRPr="009772A2">
        <w:tab/>
        <w:t>Dirección de Lucha contra la Corrupción y los Delitos Económicos</w:t>
      </w:r>
      <w:r w:rsidRPr="009772A2">
        <w:tab/>
      </w:r>
      <w:r w:rsidRPr="009772A2">
        <w:tab/>
      </w:r>
      <w:r w:rsidR="00D26910" w:rsidRPr="009772A2">
        <w:t>22</w:t>
      </w:r>
    </w:p>
    <w:p w:rsidR="00CE184D" w:rsidRPr="009772A2" w:rsidRDefault="00AE6414" w:rsidP="00285AF7">
      <w:pPr>
        <w:tabs>
          <w:tab w:val="right" w:pos="850"/>
          <w:tab w:val="left" w:pos="1134"/>
          <w:tab w:val="left" w:pos="1559"/>
          <w:tab w:val="left" w:pos="1984"/>
          <w:tab w:val="left" w:leader="dot" w:pos="8929"/>
          <w:tab w:val="right" w:pos="9638"/>
        </w:tabs>
        <w:spacing w:after="120"/>
      </w:pPr>
      <w:r w:rsidRPr="009772A2">
        <w:tab/>
      </w:r>
      <w:r w:rsidRPr="009772A2">
        <w:tab/>
        <w:t>D.</w:t>
      </w:r>
      <w:r w:rsidR="00CE184D" w:rsidRPr="009772A2">
        <w:tab/>
        <w:t>Organismo de Denuncias contra la Policía</w:t>
      </w:r>
      <w:r w:rsidRPr="009772A2">
        <w:tab/>
      </w:r>
      <w:r w:rsidRPr="009772A2">
        <w:tab/>
      </w:r>
      <w:r w:rsidR="00D26910" w:rsidRPr="009772A2">
        <w:t>22</w:t>
      </w:r>
    </w:p>
    <w:p w:rsidR="00CE184D" w:rsidRPr="009772A2" w:rsidRDefault="00AE6414" w:rsidP="00285AF7">
      <w:pPr>
        <w:tabs>
          <w:tab w:val="right" w:pos="850"/>
          <w:tab w:val="left" w:pos="1134"/>
          <w:tab w:val="left" w:pos="1559"/>
          <w:tab w:val="left" w:pos="1984"/>
          <w:tab w:val="left" w:leader="dot" w:pos="8929"/>
          <w:tab w:val="right" w:pos="9638"/>
        </w:tabs>
        <w:spacing w:after="120"/>
      </w:pPr>
      <w:r w:rsidRPr="009772A2">
        <w:tab/>
      </w:r>
      <w:r w:rsidRPr="009772A2">
        <w:tab/>
        <w:t>E.</w:t>
      </w:r>
      <w:r w:rsidR="00CE184D" w:rsidRPr="009772A2">
        <w:tab/>
        <w:t>Dependencia de Derechos Humanos</w:t>
      </w:r>
      <w:r w:rsidRPr="009772A2">
        <w:tab/>
      </w:r>
      <w:r w:rsidRPr="009772A2">
        <w:tab/>
      </w:r>
      <w:r w:rsidR="00D26910" w:rsidRPr="009772A2">
        <w:t>22</w:t>
      </w:r>
    </w:p>
    <w:p w:rsidR="00CE184D" w:rsidRPr="009772A2" w:rsidRDefault="00AE6414" w:rsidP="00285AF7">
      <w:pPr>
        <w:tabs>
          <w:tab w:val="right" w:pos="850"/>
          <w:tab w:val="left" w:pos="1134"/>
          <w:tab w:val="left" w:pos="1559"/>
          <w:tab w:val="left" w:pos="1984"/>
          <w:tab w:val="left" w:leader="dot" w:pos="8929"/>
          <w:tab w:val="right" w:pos="9638"/>
        </w:tabs>
        <w:spacing w:after="120"/>
      </w:pPr>
      <w:r w:rsidRPr="009772A2">
        <w:tab/>
        <w:t>V.</w:t>
      </w:r>
      <w:r w:rsidR="00CE184D" w:rsidRPr="009772A2">
        <w:tab/>
        <w:t>Marco jurídico general para la protección de los derechos humanos</w:t>
      </w:r>
      <w:r w:rsidRPr="009772A2">
        <w:tab/>
      </w:r>
      <w:r w:rsidRPr="009772A2">
        <w:tab/>
      </w:r>
      <w:r w:rsidR="00D26910" w:rsidRPr="009772A2">
        <w:t>23</w:t>
      </w:r>
    </w:p>
    <w:p w:rsidR="00CE184D" w:rsidRPr="009772A2" w:rsidRDefault="00AE6414" w:rsidP="00285AF7">
      <w:pPr>
        <w:tabs>
          <w:tab w:val="right" w:pos="850"/>
          <w:tab w:val="left" w:pos="1134"/>
          <w:tab w:val="left" w:pos="1559"/>
          <w:tab w:val="left" w:pos="1984"/>
          <w:tab w:val="left" w:leader="dot" w:pos="8929"/>
          <w:tab w:val="right" w:pos="9638"/>
        </w:tabs>
        <w:spacing w:after="120"/>
      </w:pPr>
      <w:r w:rsidRPr="009772A2">
        <w:tab/>
      </w:r>
      <w:r w:rsidRPr="009772A2">
        <w:tab/>
        <w:t>A.</w:t>
      </w:r>
      <w:r w:rsidR="00CE184D" w:rsidRPr="009772A2">
        <w:tab/>
        <w:t>Constitución</w:t>
      </w:r>
      <w:r w:rsidRPr="009772A2">
        <w:tab/>
      </w:r>
      <w:r w:rsidRPr="009772A2">
        <w:tab/>
      </w:r>
      <w:r w:rsidR="00D26910" w:rsidRPr="009772A2">
        <w:t>23</w:t>
      </w:r>
    </w:p>
    <w:p w:rsidR="00CE184D" w:rsidRPr="009772A2" w:rsidRDefault="00AE6414" w:rsidP="00285AF7">
      <w:pPr>
        <w:tabs>
          <w:tab w:val="right" w:pos="850"/>
          <w:tab w:val="left" w:pos="1134"/>
          <w:tab w:val="left" w:pos="1559"/>
          <w:tab w:val="left" w:pos="1984"/>
          <w:tab w:val="left" w:leader="dot" w:pos="8929"/>
          <w:tab w:val="right" w:pos="9638"/>
        </w:tabs>
        <w:spacing w:after="120"/>
      </w:pPr>
      <w:r w:rsidRPr="009772A2">
        <w:tab/>
      </w:r>
      <w:r w:rsidRPr="009772A2">
        <w:tab/>
        <w:t>B.</w:t>
      </w:r>
      <w:r w:rsidR="00CE184D" w:rsidRPr="009772A2">
        <w:tab/>
      </w:r>
      <w:r w:rsidRPr="009772A2">
        <w:t>Legislación</w:t>
      </w:r>
      <w:r w:rsidRPr="009772A2">
        <w:tab/>
      </w:r>
      <w:r w:rsidRPr="009772A2">
        <w:tab/>
      </w:r>
      <w:r w:rsidR="00D26910" w:rsidRPr="009772A2">
        <w:t>23</w:t>
      </w:r>
    </w:p>
    <w:p w:rsidR="00CE184D" w:rsidRPr="009772A2" w:rsidRDefault="00AE6414" w:rsidP="00285AF7">
      <w:pPr>
        <w:tabs>
          <w:tab w:val="right" w:pos="850"/>
          <w:tab w:val="left" w:pos="1134"/>
          <w:tab w:val="left" w:pos="1559"/>
          <w:tab w:val="left" w:pos="1984"/>
          <w:tab w:val="left" w:leader="dot" w:pos="8929"/>
          <w:tab w:val="right" w:pos="9638"/>
        </w:tabs>
        <w:spacing w:after="120"/>
      </w:pPr>
      <w:r w:rsidRPr="009772A2">
        <w:tab/>
        <w:t>VI.</w:t>
      </w:r>
      <w:r w:rsidR="00CE184D" w:rsidRPr="009772A2">
        <w:tab/>
        <w:t>Marco para la ratificación de los instrumentos internacionales de derechos humanos</w:t>
      </w:r>
      <w:r w:rsidRPr="009772A2">
        <w:t>,</w:t>
      </w:r>
      <w:r w:rsidRPr="009772A2">
        <w:br/>
      </w:r>
      <w:r w:rsidRPr="009772A2">
        <w:tab/>
      </w:r>
      <w:r w:rsidRPr="009772A2">
        <w:tab/>
        <w:t>su incorporación en el derecho interno y mecanismos de examen entre pares</w:t>
      </w:r>
      <w:r w:rsidRPr="009772A2">
        <w:tab/>
      </w:r>
      <w:r w:rsidRPr="009772A2">
        <w:tab/>
      </w:r>
      <w:r w:rsidR="00D26910" w:rsidRPr="009772A2">
        <w:t>24</w:t>
      </w:r>
    </w:p>
    <w:p w:rsidR="00CE184D" w:rsidRPr="009772A2" w:rsidRDefault="00AE6414" w:rsidP="00285AF7">
      <w:pPr>
        <w:tabs>
          <w:tab w:val="right" w:pos="850"/>
          <w:tab w:val="left" w:pos="1134"/>
          <w:tab w:val="left" w:pos="1559"/>
          <w:tab w:val="left" w:pos="1984"/>
          <w:tab w:val="left" w:leader="dot" w:pos="8929"/>
          <w:tab w:val="right" w:pos="9638"/>
        </w:tabs>
        <w:spacing w:after="120"/>
      </w:pPr>
      <w:r w:rsidRPr="009772A2">
        <w:tab/>
      </w:r>
      <w:r w:rsidRPr="009772A2">
        <w:tab/>
        <w:t>A.</w:t>
      </w:r>
      <w:r w:rsidR="00CE184D" w:rsidRPr="009772A2">
        <w:tab/>
        <w:t>Situación de la ratificación y la incorporación en el derecho interno</w:t>
      </w:r>
      <w:r w:rsidRPr="009772A2">
        <w:tab/>
      </w:r>
      <w:r w:rsidRPr="009772A2">
        <w:tab/>
      </w:r>
      <w:r w:rsidR="00D26910" w:rsidRPr="009772A2">
        <w:t>24</w:t>
      </w:r>
    </w:p>
    <w:p w:rsidR="00CE184D" w:rsidRPr="009772A2" w:rsidRDefault="00AE6414" w:rsidP="00285AF7">
      <w:pPr>
        <w:tabs>
          <w:tab w:val="right" w:pos="850"/>
          <w:tab w:val="left" w:pos="1134"/>
          <w:tab w:val="left" w:pos="1559"/>
          <w:tab w:val="left" w:pos="1984"/>
          <w:tab w:val="left" w:leader="dot" w:pos="8929"/>
          <w:tab w:val="right" w:pos="9638"/>
        </w:tabs>
        <w:spacing w:after="120"/>
      </w:pPr>
      <w:r w:rsidRPr="009772A2">
        <w:tab/>
      </w:r>
      <w:r w:rsidRPr="009772A2">
        <w:tab/>
        <w:t>B.</w:t>
      </w:r>
      <w:r w:rsidR="00CE184D" w:rsidRPr="009772A2">
        <w:tab/>
        <w:t>Convenciones regionales e internacionales de dere</w:t>
      </w:r>
      <w:r w:rsidRPr="009772A2">
        <w:t>chos humanos y su incorporación</w:t>
      </w:r>
      <w:r w:rsidRPr="009772A2">
        <w:br/>
      </w:r>
      <w:r w:rsidRPr="009772A2">
        <w:tab/>
      </w:r>
      <w:r w:rsidRPr="009772A2">
        <w:tab/>
      </w:r>
      <w:r w:rsidRPr="009772A2">
        <w:tab/>
        <w:t>en el derecho interno</w:t>
      </w:r>
      <w:r w:rsidRPr="009772A2">
        <w:tab/>
      </w:r>
      <w:r w:rsidRPr="009772A2">
        <w:tab/>
      </w:r>
      <w:r w:rsidR="00D26910" w:rsidRPr="009772A2">
        <w:t>24</w:t>
      </w:r>
    </w:p>
    <w:p w:rsidR="00CE184D" w:rsidRPr="009772A2" w:rsidRDefault="00AE6414" w:rsidP="00285AF7">
      <w:pPr>
        <w:tabs>
          <w:tab w:val="right" w:pos="850"/>
          <w:tab w:val="left" w:pos="1134"/>
          <w:tab w:val="left" w:pos="1559"/>
          <w:tab w:val="left" w:pos="1984"/>
          <w:tab w:val="left" w:leader="dot" w:pos="8929"/>
          <w:tab w:val="right" w:pos="9638"/>
        </w:tabs>
        <w:spacing w:after="120"/>
      </w:pPr>
      <w:r w:rsidRPr="009772A2">
        <w:tab/>
      </w:r>
      <w:r w:rsidRPr="009772A2">
        <w:tab/>
        <w:t>C.</w:t>
      </w:r>
      <w:r w:rsidR="00CE184D" w:rsidRPr="009772A2">
        <w:tab/>
        <w:t>Convenciones de derecho internacional humanitario</w:t>
      </w:r>
      <w:r w:rsidRPr="009772A2">
        <w:tab/>
      </w:r>
      <w:r w:rsidRPr="009772A2">
        <w:tab/>
      </w:r>
      <w:r w:rsidR="00D26910" w:rsidRPr="009772A2">
        <w:t>25</w:t>
      </w:r>
    </w:p>
    <w:p w:rsidR="00CE184D" w:rsidRPr="009772A2" w:rsidRDefault="00AE6414" w:rsidP="00285AF7">
      <w:pPr>
        <w:tabs>
          <w:tab w:val="right" w:pos="850"/>
          <w:tab w:val="left" w:pos="1134"/>
          <w:tab w:val="left" w:pos="1559"/>
          <w:tab w:val="left" w:pos="1984"/>
          <w:tab w:val="left" w:leader="dot" w:pos="8929"/>
          <w:tab w:val="right" w:pos="9638"/>
        </w:tabs>
        <w:spacing w:after="120"/>
      </w:pPr>
      <w:r w:rsidRPr="009772A2">
        <w:tab/>
      </w:r>
      <w:r w:rsidRPr="009772A2">
        <w:tab/>
        <w:t>D.</w:t>
      </w:r>
      <w:r w:rsidR="00CE184D" w:rsidRPr="009772A2">
        <w:tab/>
        <w:t>Convenios de la Organización Internacional del Trabajo</w:t>
      </w:r>
      <w:r w:rsidRPr="009772A2">
        <w:tab/>
      </w:r>
      <w:r w:rsidRPr="009772A2">
        <w:tab/>
      </w:r>
      <w:r w:rsidR="00D26910" w:rsidRPr="009772A2">
        <w:t>26</w:t>
      </w:r>
    </w:p>
    <w:p w:rsidR="00CE184D" w:rsidRPr="009772A2" w:rsidRDefault="00AE6414" w:rsidP="00285AF7">
      <w:pPr>
        <w:tabs>
          <w:tab w:val="right" w:pos="850"/>
          <w:tab w:val="left" w:pos="1134"/>
          <w:tab w:val="left" w:pos="1559"/>
          <w:tab w:val="left" w:pos="1984"/>
          <w:tab w:val="left" w:leader="dot" w:pos="8929"/>
          <w:tab w:val="right" w:pos="9638"/>
        </w:tabs>
        <w:spacing w:after="120"/>
      </w:pPr>
      <w:r w:rsidRPr="009772A2">
        <w:tab/>
      </w:r>
      <w:r w:rsidRPr="009772A2">
        <w:tab/>
        <w:t>E.</w:t>
      </w:r>
      <w:r w:rsidR="00CE184D" w:rsidRPr="009772A2">
        <w:tab/>
        <w:t>Mecanismos para la preparación de informes de los Estados partes</w:t>
      </w:r>
      <w:r w:rsidRPr="009772A2">
        <w:tab/>
      </w:r>
      <w:r w:rsidRPr="009772A2">
        <w:tab/>
      </w:r>
      <w:r w:rsidR="00D26910" w:rsidRPr="009772A2">
        <w:t>27</w:t>
      </w:r>
    </w:p>
    <w:p w:rsidR="00CE184D" w:rsidRPr="009772A2" w:rsidRDefault="00AE6414" w:rsidP="00285AF7">
      <w:pPr>
        <w:tabs>
          <w:tab w:val="right" w:pos="850"/>
          <w:tab w:val="left" w:pos="1134"/>
          <w:tab w:val="left" w:pos="1559"/>
          <w:tab w:val="left" w:pos="1984"/>
          <w:tab w:val="left" w:leader="dot" w:pos="8929"/>
          <w:tab w:val="right" w:pos="9638"/>
        </w:tabs>
        <w:spacing w:after="120"/>
      </w:pPr>
      <w:r w:rsidRPr="009772A2">
        <w:tab/>
      </w:r>
      <w:r w:rsidRPr="009772A2">
        <w:tab/>
        <w:t>F.</w:t>
      </w:r>
      <w:r w:rsidR="00CE184D" w:rsidRPr="009772A2">
        <w:tab/>
        <w:t>Mecanismo de examen entre pares</w:t>
      </w:r>
      <w:r w:rsidRPr="009772A2">
        <w:tab/>
      </w:r>
      <w:r w:rsidRPr="009772A2">
        <w:tab/>
      </w:r>
      <w:r w:rsidR="00D26910" w:rsidRPr="009772A2">
        <w:t>27</w:t>
      </w:r>
    </w:p>
    <w:p w:rsidR="00CE184D" w:rsidRPr="009772A2" w:rsidRDefault="00AE6414" w:rsidP="00285AF7">
      <w:pPr>
        <w:tabs>
          <w:tab w:val="right" w:pos="850"/>
          <w:tab w:val="left" w:pos="1134"/>
          <w:tab w:val="left" w:pos="1559"/>
          <w:tab w:val="left" w:pos="1984"/>
          <w:tab w:val="left" w:leader="dot" w:pos="8929"/>
          <w:tab w:val="right" w:pos="9638"/>
        </w:tabs>
        <w:spacing w:after="120"/>
      </w:pPr>
      <w:r w:rsidRPr="009772A2">
        <w:tab/>
      </w:r>
      <w:r w:rsidR="00CE184D" w:rsidRPr="009772A2">
        <w:t>VII.</w:t>
      </w:r>
      <w:r w:rsidR="00CE184D" w:rsidRPr="009772A2">
        <w:tab/>
        <w:t>Información y divulgación</w:t>
      </w:r>
      <w:r w:rsidRPr="009772A2">
        <w:tab/>
      </w:r>
      <w:r w:rsidRPr="009772A2">
        <w:tab/>
      </w:r>
      <w:r w:rsidR="00D26910" w:rsidRPr="009772A2">
        <w:t>27</w:t>
      </w:r>
    </w:p>
    <w:p w:rsidR="00CE184D" w:rsidRPr="009772A2" w:rsidRDefault="00AE6414" w:rsidP="00285AF7">
      <w:pPr>
        <w:tabs>
          <w:tab w:val="right" w:pos="850"/>
          <w:tab w:val="left" w:pos="1134"/>
          <w:tab w:val="left" w:pos="1559"/>
          <w:tab w:val="left" w:pos="1984"/>
          <w:tab w:val="left" w:leader="dot" w:pos="8929"/>
          <w:tab w:val="right" w:pos="9638"/>
        </w:tabs>
        <w:spacing w:after="120"/>
      </w:pPr>
      <w:r w:rsidRPr="009772A2">
        <w:tab/>
      </w:r>
      <w:r w:rsidRPr="009772A2">
        <w:tab/>
        <w:t>A.</w:t>
      </w:r>
      <w:r w:rsidR="00CE184D" w:rsidRPr="009772A2">
        <w:tab/>
        <w:t>Medidas adoptadas por el Gobier</w:t>
      </w:r>
      <w:r w:rsidRPr="009772A2">
        <w:t>no para la promoción y difusión</w:t>
      </w:r>
      <w:r w:rsidRPr="009772A2">
        <w:br/>
      </w:r>
      <w:r w:rsidRPr="009772A2">
        <w:tab/>
      </w:r>
      <w:r w:rsidRPr="009772A2">
        <w:tab/>
      </w:r>
      <w:r w:rsidRPr="009772A2">
        <w:tab/>
        <w:t>de los derechos humanos</w:t>
      </w:r>
      <w:r w:rsidRPr="009772A2">
        <w:tab/>
      </w:r>
      <w:r w:rsidRPr="009772A2">
        <w:tab/>
      </w:r>
      <w:r w:rsidR="00D26910" w:rsidRPr="009772A2">
        <w:t>27</w:t>
      </w:r>
    </w:p>
    <w:p w:rsidR="00CE184D" w:rsidRPr="009772A2" w:rsidRDefault="00AE6414" w:rsidP="00285AF7">
      <w:pPr>
        <w:tabs>
          <w:tab w:val="right" w:pos="850"/>
          <w:tab w:val="left" w:pos="1134"/>
          <w:tab w:val="left" w:pos="1559"/>
          <w:tab w:val="left" w:pos="1984"/>
          <w:tab w:val="left" w:leader="dot" w:pos="8929"/>
          <w:tab w:val="right" w:pos="9638"/>
        </w:tabs>
        <w:spacing w:after="120"/>
      </w:pPr>
      <w:r w:rsidRPr="009772A2">
        <w:tab/>
      </w:r>
      <w:r w:rsidRPr="009772A2">
        <w:tab/>
        <w:t>B.</w:t>
      </w:r>
      <w:r w:rsidR="00CE184D" w:rsidRPr="009772A2">
        <w:tab/>
        <w:t>Presentación de informes a diversos órganos de derechos humanos</w:t>
      </w:r>
      <w:r w:rsidRPr="009772A2">
        <w:tab/>
      </w:r>
      <w:r w:rsidRPr="009772A2">
        <w:tab/>
      </w:r>
      <w:r w:rsidR="00D26910" w:rsidRPr="009772A2">
        <w:t>28</w:t>
      </w:r>
    </w:p>
    <w:p w:rsidR="00542BD3" w:rsidRPr="009772A2" w:rsidRDefault="00CE184D" w:rsidP="00430326">
      <w:pPr>
        <w:pStyle w:val="HChG"/>
      </w:pPr>
      <w:r w:rsidRPr="009772A2">
        <w:br w:type="page"/>
      </w:r>
      <w:r w:rsidR="00430326" w:rsidRPr="009772A2">
        <w:tab/>
        <w:t>I.</w:t>
      </w:r>
      <w:r w:rsidR="00430326" w:rsidRPr="009772A2">
        <w:tab/>
        <w:t>El territorio y la población</w:t>
      </w:r>
    </w:p>
    <w:p w:rsidR="00542BD3" w:rsidRPr="009772A2" w:rsidRDefault="00430326" w:rsidP="00430326">
      <w:pPr>
        <w:pStyle w:val="H1G"/>
      </w:pPr>
      <w:r w:rsidRPr="009772A2">
        <w:tab/>
        <w:t>A.</w:t>
      </w:r>
      <w:r w:rsidRPr="009772A2">
        <w:tab/>
      </w:r>
      <w:r w:rsidR="00542BD3" w:rsidRPr="009772A2">
        <w:t>Territorio</w:t>
      </w:r>
    </w:p>
    <w:p w:rsidR="00542BD3" w:rsidRPr="009772A2" w:rsidRDefault="00430326" w:rsidP="00430326">
      <w:pPr>
        <w:pStyle w:val="SingleTxtG"/>
      </w:pPr>
      <w:r w:rsidRPr="009772A2">
        <w:t>1.</w:t>
      </w:r>
      <w:r w:rsidRPr="009772A2">
        <w:tab/>
      </w:r>
      <w:r w:rsidR="00542BD3" w:rsidRPr="009772A2">
        <w:t>Lesotho es un país del África meridional, con una superficie estimada de 3</w:t>
      </w:r>
      <w:r w:rsidR="00575AF8" w:rsidRPr="009772A2">
        <w:t>0.000 a </w:t>
      </w:r>
      <w:r w:rsidR="00542BD3" w:rsidRPr="009772A2">
        <w:t>30.555 km</w:t>
      </w:r>
      <w:r w:rsidR="00542BD3" w:rsidRPr="009772A2">
        <w:rPr>
          <w:vertAlign w:val="superscript"/>
        </w:rPr>
        <w:t>2</w:t>
      </w:r>
      <w:r w:rsidR="00542BD3" w:rsidRPr="009772A2">
        <w:t>. Se encuentra entre los 28</w:t>
      </w:r>
      <w:r w:rsidR="00460C8B" w:rsidRPr="009772A2">
        <w:t>°</w:t>
      </w:r>
      <w:r w:rsidR="00542BD3" w:rsidRPr="009772A2">
        <w:t xml:space="preserve"> y 31</w:t>
      </w:r>
      <w:r w:rsidR="00460C8B" w:rsidRPr="009772A2">
        <w:t>°</w:t>
      </w:r>
      <w:r w:rsidR="00542BD3" w:rsidRPr="009772A2">
        <w:t xml:space="preserve"> de latitud Sur y entre los 27</w:t>
      </w:r>
      <w:r w:rsidR="00460C8B" w:rsidRPr="009772A2">
        <w:t>°</w:t>
      </w:r>
      <w:r w:rsidR="00542BD3" w:rsidRPr="009772A2">
        <w:t xml:space="preserve"> y 30</w:t>
      </w:r>
      <w:r w:rsidR="00460C8B" w:rsidRPr="009772A2">
        <w:t>°</w:t>
      </w:r>
      <w:r w:rsidR="00542BD3" w:rsidRPr="009772A2">
        <w:t xml:space="preserve"> de longitud Este. Es un país sin litoral, enclavado en la República de Sudáfrica.</w:t>
      </w:r>
    </w:p>
    <w:p w:rsidR="00542BD3" w:rsidRPr="009772A2" w:rsidRDefault="00430326" w:rsidP="00430326">
      <w:pPr>
        <w:pStyle w:val="SingleTxtG"/>
      </w:pPr>
      <w:r w:rsidRPr="009772A2">
        <w:t>2.</w:t>
      </w:r>
      <w:r w:rsidRPr="009772A2">
        <w:tab/>
      </w:r>
      <w:r w:rsidR="00542BD3" w:rsidRPr="009772A2">
        <w:t>Aunque comparte todas sus fronteras con la República de Sudáfrica, su topografía es muy diferente de la del país vecino. Lesotho es un país montañoso, y su pico más alto es el Thabana-Ntlenyana, con una altitud aproximada de 3.482 metros sobre el nivel del mar. Lesotho es el único país del mundo cuyo territorio se encuentra íntegramente por encima de los 1.400 metros sobre el nivel del mar. Entre la meseta oriental y las denominadas tierras bajas en el oeste se extienden las cadenas montañosas de Drakensberg y Maloti, con una altitud de casi 3.500 metros. Estas montañas son drenadas por ríos que fluyen por gargantas profundas en dirección sudoeste. Una cuarta parte de la superficie del país son tierras bajas, con altitudes entre los 1.500 y los 2.000 metros. El 75% restante son tierras altas, razón por la cual Lesotho tiene su punto más bajo a mayor altitud que cualquier otro país del mundo. El país está sufriendo una grave erosión causada por un problema crónico de excesivo pastoreo y excesiva explotación de las plantaciones naturales, que se estima entre el 150% y el 300%. Las tierras altas tienen inviernos severos, con fuertes nevadas, que a menudo dejan a la población de esas zonas sin acceso a los servicios básicos de salud y suministros de alimentos. La tierra cultivable disponible representa solo el 9% de la superficie, lo cual equivale a 700 personas por metro cuadrado.</w:t>
      </w:r>
    </w:p>
    <w:p w:rsidR="00542BD3" w:rsidRPr="009772A2" w:rsidRDefault="008F6FAD" w:rsidP="008F6FAD">
      <w:pPr>
        <w:pStyle w:val="H1G"/>
      </w:pPr>
      <w:r w:rsidRPr="009772A2">
        <w:tab/>
        <w:t>B.</w:t>
      </w:r>
      <w:r w:rsidRPr="009772A2">
        <w:tab/>
      </w:r>
      <w:r w:rsidR="00542BD3" w:rsidRPr="009772A2">
        <w:t>Población</w:t>
      </w:r>
    </w:p>
    <w:p w:rsidR="00542BD3" w:rsidRPr="009772A2" w:rsidRDefault="008F6FAD" w:rsidP="008F6FAD">
      <w:pPr>
        <w:pStyle w:val="H23G"/>
      </w:pPr>
      <w:r w:rsidRPr="009772A2">
        <w:tab/>
        <w:t>1.</w:t>
      </w:r>
      <w:r w:rsidRPr="009772A2">
        <w:tab/>
      </w:r>
      <w:r w:rsidR="00542BD3" w:rsidRPr="009772A2">
        <w:t>Demografía</w:t>
      </w:r>
    </w:p>
    <w:p w:rsidR="00542BD3" w:rsidRPr="009772A2" w:rsidRDefault="00430326" w:rsidP="00430326">
      <w:pPr>
        <w:pStyle w:val="SingleTxtG"/>
      </w:pPr>
      <w:r w:rsidRPr="009772A2">
        <w:t>3.</w:t>
      </w:r>
      <w:r w:rsidRPr="009772A2">
        <w:tab/>
      </w:r>
      <w:r w:rsidR="00542BD3" w:rsidRPr="009772A2">
        <w:t>El Censo Nacional de Población y Vivienda de 2006 arrojó una población total estimada de 1.876.633 habitantes, cifra similar a la que figura en el Informe sobre los Objetivos de Desarrollo del Milenio de 2008 (1,88 millones). Se ha producido una disminución sustancial de la población, pues la tasa de crecimiento anual pasó del 1,5% al 0,08% durante el período comprendido entre 1986 y1996. Entre 1996 y 2006 la tasa de crecimiento anual de la población se estimó en 0,116%</w:t>
      </w:r>
      <w:r w:rsidR="00542BD3" w:rsidRPr="009772A2">
        <w:rPr>
          <w:rStyle w:val="FootnoteReference"/>
        </w:rPr>
        <w:footnoteReference w:id="2"/>
      </w:r>
      <w:r w:rsidR="00542BD3" w:rsidRPr="009772A2">
        <w:t>. Este fenómeno podría atribuirse al flagelo de la pandemia de VIH y sida, que se ha agravado rápidamente. La tasa de infección por el VIH y el sida en Lesotho se estima actualmente entre el 23,3% y el 23,6% para la población adulta. La migración de la mayoría de los basotho a la República de Sudáfrica y a otros países por diversos motivos, incluidas las oportunidades de empleo y razones socioeconómicas, ha afectado significativamente a la población.</w:t>
      </w:r>
    </w:p>
    <w:p w:rsidR="00542BD3" w:rsidRPr="009772A2" w:rsidRDefault="008F6FAD" w:rsidP="008F6FAD">
      <w:pPr>
        <w:pStyle w:val="H23G"/>
      </w:pPr>
      <w:r w:rsidRPr="009772A2">
        <w:tab/>
      </w:r>
      <w:r w:rsidR="00542BD3" w:rsidRPr="009772A2">
        <w:t>2.</w:t>
      </w:r>
      <w:r w:rsidRPr="009772A2">
        <w:tab/>
      </w:r>
      <w:r w:rsidR="00542BD3" w:rsidRPr="009772A2">
        <w:t>Datos demográficos</w:t>
      </w:r>
    </w:p>
    <w:p w:rsidR="008F6FAD" w:rsidRPr="009772A2" w:rsidRDefault="00542BD3" w:rsidP="008F6FAD">
      <w:pPr>
        <w:pStyle w:val="Heading1"/>
      </w:pPr>
      <w:r w:rsidRPr="009772A2">
        <w:t>Cuadro</w:t>
      </w:r>
      <w:r w:rsidR="008F6FAD" w:rsidRPr="009772A2">
        <w:t xml:space="preserve"> 1</w:t>
      </w:r>
    </w:p>
    <w:p w:rsidR="00542BD3" w:rsidRPr="009772A2" w:rsidRDefault="00542BD3" w:rsidP="008F6FAD">
      <w:pPr>
        <w:pStyle w:val="SingleTxtG"/>
        <w:keepNext/>
        <w:rPr>
          <w:b/>
        </w:rPr>
      </w:pPr>
      <w:r w:rsidRPr="009772A2">
        <w:rPr>
          <w:b/>
        </w:rPr>
        <w:t>Población total est</w:t>
      </w:r>
      <w:r w:rsidR="008F6FAD" w:rsidRPr="009772A2">
        <w:rPr>
          <w:b/>
        </w:rPr>
        <w:t>imada,</w:t>
      </w:r>
      <w:r w:rsidRPr="009772A2">
        <w:rPr>
          <w:b/>
        </w:rPr>
        <w:t xml:space="preserve"> Censo de 2006 y Encuesta de 2011</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34"/>
        <w:gridCol w:w="2268"/>
        <w:gridCol w:w="2268"/>
      </w:tblGrid>
      <w:tr w:rsidR="008F6FAD" w:rsidRPr="009772A2">
        <w:trPr>
          <w:trHeight w:val="240"/>
          <w:tblHeader/>
        </w:trPr>
        <w:tc>
          <w:tcPr>
            <w:tcW w:w="2835" w:type="dxa"/>
            <w:tcBorders>
              <w:top w:val="single" w:sz="4" w:space="0" w:color="auto"/>
              <w:bottom w:val="single" w:sz="12" w:space="0" w:color="auto"/>
            </w:tcBorders>
            <w:shd w:val="clear" w:color="auto" w:fill="auto"/>
            <w:vAlign w:val="bottom"/>
          </w:tcPr>
          <w:p w:rsidR="008F6FAD" w:rsidRPr="009772A2" w:rsidRDefault="008F6FAD" w:rsidP="008F6FAD">
            <w:pPr>
              <w:pStyle w:val="Heading1"/>
              <w:spacing w:before="80" w:after="80" w:line="200" w:lineRule="exact"/>
              <w:ind w:left="0" w:right="0"/>
              <w:jc w:val="left"/>
              <w:rPr>
                <w:rFonts w:cs="Times New Roman"/>
                <w:i/>
                <w:sz w:val="16"/>
              </w:rPr>
            </w:pPr>
            <w:r w:rsidRPr="009772A2">
              <w:rPr>
                <w:rFonts w:cs="Times New Roman"/>
                <w:i/>
                <w:sz w:val="16"/>
              </w:rPr>
              <w:t>Años</w:t>
            </w:r>
          </w:p>
        </w:tc>
        <w:tc>
          <w:tcPr>
            <w:tcW w:w="2268" w:type="dxa"/>
            <w:tcBorders>
              <w:top w:val="single" w:sz="4" w:space="0" w:color="auto"/>
              <w:bottom w:val="single" w:sz="12" w:space="0" w:color="auto"/>
            </w:tcBorders>
            <w:shd w:val="clear" w:color="auto" w:fill="auto"/>
            <w:vAlign w:val="bottom"/>
          </w:tcPr>
          <w:p w:rsidR="008F6FAD" w:rsidRPr="009772A2" w:rsidRDefault="008F6FAD" w:rsidP="008F6FAD">
            <w:pPr>
              <w:pStyle w:val="Heading1"/>
              <w:spacing w:before="80" w:after="80" w:line="200" w:lineRule="exact"/>
              <w:ind w:left="0" w:right="0"/>
              <w:jc w:val="right"/>
              <w:rPr>
                <w:rFonts w:cs="Times New Roman"/>
                <w:i/>
                <w:sz w:val="16"/>
              </w:rPr>
            </w:pPr>
            <w:r w:rsidRPr="009772A2">
              <w:rPr>
                <w:rFonts w:cs="Times New Roman"/>
                <w:i/>
                <w:sz w:val="16"/>
              </w:rPr>
              <w:t>2006</w:t>
            </w:r>
          </w:p>
        </w:tc>
        <w:tc>
          <w:tcPr>
            <w:tcW w:w="2268" w:type="dxa"/>
            <w:tcBorders>
              <w:top w:val="single" w:sz="4" w:space="0" w:color="auto"/>
              <w:bottom w:val="single" w:sz="12" w:space="0" w:color="auto"/>
            </w:tcBorders>
            <w:shd w:val="clear" w:color="auto" w:fill="auto"/>
            <w:vAlign w:val="bottom"/>
          </w:tcPr>
          <w:p w:rsidR="008F6FAD" w:rsidRPr="009772A2" w:rsidRDefault="008F6FAD" w:rsidP="008F6FAD">
            <w:pPr>
              <w:pStyle w:val="Heading1"/>
              <w:spacing w:before="80" w:after="80" w:line="200" w:lineRule="exact"/>
              <w:ind w:left="0" w:right="0"/>
              <w:jc w:val="right"/>
              <w:rPr>
                <w:rFonts w:cs="Times New Roman"/>
                <w:i/>
                <w:sz w:val="16"/>
              </w:rPr>
            </w:pPr>
            <w:r w:rsidRPr="009772A2">
              <w:rPr>
                <w:rFonts w:cs="Times New Roman"/>
                <w:i/>
                <w:sz w:val="16"/>
              </w:rPr>
              <w:t>2011</w:t>
            </w:r>
          </w:p>
        </w:tc>
      </w:tr>
      <w:tr w:rsidR="008F6FAD" w:rsidRPr="009772A2">
        <w:trPr>
          <w:trHeight w:val="240"/>
        </w:trPr>
        <w:tc>
          <w:tcPr>
            <w:tcW w:w="2835" w:type="dxa"/>
            <w:tcBorders>
              <w:top w:val="single" w:sz="12" w:space="0" w:color="auto"/>
            </w:tcBorders>
            <w:shd w:val="clear" w:color="auto" w:fill="auto"/>
          </w:tcPr>
          <w:p w:rsidR="008F6FAD" w:rsidRPr="009772A2" w:rsidRDefault="008F6FAD" w:rsidP="008F6FAD">
            <w:pPr>
              <w:pStyle w:val="Heading1"/>
              <w:spacing w:before="40" w:after="40" w:line="220" w:lineRule="exact"/>
              <w:ind w:left="0" w:right="0"/>
              <w:jc w:val="left"/>
              <w:rPr>
                <w:rFonts w:cs="Times New Roman"/>
                <w:sz w:val="18"/>
              </w:rPr>
            </w:pPr>
            <w:r w:rsidRPr="009772A2">
              <w:rPr>
                <w:rFonts w:cs="Times New Roman"/>
                <w:sz w:val="18"/>
              </w:rPr>
              <w:t>Mujeres</w:t>
            </w:r>
          </w:p>
        </w:tc>
        <w:tc>
          <w:tcPr>
            <w:tcW w:w="2268" w:type="dxa"/>
            <w:tcBorders>
              <w:top w:val="single" w:sz="12" w:space="0" w:color="auto"/>
            </w:tcBorders>
            <w:shd w:val="clear" w:color="auto" w:fill="auto"/>
            <w:vAlign w:val="bottom"/>
          </w:tcPr>
          <w:p w:rsidR="008F6FAD" w:rsidRPr="009772A2" w:rsidRDefault="008F6FAD" w:rsidP="008F6FAD">
            <w:pPr>
              <w:pStyle w:val="Heading1"/>
              <w:spacing w:before="40" w:after="40" w:line="220" w:lineRule="exact"/>
              <w:ind w:left="0" w:right="0"/>
              <w:jc w:val="right"/>
              <w:rPr>
                <w:rFonts w:cs="Times New Roman"/>
                <w:sz w:val="18"/>
              </w:rPr>
            </w:pPr>
            <w:r w:rsidRPr="009772A2">
              <w:rPr>
                <w:rFonts w:cs="Times New Roman"/>
                <w:sz w:val="18"/>
              </w:rPr>
              <w:t>963 835</w:t>
            </w:r>
          </w:p>
        </w:tc>
        <w:tc>
          <w:tcPr>
            <w:tcW w:w="2268" w:type="dxa"/>
            <w:tcBorders>
              <w:top w:val="single" w:sz="12" w:space="0" w:color="auto"/>
            </w:tcBorders>
            <w:shd w:val="clear" w:color="auto" w:fill="auto"/>
            <w:vAlign w:val="bottom"/>
          </w:tcPr>
          <w:p w:rsidR="008F6FAD" w:rsidRPr="009772A2" w:rsidRDefault="008F6FAD" w:rsidP="008F6FAD">
            <w:pPr>
              <w:pStyle w:val="Heading1"/>
              <w:spacing w:before="40" w:after="40" w:line="220" w:lineRule="exact"/>
              <w:ind w:left="0" w:right="0"/>
              <w:jc w:val="right"/>
              <w:rPr>
                <w:rFonts w:cs="Times New Roman"/>
                <w:sz w:val="18"/>
              </w:rPr>
            </w:pPr>
            <w:r w:rsidRPr="009772A2">
              <w:rPr>
                <w:rFonts w:cs="Times New Roman"/>
                <w:sz w:val="18"/>
              </w:rPr>
              <w:t>934 357</w:t>
            </w:r>
          </w:p>
        </w:tc>
      </w:tr>
      <w:tr w:rsidR="008F6FAD" w:rsidRPr="009772A2">
        <w:trPr>
          <w:trHeight w:val="240"/>
        </w:trPr>
        <w:tc>
          <w:tcPr>
            <w:tcW w:w="2835" w:type="dxa"/>
            <w:tcBorders>
              <w:bottom w:val="single" w:sz="4" w:space="0" w:color="auto"/>
            </w:tcBorders>
            <w:shd w:val="clear" w:color="auto" w:fill="auto"/>
          </w:tcPr>
          <w:p w:rsidR="008F6FAD" w:rsidRPr="009772A2" w:rsidRDefault="008F6FAD" w:rsidP="008F6FAD">
            <w:pPr>
              <w:pStyle w:val="Heading1"/>
              <w:spacing w:before="40" w:after="40" w:line="220" w:lineRule="exact"/>
              <w:ind w:left="0" w:right="0"/>
              <w:jc w:val="left"/>
              <w:rPr>
                <w:rFonts w:cs="Times New Roman"/>
                <w:sz w:val="18"/>
              </w:rPr>
            </w:pPr>
            <w:r w:rsidRPr="009772A2">
              <w:rPr>
                <w:rFonts w:cs="Times New Roman"/>
                <w:sz w:val="18"/>
              </w:rPr>
              <w:t>Varones</w:t>
            </w:r>
          </w:p>
        </w:tc>
        <w:tc>
          <w:tcPr>
            <w:tcW w:w="2268" w:type="dxa"/>
            <w:tcBorders>
              <w:bottom w:val="single" w:sz="4" w:space="0" w:color="auto"/>
            </w:tcBorders>
            <w:shd w:val="clear" w:color="auto" w:fill="auto"/>
            <w:vAlign w:val="bottom"/>
          </w:tcPr>
          <w:p w:rsidR="008F6FAD" w:rsidRPr="009772A2" w:rsidRDefault="008F6FAD" w:rsidP="008F6FAD">
            <w:pPr>
              <w:pStyle w:val="Heading1"/>
              <w:spacing w:before="40" w:after="40" w:line="220" w:lineRule="exact"/>
              <w:ind w:left="0" w:right="0"/>
              <w:jc w:val="right"/>
              <w:rPr>
                <w:rFonts w:cs="Times New Roman"/>
                <w:sz w:val="18"/>
              </w:rPr>
            </w:pPr>
            <w:r w:rsidRPr="009772A2">
              <w:rPr>
                <w:rFonts w:cs="Times New Roman"/>
                <w:sz w:val="18"/>
              </w:rPr>
              <w:t>912 798</w:t>
            </w:r>
          </w:p>
        </w:tc>
        <w:tc>
          <w:tcPr>
            <w:tcW w:w="2268" w:type="dxa"/>
            <w:tcBorders>
              <w:bottom w:val="single" w:sz="4" w:space="0" w:color="auto"/>
            </w:tcBorders>
            <w:shd w:val="clear" w:color="auto" w:fill="auto"/>
            <w:vAlign w:val="bottom"/>
          </w:tcPr>
          <w:p w:rsidR="008F6FAD" w:rsidRPr="009772A2" w:rsidRDefault="008F6FAD" w:rsidP="008F6FAD">
            <w:pPr>
              <w:pStyle w:val="Heading1"/>
              <w:spacing w:before="40" w:after="40" w:line="220" w:lineRule="exact"/>
              <w:ind w:left="0" w:right="0"/>
              <w:jc w:val="right"/>
              <w:rPr>
                <w:rFonts w:cs="Times New Roman"/>
                <w:sz w:val="18"/>
              </w:rPr>
            </w:pPr>
            <w:r w:rsidRPr="009772A2">
              <w:rPr>
                <w:rFonts w:cs="Times New Roman"/>
                <w:sz w:val="18"/>
              </w:rPr>
              <w:t>959 837</w:t>
            </w:r>
          </w:p>
        </w:tc>
      </w:tr>
      <w:tr w:rsidR="008F6FAD" w:rsidRPr="009772A2">
        <w:trPr>
          <w:trHeight w:val="240"/>
        </w:trPr>
        <w:tc>
          <w:tcPr>
            <w:tcW w:w="2835" w:type="dxa"/>
            <w:tcBorders>
              <w:top w:val="single" w:sz="4" w:space="0" w:color="auto"/>
              <w:bottom w:val="single" w:sz="12" w:space="0" w:color="auto"/>
            </w:tcBorders>
            <w:shd w:val="clear" w:color="auto" w:fill="auto"/>
          </w:tcPr>
          <w:p w:rsidR="008F6FAD" w:rsidRPr="009772A2" w:rsidRDefault="008F6FAD" w:rsidP="008F6FAD">
            <w:pPr>
              <w:pStyle w:val="Heading1"/>
              <w:keepNext w:val="0"/>
              <w:spacing w:before="80" w:after="80" w:line="220" w:lineRule="exact"/>
              <w:ind w:left="284" w:right="0"/>
              <w:jc w:val="left"/>
              <w:rPr>
                <w:rFonts w:cs="Times New Roman"/>
                <w:b/>
                <w:bCs w:val="0"/>
                <w:sz w:val="18"/>
              </w:rPr>
            </w:pPr>
            <w:r w:rsidRPr="009772A2">
              <w:rPr>
                <w:rFonts w:cs="Times New Roman"/>
                <w:b/>
                <w:bCs w:val="0"/>
                <w:sz w:val="18"/>
              </w:rPr>
              <w:t>Total</w:t>
            </w:r>
          </w:p>
        </w:tc>
        <w:tc>
          <w:tcPr>
            <w:tcW w:w="2268" w:type="dxa"/>
            <w:tcBorders>
              <w:top w:val="single" w:sz="4" w:space="0" w:color="auto"/>
              <w:bottom w:val="single" w:sz="12" w:space="0" w:color="auto"/>
            </w:tcBorders>
            <w:shd w:val="clear" w:color="auto" w:fill="auto"/>
            <w:vAlign w:val="bottom"/>
          </w:tcPr>
          <w:p w:rsidR="008F6FAD" w:rsidRPr="009772A2" w:rsidRDefault="008F6FAD" w:rsidP="008F6FAD">
            <w:pPr>
              <w:pStyle w:val="Heading1"/>
              <w:keepNext w:val="0"/>
              <w:spacing w:before="80" w:after="80" w:line="220" w:lineRule="exact"/>
              <w:ind w:left="0" w:right="0"/>
              <w:jc w:val="right"/>
              <w:rPr>
                <w:rFonts w:cs="Times New Roman"/>
                <w:b/>
                <w:bCs w:val="0"/>
                <w:sz w:val="18"/>
              </w:rPr>
            </w:pPr>
            <w:r w:rsidRPr="009772A2">
              <w:rPr>
                <w:rFonts w:cs="Times New Roman"/>
                <w:b/>
                <w:bCs w:val="0"/>
                <w:sz w:val="18"/>
              </w:rPr>
              <w:t>1 876 633</w:t>
            </w:r>
          </w:p>
        </w:tc>
        <w:tc>
          <w:tcPr>
            <w:tcW w:w="2268" w:type="dxa"/>
            <w:tcBorders>
              <w:top w:val="single" w:sz="4" w:space="0" w:color="auto"/>
              <w:bottom w:val="single" w:sz="12" w:space="0" w:color="auto"/>
            </w:tcBorders>
            <w:shd w:val="clear" w:color="auto" w:fill="auto"/>
            <w:vAlign w:val="bottom"/>
          </w:tcPr>
          <w:p w:rsidR="008F6FAD" w:rsidRPr="009772A2" w:rsidRDefault="008F6FAD" w:rsidP="008F6FAD">
            <w:pPr>
              <w:pStyle w:val="Heading1"/>
              <w:keepNext w:val="0"/>
              <w:spacing w:before="80" w:after="80" w:line="220" w:lineRule="exact"/>
              <w:ind w:left="0" w:right="0"/>
              <w:jc w:val="right"/>
              <w:rPr>
                <w:rFonts w:cs="Times New Roman"/>
                <w:b/>
                <w:bCs w:val="0"/>
                <w:sz w:val="18"/>
              </w:rPr>
            </w:pPr>
            <w:r w:rsidRPr="009772A2">
              <w:rPr>
                <w:rFonts w:cs="Times New Roman"/>
                <w:b/>
                <w:bCs w:val="0"/>
                <w:sz w:val="18"/>
              </w:rPr>
              <w:t>1 894 194</w:t>
            </w:r>
          </w:p>
        </w:tc>
      </w:tr>
    </w:tbl>
    <w:p w:rsidR="00542BD3" w:rsidRPr="009772A2" w:rsidRDefault="00430326" w:rsidP="008F6FAD">
      <w:pPr>
        <w:pStyle w:val="SingleTxtG"/>
        <w:spacing w:before="240"/>
      </w:pPr>
      <w:r w:rsidRPr="009772A2">
        <w:t>4.</w:t>
      </w:r>
      <w:r w:rsidRPr="009772A2">
        <w:tab/>
      </w:r>
      <w:r w:rsidR="00542BD3" w:rsidRPr="009772A2">
        <w:t>Se observa en el cuadro precedente que la Encuesta demográfica de 2011 arrojó como resultado un total de 1.894.194 habitantes: 934.357 v</w:t>
      </w:r>
      <w:r w:rsidR="00575AF8" w:rsidRPr="009772A2">
        <w:t>arones y 959.837 mujeres. Entre </w:t>
      </w:r>
      <w:r w:rsidR="00542BD3" w:rsidRPr="009772A2">
        <w:t>1976 y 1986 la población aumentó en 388.362 habitantes, en el período comprendido entre 1986 y 1996 aumentó en 257.098, y en el comprendido entre 1996 y 2006 en 14.358, mientras que entre 2006 y 2011 el incremento fue de 470.390 hombres y se observó una disminución en las mujeres de aproximadamente 294.780. Se iniciaron los planes para el censo de población de 2016 y se están realizando las actividades preliminares, como la contratación de personal y su formación.</w:t>
      </w:r>
    </w:p>
    <w:p w:rsidR="00542BD3" w:rsidRPr="009772A2" w:rsidRDefault="008F6FAD" w:rsidP="008F6FAD">
      <w:pPr>
        <w:pStyle w:val="H23G"/>
      </w:pPr>
      <w:r w:rsidRPr="009772A2">
        <w:tab/>
      </w:r>
      <w:r w:rsidR="00542BD3" w:rsidRPr="009772A2">
        <w:t>3.</w:t>
      </w:r>
      <w:r w:rsidRPr="009772A2">
        <w:tab/>
      </w:r>
      <w:r w:rsidR="00542BD3" w:rsidRPr="009772A2">
        <w:t>Dispersión rural y urbana</w:t>
      </w:r>
    </w:p>
    <w:p w:rsidR="00542BD3" w:rsidRPr="009772A2" w:rsidRDefault="00430326" w:rsidP="00430326">
      <w:pPr>
        <w:pStyle w:val="SingleTxtG"/>
      </w:pPr>
      <w:r w:rsidRPr="009772A2">
        <w:t>5.</w:t>
      </w:r>
      <w:r w:rsidRPr="009772A2">
        <w:tab/>
      </w:r>
      <w:r w:rsidR="00542BD3" w:rsidRPr="009772A2">
        <w:t>Cerca del 76,3% de la población reside en las zonas rurales del país, mientras que el resto reside en las zonas urbanas. Sin embargo, en los últimos 15 años ha habido un aumento de la migración de las zonas rurales hacia las zonas urbanas, que se ha traducido en un aumento significativo de la población urbana, del 16,9% en 1996 al 22,6% en 2006 y al 76,3% en 2011. La causa de esta migración es la búsqueda de trabajo y de mejores condiciones o niveles de vida.</w:t>
      </w:r>
    </w:p>
    <w:p w:rsidR="00542BD3" w:rsidRPr="009772A2" w:rsidRDefault="008F6FAD" w:rsidP="008F6FAD">
      <w:pPr>
        <w:pStyle w:val="H23G"/>
      </w:pPr>
      <w:r w:rsidRPr="009772A2">
        <w:tab/>
      </w:r>
      <w:r w:rsidR="00542BD3" w:rsidRPr="009772A2">
        <w:t>4.</w:t>
      </w:r>
      <w:r w:rsidRPr="009772A2">
        <w:tab/>
      </w:r>
      <w:r w:rsidR="00542BD3" w:rsidRPr="009772A2">
        <w:t>Religión</w:t>
      </w:r>
    </w:p>
    <w:p w:rsidR="00542BD3" w:rsidRPr="009772A2" w:rsidRDefault="00430326" w:rsidP="00430326">
      <w:pPr>
        <w:pStyle w:val="SingleTxtG"/>
      </w:pPr>
      <w:r w:rsidRPr="009772A2">
        <w:t>6.</w:t>
      </w:r>
      <w:r w:rsidRPr="009772A2">
        <w:tab/>
      </w:r>
      <w:r w:rsidR="00542BD3" w:rsidRPr="009772A2">
        <w:t>El artículo 13 1) de la Constitución consagra la libertad de conciencia del siguiente modo: "Toda persona tiene derecho a la libertad de conciencia, incluidas la libertad de pensamiento y religión y la libertad de cambiar de religión o de convicciones, ya sea individualmente o en comunidad con otras personas, y tanto en público como en privado podrá manifestar y difundir su religión o creencia a través del culto, la enseñanza, la práctica y la observancia, y no podrá ser privada del disfrute de esta libertad salvo con su propio consentimiento". De conformidad con el artículo 13 2), cada comunidad religiosa tiene derecho a administrar sus instituciones educativas.</w:t>
      </w:r>
    </w:p>
    <w:p w:rsidR="00542BD3" w:rsidRPr="009772A2" w:rsidRDefault="00430326" w:rsidP="00430326">
      <w:pPr>
        <w:pStyle w:val="SingleTxtG"/>
      </w:pPr>
      <w:r w:rsidRPr="009772A2">
        <w:t>7.</w:t>
      </w:r>
      <w:r w:rsidRPr="009772A2">
        <w:tab/>
      </w:r>
      <w:r w:rsidR="00542BD3" w:rsidRPr="009772A2">
        <w:t xml:space="preserve">Los basotho son predominantemente cristianos, pues el 99% forman parte de la congregación cristiana. De ese 99% estimado, aproximadamente el 45% son católicos y </w:t>
      </w:r>
      <w:r w:rsidR="00575AF8" w:rsidRPr="009772A2">
        <w:t>el </w:t>
      </w:r>
      <w:r w:rsidR="00542BD3" w:rsidRPr="009772A2">
        <w:t>55% restante se reparte entre la Iglesia Evangélica de Lesotho, la Iglesia Anglicana, la Iglesia Metodista, la Iglesia Episcopal Metodista Africana, los Adventistas del Séptimo Día, la Iglesia Pentecostal Independiente, las Iglesias Carismáticas y de los Nacidos de Nuevo, como las Asambleas de Dios, los Testigos de Jehová, Back to God, Ebenezer y muchos otros. También se practican la fe Baha'i, y las religiones islámica y musulmana. Sin embargo, la mayoría de los basotho todavía tienen arraigadas creencias tradicionales africanas y practican el sincretismo entre el culto cristiano y estas creencias.</w:t>
      </w:r>
    </w:p>
    <w:p w:rsidR="00542BD3" w:rsidRPr="009772A2" w:rsidRDefault="008F6FAD" w:rsidP="008F6FAD">
      <w:pPr>
        <w:pStyle w:val="H1G"/>
      </w:pPr>
      <w:r w:rsidRPr="009772A2">
        <w:tab/>
      </w:r>
      <w:r w:rsidR="00542BD3" w:rsidRPr="009772A2">
        <w:t>C.</w:t>
      </w:r>
      <w:r w:rsidRPr="009772A2">
        <w:tab/>
      </w:r>
      <w:r w:rsidR="00542BD3" w:rsidRPr="009772A2">
        <w:t>Recursos e indicadores socioeconómicos</w:t>
      </w:r>
    </w:p>
    <w:p w:rsidR="00542BD3" w:rsidRPr="009772A2" w:rsidRDefault="008F6FAD" w:rsidP="008F6FAD">
      <w:pPr>
        <w:pStyle w:val="H23G"/>
      </w:pPr>
      <w:r w:rsidRPr="009772A2">
        <w:tab/>
      </w:r>
      <w:r w:rsidR="00542BD3" w:rsidRPr="009772A2">
        <w:t>1.</w:t>
      </w:r>
      <w:r w:rsidRPr="009772A2">
        <w:tab/>
      </w:r>
      <w:r w:rsidR="00542BD3" w:rsidRPr="009772A2">
        <w:t>Recursos</w:t>
      </w:r>
    </w:p>
    <w:p w:rsidR="00542BD3" w:rsidRPr="009772A2" w:rsidRDefault="008F6FAD" w:rsidP="008F6FAD">
      <w:pPr>
        <w:pStyle w:val="H4G"/>
      </w:pPr>
      <w:r w:rsidRPr="009772A2">
        <w:tab/>
      </w:r>
      <w:r w:rsidR="00542BD3" w:rsidRPr="009772A2">
        <w:t>a)</w:t>
      </w:r>
      <w:r w:rsidRPr="009772A2">
        <w:tab/>
      </w:r>
      <w:r w:rsidR="00542BD3" w:rsidRPr="009772A2">
        <w:t>Diamantes</w:t>
      </w:r>
    </w:p>
    <w:p w:rsidR="00542BD3" w:rsidRPr="009772A2" w:rsidRDefault="00430326" w:rsidP="00430326">
      <w:pPr>
        <w:pStyle w:val="SingleTxtG"/>
      </w:pPr>
      <w:r w:rsidRPr="009772A2">
        <w:t>8.</w:t>
      </w:r>
      <w:r w:rsidRPr="009772A2">
        <w:tab/>
      </w:r>
      <w:r w:rsidR="00542BD3" w:rsidRPr="009772A2">
        <w:t>Lesotho tiene algunos yacimientos minerales, en particular de diamantes, uranio, metales comunes, arenisca de alta calidad y arcilla. El Gobierno ha aplicado políticas encaminadas a lograr una mayor participación del sector privado en la industria minera. Se ha generado un gran interés en el sector, y nuevas empresas desarrollan nuevas actividades. El Estudio Geológico de Lesotho ha examinado 33 chimeneas de kimberlita y 140 filones, y ha determinado que 24 de ellos son diamantíferos.</w:t>
      </w:r>
    </w:p>
    <w:p w:rsidR="00542BD3" w:rsidRPr="009772A2" w:rsidRDefault="00430326" w:rsidP="00430326">
      <w:pPr>
        <w:pStyle w:val="SingleTxtG"/>
      </w:pPr>
      <w:r w:rsidRPr="009772A2">
        <w:t>9.</w:t>
      </w:r>
      <w:r w:rsidRPr="009772A2">
        <w:tab/>
      </w:r>
      <w:r w:rsidR="00542BD3" w:rsidRPr="009772A2">
        <w:t>En los últimos años la extracción de diamantes en Lesotho ha aumentado y, según las previsiones actuales, en 2015 puede aportar el 8,5% del PIB</w:t>
      </w:r>
      <w:r w:rsidR="00542BD3" w:rsidRPr="009772A2">
        <w:rPr>
          <w:rStyle w:val="FootnoteReference"/>
        </w:rPr>
        <w:footnoteReference w:id="3"/>
      </w:r>
      <w:r w:rsidR="00542BD3" w:rsidRPr="009772A2">
        <w:t xml:space="preserve">. Cuando la mina de diamantes de Letšeng reanudó sus operaciones en 2000, tenía el 76% de las acciones y </w:t>
      </w:r>
      <w:r w:rsidR="00575AF8" w:rsidRPr="009772A2">
        <w:t>el </w:t>
      </w:r>
      <w:r w:rsidR="00542BD3" w:rsidRPr="009772A2">
        <w:t>24% restante pertenecían al Gobierno</w:t>
      </w:r>
      <w:r w:rsidR="00542BD3" w:rsidRPr="009772A2">
        <w:rPr>
          <w:rStyle w:val="FootnoteReference"/>
        </w:rPr>
        <w:footnoteReference w:id="4"/>
      </w:r>
      <w:r w:rsidR="00542BD3" w:rsidRPr="009772A2">
        <w:t>. Al encontrarse a una</w:t>
      </w:r>
      <w:r w:rsidR="00575AF8" w:rsidRPr="009772A2">
        <w:t xml:space="preserve"> altitud (elevación) de más </w:t>
      </w:r>
      <w:r w:rsidR="00542BD3" w:rsidRPr="009772A2">
        <w:t>de 3.000 metros sobre el nivel del mar (3.100 m), Letšeng es una de las minas de diamantes a mayor altitud del mundo.</w:t>
      </w:r>
    </w:p>
    <w:p w:rsidR="00542BD3" w:rsidRPr="009772A2" w:rsidRDefault="00542BD3" w:rsidP="00430326">
      <w:pPr>
        <w:pStyle w:val="SingleTxtG"/>
      </w:pPr>
      <w:r w:rsidRPr="009772A2">
        <w:t>1</w:t>
      </w:r>
      <w:r w:rsidR="00430326" w:rsidRPr="009772A2">
        <w:t>0.</w:t>
      </w:r>
      <w:r w:rsidR="00430326" w:rsidRPr="009772A2">
        <w:tab/>
      </w:r>
      <w:r w:rsidRPr="009772A2">
        <w:t>Desde 2005, el 70% de Letšeng es propiedad de Gem Diamonds Ltd. (Pty), y el 30% es propiedad del Gobierno de Lesotho</w:t>
      </w:r>
      <w:r w:rsidRPr="009772A2">
        <w:rPr>
          <w:rStyle w:val="FootnoteReference"/>
        </w:rPr>
        <w:footnoteReference w:id="5"/>
      </w:r>
      <w:r w:rsidRPr="009772A2">
        <w:t>. La mina se explota comercialmente desde 2004, y tiene una capacidad total de 5 millones de toneladas anuales. Esta mina tiene una recuperación de unos 100.000 quilates anuales, lo que la coloca en el séptimo puesto a nivel mundial. La producción inicial se estimó en 50.000 quilates anuales.</w:t>
      </w:r>
    </w:p>
    <w:p w:rsidR="00542BD3" w:rsidRPr="009772A2" w:rsidRDefault="00542BD3" w:rsidP="00430326">
      <w:pPr>
        <w:pStyle w:val="SingleTxtG"/>
      </w:pPr>
      <w:r w:rsidRPr="009772A2">
        <w:t>1</w:t>
      </w:r>
      <w:r w:rsidR="00430326" w:rsidRPr="009772A2">
        <w:t>1.</w:t>
      </w:r>
      <w:r w:rsidR="00430326" w:rsidRPr="009772A2">
        <w:tab/>
      </w:r>
      <w:r w:rsidRPr="009772A2">
        <w:t>En la actualidad, las empresas mineras registradas y su participación accionaria es la siguiente</w:t>
      </w:r>
      <w:r w:rsidR="00460C8B" w:rsidRPr="009772A2">
        <w:t>: Letšeng-la-</w:t>
      </w:r>
      <w:r w:rsidRPr="009772A2">
        <w:t>Terai 70%</w:t>
      </w:r>
      <w:r w:rsidR="00460C8B" w:rsidRPr="009772A2">
        <w:t>;</w:t>
      </w:r>
      <w:r w:rsidRPr="009772A2">
        <w:t xml:space="preserve"> el Gobierno 30%; Liqhobong Mining Development Company 75%, el Gobierno 25%; Namakwa Batla Diamonds (Kao) 93%, el Gobierno 7%; Mothae Diamonds 75%, el Gobierno 25%. El índice de la producción de diamantes aumentó de unos 60 puntos en 2005 a 549,4 puntos en 2008, lo que refleja el continuo auge de la industria del diamante.</w:t>
      </w:r>
    </w:p>
    <w:p w:rsidR="00542BD3" w:rsidRPr="009772A2" w:rsidRDefault="008F6FAD" w:rsidP="008F6FAD">
      <w:pPr>
        <w:pStyle w:val="H4G"/>
      </w:pPr>
      <w:r w:rsidRPr="009772A2">
        <w:tab/>
      </w:r>
      <w:r w:rsidR="00542BD3" w:rsidRPr="009772A2">
        <w:t>b)</w:t>
      </w:r>
      <w:r w:rsidRPr="009772A2">
        <w:tab/>
      </w:r>
      <w:r w:rsidR="00542BD3" w:rsidRPr="009772A2">
        <w:t>Recursos hídricos</w:t>
      </w:r>
    </w:p>
    <w:p w:rsidR="00542BD3" w:rsidRPr="009772A2" w:rsidRDefault="00542BD3" w:rsidP="00430326">
      <w:pPr>
        <w:pStyle w:val="SingleTxtG"/>
      </w:pPr>
      <w:r w:rsidRPr="009772A2">
        <w:t>1</w:t>
      </w:r>
      <w:r w:rsidR="00430326" w:rsidRPr="009772A2">
        <w:t>2.</w:t>
      </w:r>
      <w:r w:rsidR="00430326" w:rsidRPr="009772A2">
        <w:tab/>
      </w:r>
      <w:r w:rsidRPr="009772A2">
        <w:t>La Ley de Recursos Hídricos de 1978 especifica que el uso doméstico del agua tiene prioridad sobre otros usos. Lesotho formuló la Polític</w:t>
      </w:r>
      <w:r w:rsidR="00575AF8" w:rsidRPr="009772A2">
        <w:t>a Nacional de Medio Ambiente en </w:t>
      </w:r>
      <w:r w:rsidRPr="009772A2">
        <w:t>1998, que prevé la elaboración de una política sobre recursos hídricos. Esta política reconoce la prolongada sequía periódica, la escasez de agua para la agricultura, y la contaminación de la tierra y los cursos de agua. Además, propugna el acceso universal al agua potable. También introduce el principio de "quien contamina paga". Existe asimismo la Política de Gestión de los Recursos de Hídricos de 1999, destinada a elaborar enfoques integrados y coordinados, eficaces y eficientes para la conservación y el uso del agua y su disponibilidad en cantidad suficiente con carácter sostenible a largo plazo.</w:t>
      </w:r>
    </w:p>
    <w:p w:rsidR="00542BD3" w:rsidRPr="009772A2" w:rsidRDefault="00542BD3" w:rsidP="00430326">
      <w:pPr>
        <w:pStyle w:val="SingleTxtG"/>
      </w:pPr>
      <w:r w:rsidRPr="009772A2">
        <w:t>1</w:t>
      </w:r>
      <w:r w:rsidR="00430326" w:rsidRPr="009772A2">
        <w:t>3.</w:t>
      </w:r>
      <w:r w:rsidR="00430326" w:rsidRPr="009772A2">
        <w:tab/>
      </w:r>
      <w:r w:rsidRPr="009772A2">
        <w:t>Además, en 2007, el Ministerio de Recursos Naturales elaboró la Política de Agua y Saneamiento, que dispone el acceso al agua potable. La meta nacional se fijó en 30 litros de agua potable por persona por día, a una distancia que no excediera de los 150 metros. Por otra parte, se promulgó la Ley de Aguas de 2008, que rige la gestión, la protección, el desarrollo de la conservación y la utilización sostenible de los recursos hídricos.</w:t>
      </w:r>
    </w:p>
    <w:p w:rsidR="00542BD3" w:rsidRPr="009772A2" w:rsidRDefault="00542BD3" w:rsidP="00430326">
      <w:pPr>
        <w:pStyle w:val="SingleTxtG"/>
      </w:pPr>
      <w:r w:rsidRPr="009772A2">
        <w:t>1</w:t>
      </w:r>
      <w:r w:rsidR="00430326" w:rsidRPr="009772A2">
        <w:t>4.</w:t>
      </w:r>
      <w:r w:rsidR="00430326" w:rsidRPr="009772A2">
        <w:tab/>
      </w:r>
      <w:r w:rsidRPr="009772A2">
        <w:t>Se determinó que el aumento del suministro de agua potable y adecuada para el consumo y el saneamiento adecuado eran acciones estratégicas que debían estar a cargo del Ministerio de Recursos Naturales, a través del Departamento de Abastecimiento de Agua a las Zonas Rurales, la Empresa de Agua y Alcantarillado (WASCO) y la División de Salud Ambiental.</w:t>
      </w:r>
    </w:p>
    <w:p w:rsidR="00542BD3" w:rsidRPr="009772A2" w:rsidRDefault="00542BD3" w:rsidP="00430326">
      <w:pPr>
        <w:pStyle w:val="SingleTxtG"/>
      </w:pPr>
      <w:r w:rsidRPr="009772A2">
        <w:t>1</w:t>
      </w:r>
      <w:r w:rsidR="00430326" w:rsidRPr="009772A2">
        <w:t>5.</w:t>
      </w:r>
      <w:r w:rsidR="00430326" w:rsidRPr="009772A2">
        <w:tab/>
      </w:r>
      <w:r w:rsidRPr="009772A2">
        <w:t>El Departamento de Abastecimiento de Agua a las Zonas Rurales ha elaborado una estrategia para alcanzar los objetivos establecidos en materia de acceso al agua y conservación. Los dos elementos clave de la estrategia son el aumento de la velocidad a la que se suministra suficiente agua potable a las comunidades y el establecimiento de un mecanismo viable para garantizar la sostenibilidad a largo plazo de los sistemas de agua una vez que se hayan construido. El Departamento es responsable del diseño, desarrollo y mantenimiento de la infraestructura de abastecimiento de agua en las zonas rurales. La estrategia en este ámbito se basa en un enfoque de la planificación que responde a la demanda, aplicado en cooperación con las comunidades. Por tanto, la decisión sobre el tipo de sistema de agua, el nivel de servicio, y la gestión a largo plazo de los sistemas de agua supone la activa participación de la comunidad en todas las etapas.</w:t>
      </w:r>
    </w:p>
    <w:p w:rsidR="00542BD3" w:rsidRPr="009772A2" w:rsidRDefault="00542BD3" w:rsidP="00430326">
      <w:pPr>
        <w:pStyle w:val="SingleTxtG"/>
      </w:pPr>
      <w:r w:rsidRPr="009772A2">
        <w:t>1</w:t>
      </w:r>
      <w:r w:rsidR="00430326" w:rsidRPr="009772A2">
        <w:t>6.</w:t>
      </w:r>
      <w:r w:rsidR="00430326" w:rsidRPr="009772A2">
        <w:tab/>
      </w:r>
      <w:r w:rsidRPr="009772A2">
        <w:t>El Departamento de Abastecimiento de Agua a las Zonas Rurales se encarga de las reparaciones importantes o ampliaciones de los sistemas de agua en las zonas rurales: el Gobierno paga hasta el 90% de los costes y el resto es sufragado por la comunidad. La Estrategia de Mantenimiento que aplica el Departamento tiene como objetivo lograr y mejorar la sostenibilidad de los sistemas de agua y fomentar la participación de la comunidad en las actividades de abastecimiento y mantenimiento. Los elementos clave de la Estrategia son la asignación de las tareas de seguimiento y supervisión de los sistemas de agua a los Consejos Comunales, que deben constituir legalmente Comités de Agua y Salud de la Aldea para que se encarguen del abastecimiento y el mantenimiento, así como de la educación en materia de higiene.</w:t>
      </w:r>
    </w:p>
    <w:p w:rsidR="00542BD3" w:rsidRPr="009772A2" w:rsidRDefault="00542BD3" w:rsidP="00430326">
      <w:pPr>
        <w:pStyle w:val="SingleTxtG"/>
      </w:pPr>
      <w:r w:rsidRPr="009772A2">
        <w:t>1</w:t>
      </w:r>
      <w:r w:rsidR="00430326" w:rsidRPr="009772A2">
        <w:t>7.</w:t>
      </w:r>
      <w:r w:rsidR="00430326" w:rsidRPr="009772A2">
        <w:tab/>
      </w:r>
      <w:r w:rsidRPr="009772A2">
        <w:t>WASCO, por otro lado, se encarga de suministrar agua potable y servicios de alcantarillado y eliminación de residuos líquidos a las zonas urbanas, tanto en las tierras bajas como en las altas. WASCO no abastece de agua para fines agrícolas ni de riego. Esta empresa se ocupa de administrar el sistema de distribución de agua, medir el agua no contabilizada y tomar muestras de laboratorio y analizar el agua. También es legalmente responsable de la propiedad, el funcionamiento y el mantenimiento de los sistemas de agua y saneamiento en las zonas urbanas. Hay tres categorías de servicios en las zonas urbanas, a saber: quioscos de agua, puntos de agua compartidos y sistema de prepago. Hay dos estructuras de tarifas, una para consumo doméstico y otra para consumo no doméstico, establecidas y reguladas por la Dirección de Electricidad y Aguas de Lesotho, para impedir el monopolio y asegurar el acceso universal al agua. Las tarifas para uso no doméstico son más altas. WASCO supervisa la calidad del agua y asegura su tratamiento periódico en las zonas urbanas.</w:t>
      </w:r>
    </w:p>
    <w:p w:rsidR="00542BD3" w:rsidRPr="009772A2" w:rsidRDefault="00542BD3" w:rsidP="00430326">
      <w:pPr>
        <w:pStyle w:val="SingleTxtG"/>
      </w:pPr>
      <w:r w:rsidRPr="009772A2">
        <w:t>1</w:t>
      </w:r>
      <w:r w:rsidR="00430326" w:rsidRPr="009772A2">
        <w:t>8.</w:t>
      </w:r>
      <w:r w:rsidR="00430326" w:rsidRPr="009772A2">
        <w:tab/>
      </w:r>
      <w:r w:rsidRPr="009772A2">
        <w:t>La División de Salud Ambiental ha elaborado estrategias de educación ambiental, cuyo objetivo es permitir que el sector de la salud mejore el conocimiento y la toma de conciencia de las comunidades de la relación entre el medio ambiente, la salud y el agua. El programa de educación sanitaria incluye la información a los hogares sobre el uso higiénico de las instalaciones de abastecimiento de agua y saneamiento; la higiene personal, especialmente el lavado de las manos después de ir al baño y antes de preparar la comida; el suministro de agua potable; los sistemas de saneamiento adecuados y la eliminación de los portadores de enfermedades cuando se manipulan los alimentos. Los programas incluyen la rehabilitación de las cañerías y las reservas de agua existentes en las ciudades.</w:t>
      </w:r>
    </w:p>
    <w:p w:rsidR="00542BD3" w:rsidRPr="009772A2" w:rsidRDefault="00542BD3" w:rsidP="00430326">
      <w:pPr>
        <w:pStyle w:val="SingleTxtG"/>
      </w:pPr>
      <w:r w:rsidRPr="009772A2">
        <w:t>1</w:t>
      </w:r>
      <w:r w:rsidR="00430326" w:rsidRPr="009772A2">
        <w:t>9.</w:t>
      </w:r>
      <w:r w:rsidR="00430326" w:rsidRPr="009772A2">
        <w:tab/>
      </w:r>
      <w:r w:rsidRPr="009772A2">
        <w:t>Lesotho tiene agua en abundancia, por tanto, en 1986 firmó un acuerdo con Sudáfrica para suministrarle agua en el marco del Proyecto Hídrico de las Tierras Altas de Lesotho, establecido por la Orden de la Dirección de Desarrollo de las Tierras Altas de Lesotho, de 1986. Este proyecto ha sido el principal impulsor de la inversión que ha proporcionado estabilidad macroeconómica al país.</w:t>
      </w:r>
    </w:p>
    <w:p w:rsidR="00542BD3" w:rsidRPr="009772A2" w:rsidRDefault="00542BD3" w:rsidP="00430326">
      <w:pPr>
        <w:pStyle w:val="SingleTxtG"/>
      </w:pPr>
      <w:r w:rsidRPr="009772A2">
        <w:t>2</w:t>
      </w:r>
      <w:r w:rsidR="00430326" w:rsidRPr="009772A2">
        <w:t>0.</w:t>
      </w:r>
      <w:r w:rsidR="00430326" w:rsidRPr="009772A2">
        <w:tab/>
      </w:r>
      <w:r w:rsidRPr="009772A2">
        <w:t xml:space="preserve">El Proyecto Hídrico de las Tierras Altas ha hecho una notable contribución a las actividades de construcción de presas de agua en Mohale, Katse y Matsoku. Lesotho vende el exceso de agua a Sudáfrica a precios fijos y variables. Los ingresos de esta transacción representan en promedio unos 937.500 dólares mensuales. Otra contribución del proyecto ha sido la generación de energía eléctrica para el consumo local en la planta de Muela Hydro, que produjo un auge repentino del sector de la construcción. El proyecto de miles de millones de dólares incluía la construcción de infraestructura y contribuyó al desarrollo socioeconómico, ya que la mayoría de las personas contratadas trabajaron en él durante más de diez años. El funcionamiento del proyecto es tal que, durante el período comprendido entre 2005 y 2007, la presa de Mohale empezó a desbordarse por primera vez desde la construcción del embalse en noviembre de 2002. Desde sus comienzos, el proyecto ha tenido múltiples logros y beneficios, que incluyen el mantenimiento y mejoramiento de la biodiversidad del país a través de programas comunitarios. También ha fomentado la toma de conciencia respecto de los problemas de gestión y conservación del medio ambiente. </w:t>
      </w:r>
    </w:p>
    <w:p w:rsidR="00542BD3" w:rsidRPr="009772A2" w:rsidRDefault="00542BD3" w:rsidP="00430326">
      <w:pPr>
        <w:pStyle w:val="SingleTxtG"/>
      </w:pPr>
      <w:r w:rsidRPr="009772A2">
        <w:t>2</w:t>
      </w:r>
      <w:r w:rsidR="00430326" w:rsidRPr="009772A2">
        <w:t>1.</w:t>
      </w:r>
      <w:r w:rsidR="00430326" w:rsidRPr="009772A2">
        <w:tab/>
      </w:r>
      <w:r w:rsidRPr="009772A2">
        <w:t>El componente de reasentamiento del Proyecto Hídrico de las Tierras Altas construye viviendas que se conforman a las normas modernas y tienen en cuenta el tamaño de las viviendas expropiadas. Las familias afectadas han recibido una indemnización anual por las tierras de cultivo perdidas, calculada sobre la base de una estimación generosa de la producción, ya sea en efectiv</w:t>
      </w:r>
      <w:r w:rsidR="00460C8B" w:rsidRPr="009772A2">
        <w:t>o o en especie —</w:t>
      </w:r>
      <w:r w:rsidRPr="009772A2">
        <w:t>es decir, maíz o frijoles</w:t>
      </w:r>
      <w:r w:rsidR="00460C8B" w:rsidRPr="009772A2">
        <w:t>—</w:t>
      </w:r>
      <w:r w:rsidRPr="009772A2">
        <w:t xml:space="preserve"> según sea la preferencia del destinatario. A fin de que las comunidades afectadas se beneficien y consigan empleo, el Proyecto ha creado miles de puestos de trabajo en la construcción y otros sectores de la economía del país.</w:t>
      </w:r>
    </w:p>
    <w:p w:rsidR="00542BD3" w:rsidRPr="009772A2" w:rsidRDefault="00542BD3" w:rsidP="00430326">
      <w:pPr>
        <w:pStyle w:val="SingleTxtG"/>
      </w:pPr>
      <w:r w:rsidRPr="009772A2">
        <w:t>2</w:t>
      </w:r>
      <w:r w:rsidR="00430326" w:rsidRPr="009772A2">
        <w:t>2.</w:t>
      </w:r>
      <w:r w:rsidR="00430326" w:rsidRPr="009772A2">
        <w:tab/>
      </w:r>
      <w:r w:rsidRPr="009772A2">
        <w:t>El Gobierno del Reino de Lesotho y la República de Sudáfrica firmaron</w:t>
      </w:r>
      <w:r w:rsidR="00575AF8" w:rsidRPr="009772A2">
        <w:t xml:space="preserve"> en agosto de </w:t>
      </w:r>
      <w:r w:rsidRPr="009772A2">
        <w:t>2010 una declaración de intenciones sobre el desarrollo de la segunda fase del Proyecto, durante la cual se construirá la presa de Polihali en el distrito de Mokhotlong. Ya se han iniciado las consultas y el trabajo sobre el terreno.</w:t>
      </w:r>
    </w:p>
    <w:p w:rsidR="00542BD3" w:rsidRPr="009772A2" w:rsidRDefault="00542BD3" w:rsidP="00430326">
      <w:pPr>
        <w:pStyle w:val="SingleTxtG"/>
      </w:pPr>
      <w:r w:rsidRPr="009772A2">
        <w:t>2</w:t>
      </w:r>
      <w:r w:rsidR="00430326" w:rsidRPr="009772A2">
        <w:t>3.</w:t>
      </w:r>
      <w:r w:rsidR="00430326" w:rsidRPr="009772A2">
        <w:tab/>
      </w:r>
      <w:r w:rsidRPr="009772A2">
        <w:t>El Gobierno mejoró aún más el abastecimiento de agua y el saneamiento en las zonas urbanas y rurales gracias a la construcción de la presa de Metolong. Esta presa se terminó en septiembre de 2014 y abastece a Roma, Mazenod, Morija, Maseru y Teyateyaneng de agua potable para el consumo doméstico. Además, 6.000 hogares se conectaron a la red de distribución de agua potable en las zonas urbanas, se construyeron 97 sistemas de distribución de agua y se mantienen 500 bombas manuales en las zonas rurales, que abastecen a 60.738 personas. En lo que respecta al saneamiento, se construyeron 8.000 letrinas con sistemas de ventilación mejorados para 58.000 usuarios de zonas rurales, y se hicieron 600 conexiones al sistema de alcantarillado en las zonas urbanas.</w:t>
      </w:r>
    </w:p>
    <w:p w:rsidR="00542BD3" w:rsidRPr="009772A2" w:rsidRDefault="008F6FAD" w:rsidP="008F6FAD">
      <w:pPr>
        <w:pStyle w:val="H23G"/>
      </w:pPr>
      <w:r w:rsidRPr="009772A2">
        <w:tab/>
      </w:r>
      <w:r w:rsidR="00542BD3" w:rsidRPr="009772A2">
        <w:t>2.</w:t>
      </w:r>
      <w:r w:rsidRPr="009772A2">
        <w:tab/>
      </w:r>
      <w:r w:rsidR="00542BD3" w:rsidRPr="009772A2">
        <w:t>Indicadores socioeconómicos</w:t>
      </w:r>
    </w:p>
    <w:p w:rsidR="00542BD3" w:rsidRPr="009772A2" w:rsidRDefault="008F6FAD" w:rsidP="008F6FAD">
      <w:pPr>
        <w:pStyle w:val="H4G"/>
      </w:pPr>
      <w:r w:rsidRPr="009772A2">
        <w:tab/>
      </w:r>
      <w:r w:rsidR="00542BD3" w:rsidRPr="009772A2">
        <w:t>a)</w:t>
      </w:r>
      <w:r w:rsidRPr="009772A2">
        <w:tab/>
      </w:r>
      <w:r w:rsidR="00542BD3" w:rsidRPr="009772A2">
        <w:t>Empleo</w:t>
      </w:r>
    </w:p>
    <w:p w:rsidR="00542BD3" w:rsidRPr="009772A2" w:rsidRDefault="00542BD3" w:rsidP="00430326">
      <w:pPr>
        <w:pStyle w:val="SingleTxtG"/>
      </w:pPr>
      <w:r w:rsidRPr="009772A2">
        <w:t>2</w:t>
      </w:r>
      <w:r w:rsidR="00430326" w:rsidRPr="009772A2">
        <w:t>4.</w:t>
      </w:r>
      <w:r w:rsidR="00430326" w:rsidRPr="009772A2">
        <w:tab/>
      </w:r>
      <w:r w:rsidRPr="009772A2">
        <w:t xml:space="preserve">El empleo contribuye a la economía del país. La economía de Lesotho está compuesta por tres sectores: primario, secundario y terciario. El sector primario comprende la agricultura, la minería y la explotación de canteras. El sector secundario abarca la manufactura y la construcción. Por último, el sector terciario está constituido por la venta al por menor, las telecomunicaciones, los bienes raíces y la administración pública. El Gobierno es el mayor empleador. Sin embargo, en 2012 el sector manufacturero superó al Gobierno y se convirtió en el mayor empleador del país. Debido a la alta tasa de desempleo, los basotho se ven obligados a migrar a Sudáfrica y otros países en busca de trabajo. </w:t>
      </w:r>
    </w:p>
    <w:p w:rsidR="00542BD3" w:rsidRPr="009772A2" w:rsidRDefault="006A24FB" w:rsidP="008F6FAD">
      <w:pPr>
        <w:pStyle w:val="H56G"/>
      </w:pPr>
      <w:r w:rsidRPr="009772A2">
        <w:tab/>
      </w:r>
      <w:r w:rsidR="00542BD3" w:rsidRPr="009772A2">
        <w:t>i)</w:t>
      </w:r>
      <w:r w:rsidRPr="009772A2">
        <w:tab/>
      </w:r>
      <w:r w:rsidR="00542BD3" w:rsidRPr="009772A2">
        <w:t>Sector público</w:t>
      </w:r>
    </w:p>
    <w:p w:rsidR="00542BD3" w:rsidRPr="009772A2" w:rsidRDefault="00542BD3" w:rsidP="00430326">
      <w:pPr>
        <w:pStyle w:val="SingleTxtG"/>
      </w:pPr>
      <w:r w:rsidRPr="009772A2">
        <w:t>2</w:t>
      </w:r>
      <w:r w:rsidR="00430326" w:rsidRPr="009772A2">
        <w:t>5.</w:t>
      </w:r>
      <w:r w:rsidR="00430326" w:rsidRPr="009772A2">
        <w:tab/>
      </w:r>
      <w:r w:rsidRPr="009772A2">
        <w:t>El Gobierno de Lesotho es el mayor empleador, razón por la cual tiene una gran influencia en la economía. En 2013 el consumo del sector público representó el 39% del PIB.</w:t>
      </w:r>
    </w:p>
    <w:p w:rsidR="00542BD3" w:rsidRPr="009772A2" w:rsidRDefault="006A24FB" w:rsidP="006A24FB">
      <w:pPr>
        <w:pStyle w:val="H56G"/>
      </w:pPr>
      <w:r w:rsidRPr="009772A2">
        <w:tab/>
      </w:r>
      <w:r w:rsidR="00542BD3" w:rsidRPr="009772A2">
        <w:t>ii)</w:t>
      </w:r>
      <w:r w:rsidRPr="009772A2">
        <w:tab/>
      </w:r>
      <w:r w:rsidR="00542BD3" w:rsidRPr="009772A2">
        <w:t>Sector privado</w:t>
      </w:r>
    </w:p>
    <w:p w:rsidR="00542BD3" w:rsidRPr="009772A2" w:rsidRDefault="00542BD3" w:rsidP="00430326">
      <w:pPr>
        <w:pStyle w:val="SingleTxtG"/>
      </w:pPr>
      <w:r w:rsidRPr="009772A2">
        <w:t>2</w:t>
      </w:r>
      <w:r w:rsidR="00430326" w:rsidRPr="009772A2">
        <w:t>6.</w:t>
      </w:r>
      <w:r w:rsidR="00430326" w:rsidRPr="009772A2">
        <w:tab/>
      </w:r>
      <w:r w:rsidRPr="009772A2">
        <w:t>El Gobierno de Lesotho reconoce la importancia del desarrollo del sector privado para la reducción de las altas tasas de desempleo y la promoción del crecimiento económico sostenible. El desarrollo del sector privado ayuda a reducir el desempleo y la corrupción, que tiene consecuencias de largo alcance para la vida económica y social de la población del país. Los empleos creados por las empresas del sector privado conducen a la difusión del crecimiento económico, por tener un efecto directo en la reducción de la pobreza. El sector privado es también la principal fuente de ingresos fiscales, lo que contribuye a la financiación del gasto público en asistencia sanitaria, agua potable, alimentos e insumos agrícolas, como semillas para los pobres, y la satisfacción de otras necesidades</w:t>
      </w:r>
      <w:r w:rsidRPr="009772A2">
        <w:rPr>
          <w:rStyle w:val="FootnoteReference"/>
        </w:rPr>
        <w:footnoteReference w:id="6"/>
      </w:r>
      <w:r w:rsidRPr="009772A2">
        <w:t xml:space="preserve">. Las empresas privadas no </w:t>
      </w:r>
      <w:r w:rsidR="00364A76" w:rsidRPr="009772A2">
        <w:t>solo</w:t>
      </w:r>
      <w:r w:rsidRPr="009772A2">
        <w:t xml:space="preserve"> promueven el crecimiento económico y reducen la pobreza, sino que también ofrecen numerosas oportunidades de empleo a los pobres, y un mejor nivel de vida. Esto significa que el apoyo al desarrollo del sector privado mediante la creación de un entorno propicio y mayor capacidad empresarial es un paso crítico hacia el logro del crecimiento económico sostenible de Lesotho</w:t>
      </w:r>
      <w:r w:rsidRPr="009772A2">
        <w:rPr>
          <w:rStyle w:val="FootnoteReference"/>
        </w:rPr>
        <w:footnoteReference w:id="7"/>
      </w:r>
      <w:r w:rsidRPr="009772A2">
        <w:t>. El empleador privado más grande es la industria textil y del vestido, ya que aproximadamente 36.000 basotho, en su mayoría mujeres, trabajan en fábricas de producción de prendas de vestir para su exportación a Sudáfrica y los Estados Unidos de América.</w:t>
      </w:r>
    </w:p>
    <w:p w:rsidR="00542BD3" w:rsidRPr="009772A2" w:rsidRDefault="006A24FB" w:rsidP="006A24FB">
      <w:pPr>
        <w:pStyle w:val="H23G"/>
      </w:pPr>
      <w:r w:rsidRPr="009772A2">
        <w:tab/>
      </w:r>
      <w:r w:rsidRPr="009772A2">
        <w:tab/>
      </w:r>
      <w:r w:rsidR="00542BD3" w:rsidRPr="009772A2">
        <w:t>Análisis del empleo</w:t>
      </w:r>
    </w:p>
    <w:p w:rsidR="006A24FB" w:rsidRPr="009772A2" w:rsidRDefault="00542BD3" w:rsidP="006A24FB">
      <w:pPr>
        <w:pStyle w:val="Heading1"/>
      </w:pPr>
      <w:r w:rsidRPr="009772A2">
        <w:t xml:space="preserve">Cuadro </w:t>
      </w:r>
      <w:r w:rsidR="006A24FB" w:rsidRPr="009772A2">
        <w:t>2</w:t>
      </w:r>
    </w:p>
    <w:p w:rsidR="00542BD3" w:rsidRPr="009772A2" w:rsidRDefault="00542BD3" w:rsidP="006A24FB">
      <w:pPr>
        <w:pStyle w:val="SingleTxtG"/>
        <w:keepNext/>
        <w:rPr>
          <w:b/>
        </w:rPr>
      </w:pPr>
      <w:r w:rsidRPr="009772A2">
        <w:rPr>
          <w:b/>
        </w:rPr>
        <w:t>Tendencia del empleo entre diciembre de 2012 y diciembre de 2015</w:t>
      </w:r>
    </w:p>
    <w:p w:rsidR="00542BD3" w:rsidRPr="009772A2" w:rsidRDefault="006A24FB" w:rsidP="00430326">
      <w:pPr>
        <w:pStyle w:val="SingleTxtG"/>
      </w:pPr>
      <w:r w:rsidRPr="009772A2">
        <w:rPr>
          <w:noProof/>
        </w:rPr>
        <w:pict>
          <v:shapetype id="_x0000_t202" coordsize="21600,21600" o:spt="202" path="m,l,21600r21600,l21600,xe">
            <v:stroke joinstyle="miter"/>
            <v:path gradientshapeok="t" o:connecttype="rect"/>
          </v:shapetype>
          <v:shape id="_x0000_s1035" type="#_x0000_t202" style="position:absolute;left:0;text-align:left;margin-left:106.7pt;margin-top:8.9pt;width:280pt;height:29.75pt;z-index:1" stroked="f">
            <v:textbox inset="0,0,0,0">
              <w:txbxContent>
                <w:p w:rsidR="006A24FB" w:rsidRPr="006A24FB" w:rsidRDefault="006A24FB" w:rsidP="006A24FB"/>
              </w:txbxContent>
            </v:textbox>
          </v:shape>
        </w:pict>
      </w:r>
      <w:r w:rsidRPr="009772A2">
        <w:rPr>
          <w:noProof/>
        </w:rPr>
        <w:pict>
          <v:shape id="Chart 5" o:spid="_x0000_i1026" type="#_x0000_t75" style="width:364.5pt;height:153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">
            <v:imagedata r:id="rId8" o:title=""/>
            <o:lock v:ext="edit" aspectratio="f"/>
          </v:shape>
        </w:pict>
      </w:r>
    </w:p>
    <w:p w:rsidR="00542BD3" w:rsidRPr="009772A2" w:rsidRDefault="00542BD3" w:rsidP="006A24FB">
      <w:pPr>
        <w:spacing w:before="120" w:after="240" w:line="220" w:lineRule="exact"/>
        <w:ind w:left="1134" w:right="1134" w:firstLine="170"/>
        <w:rPr>
          <w:sz w:val="18"/>
          <w:szCs w:val="18"/>
        </w:rPr>
      </w:pPr>
      <w:r w:rsidRPr="009772A2">
        <w:rPr>
          <w:i/>
          <w:sz w:val="18"/>
          <w:szCs w:val="18"/>
        </w:rPr>
        <w:t>Fuente:</w:t>
      </w:r>
      <w:r w:rsidRPr="009772A2">
        <w:rPr>
          <w:sz w:val="18"/>
          <w:szCs w:val="18"/>
        </w:rPr>
        <w:t xml:space="preserve"> Base de datos de la Lesotho National Development Corporation.</w:t>
      </w:r>
    </w:p>
    <w:p w:rsidR="00542BD3" w:rsidRPr="009772A2" w:rsidRDefault="00542BD3" w:rsidP="00430326">
      <w:pPr>
        <w:pStyle w:val="SingleTxtG"/>
      </w:pPr>
      <w:r w:rsidRPr="009772A2">
        <w:t>2</w:t>
      </w:r>
      <w:r w:rsidR="00430326" w:rsidRPr="009772A2">
        <w:t>7.</w:t>
      </w:r>
      <w:r w:rsidR="00430326" w:rsidRPr="009772A2">
        <w:tab/>
      </w:r>
      <w:r w:rsidRPr="009772A2">
        <w:t>El empleo registró una tendencia a la baja entre diciembre</w:t>
      </w:r>
      <w:r w:rsidR="00575AF8" w:rsidRPr="009772A2">
        <w:t xml:space="preserve"> de 2014 y diciembre de </w:t>
      </w:r>
      <w:r w:rsidRPr="009772A2">
        <w:t xml:space="preserve">2015, que se atribuye a la demora en la reautorización de la Ley sobre Crecimiento y Oportunidad en África, lo cual afectó a los pedidos, que se hacen con 9 meses de antelación. No obstante, se espera que la tasa de empleo aumente debido a la promulgación final de esta </w:t>
      </w:r>
      <w:r w:rsidR="00364A76" w:rsidRPr="009772A2">
        <w:t>ley</w:t>
      </w:r>
      <w:r w:rsidRPr="009772A2">
        <w:t xml:space="preserve"> y el debilitamiento del rand con respecto al dólar. Esto último hace que los productos fabricados localmente resulten más baratos en el mercado de Estados Unidos y, por tanto, que aumenten las probabilidades de ventas. Con todo, la recuperación completa de la industria textil solo podrá producirse en 2016, debido al carácter estacional de la dinámica del sector.</w:t>
      </w:r>
    </w:p>
    <w:p w:rsidR="00542BD3" w:rsidRPr="009772A2" w:rsidRDefault="00542BD3" w:rsidP="00430326">
      <w:pPr>
        <w:pStyle w:val="SingleTxtG"/>
      </w:pPr>
      <w:r w:rsidRPr="009772A2">
        <w:t>2</w:t>
      </w:r>
      <w:r w:rsidR="00430326" w:rsidRPr="009772A2">
        <w:t>8.</w:t>
      </w:r>
      <w:r w:rsidR="00430326" w:rsidRPr="009772A2">
        <w:tab/>
      </w:r>
      <w:r w:rsidRPr="009772A2">
        <w:t>En el cuadro que figura más abajo se hace un análisis del empleo por sector de la economía. Entre 2014 y 2015, el empleo aumentó en los sectores del calzado, la impresión y el bordado, y disminuyó en los sectores de la hotelería, el vestido y los textiles, el empaquetado, la agroindustria, los materiales de construcción, la electrónica y la ingeniería, la salud y el cuidado del hogar. En general, el empleo disminuyó un 3% entre 2014 y 2015 y la mayor reducción se registró en la agroindustria (85%) a causa del cierre de una empresa. El 87% del empleo en el sector manufacturero es generado por la industria de prendas de vestir y textiles. Este sector representa además el 58% de la cartera de empresas de la Lesotho National Development Corporation. El segundo lugar en lo que respecta a la generación de empleos corresponde a la industria del calzado, con un 4%.</w:t>
      </w:r>
    </w:p>
    <w:p w:rsidR="006A24FB" w:rsidRPr="009772A2" w:rsidRDefault="00542BD3" w:rsidP="006A24FB">
      <w:pPr>
        <w:pStyle w:val="Heading1"/>
      </w:pPr>
      <w:r w:rsidRPr="009772A2">
        <w:t>Cuadro 3</w:t>
      </w:r>
    </w:p>
    <w:p w:rsidR="00542BD3" w:rsidRPr="009772A2" w:rsidRDefault="00542BD3" w:rsidP="006A24FB">
      <w:pPr>
        <w:pStyle w:val="SingleTxtG"/>
        <w:keepNext/>
        <w:rPr>
          <w:b/>
        </w:rPr>
      </w:pPr>
      <w:r w:rsidRPr="009772A2">
        <w:rPr>
          <w:b/>
        </w:rPr>
        <w:t>Niveles de empleo por sector de la economía</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6"/>
        <w:gridCol w:w="1400"/>
        <w:gridCol w:w="866"/>
        <w:gridCol w:w="867"/>
        <w:gridCol w:w="867"/>
        <w:gridCol w:w="1108"/>
        <w:gridCol w:w="11"/>
        <w:gridCol w:w="1097"/>
        <w:gridCol w:w="23"/>
      </w:tblGrid>
      <w:tr w:rsidR="002C55C4" w:rsidRPr="009772A2">
        <w:trPr>
          <w:gridAfter w:val="1"/>
          <w:wAfter w:w="23" w:type="dxa"/>
          <w:trHeight w:val="240"/>
          <w:tblHeader/>
        </w:trPr>
        <w:tc>
          <w:tcPr>
            <w:tcW w:w="2266" w:type="dxa"/>
            <w:vMerge w:val="restart"/>
            <w:tcBorders>
              <w:top w:val="single" w:sz="4" w:space="0" w:color="auto"/>
              <w:bottom w:val="single" w:sz="12" w:space="0" w:color="auto"/>
            </w:tcBorders>
            <w:shd w:val="clear" w:color="auto" w:fill="auto"/>
            <w:vAlign w:val="bottom"/>
          </w:tcPr>
          <w:p w:rsidR="006A24FB" w:rsidRPr="009772A2" w:rsidRDefault="006A24FB" w:rsidP="002C55C4">
            <w:pPr>
              <w:spacing w:before="80" w:after="80" w:line="200" w:lineRule="exact"/>
              <w:rPr>
                <w:i/>
                <w:sz w:val="16"/>
                <w:szCs w:val="16"/>
              </w:rPr>
            </w:pPr>
            <w:r w:rsidRPr="009772A2">
              <w:rPr>
                <w:i/>
                <w:sz w:val="16"/>
                <w:szCs w:val="16"/>
              </w:rPr>
              <w:t>Sector</w:t>
            </w:r>
          </w:p>
        </w:tc>
        <w:tc>
          <w:tcPr>
            <w:tcW w:w="1400" w:type="dxa"/>
            <w:vMerge w:val="restart"/>
            <w:tcBorders>
              <w:top w:val="single" w:sz="4" w:space="0" w:color="auto"/>
              <w:bottom w:val="single" w:sz="12" w:space="0" w:color="auto"/>
            </w:tcBorders>
            <w:shd w:val="clear" w:color="auto" w:fill="auto"/>
            <w:vAlign w:val="bottom"/>
          </w:tcPr>
          <w:p w:rsidR="006A24FB" w:rsidRPr="009772A2" w:rsidRDefault="006A24FB" w:rsidP="002C55C4">
            <w:pPr>
              <w:spacing w:before="80" w:after="80" w:line="200" w:lineRule="exact"/>
              <w:jc w:val="right"/>
              <w:rPr>
                <w:i/>
                <w:sz w:val="16"/>
                <w:szCs w:val="16"/>
              </w:rPr>
            </w:pPr>
            <w:r w:rsidRPr="009772A2">
              <w:rPr>
                <w:i/>
                <w:sz w:val="16"/>
                <w:szCs w:val="16"/>
              </w:rPr>
              <w:t>Número de empresas</w:t>
            </w:r>
            <w:r w:rsidR="002C55C4" w:rsidRPr="009772A2">
              <w:rPr>
                <w:i/>
                <w:sz w:val="16"/>
                <w:szCs w:val="16"/>
              </w:rPr>
              <w:t>,</w:t>
            </w:r>
            <w:r w:rsidR="00FA5076" w:rsidRPr="009772A2">
              <w:rPr>
                <w:i/>
                <w:sz w:val="16"/>
                <w:szCs w:val="16"/>
              </w:rPr>
              <w:br/>
            </w:r>
            <w:r w:rsidRPr="009772A2">
              <w:rPr>
                <w:i/>
                <w:sz w:val="16"/>
                <w:szCs w:val="16"/>
              </w:rPr>
              <w:t>diciembre de 2015</w:t>
            </w:r>
          </w:p>
        </w:tc>
        <w:tc>
          <w:tcPr>
            <w:tcW w:w="2600" w:type="dxa"/>
            <w:gridSpan w:val="3"/>
            <w:tcBorders>
              <w:top w:val="single" w:sz="4" w:space="0" w:color="auto"/>
              <w:bottom w:val="single" w:sz="4" w:space="0" w:color="auto"/>
            </w:tcBorders>
            <w:shd w:val="clear" w:color="auto" w:fill="auto"/>
            <w:vAlign w:val="bottom"/>
          </w:tcPr>
          <w:p w:rsidR="006A24FB" w:rsidRPr="009772A2" w:rsidRDefault="002C55C4" w:rsidP="002C55C4">
            <w:pPr>
              <w:spacing w:before="80" w:after="80" w:line="200" w:lineRule="exact"/>
              <w:jc w:val="center"/>
              <w:rPr>
                <w:i/>
                <w:sz w:val="16"/>
                <w:szCs w:val="16"/>
              </w:rPr>
            </w:pPr>
            <w:r w:rsidRPr="009772A2">
              <w:rPr>
                <w:i/>
                <w:sz w:val="16"/>
                <w:szCs w:val="16"/>
              </w:rPr>
              <w:t>Empleo, octubre diciembre</w:t>
            </w:r>
          </w:p>
        </w:tc>
        <w:tc>
          <w:tcPr>
            <w:tcW w:w="1108" w:type="dxa"/>
            <w:vMerge w:val="restart"/>
            <w:tcBorders>
              <w:top w:val="single" w:sz="4" w:space="0" w:color="auto"/>
              <w:bottom w:val="single" w:sz="12" w:space="0" w:color="auto"/>
            </w:tcBorders>
            <w:shd w:val="clear" w:color="auto" w:fill="auto"/>
            <w:vAlign w:val="bottom"/>
          </w:tcPr>
          <w:p w:rsidR="006A24FB" w:rsidRPr="009772A2" w:rsidRDefault="006A24FB" w:rsidP="002C55C4">
            <w:pPr>
              <w:spacing w:before="80" w:after="80" w:line="200" w:lineRule="exact"/>
              <w:jc w:val="right"/>
              <w:rPr>
                <w:i/>
                <w:sz w:val="16"/>
                <w:szCs w:val="16"/>
              </w:rPr>
            </w:pPr>
            <w:r w:rsidRPr="009772A2">
              <w:rPr>
                <w:i/>
                <w:sz w:val="16"/>
                <w:szCs w:val="16"/>
              </w:rPr>
              <w:t xml:space="preserve">Aumento del empleo, diciembre </w:t>
            </w:r>
            <w:r w:rsidRPr="009772A2">
              <w:rPr>
                <w:i/>
                <w:sz w:val="16"/>
                <w:szCs w:val="16"/>
              </w:rPr>
              <w:br/>
              <w:t>(2014</w:t>
            </w:r>
            <w:r w:rsidR="002C55C4" w:rsidRPr="009772A2">
              <w:rPr>
                <w:i/>
                <w:sz w:val="16"/>
                <w:szCs w:val="16"/>
              </w:rPr>
              <w:t>-</w:t>
            </w:r>
            <w:r w:rsidRPr="009772A2">
              <w:rPr>
                <w:i/>
                <w:sz w:val="16"/>
                <w:szCs w:val="16"/>
              </w:rPr>
              <w:t>2015)</w:t>
            </w:r>
          </w:p>
        </w:tc>
        <w:tc>
          <w:tcPr>
            <w:tcW w:w="1108" w:type="dxa"/>
            <w:gridSpan w:val="2"/>
            <w:vMerge w:val="restart"/>
            <w:tcBorders>
              <w:top w:val="single" w:sz="4" w:space="0" w:color="auto"/>
              <w:bottom w:val="single" w:sz="12" w:space="0" w:color="auto"/>
            </w:tcBorders>
            <w:shd w:val="clear" w:color="auto" w:fill="auto"/>
            <w:vAlign w:val="bottom"/>
          </w:tcPr>
          <w:p w:rsidR="006A24FB" w:rsidRPr="009772A2" w:rsidRDefault="002C55C4" w:rsidP="002C55C4">
            <w:pPr>
              <w:spacing w:before="80" w:after="80" w:line="200" w:lineRule="exact"/>
              <w:jc w:val="right"/>
              <w:rPr>
                <w:i/>
                <w:sz w:val="16"/>
                <w:szCs w:val="16"/>
              </w:rPr>
            </w:pPr>
            <w:r w:rsidRPr="009772A2">
              <w:rPr>
                <w:i/>
                <w:sz w:val="16"/>
                <w:szCs w:val="16"/>
              </w:rPr>
              <w:t>Resultas</w:t>
            </w:r>
            <w:r w:rsidRPr="009772A2">
              <w:rPr>
                <w:i/>
                <w:sz w:val="16"/>
                <w:szCs w:val="16"/>
              </w:rPr>
              <w:br/>
              <w:t>del sector,</w:t>
            </w:r>
            <w:r w:rsidRPr="009772A2">
              <w:rPr>
                <w:i/>
                <w:sz w:val="16"/>
                <w:szCs w:val="16"/>
              </w:rPr>
              <w:br/>
              <w:t>diciembre</w:t>
            </w:r>
            <w:r w:rsidR="006A24FB" w:rsidRPr="009772A2">
              <w:rPr>
                <w:i/>
                <w:sz w:val="16"/>
                <w:szCs w:val="16"/>
              </w:rPr>
              <w:t xml:space="preserve"> 2015 </w:t>
            </w:r>
          </w:p>
        </w:tc>
      </w:tr>
      <w:tr w:rsidR="002C55C4" w:rsidRPr="009772A2">
        <w:trPr>
          <w:gridAfter w:val="1"/>
          <w:wAfter w:w="23" w:type="dxa"/>
          <w:trHeight w:val="240"/>
          <w:tblHeader/>
        </w:trPr>
        <w:tc>
          <w:tcPr>
            <w:tcW w:w="2266" w:type="dxa"/>
            <w:vMerge/>
            <w:tcBorders>
              <w:top w:val="nil"/>
              <w:bottom w:val="single" w:sz="12" w:space="0" w:color="auto"/>
            </w:tcBorders>
            <w:shd w:val="clear" w:color="auto" w:fill="auto"/>
            <w:vAlign w:val="bottom"/>
          </w:tcPr>
          <w:p w:rsidR="006A24FB" w:rsidRPr="009772A2" w:rsidRDefault="006A24FB" w:rsidP="002C55C4">
            <w:pPr>
              <w:spacing w:before="40" w:after="40" w:line="220" w:lineRule="exact"/>
              <w:rPr>
                <w:i/>
                <w:sz w:val="18"/>
                <w:szCs w:val="16"/>
              </w:rPr>
            </w:pPr>
          </w:p>
        </w:tc>
        <w:tc>
          <w:tcPr>
            <w:tcW w:w="1400" w:type="dxa"/>
            <w:vMerge/>
            <w:tcBorders>
              <w:top w:val="nil"/>
              <w:bottom w:val="single" w:sz="12" w:space="0" w:color="auto"/>
            </w:tcBorders>
            <w:shd w:val="clear" w:color="auto" w:fill="auto"/>
            <w:vAlign w:val="bottom"/>
          </w:tcPr>
          <w:p w:rsidR="006A24FB" w:rsidRPr="009772A2" w:rsidRDefault="006A24FB" w:rsidP="002C55C4">
            <w:pPr>
              <w:spacing w:before="40" w:after="40" w:line="220" w:lineRule="exact"/>
              <w:jc w:val="right"/>
              <w:rPr>
                <w:i/>
                <w:sz w:val="18"/>
                <w:szCs w:val="16"/>
              </w:rPr>
            </w:pPr>
          </w:p>
        </w:tc>
        <w:tc>
          <w:tcPr>
            <w:tcW w:w="866" w:type="dxa"/>
            <w:tcBorders>
              <w:top w:val="single" w:sz="4" w:space="0" w:color="auto"/>
              <w:bottom w:val="single" w:sz="12" w:space="0" w:color="auto"/>
            </w:tcBorders>
            <w:shd w:val="clear" w:color="auto" w:fill="auto"/>
            <w:vAlign w:val="bottom"/>
          </w:tcPr>
          <w:p w:rsidR="006A24FB" w:rsidRPr="009772A2" w:rsidRDefault="006A24FB" w:rsidP="002C55C4">
            <w:pPr>
              <w:spacing w:before="80" w:after="80" w:line="200" w:lineRule="exact"/>
              <w:jc w:val="right"/>
              <w:rPr>
                <w:i/>
                <w:sz w:val="16"/>
                <w:szCs w:val="16"/>
              </w:rPr>
            </w:pPr>
            <w:r w:rsidRPr="009772A2">
              <w:rPr>
                <w:i/>
                <w:sz w:val="16"/>
                <w:szCs w:val="16"/>
              </w:rPr>
              <w:t>2013</w:t>
            </w:r>
          </w:p>
        </w:tc>
        <w:tc>
          <w:tcPr>
            <w:tcW w:w="867" w:type="dxa"/>
            <w:tcBorders>
              <w:top w:val="single" w:sz="4" w:space="0" w:color="auto"/>
              <w:bottom w:val="single" w:sz="12" w:space="0" w:color="auto"/>
            </w:tcBorders>
            <w:shd w:val="clear" w:color="auto" w:fill="auto"/>
            <w:vAlign w:val="bottom"/>
          </w:tcPr>
          <w:p w:rsidR="006A24FB" w:rsidRPr="009772A2" w:rsidRDefault="006A24FB" w:rsidP="002C55C4">
            <w:pPr>
              <w:spacing w:before="80" w:after="80" w:line="200" w:lineRule="exact"/>
              <w:jc w:val="right"/>
              <w:rPr>
                <w:i/>
                <w:sz w:val="16"/>
                <w:szCs w:val="16"/>
              </w:rPr>
            </w:pPr>
            <w:r w:rsidRPr="009772A2">
              <w:rPr>
                <w:i/>
                <w:sz w:val="16"/>
                <w:szCs w:val="16"/>
              </w:rPr>
              <w:t>2014</w:t>
            </w:r>
          </w:p>
        </w:tc>
        <w:tc>
          <w:tcPr>
            <w:tcW w:w="867" w:type="dxa"/>
            <w:tcBorders>
              <w:top w:val="single" w:sz="4" w:space="0" w:color="auto"/>
              <w:bottom w:val="single" w:sz="12" w:space="0" w:color="auto"/>
            </w:tcBorders>
            <w:shd w:val="clear" w:color="auto" w:fill="auto"/>
            <w:vAlign w:val="bottom"/>
          </w:tcPr>
          <w:p w:rsidR="006A24FB" w:rsidRPr="009772A2" w:rsidRDefault="006A24FB" w:rsidP="002C55C4">
            <w:pPr>
              <w:spacing w:before="80" w:after="80" w:line="200" w:lineRule="exact"/>
              <w:jc w:val="right"/>
              <w:rPr>
                <w:i/>
                <w:sz w:val="16"/>
                <w:szCs w:val="16"/>
              </w:rPr>
            </w:pPr>
            <w:r w:rsidRPr="009772A2">
              <w:rPr>
                <w:i/>
                <w:sz w:val="16"/>
                <w:szCs w:val="16"/>
              </w:rPr>
              <w:t>2015</w:t>
            </w:r>
          </w:p>
        </w:tc>
        <w:tc>
          <w:tcPr>
            <w:tcW w:w="1108" w:type="dxa"/>
            <w:vMerge/>
            <w:tcBorders>
              <w:top w:val="nil"/>
              <w:bottom w:val="single" w:sz="12" w:space="0" w:color="auto"/>
            </w:tcBorders>
            <w:shd w:val="clear" w:color="auto" w:fill="auto"/>
            <w:vAlign w:val="bottom"/>
          </w:tcPr>
          <w:p w:rsidR="006A24FB" w:rsidRPr="009772A2" w:rsidRDefault="006A24FB" w:rsidP="002C55C4">
            <w:pPr>
              <w:spacing w:before="40" w:after="40" w:line="220" w:lineRule="exact"/>
              <w:jc w:val="right"/>
              <w:rPr>
                <w:i/>
                <w:sz w:val="18"/>
                <w:szCs w:val="16"/>
              </w:rPr>
            </w:pPr>
          </w:p>
        </w:tc>
        <w:tc>
          <w:tcPr>
            <w:tcW w:w="1108" w:type="dxa"/>
            <w:gridSpan w:val="2"/>
            <w:vMerge/>
            <w:tcBorders>
              <w:top w:val="nil"/>
              <w:bottom w:val="single" w:sz="12" w:space="0" w:color="auto"/>
            </w:tcBorders>
            <w:shd w:val="clear" w:color="auto" w:fill="auto"/>
            <w:vAlign w:val="bottom"/>
          </w:tcPr>
          <w:p w:rsidR="006A24FB" w:rsidRPr="009772A2" w:rsidRDefault="006A24FB" w:rsidP="002C55C4">
            <w:pPr>
              <w:spacing w:before="40" w:after="40" w:line="220" w:lineRule="exact"/>
              <w:jc w:val="right"/>
              <w:rPr>
                <w:i/>
                <w:sz w:val="18"/>
                <w:szCs w:val="16"/>
              </w:rPr>
            </w:pPr>
          </w:p>
        </w:tc>
      </w:tr>
      <w:tr w:rsidR="002C55C4" w:rsidRPr="009772A2">
        <w:trPr>
          <w:trHeight w:val="240"/>
        </w:trPr>
        <w:tc>
          <w:tcPr>
            <w:tcW w:w="2266" w:type="dxa"/>
            <w:tcBorders>
              <w:top w:val="single" w:sz="12" w:space="0" w:color="auto"/>
            </w:tcBorders>
            <w:shd w:val="clear" w:color="auto" w:fill="auto"/>
          </w:tcPr>
          <w:p w:rsidR="006A24FB" w:rsidRPr="009772A2" w:rsidRDefault="002C55C4" w:rsidP="002C55C4">
            <w:pPr>
              <w:spacing w:before="40" w:after="40" w:line="220" w:lineRule="exact"/>
              <w:rPr>
                <w:sz w:val="18"/>
              </w:rPr>
            </w:pPr>
            <w:r w:rsidRPr="009772A2">
              <w:rPr>
                <w:sz w:val="18"/>
              </w:rPr>
              <w:t>Cuero y calzado</w:t>
            </w:r>
          </w:p>
        </w:tc>
        <w:tc>
          <w:tcPr>
            <w:tcW w:w="1400" w:type="dxa"/>
            <w:tcBorders>
              <w:top w:val="single" w:sz="12" w:space="0" w:color="auto"/>
            </w:tcBorders>
            <w:shd w:val="clear" w:color="auto" w:fill="auto"/>
            <w:vAlign w:val="bottom"/>
          </w:tcPr>
          <w:p w:rsidR="006A24FB" w:rsidRPr="009772A2" w:rsidRDefault="006A24FB" w:rsidP="002C55C4">
            <w:pPr>
              <w:spacing w:before="40" w:after="40" w:line="220" w:lineRule="exact"/>
              <w:jc w:val="right"/>
              <w:rPr>
                <w:sz w:val="18"/>
              </w:rPr>
            </w:pPr>
            <w:r w:rsidRPr="009772A2">
              <w:rPr>
                <w:sz w:val="18"/>
              </w:rPr>
              <w:t>3</w:t>
            </w:r>
          </w:p>
        </w:tc>
        <w:tc>
          <w:tcPr>
            <w:tcW w:w="866" w:type="dxa"/>
            <w:tcBorders>
              <w:top w:val="single" w:sz="12" w:space="0" w:color="auto"/>
            </w:tcBorders>
            <w:shd w:val="clear" w:color="auto" w:fill="auto"/>
            <w:vAlign w:val="bottom"/>
          </w:tcPr>
          <w:p w:rsidR="006A24FB" w:rsidRPr="009772A2" w:rsidRDefault="006A24FB" w:rsidP="002C55C4">
            <w:pPr>
              <w:spacing w:before="40" w:after="40" w:line="220" w:lineRule="exact"/>
              <w:jc w:val="right"/>
              <w:rPr>
                <w:sz w:val="18"/>
              </w:rPr>
            </w:pPr>
            <w:r w:rsidRPr="009772A2">
              <w:rPr>
                <w:sz w:val="18"/>
              </w:rPr>
              <w:t>2</w:t>
            </w:r>
            <w:r w:rsidR="00FA5076" w:rsidRPr="009772A2">
              <w:rPr>
                <w:sz w:val="18"/>
              </w:rPr>
              <w:t xml:space="preserve"> </w:t>
            </w:r>
            <w:r w:rsidRPr="009772A2">
              <w:rPr>
                <w:sz w:val="18"/>
              </w:rPr>
              <w:t>230</w:t>
            </w:r>
          </w:p>
        </w:tc>
        <w:tc>
          <w:tcPr>
            <w:tcW w:w="867" w:type="dxa"/>
            <w:tcBorders>
              <w:top w:val="single" w:sz="12" w:space="0" w:color="auto"/>
            </w:tcBorders>
            <w:shd w:val="clear" w:color="auto" w:fill="auto"/>
            <w:vAlign w:val="bottom"/>
          </w:tcPr>
          <w:p w:rsidR="006A24FB" w:rsidRPr="009772A2" w:rsidRDefault="00FA5076" w:rsidP="002C55C4">
            <w:pPr>
              <w:spacing w:before="40" w:after="40" w:line="220" w:lineRule="exact"/>
              <w:jc w:val="right"/>
              <w:rPr>
                <w:sz w:val="18"/>
              </w:rPr>
            </w:pPr>
            <w:r w:rsidRPr="009772A2">
              <w:rPr>
                <w:sz w:val="18"/>
              </w:rPr>
              <w:t xml:space="preserve">1 </w:t>
            </w:r>
            <w:r w:rsidR="006A24FB" w:rsidRPr="009772A2">
              <w:rPr>
                <w:sz w:val="18"/>
              </w:rPr>
              <w:t>694</w:t>
            </w:r>
          </w:p>
        </w:tc>
        <w:tc>
          <w:tcPr>
            <w:tcW w:w="867" w:type="dxa"/>
            <w:tcBorders>
              <w:top w:val="single" w:sz="12" w:space="0" w:color="auto"/>
            </w:tcBorders>
            <w:shd w:val="clear" w:color="auto" w:fill="auto"/>
            <w:vAlign w:val="bottom"/>
          </w:tcPr>
          <w:p w:rsidR="006A24FB" w:rsidRPr="009772A2" w:rsidRDefault="006A24FB" w:rsidP="002C55C4">
            <w:pPr>
              <w:spacing w:before="40" w:after="40" w:line="220" w:lineRule="exact"/>
              <w:jc w:val="right"/>
              <w:rPr>
                <w:sz w:val="18"/>
              </w:rPr>
            </w:pPr>
            <w:r w:rsidRPr="009772A2">
              <w:rPr>
                <w:sz w:val="18"/>
              </w:rPr>
              <w:t>1 832</w:t>
            </w:r>
          </w:p>
        </w:tc>
        <w:tc>
          <w:tcPr>
            <w:tcW w:w="1119" w:type="dxa"/>
            <w:gridSpan w:val="2"/>
            <w:shd w:val="clear" w:color="auto" w:fill="auto"/>
            <w:vAlign w:val="bottom"/>
          </w:tcPr>
          <w:p w:rsidR="006A24FB" w:rsidRPr="009772A2" w:rsidRDefault="006A24FB" w:rsidP="002C55C4">
            <w:pPr>
              <w:spacing w:before="40" w:after="40" w:line="220" w:lineRule="exact"/>
              <w:jc w:val="right"/>
              <w:rPr>
                <w:sz w:val="18"/>
              </w:rPr>
            </w:pPr>
            <w:r w:rsidRPr="009772A2">
              <w:rPr>
                <w:sz w:val="18"/>
              </w:rPr>
              <w:t>8%</w:t>
            </w:r>
          </w:p>
        </w:tc>
        <w:tc>
          <w:tcPr>
            <w:tcW w:w="1120" w:type="dxa"/>
            <w:gridSpan w:val="2"/>
            <w:shd w:val="clear" w:color="auto" w:fill="auto"/>
            <w:vAlign w:val="bottom"/>
          </w:tcPr>
          <w:p w:rsidR="006A24FB" w:rsidRPr="009772A2" w:rsidRDefault="006A24FB" w:rsidP="002C55C4">
            <w:pPr>
              <w:spacing w:before="40" w:after="40" w:line="220" w:lineRule="exact"/>
              <w:jc w:val="right"/>
              <w:rPr>
                <w:sz w:val="18"/>
              </w:rPr>
            </w:pPr>
            <w:r w:rsidRPr="009772A2">
              <w:rPr>
                <w:sz w:val="18"/>
              </w:rPr>
              <w:t>4,1%</w:t>
            </w:r>
          </w:p>
        </w:tc>
      </w:tr>
      <w:tr w:rsidR="002C55C4" w:rsidRPr="009772A2">
        <w:trPr>
          <w:trHeight w:val="240"/>
        </w:trPr>
        <w:tc>
          <w:tcPr>
            <w:tcW w:w="2266" w:type="dxa"/>
            <w:shd w:val="clear" w:color="auto" w:fill="auto"/>
          </w:tcPr>
          <w:p w:rsidR="006A24FB" w:rsidRPr="009772A2" w:rsidRDefault="002C55C4" w:rsidP="002C55C4">
            <w:pPr>
              <w:spacing w:before="40" w:after="40" w:line="220" w:lineRule="exact"/>
              <w:rPr>
                <w:sz w:val="18"/>
              </w:rPr>
            </w:pPr>
            <w:r w:rsidRPr="009772A2">
              <w:rPr>
                <w:sz w:val="18"/>
              </w:rPr>
              <w:t>Prendas de vestir y textil</w:t>
            </w:r>
          </w:p>
        </w:tc>
        <w:tc>
          <w:tcPr>
            <w:tcW w:w="1400"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47</w:t>
            </w:r>
          </w:p>
        </w:tc>
        <w:tc>
          <w:tcPr>
            <w:tcW w:w="866"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38</w:t>
            </w:r>
            <w:r w:rsidR="00FA5076" w:rsidRPr="009772A2">
              <w:rPr>
                <w:sz w:val="18"/>
              </w:rPr>
              <w:t xml:space="preserve"> </w:t>
            </w:r>
            <w:r w:rsidRPr="009772A2">
              <w:rPr>
                <w:sz w:val="18"/>
              </w:rPr>
              <w:t>207</w:t>
            </w:r>
          </w:p>
        </w:tc>
        <w:tc>
          <w:tcPr>
            <w:tcW w:w="867"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39</w:t>
            </w:r>
            <w:r w:rsidR="00FA5076" w:rsidRPr="009772A2">
              <w:rPr>
                <w:sz w:val="18"/>
              </w:rPr>
              <w:t xml:space="preserve"> </w:t>
            </w:r>
            <w:r w:rsidRPr="009772A2">
              <w:rPr>
                <w:sz w:val="18"/>
              </w:rPr>
              <w:t>516</w:t>
            </w:r>
          </w:p>
        </w:tc>
        <w:tc>
          <w:tcPr>
            <w:tcW w:w="867"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38 284</w:t>
            </w:r>
          </w:p>
        </w:tc>
        <w:tc>
          <w:tcPr>
            <w:tcW w:w="1119" w:type="dxa"/>
            <w:gridSpan w:val="2"/>
            <w:shd w:val="clear" w:color="auto" w:fill="auto"/>
            <w:vAlign w:val="bottom"/>
          </w:tcPr>
          <w:p w:rsidR="006A24FB" w:rsidRPr="009772A2" w:rsidRDefault="006A24FB" w:rsidP="002C55C4">
            <w:pPr>
              <w:spacing w:before="40" w:after="40" w:line="220" w:lineRule="exact"/>
              <w:jc w:val="right"/>
              <w:rPr>
                <w:sz w:val="18"/>
              </w:rPr>
            </w:pPr>
            <w:r w:rsidRPr="009772A2">
              <w:rPr>
                <w:sz w:val="18"/>
              </w:rPr>
              <w:t>-3%</w:t>
            </w:r>
          </w:p>
        </w:tc>
        <w:tc>
          <w:tcPr>
            <w:tcW w:w="1120" w:type="dxa"/>
            <w:gridSpan w:val="2"/>
            <w:shd w:val="clear" w:color="auto" w:fill="auto"/>
            <w:vAlign w:val="bottom"/>
          </w:tcPr>
          <w:p w:rsidR="006A24FB" w:rsidRPr="009772A2" w:rsidRDefault="006A24FB" w:rsidP="002C55C4">
            <w:pPr>
              <w:spacing w:before="40" w:after="40" w:line="220" w:lineRule="exact"/>
              <w:jc w:val="right"/>
              <w:rPr>
                <w:sz w:val="18"/>
              </w:rPr>
            </w:pPr>
            <w:r w:rsidRPr="009772A2">
              <w:rPr>
                <w:sz w:val="18"/>
              </w:rPr>
              <w:t>86,7%</w:t>
            </w:r>
          </w:p>
        </w:tc>
      </w:tr>
      <w:tr w:rsidR="002C55C4" w:rsidRPr="009772A2">
        <w:trPr>
          <w:trHeight w:val="240"/>
        </w:trPr>
        <w:tc>
          <w:tcPr>
            <w:tcW w:w="2266" w:type="dxa"/>
            <w:shd w:val="clear" w:color="auto" w:fill="auto"/>
          </w:tcPr>
          <w:p w:rsidR="006A24FB" w:rsidRPr="009772A2" w:rsidRDefault="002C55C4" w:rsidP="002C55C4">
            <w:pPr>
              <w:spacing w:before="40" w:after="40" w:line="220" w:lineRule="exact"/>
              <w:rPr>
                <w:sz w:val="18"/>
              </w:rPr>
            </w:pPr>
            <w:r w:rsidRPr="009772A2">
              <w:rPr>
                <w:sz w:val="18"/>
              </w:rPr>
              <w:t>Empaquetado</w:t>
            </w:r>
          </w:p>
        </w:tc>
        <w:tc>
          <w:tcPr>
            <w:tcW w:w="1400"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4</w:t>
            </w:r>
          </w:p>
        </w:tc>
        <w:tc>
          <w:tcPr>
            <w:tcW w:w="866"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242</w:t>
            </w:r>
          </w:p>
        </w:tc>
        <w:tc>
          <w:tcPr>
            <w:tcW w:w="867"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216</w:t>
            </w:r>
          </w:p>
        </w:tc>
        <w:tc>
          <w:tcPr>
            <w:tcW w:w="867"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149</w:t>
            </w:r>
          </w:p>
        </w:tc>
        <w:tc>
          <w:tcPr>
            <w:tcW w:w="1119" w:type="dxa"/>
            <w:gridSpan w:val="2"/>
            <w:shd w:val="clear" w:color="auto" w:fill="auto"/>
            <w:vAlign w:val="bottom"/>
          </w:tcPr>
          <w:p w:rsidR="006A24FB" w:rsidRPr="009772A2" w:rsidRDefault="006A24FB" w:rsidP="002C55C4">
            <w:pPr>
              <w:spacing w:before="40" w:after="40" w:line="220" w:lineRule="exact"/>
              <w:jc w:val="right"/>
              <w:rPr>
                <w:sz w:val="18"/>
              </w:rPr>
            </w:pPr>
            <w:r w:rsidRPr="009772A2">
              <w:rPr>
                <w:sz w:val="18"/>
              </w:rPr>
              <w:t>-45%</w:t>
            </w:r>
          </w:p>
        </w:tc>
        <w:tc>
          <w:tcPr>
            <w:tcW w:w="1120" w:type="dxa"/>
            <w:gridSpan w:val="2"/>
            <w:shd w:val="clear" w:color="auto" w:fill="auto"/>
            <w:vAlign w:val="bottom"/>
          </w:tcPr>
          <w:p w:rsidR="006A24FB" w:rsidRPr="009772A2" w:rsidRDefault="006A24FB" w:rsidP="002C55C4">
            <w:pPr>
              <w:spacing w:before="40" w:after="40" w:line="220" w:lineRule="exact"/>
              <w:jc w:val="right"/>
              <w:rPr>
                <w:sz w:val="18"/>
              </w:rPr>
            </w:pPr>
            <w:r w:rsidRPr="009772A2">
              <w:rPr>
                <w:sz w:val="18"/>
              </w:rPr>
              <w:t>0,3%</w:t>
            </w:r>
          </w:p>
        </w:tc>
      </w:tr>
      <w:tr w:rsidR="002C55C4" w:rsidRPr="009772A2">
        <w:trPr>
          <w:trHeight w:val="240"/>
        </w:trPr>
        <w:tc>
          <w:tcPr>
            <w:tcW w:w="2266" w:type="dxa"/>
            <w:shd w:val="clear" w:color="auto" w:fill="auto"/>
          </w:tcPr>
          <w:p w:rsidR="006A24FB" w:rsidRPr="009772A2" w:rsidRDefault="006A24FB" w:rsidP="002C55C4">
            <w:pPr>
              <w:spacing w:before="40" w:after="40" w:line="220" w:lineRule="exact"/>
              <w:rPr>
                <w:sz w:val="18"/>
              </w:rPr>
            </w:pPr>
            <w:r w:rsidRPr="009772A2">
              <w:rPr>
                <w:sz w:val="18"/>
              </w:rPr>
              <w:t>Agro</w:t>
            </w:r>
            <w:r w:rsidR="002C55C4" w:rsidRPr="009772A2">
              <w:rPr>
                <w:sz w:val="18"/>
              </w:rPr>
              <w:t>industria</w:t>
            </w:r>
          </w:p>
        </w:tc>
        <w:tc>
          <w:tcPr>
            <w:tcW w:w="1400"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3</w:t>
            </w:r>
          </w:p>
        </w:tc>
        <w:tc>
          <w:tcPr>
            <w:tcW w:w="866"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540</w:t>
            </w:r>
          </w:p>
        </w:tc>
        <w:tc>
          <w:tcPr>
            <w:tcW w:w="867"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887</w:t>
            </w:r>
          </w:p>
        </w:tc>
        <w:tc>
          <w:tcPr>
            <w:tcW w:w="867"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479</w:t>
            </w:r>
          </w:p>
        </w:tc>
        <w:tc>
          <w:tcPr>
            <w:tcW w:w="1119" w:type="dxa"/>
            <w:gridSpan w:val="2"/>
            <w:shd w:val="clear" w:color="auto" w:fill="auto"/>
            <w:vAlign w:val="bottom"/>
          </w:tcPr>
          <w:p w:rsidR="006A24FB" w:rsidRPr="009772A2" w:rsidRDefault="006A24FB" w:rsidP="002C55C4">
            <w:pPr>
              <w:spacing w:before="40" w:after="40" w:line="220" w:lineRule="exact"/>
              <w:jc w:val="right"/>
              <w:rPr>
                <w:sz w:val="18"/>
              </w:rPr>
            </w:pPr>
            <w:r w:rsidRPr="009772A2">
              <w:rPr>
                <w:sz w:val="18"/>
              </w:rPr>
              <w:t>-85%</w:t>
            </w:r>
          </w:p>
        </w:tc>
        <w:tc>
          <w:tcPr>
            <w:tcW w:w="1120" w:type="dxa"/>
            <w:gridSpan w:val="2"/>
            <w:shd w:val="clear" w:color="auto" w:fill="auto"/>
            <w:vAlign w:val="bottom"/>
          </w:tcPr>
          <w:p w:rsidR="006A24FB" w:rsidRPr="009772A2" w:rsidRDefault="006A24FB" w:rsidP="002C55C4">
            <w:pPr>
              <w:spacing w:before="40" w:after="40" w:line="220" w:lineRule="exact"/>
              <w:jc w:val="right"/>
              <w:rPr>
                <w:sz w:val="18"/>
              </w:rPr>
            </w:pPr>
            <w:r w:rsidRPr="009772A2">
              <w:rPr>
                <w:sz w:val="18"/>
              </w:rPr>
              <w:t>1,1%</w:t>
            </w:r>
          </w:p>
        </w:tc>
      </w:tr>
      <w:tr w:rsidR="002C55C4" w:rsidRPr="009772A2">
        <w:trPr>
          <w:trHeight w:val="240"/>
        </w:trPr>
        <w:tc>
          <w:tcPr>
            <w:tcW w:w="2266" w:type="dxa"/>
            <w:shd w:val="clear" w:color="auto" w:fill="auto"/>
          </w:tcPr>
          <w:p w:rsidR="006A24FB" w:rsidRPr="009772A2" w:rsidRDefault="002C55C4" w:rsidP="002C55C4">
            <w:pPr>
              <w:spacing w:before="40" w:after="40" w:line="220" w:lineRule="exact"/>
              <w:rPr>
                <w:sz w:val="18"/>
              </w:rPr>
            </w:pPr>
            <w:r w:rsidRPr="009772A2">
              <w:rPr>
                <w:sz w:val="18"/>
              </w:rPr>
              <w:t>Materiales de construcción</w:t>
            </w:r>
          </w:p>
        </w:tc>
        <w:tc>
          <w:tcPr>
            <w:tcW w:w="1400"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5</w:t>
            </w:r>
          </w:p>
        </w:tc>
        <w:tc>
          <w:tcPr>
            <w:tcW w:w="866"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350</w:t>
            </w:r>
          </w:p>
        </w:tc>
        <w:tc>
          <w:tcPr>
            <w:tcW w:w="867"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423</w:t>
            </w:r>
          </w:p>
        </w:tc>
        <w:tc>
          <w:tcPr>
            <w:tcW w:w="867"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350</w:t>
            </w:r>
          </w:p>
        </w:tc>
        <w:tc>
          <w:tcPr>
            <w:tcW w:w="1119" w:type="dxa"/>
            <w:gridSpan w:val="2"/>
            <w:shd w:val="clear" w:color="auto" w:fill="auto"/>
            <w:vAlign w:val="bottom"/>
          </w:tcPr>
          <w:p w:rsidR="006A24FB" w:rsidRPr="009772A2" w:rsidRDefault="006A24FB" w:rsidP="002C55C4">
            <w:pPr>
              <w:spacing w:before="40" w:after="40" w:line="220" w:lineRule="exact"/>
              <w:jc w:val="right"/>
              <w:rPr>
                <w:sz w:val="18"/>
              </w:rPr>
            </w:pPr>
            <w:r w:rsidRPr="009772A2">
              <w:rPr>
                <w:sz w:val="18"/>
              </w:rPr>
              <w:t>-21%</w:t>
            </w:r>
          </w:p>
        </w:tc>
        <w:tc>
          <w:tcPr>
            <w:tcW w:w="1120" w:type="dxa"/>
            <w:gridSpan w:val="2"/>
            <w:shd w:val="clear" w:color="auto" w:fill="auto"/>
            <w:vAlign w:val="bottom"/>
          </w:tcPr>
          <w:p w:rsidR="006A24FB" w:rsidRPr="009772A2" w:rsidRDefault="006A24FB" w:rsidP="002C55C4">
            <w:pPr>
              <w:spacing w:before="40" w:after="40" w:line="220" w:lineRule="exact"/>
              <w:jc w:val="right"/>
              <w:rPr>
                <w:sz w:val="18"/>
              </w:rPr>
            </w:pPr>
            <w:r w:rsidRPr="009772A2">
              <w:rPr>
                <w:sz w:val="18"/>
              </w:rPr>
              <w:t>0,8%</w:t>
            </w:r>
          </w:p>
        </w:tc>
      </w:tr>
      <w:tr w:rsidR="002C55C4" w:rsidRPr="009772A2">
        <w:trPr>
          <w:trHeight w:val="240"/>
        </w:trPr>
        <w:tc>
          <w:tcPr>
            <w:tcW w:w="2266" w:type="dxa"/>
            <w:shd w:val="clear" w:color="auto" w:fill="auto"/>
          </w:tcPr>
          <w:p w:rsidR="006A24FB" w:rsidRPr="009772A2" w:rsidRDefault="002C55C4" w:rsidP="002C55C4">
            <w:pPr>
              <w:spacing w:before="40" w:after="40" w:line="220" w:lineRule="exact"/>
              <w:rPr>
                <w:sz w:val="18"/>
              </w:rPr>
            </w:pPr>
            <w:r w:rsidRPr="009772A2">
              <w:rPr>
                <w:sz w:val="18"/>
              </w:rPr>
              <w:t>Electrónica e ingeniería</w:t>
            </w:r>
          </w:p>
        </w:tc>
        <w:tc>
          <w:tcPr>
            <w:tcW w:w="1400"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3</w:t>
            </w:r>
          </w:p>
        </w:tc>
        <w:tc>
          <w:tcPr>
            <w:tcW w:w="866"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1</w:t>
            </w:r>
            <w:r w:rsidR="00FA5076" w:rsidRPr="009772A2">
              <w:rPr>
                <w:sz w:val="18"/>
              </w:rPr>
              <w:t xml:space="preserve"> </w:t>
            </w:r>
            <w:r w:rsidRPr="009772A2">
              <w:rPr>
                <w:sz w:val="18"/>
              </w:rPr>
              <w:t>331</w:t>
            </w:r>
          </w:p>
        </w:tc>
        <w:tc>
          <w:tcPr>
            <w:tcW w:w="867"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965</w:t>
            </w:r>
          </w:p>
        </w:tc>
        <w:tc>
          <w:tcPr>
            <w:tcW w:w="867"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879</w:t>
            </w:r>
          </w:p>
        </w:tc>
        <w:tc>
          <w:tcPr>
            <w:tcW w:w="1119" w:type="dxa"/>
            <w:gridSpan w:val="2"/>
            <w:shd w:val="clear" w:color="auto" w:fill="auto"/>
            <w:vAlign w:val="bottom"/>
          </w:tcPr>
          <w:p w:rsidR="006A24FB" w:rsidRPr="009772A2" w:rsidRDefault="006A24FB" w:rsidP="002C55C4">
            <w:pPr>
              <w:spacing w:before="40" w:after="40" w:line="220" w:lineRule="exact"/>
              <w:jc w:val="right"/>
              <w:rPr>
                <w:sz w:val="18"/>
              </w:rPr>
            </w:pPr>
            <w:r w:rsidRPr="009772A2">
              <w:rPr>
                <w:sz w:val="18"/>
              </w:rPr>
              <w:t>-10%</w:t>
            </w:r>
          </w:p>
        </w:tc>
        <w:tc>
          <w:tcPr>
            <w:tcW w:w="1120" w:type="dxa"/>
            <w:gridSpan w:val="2"/>
            <w:shd w:val="clear" w:color="auto" w:fill="auto"/>
            <w:vAlign w:val="bottom"/>
          </w:tcPr>
          <w:p w:rsidR="006A24FB" w:rsidRPr="009772A2" w:rsidRDefault="006A24FB" w:rsidP="002C55C4">
            <w:pPr>
              <w:spacing w:before="40" w:after="40" w:line="220" w:lineRule="exact"/>
              <w:jc w:val="right"/>
              <w:rPr>
                <w:sz w:val="18"/>
              </w:rPr>
            </w:pPr>
            <w:r w:rsidRPr="009772A2">
              <w:rPr>
                <w:sz w:val="18"/>
              </w:rPr>
              <w:t>2,0%</w:t>
            </w:r>
          </w:p>
        </w:tc>
      </w:tr>
      <w:tr w:rsidR="002C55C4" w:rsidRPr="009772A2">
        <w:trPr>
          <w:trHeight w:val="240"/>
        </w:trPr>
        <w:tc>
          <w:tcPr>
            <w:tcW w:w="2266" w:type="dxa"/>
            <w:shd w:val="clear" w:color="auto" w:fill="auto"/>
          </w:tcPr>
          <w:p w:rsidR="006A24FB" w:rsidRPr="009772A2" w:rsidRDefault="002C55C4" w:rsidP="002C55C4">
            <w:pPr>
              <w:spacing w:before="40" w:after="40" w:line="220" w:lineRule="exact"/>
              <w:rPr>
                <w:sz w:val="18"/>
              </w:rPr>
            </w:pPr>
            <w:r w:rsidRPr="009772A2">
              <w:rPr>
                <w:sz w:val="18"/>
              </w:rPr>
              <w:t>Impresión y bordado</w:t>
            </w:r>
          </w:p>
        </w:tc>
        <w:tc>
          <w:tcPr>
            <w:tcW w:w="1400"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3</w:t>
            </w:r>
          </w:p>
        </w:tc>
        <w:tc>
          <w:tcPr>
            <w:tcW w:w="866"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127</w:t>
            </w:r>
          </w:p>
        </w:tc>
        <w:tc>
          <w:tcPr>
            <w:tcW w:w="867"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71</w:t>
            </w:r>
          </w:p>
        </w:tc>
        <w:tc>
          <w:tcPr>
            <w:tcW w:w="867"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102</w:t>
            </w:r>
          </w:p>
        </w:tc>
        <w:tc>
          <w:tcPr>
            <w:tcW w:w="1119" w:type="dxa"/>
            <w:gridSpan w:val="2"/>
            <w:shd w:val="clear" w:color="auto" w:fill="auto"/>
            <w:vAlign w:val="bottom"/>
          </w:tcPr>
          <w:p w:rsidR="006A24FB" w:rsidRPr="009772A2" w:rsidRDefault="006A24FB" w:rsidP="002C55C4">
            <w:pPr>
              <w:spacing w:before="40" w:after="40" w:line="220" w:lineRule="exact"/>
              <w:jc w:val="right"/>
              <w:rPr>
                <w:sz w:val="18"/>
              </w:rPr>
            </w:pPr>
            <w:r w:rsidRPr="009772A2">
              <w:rPr>
                <w:sz w:val="18"/>
              </w:rPr>
              <w:t>30%</w:t>
            </w:r>
          </w:p>
        </w:tc>
        <w:tc>
          <w:tcPr>
            <w:tcW w:w="1120" w:type="dxa"/>
            <w:gridSpan w:val="2"/>
            <w:shd w:val="clear" w:color="auto" w:fill="auto"/>
            <w:vAlign w:val="bottom"/>
          </w:tcPr>
          <w:p w:rsidR="006A24FB" w:rsidRPr="009772A2" w:rsidRDefault="006A24FB" w:rsidP="002C55C4">
            <w:pPr>
              <w:spacing w:before="40" w:after="40" w:line="220" w:lineRule="exact"/>
              <w:jc w:val="right"/>
              <w:rPr>
                <w:sz w:val="18"/>
              </w:rPr>
            </w:pPr>
            <w:r w:rsidRPr="009772A2">
              <w:rPr>
                <w:sz w:val="18"/>
              </w:rPr>
              <w:t>0,2%</w:t>
            </w:r>
          </w:p>
        </w:tc>
      </w:tr>
      <w:tr w:rsidR="002C55C4" w:rsidRPr="009772A2">
        <w:trPr>
          <w:trHeight w:val="240"/>
        </w:trPr>
        <w:tc>
          <w:tcPr>
            <w:tcW w:w="2266" w:type="dxa"/>
            <w:shd w:val="clear" w:color="auto" w:fill="auto"/>
          </w:tcPr>
          <w:p w:rsidR="006A24FB" w:rsidRPr="009772A2" w:rsidRDefault="002C55C4" w:rsidP="002C55C4">
            <w:pPr>
              <w:spacing w:before="40" w:after="40" w:line="220" w:lineRule="exact"/>
              <w:rPr>
                <w:sz w:val="18"/>
              </w:rPr>
            </w:pPr>
            <w:r w:rsidRPr="009772A2">
              <w:rPr>
                <w:sz w:val="18"/>
              </w:rPr>
              <w:t>Salud y cuidado del hogar</w:t>
            </w:r>
          </w:p>
        </w:tc>
        <w:tc>
          <w:tcPr>
            <w:tcW w:w="1400"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3</w:t>
            </w:r>
          </w:p>
        </w:tc>
        <w:tc>
          <w:tcPr>
            <w:tcW w:w="866"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105</w:t>
            </w:r>
          </w:p>
        </w:tc>
        <w:tc>
          <w:tcPr>
            <w:tcW w:w="867"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93</w:t>
            </w:r>
          </w:p>
        </w:tc>
        <w:tc>
          <w:tcPr>
            <w:tcW w:w="867"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67</w:t>
            </w:r>
          </w:p>
        </w:tc>
        <w:tc>
          <w:tcPr>
            <w:tcW w:w="1119" w:type="dxa"/>
            <w:gridSpan w:val="2"/>
            <w:shd w:val="clear" w:color="auto" w:fill="auto"/>
            <w:vAlign w:val="bottom"/>
          </w:tcPr>
          <w:p w:rsidR="006A24FB" w:rsidRPr="009772A2" w:rsidRDefault="006A24FB" w:rsidP="002C55C4">
            <w:pPr>
              <w:spacing w:before="40" w:after="40" w:line="220" w:lineRule="exact"/>
              <w:jc w:val="right"/>
              <w:rPr>
                <w:sz w:val="18"/>
              </w:rPr>
            </w:pPr>
            <w:r w:rsidRPr="009772A2">
              <w:rPr>
                <w:sz w:val="18"/>
              </w:rPr>
              <w:t>-39%</w:t>
            </w:r>
          </w:p>
        </w:tc>
        <w:tc>
          <w:tcPr>
            <w:tcW w:w="1120" w:type="dxa"/>
            <w:gridSpan w:val="2"/>
            <w:shd w:val="clear" w:color="auto" w:fill="auto"/>
            <w:vAlign w:val="bottom"/>
          </w:tcPr>
          <w:p w:rsidR="006A24FB" w:rsidRPr="009772A2" w:rsidRDefault="006A24FB" w:rsidP="002C55C4">
            <w:pPr>
              <w:spacing w:before="40" w:after="40" w:line="220" w:lineRule="exact"/>
              <w:jc w:val="right"/>
              <w:rPr>
                <w:sz w:val="18"/>
              </w:rPr>
            </w:pPr>
            <w:r w:rsidRPr="009772A2">
              <w:rPr>
                <w:sz w:val="18"/>
              </w:rPr>
              <w:t>0,2%</w:t>
            </w:r>
          </w:p>
        </w:tc>
      </w:tr>
      <w:tr w:rsidR="002C55C4" w:rsidRPr="009772A2">
        <w:trPr>
          <w:trHeight w:val="240"/>
        </w:trPr>
        <w:tc>
          <w:tcPr>
            <w:tcW w:w="2266" w:type="dxa"/>
            <w:shd w:val="clear" w:color="auto" w:fill="auto"/>
          </w:tcPr>
          <w:p w:rsidR="006A24FB" w:rsidRPr="009772A2" w:rsidRDefault="002C55C4" w:rsidP="002C55C4">
            <w:pPr>
              <w:spacing w:before="40" w:after="40" w:line="220" w:lineRule="exact"/>
              <w:rPr>
                <w:sz w:val="18"/>
              </w:rPr>
            </w:pPr>
            <w:r w:rsidRPr="009772A2">
              <w:rPr>
                <w:sz w:val="18"/>
              </w:rPr>
              <w:t>Hospitalidad</w:t>
            </w:r>
          </w:p>
        </w:tc>
        <w:tc>
          <w:tcPr>
            <w:tcW w:w="1400"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1</w:t>
            </w:r>
          </w:p>
        </w:tc>
        <w:tc>
          <w:tcPr>
            <w:tcW w:w="866"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411</w:t>
            </w:r>
          </w:p>
        </w:tc>
        <w:tc>
          <w:tcPr>
            <w:tcW w:w="867"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413</w:t>
            </w:r>
          </w:p>
        </w:tc>
        <w:tc>
          <w:tcPr>
            <w:tcW w:w="867" w:type="dxa"/>
            <w:shd w:val="clear" w:color="auto" w:fill="auto"/>
            <w:vAlign w:val="bottom"/>
          </w:tcPr>
          <w:p w:rsidR="006A24FB" w:rsidRPr="009772A2" w:rsidRDefault="006A24FB" w:rsidP="002C55C4">
            <w:pPr>
              <w:spacing w:before="40" w:after="40" w:line="220" w:lineRule="exact"/>
              <w:jc w:val="right"/>
              <w:rPr>
                <w:sz w:val="18"/>
              </w:rPr>
            </w:pPr>
            <w:r w:rsidRPr="009772A2">
              <w:rPr>
                <w:sz w:val="18"/>
              </w:rPr>
              <w:t>366</w:t>
            </w:r>
          </w:p>
        </w:tc>
        <w:tc>
          <w:tcPr>
            <w:tcW w:w="1119" w:type="dxa"/>
            <w:gridSpan w:val="2"/>
            <w:shd w:val="clear" w:color="auto" w:fill="auto"/>
            <w:vAlign w:val="bottom"/>
          </w:tcPr>
          <w:p w:rsidR="006A24FB" w:rsidRPr="009772A2" w:rsidRDefault="006A24FB" w:rsidP="002C55C4">
            <w:pPr>
              <w:spacing w:before="40" w:after="40" w:line="220" w:lineRule="exact"/>
              <w:jc w:val="right"/>
              <w:rPr>
                <w:sz w:val="18"/>
              </w:rPr>
            </w:pPr>
            <w:r w:rsidRPr="009772A2">
              <w:rPr>
                <w:sz w:val="18"/>
              </w:rPr>
              <w:t>-13%</w:t>
            </w:r>
          </w:p>
        </w:tc>
        <w:tc>
          <w:tcPr>
            <w:tcW w:w="1120" w:type="dxa"/>
            <w:gridSpan w:val="2"/>
            <w:shd w:val="clear" w:color="auto" w:fill="auto"/>
            <w:vAlign w:val="bottom"/>
          </w:tcPr>
          <w:p w:rsidR="006A24FB" w:rsidRPr="009772A2" w:rsidRDefault="006A24FB" w:rsidP="002C55C4">
            <w:pPr>
              <w:spacing w:before="40" w:after="40" w:line="220" w:lineRule="exact"/>
              <w:jc w:val="right"/>
              <w:rPr>
                <w:sz w:val="18"/>
              </w:rPr>
            </w:pPr>
            <w:r w:rsidRPr="009772A2">
              <w:rPr>
                <w:sz w:val="18"/>
              </w:rPr>
              <w:t>0,8%</w:t>
            </w:r>
          </w:p>
        </w:tc>
      </w:tr>
      <w:tr w:rsidR="002C55C4" w:rsidRPr="009772A2">
        <w:trPr>
          <w:trHeight w:val="240"/>
        </w:trPr>
        <w:tc>
          <w:tcPr>
            <w:tcW w:w="2266" w:type="dxa"/>
            <w:tcBorders>
              <w:bottom w:val="single" w:sz="4" w:space="0" w:color="auto"/>
            </w:tcBorders>
            <w:shd w:val="clear" w:color="auto" w:fill="auto"/>
          </w:tcPr>
          <w:p w:rsidR="006A24FB" w:rsidRPr="009772A2" w:rsidRDefault="002C55C4" w:rsidP="002C55C4">
            <w:pPr>
              <w:spacing w:before="40" w:after="40" w:line="220" w:lineRule="exact"/>
              <w:rPr>
                <w:sz w:val="18"/>
              </w:rPr>
            </w:pPr>
            <w:r w:rsidRPr="009772A2">
              <w:rPr>
                <w:sz w:val="18"/>
              </w:rPr>
              <w:t>Otros</w:t>
            </w:r>
            <w:r w:rsidRPr="009772A2">
              <w:rPr>
                <w:rStyle w:val="FootnoteReference"/>
              </w:rPr>
              <w:footnoteReference w:id="8"/>
            </w:r>
          </w:p>
        </w:tc>
        <w:tc>
          <w:tcPr>
            <w:tcW w:w="1400" w:type="dxa"/>
            <w:tcBorders>
              <w:bottom w:val="single" w:sz="4" w:space="0" w:color="auto"/>
            </w:tcBorders>
            <w:shd w:val="clear" w:color="auto" w:fill="auto"/>
            <w:vAlign w:val="bottom"/>
          </w:tcPr>
          <w:p w:rsidR="006A24FB" w:rsidRPr="009772A2" w:rsidRDefault="006A24FB" w:rsidP="002C55C4">
            <w:pPr>
              <w:spacing w:before="40" w:after="40" w:line="220" w:lineRule="exact"/>
              <w:jc w:val="right"/>
              <w:rPr>
                <w:sz w:val="18"/>
              </w:rPr>
            </w:pPr>
            <w:r w:rsidRPr="009772A2">
              <w:rPr>
                <w:sz w:val="18"/>
              </w:rPr>
              <w:t>9</w:t>
            </w:r>
          </w:p>
        </w:tc>
        <w:tc>
          <w:tcPr>
            <w:tcW w:w="866" w:type="dxa"/>
            <w:tcBorders>
              <w:bottom w:val="single" w:sz="4" w:space="0" w:color="auto"/>
            </w:tcBorders>
            <w:shd w:val="clear" w:color="auto" w:fill="auto"/>
            <w:vAlign w:val="bottom"/>
          </w:tcPr>
          <w:p w:rsidR="006A24FB" w:rsidRPr="009772A2" w:rsidRDefault="006A24FB" w:rsidP="002C55C4">
            <w:pPr>
              <w:spacing w:before="40" w:after="40" w:line="220" w:lineRule="exact"/>
              <w:jc w:val="right"/>
              <w:rPr>
                <w:sz w:val="18"/>
              </w:rPr>
            </w:pPr>
            <w:r w:rsidRPr="009772A2">
              <w:rPr>
                <w:sz w:val="18"/>
              </w:rPr>
              <w:t>698</w:t>
            </w:r>
          </w:p>
        </w:tc>
        <w:tc>
          <w:tcPr>
            <w:tcW w:w="867" w:type="dxa"/>
            <w:tcBorders>
              <w:bottom w:val="single" w:sz="4" w:space="0" w:color="auto"/>
            </w:tcBorders>
            <w:shd w:val="clear" w:color="auto" w:fill="auto"/>
            <w:vAlign w:val="bottom"/>
          </w:tcPr>
          <w:p w:rsidR="006A24FB" w:rsidRPr="009772A2" w:rsidRDefault="006A24FB" w:rsidP="002C55C4">
            <w:pPr>
              <w:spacing w:before="40" w:after="40" w:line="220" w:lineRule="exact"/>
              <w:jc w:val="right"/>
              <w:rPr>
                <w:sz w:val="18"/>
              </w:rPr>
            </w:pPr>
            <w:r w:rsidRPr="009772A2">
              <w:rPr>
                <w:sz w:val="18"/>
              </w:rPr>
              <w:t>1</w:t>
            </w:r>
            <w:r w:rsidR="00FA5076" w:rsidRPr="009772A2">
              <w:rPr>
                <w:sz w:val="18"/>
              </w:rPr>
              <w:t xml:space="preserve"> </w:t>
            </w:r>
            <w:r w:rsidRPr="009772A2">
              <w:rPr>
                <w:sz w:val="18"/>
              </w:rPr>
              <w:t>109</w:t>
            </w:r>
          </w:p>
        </w:tc>
        <w:tc>
          <w:tcPr>
            <w:tcW w:w="867" w:type="dxa"/>
            <w:tcBorders>
              <w:bottom w:val="single" w:sz="4" w:space="0" w:color="auto"/>
            </w:tcBorders>
            <w:shd w:val="clear" w:color="auto" w:fill="auto"/>
            <w:vAlign w:val="bottom"/>
          </w:tcPr>
          <w:p w:rsidR="006A24FB" w:rsidRPr="009772A2" w:rsidRDefault="006A24FB" w:rsidP="002C55C4">
            <w:pPr>
              <w:spacing w:before="40" w:after="40" w:line="220" w:lineRule="exact"/>
              <w:jc w:val="right"/>
              <w:rPr>
                <w:sz w:val="18"/>
              </w:rPr>
            </w:pPr>
            <w:r w:rsidRPr="009772A2">
              <w:rPr>
                <w:sz w:val="18"/>
              </w:rPr>
              <w:t>1</w:t>
            </w:r>
            <w:r w:rsidR="00FA5076" w:rsidRPr="009772A2">
              <w:rPr>
                <w:sz w:val="18"/>
              </w:rPr>
              <w:t xml:space="preserve"> </w:t>
            </w:r>
            <w:r w:rsidRPr="009772A2">
              <w:rPr>
                <w:sz w:val="18"/>
              </w:rPr>
              <w:t>655</w:t>
            </w:r>
          </w:p>
        </w:tc>
        <w:tc>
          <w:tcPr>
            <w:tcW w:w="1119" w:type="dxa"/>
            <w:gridSpan w:val="2"/>
            <w:tcBorders>
              <w:bottom w:val="single" w:sz="4" w:space="0" w:color="auto"/>
            </w:tcBorders>
            <w:shd w:val="clear" w:color="auto" w:fill="auto"/>
            <w:vAlign w:val="bottom"/>
          </w:tcPr>
          <w:p w:rsidR="006A24FB" w:rsidRPr="009772A2" w:rsidRDefault="006A24FB" w:rsidP="002C55C4">
            <w:pPr>
              <w:spacing w:before="40" w:after="40" w:line="220" w:lineRule="exact"/>
              <w:jc w:val="right"/>
              <w:rPr>
                <w:sz w:val="18"/>
              </w:rPr>
            </w:pPr>
            <w:r w:rsidRPr="009772A2">
              <w:rPr>
                <w:sz w:val="18"/>
              </w:rPr>
              <w:t>33%</w:t>
            </w:r>
          </w:p>
        </w:tc>
        <w:tc>
          <w:tcPr>
            <w:tcW w:w="1120" w:type="dxa"/>
            <w:gridSpan w:val="2"/>
            <w:tcBorders>
              <w:bottom w:val="single" w:sz="4" w:space="0" w:color="auto"/>
            </w:tcBorders>
            <w:shd w:val="clear" w:color="auto" w:fill="auto"/>
            <w:vAlign w:val="bottom"/>
          </w:tcPr>
          <w:p w:rsidR="006A24FB" w:rsidRPr="009772A2" w:rsidRDefault="006A24FB" w:rsidP="002C55C4">
            <w:pPr>
              <w:spacing w:before="40" w:after="40" w:line="220" w:lineRule="exact"/>
              <w:jc w:val="right"/>
              <w:rPr>
                <w:sz w:val="18"/>
              </w:rPr>
            </w:pPr>
            <w:r w:rsidRPr="009772A2">
              <w:rPr>
                <w:sz w:val="18"/>
              </w:rPr>
              <w:t>3,7%</w:t>
            </w:r>
          </w:p>
        </w:tc>
      </w:tr>
      <w:tr w:rsidR="002C55C4" w:rsidRPr="009772A2">
        <w:trPr>
          <w:trHeight w:val="240"/>
        </w:trPr>
        <w:tc>
          <w:tcPr>
            <w:tcW w:w="2266" w:type="dxa"/>
            <w:tcBorders>
              <w:top w:val="single" w:sz="4" w:space="0" w:color="auto"/>
              <w:bottom w:val="single" w:sz="12" w:space="0" w:color="auto"/>
            </w:tcBorders>
            <w:shd w:val="clear" w:color="auto" w:fill="auto"/>
          </w:tcPr>
          <w:p w:rsidR="006A24FB" w:rsidRPr="009772A2" w:rsidRDefault="006A24FB" w:rsidP="002C55C4">
            <w:pPr>
              <w:spacing w:before="80" w:after="80" w:line="220" w:lineRule="exact"/>
              <w:ind w:left="284"/>
              <w:rPr>
                <w:b/>
                <w:bCs/>
                <w:sz w:val="18"/>
              </w:rPr>
            </w:pPr>
            <w:r w:rsidRPr="009772A2">
              <w:rPr>
                <w:b/>
                <w:bCs/>
                <w:sz w:val="18"/>
              </w:rPr>
              <w:t>Total</w:t>
            </w:r>
          </w:p>
        </w:tc>
        <w:tc>
          <w:tcPr>
            <w:tcW w:w="1400" w:type="dxa"/>
            <w:tcBorders>
              <w:top w:val="single" w:sz="4" w:space="0" w:color="auto"/>
              <w:bottom w:val="single" w:sz="12" w:space="0" w:color="auto"/>
            </w:tcBorders>
            <w:shd w:val="clear" w:color="auto" w:fill="auto"/>
            <w:vAlign w:val="bottom"/>
          </w:tcPr>
          <w:p w:rsidR="006A24FB" w:rsidRPr="009772A2" w:rsidRDefault="006A24FB" w:rsidP="002C55C4">
            <w:pPr>
              <w:spacing w:before="80" w:after="80" w:line="220" w:lineRule="exact"/>
              <w:jc w:val="right"/>
              <w:rPr>
                <w:b/>
                <w:bCs/>
                <w:sz w:val="18"/>
              </w:rPr>
            </w:pPr>
            <w:r w:rsidRPr="009772A2">
              <w:rPr>
                <w:b/>
                <w:bCs/>
                <w:sz w:val="18"/>
              </w:rPr>
              <w:t>81</w:t>
            </w:r>
          </w:p>
        </w:tc>
        <w:tc>
          <w:tcPr>
            <w:tcW w:w="866" w:type="dxa"/>
            <w:tcBorders>
              <w:top w:val="single" w:sz="4" w:space="0" w:color="auto"/>
              <w:bottom w:val="single" w:sz="12" w:space="0" w:color="auto"/>
            </w:tcBorders>
            <w:shd w:val="clear" w:color="auto" w:fill="auto"/>
            <w:vAlign w:val="bottom"/>
          </w:tcPr>
          <w:p w:rsidR="006A24FB" w:rsidRPr="009772A2" w:rsidRDefault="006A24FB" w:rsidP="002C55C4">
            <w:pPr>
              <w:spacing w:before="80" w:after="80" w:line="220" w:lineRule="exact"/>
              <w:jc w:val="right"/>
              <w:rPr>
                <w:b/>
                <w:bCs/>
                <w:sz w:val="18"/>
              </w:rPr>
            </w:pPr>
            <w:r w:rsidRPr="009772A2">
              <w:rPr>
                <w:b/>
                <w:bCs/>
                <w:sz w:val="18"/>
              </w:rPr>
              <w:t>44</w:t>
            </w:r>
            <w:r w:rsidR="00FA5076" w:rsidRPr="009772A2">
              <w:rPr>
                <w:b/>
                <w:bCs/>
                <w:sz w:val="18"/>
              </w:rPr>
              <w:t xml:space="preserve"> </w:t>
            </w:r>
            <w:r w:rsidRPr="009772A2">
              <w:rPr>
                <w:b/>
                <w:bCs/>
                <w:sz w:val="18"/>
              </w:rPr>
              <w:t>241</w:t>
            </w:r>
          </w:p>
        </w:tc>
        <w:tc>
          <w:tcPr>
            <w:tcW w:w="867" w:type="dxa"/>
            <w:tcBorders>
              <w:top w:val="single" w:sz="4" w:space="0" w:color="auto"/>
              <w:bottom w:val="single" w:sz="12" w:space="0" w:color="auto"/>
            </w:tcBorders>
            <w:shd w:val="clear" w:color="auto" w:fill="auto"/>
            <w:vAlign w:val="bottom"/>
          </w:tcPr>
          <w:p w:rsidR="006A24FB" w:rsidRPr="009772A2" w:rsidRDefault="006A24FB" w:rsidP="002C55C4">
            <w:pPr>
              <w:spacing w:before="80" w:after="80" w:line="220" w:lineRule="exact"/>
              <w:jc w:val="right"/>
              <w:rPr>
                <w:b/>
                <w:bCs/>
                <w:sz w:val="18"/>
              </w:rPr>
            </w:pPr>
            <w:r w:rsidRPr="009772A2">
              <w:rPr>
                <w:b/>
                <w:bCs/>
                <w:sz w:val="18"/>
              </w:rPr>
              <w:t>45</w:t>
            </w:r>
            <w:r w:rsidR="00FA5076" w:rsidRPr="009772A2">
              <w:rPr>
                <w:b/>
                <w:bCs/>
                <w:sz w:val="18"/>
              </w:rPr>
              <w:t xml:space="preserve"> </w:t>
            </w:r>
            <w:r w:rsidRPr="009772A2">
              <w:rPr>
                <w:b/>
                <w:bCs/>
                <w:sz w:val="18"/>
              </w:rPr>
              <w:t>387</w:t>
            </w:r>
          </w:p>
        </w:tc>
        <w:tc>
          <w:tcPr>
            <w:tcW w:w="867" w:type="dxa"/>
            <w:tcBorders>
              <w:top w:val="single" w:sz="4" w:space="0" w:color="auto"/>
              <w:bottom w:val="single" w:sz="12" w:space="0" w:color="auto"/>
            </w:tcBorders>
            <w:shd w:val="clear" w:color="auto" w:fill="auto"/>
            <w:vAlign w:val="bottom"/>
          </w:tcPr>
          <w:p w:rsidR="006A24FB" w:rsidRPr="009772A2" w:rsidRDefault="006A24FB" w:rsidP="00C97894">
            <w:pPr>
              <w:spacing w:before="80" w:after="80" w:line="220" w:lineRule="exact"/>
              <w:jc w:val="right"/>
              <w:rPr>
                <w:b/>
                <w:bCs/>
                <w:sz w:val="18"/>
              </w:rPr>
            </w:pPr>
            <w:r w:rsidRPr="009772A2">
              <w:rPr>
                <w:b/>
                <w:bCs/>
                <w:sz w:val="18"/>
              </w:rPr>
              <w:t>44</w:t>
            </w:r>
            <w:r w:rsidR="00C97894" w:rsidRPr="009772A2">
              <w:rPr>
                <w:b/>
                <w:bCs/>
                <w:sz w:val="18"/>
              </w:rPr>
              <w:t xml:space="preserve"> </w:t>
            </w:r>
            <w:r w:rsidRPr="009772A2">
              <w:rPr>
                <w:b/>
                <w:bCs/>
                <w:sz w:val="18"/>
              </w:rPr>
              <w:t>163</w:t>
            </w:r>
          </w:p>
        </w:tc>
        <w:tc>
          <w:tcPr>
            <w:tcW w:w="1119" w:type="dxa"/>
            <w:gridSpan w:val="2"/>
            <w:tcBorders>
              <w:top w:val="single" w:sz="4" w:space="0" w:color="auto"/>
              <w:bottom w:val="single" w:sz="12" w:space="0" w:color="auto"/>
            </w:tcBorders>
            <w:shd w:val="clear" w:color="auto" w:fill="auto"/>
            <w:vAlign w:val="bottom"/>
          </w:tcPr>
          <w:p w:rsidR="006A24FB" w:rsidRPr="009772A2" w:rsidRDefault="006A24FB" w:rsidP="002C55C4">
            <w:pPr>
              <w:spacing w:before="80" w:after="80" w:line="220" w:lineRule="exact"/>
              <w:jc w:val="right"/>
              <w:rPr>
                <w:b/>
                <w:bCs/>
                <w:sz w:val="18"/>
              </w:rPr>
            </w:pPr>
            <w:r w:rsidRPr="009772A2">
              <w:rPr>
                <w:b/>
                <w:bCs/>
                <w:sz w:val="18"/>
              </w:rPr>
              <w:t>3%</w:t>
            </w:r>
          </w:p>
        </w:tc>
        <w:tc>
          <w:tcPr>
            <w:tcW w:w="1120" w:type="dxa"/>
            <w:gridSpan w:val="2"/>
            <w:tcBorders>
              <w:top w:val="single" w:sz="4" w:space="0" w:color="auto"/>
              <w:bottom w:val="single" w:sz="12" w:space="0" w:color="auto"/>
            </w:tcBorders>
            <w:shd w:val="clear" w:color="auto" w:fill="auto"/>
            <w:vAlign w:val="bottom"/>
          </w:tcPr>
          <w:p w:rsidR="006A24FB" w:rsidRPr="009772A2" w:rsidRDefault="006A24FB" w:rsidP="002C55C4">
            <w:pPr>
              <w:spacing w:before="80" w:after="80" w:line="220" w:lineRule="exact"/>
              <w:jc w:val="right"/>
              <w:rPr>
                <w:b/>
                <w:bCs/>
                <w:sz w:val="18"/>
              </w:rPr>
            </w:pPr>
          </w:p>
        </w:tc>
      </w:tr>
    </w:tbl>
    <w:p w:rsidR="00542BD3" w:rsidRPr="009772A2" w:rsidRDefault="00542BD3" w:rsidP="002C55C4">
      <w:pPr>
        <w:spacing w:before="120" w:after="240"/>
        <w:ind w:left="1134" w:right="1134" w:firstLine="170"/>
        <w:rPr>
          <w:sz w:val="18"/>
          <w:szCs w:val="18"/>
        </w:rPr>
      </w:pPr>
      <w:r w:rsidRPr="009772A2">
        <w:rPr>
          <w:i/>
          <w:sz w:val="18"/>
          <w:szCs w:val="18"/>
        </w:rPr>
        <w:t>Fuente:</w:t>
      </w:r>
      <w:r w:rsidRPr="009772A2">
        <w:rPr>
          <w:sz w:val="18"/>
          <w:szCs w:val="18"/>
        </w:rPr>
        <w:t xml:space="preserve"> Base de datos de la Lesotho National Development Corporation.</w:t>
      </w:r>
    </w:p>
    <w:p w:rsidR="00542BD3" w:rsidRPr="009772A2" w:rsidRDefault="002C55C4" w:rsidP="002C55C4">
      <w:pPr>
        <w:pStyle w:val="H56G"/>
      </w:pPr>
      <w:r w:rsidRPr="009772A2">
        <w:tab/>
      </w:r>
      <w:r w:rsidR="00542BD3" w:rsidRPr="009772A2">
        <w:t>iii)</w:t>
      </w:r>
      <w:r w:rsidRPr="009772A2">
        <w:tab/>
      </w:r>
      <w:r w:rsidR="00542BD3" w:rsidRPr="009772A2">
        <w:t>Sector informal</w:t>
      </w:r>
    </w:p>
    <w:p w:rsidR="00542BD3" w:rsidRPr="009772A2" w:rsidRDefault="00542BD3" w:rsidP="00430326">
      <w:pPr>
        <w:pStyle w:val="SingleTxtG"/>
      </w:pPr>
      <w:r w:rsidRPr="009772A2">
        <w:t>2</w:t>
      </w:r>
      <w:r w:rsidR="00430326" w:rsidRPr="009772A2">
        <w:t>9.</w:t>
      </w:r>
      <w:r w:rsidR="00430326" w:rsidRPr="009772A2">
        <w:tab/>
      </w:r>
      <w:r w:rsidRPr="009772A2">
        <w:t>Este sector incluye las siguientes actividades, entre otras: venta ambulante, trabajo agrícola, trabajo doméstico y pastoreo. Algunas de estas actividades están reguladas; por ejemplo, los vendedores ambulantes tienen licencia y el salario de los trabajadores domésticos está reglamentado.</w:t>
      </w:r>
    </w:p>
    <w:p w:rsidR="00542BD3" w:rsidRPr="009772A2" w:rsidRDefault="007944FC" w:rsidP="007944FC">
      <w:pPr>
        <w:pStyle w:val="H4G"/>
      </w:pPr>
      <w:r w:rsidRPr="009772A2">
        <w:tab/>
        <w:t>b)</w:t>
      </w:r>
      <w:r w:rsidRPr="009772A2">
        <w:tab/>
      </w:r>
      <w:r w:rsidR="00542BD3" w:rsidRPr="009772A2">
        <w:t>Trabajadores migratorios</w:t>
      </w:r>
    </w:p>
    <w:p w:rsidR="00542BD3" w:rsidRPr="009772A2" w:rsidRDefault="00542BD3" w:rsidP="00430326">
      <w:pPr>
        <w:pStyle w:val="SingleTxtG"/>
      </w:pPr>
      <w:r w:rsidRPr="009772A2">
        <w:t>3</w:t>
      </w:r>
      <w:r w:rsidR="00430326" w:rsidRPr="009772A2">
        <w:t>0.</w:t>
      </w:r>
      <w:r w:rsidR="00430326" w:rsidRPr="009772A2">
        <w:tab/>
      </w:r>
      <w:r w:rsidRPr="009772A2">
        <w:t>Lesotho tiene trabajadores migrantes en Sudáfrica y otros países, entre los que se encuentran profesionales de la salud y otros trabajadores, pero no hay datos consolidados ni completos al respecto. La ubicación de Lesotho, enclavado en la República de Sudáfrica, ha desempeñado un papel fundamental en la determinación de sus parámetros laborales, pues a lo largo de los años los basotho han emigrado a Sudáfrica en busca de oportunidades de trabajo. El siguiente cuadro muestra la tendencia de la migración de basotho a Sudáfrica por razones laborales entre 2009 y 2015, registrada por el Ministerio de Trabajo.</w:t>
      </w:r>
    </w:p>
    <w:p w:rsidR="007944FC" w:rsidRPr="009772A2" w:rsidRDefault="00542BD3" w:rsidP="007944FC">
      <w:pPr>
        <w:pStyle w:val="Heading1"/>
      </w:pPr>
      <w:r w:rsidRPr="009772A2">
        <w:t>Cuadro</w:t>
      </w:r>
      <w:r w:rsidR="007944FC" w:rsidRPr="009772A2">
        <w:t xml:space="preserve"> 4</w:t>
      </w:r>
    </w:p>
    <w:p w:rsidR="00542BD3" w:rsidRPr="009772A2" w:rsidRDefault="00542BD3" w:rsidP="007944FC">
      <w:pPr>
        <w:pStyle w:val="SingleTxtG"/>
        <w:keepNext/>
        <w:rPr>
          <w:b/>
        </w:rPr>
      </w:pPr>
      <w:r w:rsidRPr="009772A2">
        <w:rPr>
          <w:b/>
        </w:rPr>
        <w:t>Tendencia de la migración de basotho entre 2009 y 2015</w:t>
      </w:r>
    </w:p>
    <w:tbl>
      <w:tblPr>
        <w:tblW w:w="0" w:type="auto"/>
        <w:tblInd w:w="1134" w:type="dxa"/>
        <w:tblBorders>
          <w:top w:val="single" w:sz="4" w:space="0" w:color="auto"/>
        </w:tblBorders>
        <w:tblLayout w:type="fixed"/>
        <w:tblCellMar>
          <w:left w:w="0" w:type="dxa"/>
          <w:right w:w="0" w:type="dxa"/>
        </w:tblCellMar>
        <w:tblLook w:val="01E0" w:firstRow="1" w:lastRow="1" w:firstColumn="1" w:lastColumn="1" w:noHBand="0" w:noVBand="0"/>
      </w:tblPr>
      <w:tblGrid>
        <w:gridCol w:w="1366"/>
        <w:gridCol w:w="816"/>
        <w:gridCol w:w="817"/>
        <w:gridCol w:w="817"/>
        <w:gridCol w:w="816"/>
        <w:gridCol w:w="817"/>
        <w:gridCol w:w="817"/>
        <w:gridCol w:w="1106"/>
      </w:tblGrid>
      <w:tr w:rsidR="007944FC" w:rsidRPr="009772A2">
        <w:trPr>
          <w:trHeight w:val="240"/>
          <w:tblHeader/>
        </w:trPr>
        <w:tc>
          <w:tcPr>
            <w:tcW w:w="1366" w:type="dxa"/>
            <w:tcBorders>
              <w:top w:val="single" w:sz="4" w:space="0" w:color="auto"/>
              <w:bottom w:val="single" w:sz="12" w:space="0" w:color="auto"/>
            </w:tcBorders>
            <w:shd w:val="clear" w:color="auto" w:fill="auto"/>
            <w:vAlign w:val="bottom"/>
          </w:tcPr>
          <w:p w:rsidR="007944FC" w:rsidRPr="009772A2" w:rsidRDefault="007944FC" w:rsidP="00842D8F">
            <w:pPr>
              <w:spacing w:before="80" w:after="80" w:line="200" w:lineRule="exact"/>
              <w:rPr>
                <w:i/>
                <w:sz w:val="16"/>
              </w:rPr>
            </w:pPr>
            <w:r w:rsidRPr="009772A2">
              <w:rPr>
                <w:i/>
                <w:sz w:val="16"/>
              </w:rPr>
              <w:t xml:space="preserve">Año </w:t>
            </w:r>
          </w:p>
        </w:tc>
        <w:tc>
          <w:tcPr>
            <w:tcW w:w="816" w:type="dxa"/>
            <w:tcBorders>
              <w:top w:val="single" w:sz="4" w:space="0" w:color="auto"/>
              <w:bottom w:val="single" w:sz="12" w:space="0" w:color="auto"/>
            </w:tcBorders>
            <w:shd w:val="clear" w:color="auto" w:fill="auto"/>
            <w:vAlign w:val="bottom"/>
          </w:tcPr>
          <w:p w:rsidR="007944FC" w:rsidRPr="009772A2" w:rsidRDefault="007944FC" w:rsidP="00842D8F">
            <w:pPr>
              <w:spacing w:before="80" w:after="80" w:line="200" w:lineRule="exact"/>
              <w:jc w:val="right"/>
              <w:rPr>
                <w:i/>
                <w:sz w:val="16"/>
              </w:rPr>
            </w:pPr>
            <w:r w:rsidRPr="009772A2">
              <w:rPr>
                <w:i/>
                <w:sz w:val="16"/>
              </w:rPr>
              <w:t>2009</w:t>
            </w:r>
          </w:p>
        </w:tc>
        <w:tc>
          <w:tcPr>
            <w:tcW w:w="817" w:type="dxa"/>
            <w:tcBorders>
              <w:top w:val="single" w:sz="4" w:space="0" w:color="auto"/>
              <w:bottom w:val="single" w:sz="12" w:space="0" w:color="auto"/>
            </w:tcBorders>
            <w:shd w:val="clear" w:color="auto" w:fill="auto"/>
            <w:vAlign w:val="bottom"/>
          </w:tcPr>
          <w:p w:rsidR="007944FC" w:rsidRPr="009772A2" w:rsidRDefault="007944FC" w:rsidP="00842D8F">
            <w:pPr>
              <w:spacing w:before="80" w:after="80" w:line="200" w:lineRule="exact"/>
              <w:jc w:val="right"/>
              <w:rPr>
                <w:i/>
                <w:sz w:val="16"/>
              </w:rPr>
            </w:pPr>
            <w:r w:rsidRPr="009772A2">
              <w:rPr>
                <w:i/>
                <w:sz w:val="16"/>
              </w:rPr>
              <w:t>2010</w:t>
            </w:r>
          </w:p>
        </w:tc>
        <w:tc>
          <w:tcPr>
            <w:tcW w:w="817" w:type="dxa"/>
            <w:tcBorders>
              <w:top w:val="single" w:sz="4" w:space="0" w:color="auto"/>
              <w:bottom w:val="single" w:sz="12" w:space="0" w:color="auto"/>
            </w:tcBorders>
            <w:shd w:val="clear" w:color="auto" w:fill="auto"/>
            <w:vAlign w:val="bottom"/>
          </w:tcPr>
          <w:p w:rsidR="007944FC" w:rsidRPr="009772A2" w:rsidRDefault="007944FC" w:rsidP="00842D8F">
            <w:pPr>
              <w:spacing w:before="80" w:after="80" w:line="200" w:lineRule="exact"/>
              <w:jc w:val="right"/>
              <w:rPr>
                <w:i/>
                <w:sz w:val="16"/>
              </w:rPr>
            </w:pPr>
            <w:r w:rsidRPr="009772A2">
              <w:rPr>
                <w:i/>
                <w:sz w:val="16"/>
              </w:rPr>
              <w:t>2011</w:t>
            </w:r>
          </w:p>
        </w:tc>
        <w:tc>
          <w:tcPr>
            <w:tcW w:w="816" w:type="dxa"/>
            <w:tcBorders>
              <w:top w:val="single" w:sz="4" w:space="0" w:color="auto"/>
              <w:bottom w:val="single" w:sz="12" w:space="0" w:color="auto"/>
            </w:tcBorders>
            <w:shd w:val="clear" w:color="auto" w:fill="auto"/>
            <w:vAlign w:val="bottom"/>
          </w:tcPr>
          <w:p w:rsidR="007944FC" w:rsidRPr="009772A2" w:rsidRDefault="007944FC" w:rsidP="00842D8F">
            <w:pPr>
              <w:spacing w:before="80" w:after="80" w:line="200" w:lineRule="exact"/>
              <w:jc w:val="right"/>
              <w:rPr>
                <w:i/>
                <w:sz w:val="16"/>
              </w:rPr>
            </w:pPr>
            <w:r w:rsidRPr="009772A2">
              <w:rPr>
                <w:i/>
                <w:sz w:val="16"/>
              </w:rPr>
              <w:t>2012</w:t>
            </w:r>
          </w:p>
        </w:tc>
        <w:tc>
          <w:tcPr>
            <w:tcW w:w="817" w:type="dxa"/>
            <w:tcBorders>
              <w:top w:val="single" w:sz="4" w:space="0" w:color="auto"/>
              <w:bottom w:val="single" w:sz="12" w:space="0" w:color="auto"/>
            </w:tcBorders>
            <w:shd w:val="clear" w:color="auto" w:fill="auto"/>
            <w:vAlign w:val="bottom"/>
          </w:tcPr>
          <w:p w:rsidR="007944FC" w:rsidRPr="009772A2" w:rsidRDefault="007944FC" w:rsidP="00842D8F">
            <w:pPr>
              <w:spacing w:before="80" w:after="80" w:line="200" w:lineRule="exact"/>
              <w:jc w:val="right"/>
              <w:rPr>
                <w:i/>
                <w:sz w:val="16"/>
              </w:rPr>
            </w:pPr>
            <w:r w:rsidRPr="009772A2">
              <w:rPr>
                <w:i/>
                <w:sz w:val="16"/>
              </w:rPr>
              <w:t>2013</w:t>
            </w:r>
          </w:p>
        </w:tc>
        <w:tc>
          <w:tcPr>
            <w:tcW w:w="817" w:type="dxa"/>
            <w:tcBorders>
              <w:top w:val="single" w:sz="4" w:space="0" w:color="auto"/>
              <w:bottom w:val="single" w:sz="12" w:space="0" w:color="auto"/>
            </w:tcBorders>
            <w:shd w:val="clear" w:color="auto" w:fill="auto"/>
            <w:vAlign w:val="bottom"/>
          </w:tcPr>
          <w:p w:rsidR="007944FC" w:rsidRPr="009772A2" w:rsidRDefault="007944FC" w:rsidP="00842D8F">
            <w:pPr>
              <w:spacing w:before="80" w:after="80" w:line="200" w:lineRule="exact"/>
              <w:jc w:val="right"/>
              <w:rPr>
                <w:i/>
                <w:sz w:val="16"/>
              </w:rPr>
            </w:pPr>
            <w:r w:rsidRPr="009772A2">
              <w:rPr>
                <w:i/>
                <w:sz w:val="16"/>
              </w:rPr>
              <w:t>2014</w:t>
            </w:r>
          </w:p>
        </w:tc>
        <w:tc>
          <w:tcPr>
            <w:tcW w:w="1106" w:type="dxa"/>
            <w:tcBorders>
              <w:top w:val="single" w:sz="4" w:space="0" w:color="auto"/>
              <w:bottom w:val="single" w:sz="12" w:space="0" w:color="auto"/>
            </w:tcBorders>
            <w:shd w:val="clear" w:color="auto" w:fill="auto"/>
            <w:vAlign w:val="bottom"/>
          </w:tcPr>
          <w:p w:rsidR="007944FC" w:rsidRPr="009772A2" w:rsidRDefault="007944FC" w:rsidP="00842D8F">
            <w:pPr>
              <w:spacing w:before="80" w:after="80" w:line="200" w:lineRule="exact"/>
              <w:jc w:val="right"/>
              <w:rPr>
                <w:i/>
                <w:sz w:val="16"/>
              </w:rPr>
            </w:pPr>
            <w:r w:rsidRPr="009772A2">
              <w:rPr>
                <w:i/>
                <w:sz w:val="16"/>
              </w:rPr>
              <w:t>2015</w:t>
            </w:r>
          </w:p>
        </w:tc>
      </w:tr>
      <w:tr w:rsidR="007944FC" w:rsidRPr="009772A2">
        <w:trPr>
          <w:trHeight w:val="240"/>
        </w:trPr>
        <w:tc>
          <w:tcPr>
            <w:tcW w:w="1366" w:type="dxa"/>
            <w:tcBorders>
              <w:top w:val="single" w:sz="12" w:space="0" w:color="auto"/>
            </w:tcBorders>
            <w:shd w:val="clear" w:color="auto" w:fill="auto"/>
          </w:tcPr>
          <w:p w:rsidR="007944FC" w:rsidRPr="009772A2" w:rsidRDefault="007944FC" w:rsidP="007944FC">
            <w:pPr>
              <w:spacing w:before="40" w:after="40" w:line="220" w:lineRule="exact"/>
              <w:rPr>
                <w:sz w:val="18"/>
              </w:rPr>
            </w:pPr>
            <w:r w:rsidRPr="009772A2">
              <w:rPr>
                <w:sz w:val="18"/>
              </w:rPr>
              <w:t>Mineros</w:t>
            </w:r>
          </w:p>
        </w:tc>
        <w:tc>
          <w:tcPr>
            <w:tcW w:w="816" w:type="dxa"/>
            <w:tcBorders>
              <w:top w:val="single" w:sz="12" w:space="0" w:color="auto"/>
            </w:tcBorders>
            <w:shd w:val="clear" w:color="auto" w:fill="auto"/>
            <w:vAlign w:val="bottom"/>
          </w:tcPr>
          <w:p w:rsidR="007944FC" w:rsidRPr="009772A2" w:rsidRDefault="007944FC" w:rsidP="00842D8F">
            <w:pPr>
              <w:spacing w:before="40" w:after="40" w:line="220" w:lineRule="exact"/>
              <w:jc w:val="right"/>
              <w:rPr>
                <w:sz w:val="18"/>
              </w:rPr>
            </w:pPr>
            <w:r w:rsidRPr="009772A2">
              <w:rPr>
                <w:sz w:val="18"/>
              </w:rPr>
              <w:t>97 000</w:t>
            </w:r>
          </w:p>
        </w:tc>
        <w:tc>
          <w:tcPr>
            <w:tcW w:w="817" w:type="dxa"/>
            <w:tcBorders>
              <w:top w:val="single" w:sz="12" w:space="0" w:color="auto"/>
            </w:tcBorders>
            <w:shd w:val="clear" w:color="auto" w:fill="auto"/>
            <w:vAlign w:val="bottom"/>
          </w:tcPr>
          <w:p w:rsidR="007944FC" w:rsidRPr="009772A2" w:rsidRDefault="007944FC" w:rsidP="00C97894">
            <w:pPr>
              <w:spacing w:before="40" w:after="40" w:line="220" w:lineRule="exact"/>
              <w:jc w:val="right"/>
              <w:rPr>
                <w:sz w:val="18"/>
              </w:rPr>
            </w:pPr>
            <w:r w:rsidRPr="009772A2">
              <w:rPr>
                <w:sz w:val="18"/>
              </w:rPr>
              <w:t>351</w:t>
            </w:r>
          </w:p>
        </w:tc>
        <w:tc>
          <w:tcPr>
            <w:tcW w:w="817" w:type="dxa"/>
            <w:tcBorders>
              <w:top w:val="single" w:sz="12" w:space="0" w:color="auto"/>
            </w:tcBorders>
            <w:shd w:val="clear" w:color="auto" w:fill="auto"/>
            <w:vAlign w:val="bottom"/>
          </w:tcPr>
          <w:p w:rsidR="007944FC" w:rsidRPr="009772A2" w:rsidRDefault="007944FC" w:rsidP="00842D8F">
            <w:pPr>
              <w:spacing w:before="40" w:after="40" w:line="220" w:lineRule="exact"/>
              <w:jc w:val="right"/>
              <w:rPr>
                <w:sz w:val="18"/>
              </w:rPr>
            </w:pPr>
            <w:r w:rsidRPr="009772A2">
              <w:rPr>
                <w:sz w:val="18"/>
              </w:rPr>
              <w:t>30 402</w:t>
            </w:r>
          </w:p>
        </w:tc>
        <w:tc>
          <w:tcPr>
            <w:tcW w:w="816" w:type="dxa"/>
            <w:tcBorders>
              <w:top w:val="single" w:sz="12" w:space="0" w:color="auto"/>
            </w:tcBorders>
            <w:shd w:val="clear" w:color="auto" w:fill="auto"/>
            <w:vAlign w:val="bottom"/>
          </w:tcPr>
          <w:p w:rsidR="007944FC" w:rsidRPr="009772A2" w:rsidRDefault="007944FC" w:rsidP="00842D8F">
            <w:pPr>
              <w:spacing w:before="40" w:after="40" w:line="220" w:lineRule="exact"/>
              <w:jc w:val="right"/>
              <w:rPr>
                <w:sz w:val="18"/>
              </w:rPr>
            </w:pPr>
            <w:r w:rsidRPr="009772A2">
              <w:rPr>
                <w:sz w:val="18"/>
              </w:rPr>
              <w:t>23 252</w:t>
            </w:r>
          </w:p>
        </w:tc>
        <w:tc>
          <w:tcPr>
            <w:tcW w:w="817" w:type="dxa"/>
            <w:tcBorders>
              <w:top w:val="single" w:sz="12" w:space="0" w:color="auto"/>
            </w:tcBorders>
            <w:shd w:val="clear" w:color="auto" w:fill="auto"/>
            <w:vAlign w:val="bottom"/>
          </w:tcPr>
          <w:p w:rsidR="007944FC" w:rsidRPr="009772A2" w:rsidRDefault="007944FC" w:rsidP="00842D8F">
            <w:pPr>
              <w:spacing w:before="40" w:after="40" w:line="220" w:lineRule="exact"/>
              <w:jc w:val="right"/>
              <w:rPr>
                <w:sz w:val="18"/>
              </w:rPr>
            </w:pPr>
            <w:r w:rsidRPr="009772A2">
              <w:rPr>
                <w:sz w:val="18"/>
              </w:rPr>
              <w:t>28 233</w:t>
            </w:r>
          </w:p>
        </w:tc>
        <w:tc>
          <w:tcPr>
            <w:tcW w:w="817" w:type="dxa"/>
            <w:tcBorders>
              <w:top w:val="single" w:sz="12" w:space="0" w:color="auto"/>
            </w:tcBorders>
            <w:shd w:val="clear" w:color="auto" w:fill="auto"/>
            <w:vAlign w:val="bottom"/>
          </w:tcPr>
          <w:p w:rsidR="007944FC" w:rsidRPr="009772A2" w:rsidRDefault="007944FC" w:rsidP="00842D8F">
            <w:pPr>
              <w:spacing w:before="40" w:after="40" w:line="220" w:lineRule="exact"/>
              <w:jc w:val="right"/>
              <w:rPr>
                <w:sz w:val="18"/>
              </w:rPr>
            </w:pPr>
            <w:r w:rsidRPr="009772A2">
              <w:rPr>
                <w:sz w:val="18"/>
              </w:rPr>
              <w:t>25 734</w:t>
            </w:r>
          </w:p>
        </w:tc>
        <w:tc>
          <w:tcPr>
            <w:tcW w:w="1106" w:type="dxa"/>
            <w:tcBorders>
              <w:top w:val="single" w:sz="12" w:space="0" w:color="auto"/>
            </w:tcBorders>
            <w:shd w:val="clear" w:color="auto" w:fill="auto"/>
            <w:vAlign w:val="bottom"/>
          </w:tcPr>
          <w:p w:rsidR="007944FC" w:rsidRPr="009772A2" w:rsidRDefault="007944FC" w:rsidP="00842D8F">
            <w:pPr>
              <w:spacing w:before="40" w:after="40" w:line="220" w:lineRule="exact"/>
              <w:jc w:val="right"/>
              <w:rPr>
                <w:sz w:val="18"/>
              </w:rPr>
            </w:pPr>
            <w:r w:rsidRPr="009772A2">
              <w:rPr>
                <w:sz w:val="18"/>
              </w:rPr>
              <w:t>5 130</w:t>
            </w:r>
          </w:p>
        </w:tc>
      </w:tr>
      <w:tr w:rsidR="007944FC" w:rsidRPr="009772A2">
        <w:trPr>
          <w:trHeight w:val="240"/>
        </w:trPr>
        <w:tc>
          <w:tcPr>
            <w:tcW w:w="1366" w:type="dxa"/>
            <w:tcBorders>
              <w:bottom w:val="single" w:sz="12" w:space="0" w:color="auto"/>
            </w:tcBorders>
            <w:shd w:val="clear" w:color="auto" w:fill="auto"/>
          </w:tcPr>
          <w:p w:rsidR="007944FC" w:rsidRPr="009772A2" w:rsidRDefault="007944FC" w:rsidP="00842D8F">
            <w:pPr>
              <w:spacing w:before="40" w:after="40" w:line="220" w:lineRule="exact"/>
              <w:rPr>
                <w:sz w:val="18"/>
              </w:rPr>
            </w:pPr>
            <w:r w:rsidRPr="009772A2">
              <w:rPr>
                <w:sz w:val="18"/>
              </w:rPr>
              <w:t>No mineros</w:t>
            </w:r>
          </w:p>
        </w:tc>
        <w:tc>
          <w:tcPr>
            <w:tcW w:w="816" w:type="dxa"/>
            <w:tcBorders>
              <w:bottom w:val="single" w:sz="12" w:space="0" w:color="auto"/>
            </w:tcBorders>
            <w:shd w:val="clear" w:color="auto" w:fill="auto"/>
            <w:vAlign w:val="bottom"/>
          </w:tcPr>
          <w:p w:rsidR="007944FC" w:rsidRPr="009772A2" w:rsidRDefault="007944FC" w:rsidP="00842D8F">
            <w:pPr>
              <w:spacing w:before="40" w:after="40" w:line="220" w:lineRule="exact"/>
              <w:jc w:val="right"/>
              <w:rPr>
                <w:sz w:val="18"/>
              </w:rPr>
            </w:pPr>
            <w:r w:rsidRPr="009772A2">
              <w:rPr>
                <w:sz w:val="18"/>
              </w:rPr>
              <w:t>5 109</w:t>
            </w:r>
          </w:p>
        </w:tc>
        <w:tc>
          <w:tcPr>
            <w:tcW w:w="817" w:type="dxa"/>
            <w:tcBorders>
              <w:bottom w:val="single" w:sz="12" w:space="0" w:color="auto"/>
            </w:tcBorders>
            <w:shd w:val="clear" w:color="auto" w:fill="auto"/>
            <w:vAlign w:val="bottom"/>
          </w:tcPr>
          <w:p w:rsidR="007944FC" w:rsidRPr="009772A2" w:rsidRDefault="007944FC" w:rsidP="00842D8F">
            <w:pPr>
              <w:spacing w:before="40" w:after="40" w:line="220" w:lineRule="exact"/>
              <w:jc w:val="right"/>
              <w:rPr>
                <w:sz w:val="18"/>
              </w:rPr>
            </w:pPr>
            <w:r w:rsidRPr="009772A2">
              <w:rPr>
                <w:sz w:val="18"/>
              </w:rPr>
              <w:t>1 678</w:t>
            </w:r>
          </w:p>
        </w:tc>
        <w:tc>
          <w:tcPr>
            <w:tcW w:w="817" w:type="dxa"/>
            <w:tcBorders>
              <w:bottom w:val="single" w:sz="12" w:space="0" w:color="auto"/>
            </w:tcBorders>
            <w:shd w:val="clear" w:color="auto" w:fill="auto"/>
            <w:vAlign w:val="bottom"/>
          </w:tcPr>
          <w:p w:rsidR="007944FC" w:rsidRPr="009772A2" w:rsidRDefault="007944FC" w:rsidP="00842D8F">
            <w:pPr>
              <w:spacing w:before="40" w:after="40" w:line="220" w:lineRule="exact"/>
              <w:jc w:val="right"/>
              <w:rPr>
                <w:sz w:val="18"/>
              </w:rPr>
            </w:pPr>
            <w:r w:rsidRPr="009772A2">
              <w:rPr>
                <w:sz w:val="18"/>
              </w:rPr>
              <w:t>6 758</w:t>
            </w:r>
          </w:p>
        </w:tc>
        <w:tc>
          <w:tcPr>
            <w:tcW w:w="816" w:type="dxa"/>
            <w:tcBorders>
              <w:bottom w:val="single" w:sz="12" w:space="0" w:color="auto"/>
            </w:tcBorders>
            <w:shd w:val="clear" w:color="auto" w:fill="auto"/>
            <w:vAlign w:val="bottom"/>
          </w:tcPr>
          <w:p w:rsidR="007944FC" w:rsidRPr="009772A2" w:rsidRDefault="007944FC" w:rsidP="00842D8F">
            <w:pPr>
              <w:spacing w:before="40" w:after="40" w:line="220" w:lineRule="exact"/>
              <w:jc w:val="right"/>
              <w:rPr>
                <w:sz w:val="18"/>
              </w:rPr>
            </w:pPr>
            <w:r w:rsidRPr="009772A2">
              <w:rPr>
                <w:sz w:val="18"/>
              </w:rPr>
              <w:t>4 672</w:t>
            </w:r>
          </w:p>
        </w:tc>
        <w:tc>
          <w:tcPr>
            <w:tcW w:w="817" w:type="dxa"/>
            <w:tcBorders>
              <w:bottom w:val="single" w:sz="12" w:space="0" w:color="auto"/>
            </w:tcBorders>
            <w:shd w:val="clear" w:color="auto" w:fill="auto"/>
            <w:vAlign w:val="bottom"/>
          </w:tcPr>
          <w:p w:rsidR="007944FC" w:rsidRPr="009772A2" w:rsidRDefault="007944FC" w:rsidP="00842D8F">
            <w:pPr>
              <w:spacing w:before="40" w:after="40" w:line="220" w:lineRule="exact"/>
              <w:jc w:val="right"/>
              <w:rPr>
                <w:sz w:val="18"/>
              </w:rPr>
            </w:pPr>
            <w:r w:rsidRPr="009772A2">
              <w:rPr>
                <w:sz w:val="18"/>
              </w:rPr>
              <w:t>3 919</w:t>
            </w:r>
          </w:p>
        </w:tc>
        <w:tc>
          <w:tcPr>
            <w:tcW w:w="817" w:type="dxa"/>
            <w:tcBorders>
              <w:bottom w:val="single" w:sz="12" w:space="0" w:color="auto"/>
            </w:tcBorders>
            <w:shd w:val="clear" w:color="auto" w:fill="auto"/>
            <w:vAlign w:val="bottom"/>
          </w:tcPr>
          <w:p w:rsidR="007944FC" w:rsidRPr="009772A2" w:rsidRDefault="007944FC" w:rsidP="00842D8F">
            <w:pPr>
              <w:spacing w:before="40" w:after="40" w:line="220" w:lineRule="exact"/>
              <w:jc w:val="right"/>
              <w:rPr>
                <w:sz w:val="18"/>
              </w:rPr>
            </w:pPr>
            <w:r w:rsidRPr="009772A2">
              <w:rPr>
                <w:sz w:val="18"/>
              </w:rPr>
              <w:t>1 042</w:t>
            </w:r>
          </w:p>
        </w:tc>
        <w:tc>
          <w:tcPr>
            <w:tcW w:w="1106" w:type="dxa"/>
            <w:tcBorders>
              <w:bottom w:val="single" w:sz="12" w:space="0" w:color="auto"/>
            </w:tcBorders>
            <w:shd w:val="clear" w:color="auto" w:fill="auto"/>
            <w:vAlign w:val="bottom"/>
          </w:tcPr>
          <w:p w:rsidR="007944FC" w:rsidRPr="009772A2" w:rsidRDefault="007944FC" w:rsidP="00842D8F">
            <w:pPr>
              <w:spacing w:before="40" w:after="40" w:line="220" w:lineRule="exact"/>
              <w:jc w:val="right"/>
              <w:rPr>
                <w:sz w:val="18"/>
              </w:rPr>
            </w:pPr>
            <w:r w:rsidRPr="009772A2">
              <w:rPr>
                <w:sz w:val="18"/>
              </w:rPr>
              <w:t>No hay datos</w:t>
            </w:r>
          </w:p>
        </w:tc>
      </w:tr>
    </w:tbl>
    <w:p w:rsidR="00542BD3" w:rsidRPr="009772A2" w:rsidRDefault="00542BD3" w:rsidP="007944FC">
      <w:pPr>
        <w:spacing w:before="120" w:after="240" w:line="220" w:lineRule="exact"/>
        <w:ind w:left="1134" w:right="1134" w:firstLine="170"/>
        <w:rPr>
          <w:sz w:val="18"/>
          <w:szCs w:val="18"/>
        </w:rPr>
      </w:pPr>
      <w:r w:rsidRPr="009772A2">
        <w:rPr>
          <w:i/>
          <w:sz w:val="18"/>
          <w:szCs w:val="18"/>
        </w:rPr>
        <w:t>Fuente:</w:t>
      </w:r>
      <w:r w:rsidRPr="009772A2">
        <w:rPr>
          <w:sz w:val="18"/>
          <w:szCs w:val="18"/>
        </w:rPr>
        <w:t xml:space="preserve"> Comisionado del Trabajo</w:t>
      </w:r>
      <w:r w:rsidR="007944FC" w:rsidRPr="009772A2">
        <w:rPr>
          <w:sz w:val="18"/>
          <w:szCs w:val="18"/>
        </w:rPr>
        <w:t>.</w:t>
      </w:r>
    </w:p>
    <w:p w:rsidR="00542BD3" w:rsidRPr="009772A2" w:rsidRDefault="00542BD3" w:rsidP="00430326">
      <w:pPr>
        <w:pStyle w:val="SingleTxtG"/>
      </w:pPr>
      <w:r w:rsidRPr="009772A2">
        <w:t>3</w:t>
      </w:r>
      <w:r w:rsidR="00430326" w:rsidRPr="009772A2">
        <w:t>1.</w:t>
      </w:r>
      <w:r w:rsidR="00430326" w:rsidRPr="009772A2">
        <w:tab/>
      </w:r>
      <w:r w:rsidRPr="009772A2">
        <w:t>Debido al aumento de los despidos en las minas, el número de trabajadores migrantes empleados en el sector se ha reducido considerablemente, de unos 97.</w:t>
      </w:r>
      <w:r w:rsidR="00575AF8" w:rsidRPr="009772A2">
        <w:t>000 en </w:t>
      </w:r>
      <w:r w:rsidRPr="009772A2">
        <w:t>2009 a 5.130 en 2015. Muchos mineros basotho se han visto afectados por esta reducción del número de trabajadores migrantes, que, al no haber otras fuentes de ingresos en el país, ha producido una alta tasa de desempleo.</w:t>
      </w:r>
    </w:p>
    <w:p w:rsidR="00542BD3" w:rsidRPr="009772A2" w:rsidRDefault="00542BD3" w:rsidP="00430326">
      <w:pPr>
        <w:pStyle w:val="SingleTxtG"/>
      </w:pPr>
      <w:r w:rsidRPr="009772A2">
        <w:t>3</w:t>
      </w:r>
      <w:r w:rsidR="00430326" w:rsidRPr="009772A2">
        <w:t>2.</w:t>
      </w:r>
      <w:r w:rsidR="00430326" w:rsidRPr="009772A2">
        <w:tab/>
      </w:r>
      <w:r w:rsidRPr="009772A2">
        <w:t>Según el Marco Nacional para las Remesas de los Migrantes de Lesotho de 2013, el Proyecto de Migración del África Meridional destaca que los basotho trabajan en las minas de Sudáfrica, pero también en otros sectores: un 10% ocupa puestos cualificados, otro 10% realiza trabajos domésticos y un 6% trabaja en la agricultura y realiza trabajos manuales.</w:t>
      </w:r>
    </w:p>
    <w:p w:rsidR="00542BD3" w:rsidRPr="009772A2" w:rsidRDefault="00542BD3" w:rsidP="00430326">
      <w:pPr>
        <w:pStyle w:val="SingleTxtG"/>
      </w:pPr>
      <w:r w:rsidRPr="009772A2">
        <w:t>3</w:t>
      </w:r>
      <w:r w:rsidR="00430326" w:rsidRPr="009772A2">
        <w:t>3.</w:t>
      </w:r>
      <w:r w:rsidR="00430326" w:rsidRPr="009772A2">
        <w:tab/>
      </w:r>
      <w:r w:rsidRPr="009772A2">
        <w:t>El artículo 140 del Código de Trabajo prevé el establecimiento de agencias de contratación. En la actualidad, hay tres categorías de este tipo de agencias: para el sector de la minería, para el sector de la agricultura y para otros sectores. En 2015, Lesotho firmó una declaración de intenciones con Sudáfrica, que incluye la expedición de un permiso especial para la regularización de los trabajadores migrantes basotho no calificados.</w:t>
      </w:r>
    </w:p>
    <w:p w:rsidR="00542BD3" w:rsidRPr="009772A2" w:rsidRDefault="007944FC" w:rsidP="007944FC">
      <w:pPr>
        <w:pStyle w:val="H56G"/>
      </w:pPr>
      <w:r w:rsidRPr="009772A2">
        <w:tab/>
      </w:r>
      <w:r w:rsidR="00542BD3" w:rsidRPr="009772A2">
        <w:t>i)</w:t>
      </w:r>
      <w:r w:rsidRPr="009772A2">
        <w:tab/>
      </w:r>
      <w:r w:rsidR="00542BD3" w:rsidRPr="009772A2">
        <w:t>Remesas de los migrantes</w:t>
      </w:r>
    </w:p>
    <w:p w:rsidR="00542BD3" w:rsidRPr="009772A2" w:rsidRDefault="00542BD3" w:rsidP="00430326">
      <w:pPr>
        <w:pStyle w:val="SingleTxtG"/>
      </w:pPr>
      <w:r w:rsidRPr="009772A2">
        <w:t>3</w:t>
      </w:r>
      <w:r w:rsidR="00430326" w:rsidRPr="009772A2">
        <w:t>4.</w:t>
      </w:r>
      <w:r w:rsidR="00430326" w:rsidRPr="009772A2">
        <w:tab/>
      </w:r>
      <w:r w:rsidRPr="009772A2">
        <w:t>Las remesas representan una gran proporción del PIB. Según los datos del Banco Mundial, en 2012, las remesas enviadas a Lesotho constituyeron el 29% del PIB. La mayoría de los hogares dependen en gran medida de las remesas de mineros, trabajadores agrícolas, profesionales de la salud y trabajadores domésticos. Las remesas de los mineros han representado durante décadas una parte importante del ingreso nacional general, aunque ha ido disminuyendo en los últimos años debido a las reestructuraciones. A pesar de ello, las remesas de los mineros han seguido haciendo una contribución significativa al ingreso disponible total.</w:t>
      </w:r>
    </w:p>
    <w:p w:rsidR="00542BD3" w:rsidRPr="009772A2" w:rsidRDefault="007944FC" w:rsidP="007944FC">
      <w:pPr>
        <w:pStyle w:val="H4G"/>
      </w:pPr>
      <w:r w:rsidRPr="009772A2">
        <w:tab/>
      </w:r>
      <w:r w:rsidR="00542BD3" w:rsidRPr="009772A2">
        <w:t>c)</w:t>
      </w:r>
      <w:r w:rsidRPr="009772A2">
        <w:tab/>
      </w:r>
      <w:r w:rsidR="00542BD3" w:rsidRPr="009772A2">
        <w:t>Industria manufacturera</w:t>
      </w:r>
    </w:p>
    <w:p w:rsidR="00542BD3" w:rsidRPr="009772A2" w:rsidRDefault="00542BD3" w:rsidP="00430326">
      <w:pPr>
        <w:pStyle w:val="SingleTxtG"/>
      </w:pPr>
      <w:r w:rsidRPr="009772A2">
        <w:t>3</w:t>
      </w:r>
      <w:r w:rsidR="00430326" w:rsidRPr="009772A2">
        <w:t>5.</w:t>
      </w:r>
      <w:r w:rsidR="00430326" w:rsidRPr="009772A2">
        <w:tab/>
      </w:r>
      <w:r w:rsidRPr="009772A2">
        <w:t xml:space="preserve">El </w:t>
      </w:r>
      <w:r w:rsidR="00575AF8" w:rsidRPr="009772A2">
        <w:t>"</w:t>
      </w:r>
      <w:r w:rsidRPr="009772A2">
        <w:t>Informe sobre el estado de la industria</w:t>
      </w:r>
      <w:r w:rsidR="00575AF8" w:rsidRPr="009772A2">
        <w:t>"</w:t>
      </w:r>
      <w:r w:rsidRPr="009772A2">
        <w:t xml:space="preserve"> correspondiente al trimestre finalizado en diciembre de 2015 contiene un análisis del desempeño de la industria en relación con el empleo y las exportaciones, de las relaciones industriales y de la economía en general. La mayoría de las empresas tienen actualmente pedidos hasta diciembre de 2016, y hay algunas que tienen pedidos por tiempo indefinido. A largo plazo, esto fomentará la economía, al producir un crecimiento de las exportaciones, tanto en valor como en volumen, hacia el mercado estadounidense. Los pedidos para el mercado sudafricano se mantienen relativamente estables, pero están aumentando, como demuestra el incremento del valor de las exportaciones destinadas a ese mercado entre enero y julio de 2015, en comparación con el mismo </w:t>
      </w:r>
      <w:r w:rsidR="00364A76" w:rsidRPr="009772A2">
        <w:t>período</w:t>
      </w:r>
      <w:r w:rsidRPr="009772A2">
        <w:t xml:space="preserve"> de 2014.</w:t>
      </w:r>
    </w:p>
    <w:p w:rsidR="00542BD3" w:rsidRPr="009772A2" w:rsidRDefault="007944FC" w:rsidP="007944FC">
      <w:pPr>
        <w:pStyle w:val="H56G"/>
      </w:pPr>
      <w:r w:rsidRPr="009772A2">
        <w:tab/>
      </w:r>
      <w:r w:rsidR="00542BD3" w:rsidRPr="009772A2">
        <w:t>i)</w:t>
      </w:r>
      <w:r w:rsidRPr="009772A2">
        <w:tab/>
      </w:r>
      <w:r w:rsidR="00542BD3" w:rsidRPr="009772A2">
        <w:t>Mercados para la exportación</w:t>
      </w:r>
    </w:p>
    <w:p w:rsidR="00542BD3" w:rsidRPr="009772A2" w:rsidRDefault="00542BD3" w:rsidP="00430326">
      <w:pPr>
        <w:pStyle w:val="SingleTxtG"/>
      </w:pPr>
      <w:r w:rsidRPr="009772A2">
        <w:t>3</w:t>
      </w:r>
      <w:r w:rsidR="00430326" w:rsidRPr="009772A2">
        <w:t>6.</w:t>
      </w:r>
      <w:r w:rsidR="00430326" w:rsidRPr="009772A2">
        <w:tab/>
      </w:r>
      <w:r w:rsidRPr="009772A2">
        <w:t>Los Estados Unidos siguen siendo el mayor mercado para las exportaciones de textiles y prendas de vestir de Lesotho. El cuadro que figura a continuación contiene los datos más recientes sobre el volumen y el valor de las exportaciones. Las exportaciones de prendas de vestir de Lesotho para el mercado de Estados Unidos aumentaron tanto en valor como en volumen.</w:t>
      </w:r>
    </w:p>
    <w:p w:rsidR="007944FC" w:rsidRPr="009772A2" w:rsidRDefault="007944FC" w:rsidP="007944FC">
      <w:pPr>
        <w:pStyle w:val="Heading1"/>
      </w:pPr>
      <w:r w:rsidRPr="009772A2">
        <w:t>Cuadro 5</w:t>
      </w:r>
    </w:p>
    <w:p w:rsidR="00542BD3" w:rsidRPr="009772A2" w:rsidRDefault="00542BD3" w:rsidP="007944FC">
      <w:pPr>
        <w:pStyle w:val="SingleTxtG"/>
        <w:jc w:val="left"/>
        <w:rPr>
          <w:b/>
        </w:rPr>
      </w:pPr>
      <w:r w:rsidRPr="009772A2">
        <w:rPr>
          <w:b/>
        </w:rPr>
        <w:t xml:space="preserve">Exportaciones de prendas de vestir a los </w:t>
      </w:r>
      <w:r w:rsidR="007944FC" w:rsidRPr="009772A2">
        <w:rPr>
          <w:b/>
        </w:rPr>
        <w:t>Estados Unidos (enero de 2014 a</w:t>
      </w:r>
      <w:r w:rsidRPr="009772A2">
        <w:rPr>
          <w:b/>
        </w:rPr>
        <w:t xml:space="preserve"> noviembre de 2015)</w:t>
      </w:r>
    </w:p>
    <w:tbl>
      <w:tblPr>
        <w:tblW w:w="7371" w:type="dxa"/>
        <w:tblInd w:w="1134" w:type="dxa"/>
        <w:tblBorders>
          <w:top w:val="single" w:sz="4" w:space="0" w:color="000000"/>
          <w:bottom w:val="single" w:sz="12" w:space="0" w:color="000000"/>
        </w:tblBorders>
        <w:tblLayout w:type="fixed"/>
        <w:tblCellMar>
          <w:left w:w="0" w:type="dxa"/>
          <w:right w:w="0" w:type="dxa"/>
        </w:tblCellMar>
        <w:tblLook w:val="04A0" w:firstRow="1" w:lastRow="0" w:firstColumn="1" w:lastColumn="0" w:noHBand="0" w:noVBand="1"/>
      </w:tblPr>
      <w:tblGrid>
        <w:gridCol w:w="866"/>
        <w:gridCol w:w="700"/>
        <w:gridCol w:w="1400"/>
        <w:gridCol w:w="800"/>
        <w:gridCol w:w="1400"/>
        <w:gridCol w:w="800"/>
        <w:gridCol w:w="1405"/>
      </w:tblGrid>
      <w:tr w:rsidR="004839AC" w:rsidRPr="009772A2">
        <w:trPr>
          <w:tblHeader/>
        </w:trPr>
        <w:tc>
          <w:tcPr>
            <w:tcW w:w="866" w:type="dxa"/>
            <w:vMerge w:val="restart"/>
            <w:tcBorders>
              <w:top w:val="single" w:sz="4" w:space="0" w:color="000000"/>
              <w:bottom w:val="single" w:sz="12" w:space="0" w:color="000000"/>
            </w:tcBorders>
            <w:shd w:val="clear" w:color="auto" w:fill="auto"/>
            <w:vAlign w:val="bottom"/>
          </w:tcPr>
          <w:p w:rsidR="007944FC" w:rsidRPr="009772A2" w:rsidRDefault="007944FC" w:rsidP="00842D8F">
            <w:pPr>
              <w:spacing w:before="80" w:after="80" w:line="200" w:lineRule="exact"/>
              <w:ind w:right="113"/>
              <w:contextualSpacing/>
              <w:rPr>
                <w:i/>
                <w:sz w:val="16"/>
                <w:szCs w:val="16"/>
              </w:rPr>
            </w:pPr>
            <w:r w:rsidRPr="009772A2">
              <w:rPr>
                <w:i/>
                <w:sz w:val="16"/>
                <w:szCs w:val="16"/>
              </w:rPr>
              <w:t>País</w:t>
            </w:r>
          </w:p>
        </w:tc>
        <w:tc>
          <w:tcPr>
            <w:tcW w:w="2100" w:type="dxa"/>
            <w:gridSpan w:val="2"/>
            <w:tcBorders>
              <w:top w:val="single" w:sz="4" w:space="0" w:color="000000"/>
              <w:bottom w:val="single" w:sz="4" w:space="0" w:color="000000"/>
              <w:right w:val="single" w:sz="24" w:space="0" w:color="FFFFFF"/>
            </w:tcBorders>
            <w:shd w:val="clear" w:color="auto" w:fill="auto"/>
            <w:vAlign w:val="bottom"/>
          </w:tcPr>
          <w:p w:rsidR="007944FC" w:rsidRPr="009772A2" w:rsidRDefault="007944FC" w:rsidP="004839AC">
            <w:pPr>
              <w:spacing w:before="80" w:after="80" w:line="200" w:lineRule="exact"/>
              <w:contextualSpacing/>
              <w:jc w:val="center"/>
              <w:rPr>
                <w:i/>
                <w:sz w:val="16"/>
                <w:szCs w:val="16"/>
              </w:rPr>
            </w:pPr>
            <w:r w:rsidRPr="009772A2">
              <w:rPr>
                <w:i/>
                <w:sz w:val="16"/>
                <w:szCs w:val="16"/>
              </w:rPr>
              <w:t>Enero a noviembre de 2014</w:t>
            </w:r>
          </w:p>
        </w:tc>
        <w:tc>
          <w:tcPr>
            <w:tcW w:w="2200" w:type="dxa"/>
            <w:gridSpan w:val="2"/>
            <w:tcBorders>
              <w:top w:val="single" w:sz="4" w:space="0" w:color="000000"/>
              <w:left w:val="single" w:sz="24" w:space="0" w:color="FFFFFF"/>
              <w:bottom w:val="single" w:sz="4" w:space="0" w:color="000000"/>
              <w:right w:val="single" w:sz="24" w:space="0" w:color="FFFFFF"/>
            </w:tcBorders>
            <w:shd w:val="clear" w:color="auto" w:fill="auto"/>
            <w:vAlign w:val="bottom"/>
          </w:tcPr>
          <w:p w:rsidR="007944FC" w:rsidRPr="009772A2" w:rsidRDefault="007944FC" w:rsidP="004839AC">
            <w:pPr>
              <w:spacing w:before="80" w:after="80" w:line="200" w:lineRule="exact"/>
              <w:contextualSpacing/>
              <w:jc w:val="center"/>
              <w:rPr>
                <w:i/>
                <w:sz w:val="16"/>
                <w:szCs w:val="16"/>
              </w:rPr>
            </w:pPr>
            <w:r w:rsidRPr="009772A2">
              <w:rPr>
                <w:i/>
                <w:sz w:val="16"/>
                <w:szCs w:val="16"/>
              </w:rPr>
              <w:t>Enero a noviembre de 2015</w:t>
            </w:r>
          </w:p>
        </w:tc>
        <w:tc>
          <w:tcPr>
            <w:tcW w:w="2205" w:type="dxa"/>
            <w:gridSpan w:val="2"/>
            <w:tcBorders>
              <w:top w:val="single" w:sz="4" w:space="0" w:color="000000"/>
              <w:left w:val="single" w:sz="24" w:space="0" w:color="FFFFFF"/>
              <w:bottom w:val="single" w:sz="4" w:space="0" w:color="000000"/>
            </w:tcBorders>
            <w:shd w:val="clear" w:color="auto" w:fill="auto"/>
            <w:vAlign w:val="bottom"/>
          </w:tcPr>
          <w:p w:rsidR="007944FC" w:rsidRPr="009772A2" w:rsidRDefault="007944FC" w:rsidP="004839AC">
            <w:pPr>
              <w:spacing w:before="80" w:after="80" w:line="200" w:lineRule="exact"/>
              <w:contextualSpacing/>
              <w:jc w:val="center"/>
              <w:rPr>
                <w:i/>
                <w:sz w:val="16"/>
                <w:szCs w:val="16"/>
              </w:rPr>
            </w:pPr>
            <w:r w:rsidRPr="009772A2">
              <w:rPr>
                <w:i/>
                <w:sz w:val="16"/>
                <w:szCs w:val="16"/>
              </w:rPr>
              <w:t>% crecimiento</w:t>
            </w:r>
          </w:p>
        </w:tc>
      </w:tr>
      <w:tr w:rsidR="004839AC" w:rsidRPr="009772A2">
        <w:trPr>
          <w:tblHeader/>
        </w:trPr>
        <w:tc>
          <w:tcPr>
            <w:tcW w:w="866" w:type="dxa"/>
            <w:vMerge/>
            <w:tcBorders>
              <w:top w:val="single" w:sz="12" w:space="0" w:color="000000"/>
              <w:bottom w:val="single" w:sz="12" w:space="0" w:color="000000"/>
            </w:tcBorders>
            <w:shd w:val="clear" w:color="auto" w:fill="auto"/>
            <w:vAlign w:val="bottom"/>
          </w:tcPr>
          <w:p w:rsidR="007944FC" w:rsidRPr="009772A2" w:rsidRDefault="007944FC" w:rsidP="00842D8F">
            <w:pPr>
              <w:spacing w:before="40" w:after="40" w:line="220" w:lineRule="exact"/>
              <w:ind w:right="113"/>
              <w:contextualSpacing/>
              <w:rPr>
                <w:i/>
                <w:sz w:val="18"/>
                <w:szCs w:val="16"/>
              </w:rPr>
            </w:pPr>
          </w:p>
        </w:tc>
        <w:tc>
          <w:tcPr>
            <w:tcW w:w="700" w:type="dxa"/>
            <w:tcBorders>
              <w:top w:val="single" w:sz="4" w:space="0" w:color="000000"/>
              <w:bottom w:val="single" w:sz="12" w:space="0" w:color="000000"/>
            </w:tcBorders>
            <w:shd w:val="clear" w:color="auto" w:fill="auto"/>
            <w:vAlign w:val="bottom"/>
          </w:tcPr>
          <w:p w:rsidR="007944FC" w:rsidRPr="009772A2" w:rsidRDefault="007944FC" w:rsidP="00842D8F">
            <w:pPr>
              <w:spacing w:before="40" w:after="40" w:line="220" w:lineRule="exact"/>
              <w:contextualSpacing/>
              <w:jc w:val="right"/>
              <w:rPr>
                <w:i/>
                <w:sz w:val="16"/>
                <w:szCs w:val="16"/>
              </w:rPr>
            </w:pPr>
            <w:r w:rsidRPr="009772A2">
              <w:rPr>
                <w:i/>
                <w:sz w:val="16"/>
                <w:szCs w:val="16"/>
              </w:rPr>
              <w:t>MIPYMES</w:t>
            </w:r>
          </w:p>
        </w:tc>
        <w:tc>
          <w:tcPr>
            <w:tcW w:w="1400" w:type="dxa"/>
            <w:tcBorders>
              <w:top w:val="single" w:sz="4" w:space="0" w:color="000000"/>
              <w:bottom w:val="single" w:sz="12" w:space="0" w:color="000000"/>
              <w:right w:val="single" w:sz="24" w:space="0" w:color="FFFFFF"/>
            </w:tcBorders>
            <w:shd w:val="clear" w:color="auto" w:fill="auto"/>
            <w:vAlign w:val="bottom"/>
          </w:tcPr>
          <w:p w:rsidR="007944FC" w:rsidRPr="009772A2" w:rsidRDefault="007944FC" w:rsidP="00842D8F">
            <w:pPr>
              <w:spacing w:before="40" w:after="40" w:line="220" w:lineRule="exact"/>
              <w:contextualSpacing/>
              <w:jc w:val="right"/>
              <w:rPr>
                <w:i/>
                <w:sz w:val="16"/>
                <w:szCs w:val="16"/>
              </w:rPr>
            </w:pPr>
            <w:r w:rsidRPr="009772A2">
              <w:rPr>
                <w:i/>
                <w:sz w:val="16"/>
                <w:szCs w:val="16"/>
              </w:rPr>
              <w:t>Millones de</w:t>
            </w:r>
            <w:r w:rsidR="004839AC" w:rsidRPr="009772A2">
              <w:rPr>
                <w:i/>
                <w:sz w:val="16"/>
                <w:szCs w:val="16"/>
              </w:rPr>
              <w:t xml:space="preserve"> dólares</w:t>
            </w:r>
          </w:p>
        </w:tc>
        <w:tc>
          <w:tcPr>
            <w:tcW w:w="800" w:type="dxa"/>
            <w:tcBorders>
              <w:top w:val="single" w:sz="4" w:space="0" w:color="000000"/>
              <w:left w:val="single" w:sz="24" w:space="0" w:color="FFFFFF"/>
              <w:bottom w:val="single" w:sz="12" w:space="0" w:color="000000"/>
            </w:tcBorders>
            <w:shd w:val="clear" w:color="auto" w:fill="auto"/>
            <w:vAlign w:val="bottom"/>
          </w:tcPr>
          <w:p w:rsidR="007944FC" w:rsidRPr="009772A2" w:rsidRDefault="007944FC" w:rsidP="00842D8F">
            <w:pPr>
              <w:spacing w:before="40" w:after="40" w:line="220" w:lineRule="exact"/>
              <w:contextualSpacing/>
              <w:jc w:val="right"/>
              <w:rPr>
                <w:i/>
                <w:sz w:val="16"/>
                <w:szCs w:val="16"/>
              </w:rPr>
            </w:pPr>
            <w:r w:rsidRPr="009772A2">
              <w:rPr>
                <w:i/>
                <w:sz w:val="16"/>
                <w:szCs w:val="16"/>
              </w:rPr>
              <w:t>MIPYMES</w:t>
            </w:r>
          </w:p>
        </w:tc>
        <w:tc>
          <w:tcPr>
            <w:tcW w:w="1400" w:type="dxa"/>
            <w:tcBorders>
              <w:top w:val="single" w:sz="4" w:space="0" w:color="000000"/>
              <w:bottom w:val="single" w:sz="12" w:space="0" w:color="000000"/>
              <w:right w:val="single" w:sz="24" w:space="0" w:color="FFFFFF"/>
            </w:tcBorders>
            <w:shd w:val="clear" w:color="auto" w:fill="auto"/>
            <w:vAlign w:val="bottom"/>
          </w:tcPr>
          <w:p w:rsidR="007944FC" w:rsidRPr="009772A2" w:rsidRDefault="007944FC" w:rsidP="00842D8F">
            <w:pPr>
              <w:spacing w:before="40" w:after="40" w:line="220" w:lineRule="exact"/>
              <w:contextualSpacing/>
              <w:jc w:val="right"/>
              <w:rPr>
                <w:i/>
                <w:sz w:val="16"/>
                <w:szCs w:val="16"/>
              </w:rPr>
            </w:pPr>
            <w:r w:rsidRPr="009772A2">
              <w:rPr>
                <w:i/>
                <w:sz w:val="16"/>
                <w:szCs w:val="16"/>
              </w:rPr>
              <w:t>Millones de</w:t>
            </w:r>
            <w:r w:rsidR="004839AC" w:rsidRPr="009772A2">
              <w:rPr>
                <w:i/>
                <w:sz w:val="16"/>
                <w:szCs w:val="16"/>
              </w:rPr>
              <w:t xml:space="preserve"> dólares</w:t>
            </w:r>
          </w:p>
        </w:tc>
        <w:tc>
          <w:tcPr>
            <w:tcW w:w="800" w:type="dxa"/>
            <w:tcBorders>
              <w:top w:val="single" w:sz="4" w:space="0" w:color="000000"/>
              <w:left w:val="single" w:sz="24" w:space="0" w:color="FFFFFF"/>
              <w:bottom w:val="single" w:sz="12" w:space="0" w:color="000000"/>
            </w:tcBorders>
            <w:shd w:val="clear" w:color="auto" w:fill="auto"/>
            <w:vAlign w:val="bottom"/>
          </w:tcPr>
          <w:p w:rsidR="007944FC" w:rsidRPr="009772A2" w:rsidRDefault="007944FC" w:rsidP="00842D8F">
            <w:pPr>
              <w:spacing w:before="40" w:after="40" w:line="220" w:lineRule="exact"/>
              <w:contextualSpacing/>
              <w:jc w:val="right"/>
              <w:rPr>
                <w:i/>
                <w:sz w:val="16"/>
                <w:szCs w:val="16"/>
              </w:rPr>
            </w:pPr>
            <w:r w:rsidRPr="009772A2">
              <w:rPr>
                <w:i/>
                <w:sz w:val="16"/>
                <w:szCs w:val="16"/>
              </w:rPr>
              <w:t>MIPYMES</w:t>
            </w:r>
          </w:p>
        </w:tc>
        <w:tc>
          <w:tcPr>
            <w:tcW w:w="1405" w:type="dxa"/>
            <w:tcBorders>
              <w:top w:val="single" w:sz="4" w:space="0" w:color="000000"/>
              <w:bottom w:val="single" w:sz="12" w:space="0" w:color="000000"/>
            </w:tcBorders>
            <w:shd w:val="clear" w:color="auto" w:fill="auto"/>
            <w:vAlign w:val="bottom"/>
          </w:tcPr>
          <w:p w:rsidR="007944FC" w:rsidRPr="009772A2" w:rsidRDefault="007944FC" w:rsidP="00842D8F">
            <w:pPr>
              <w:spacing w:before="40" w:after="40" w:line="220" w:lineRule="exact"/>
              <w:contextualSpacing/>
              <w:jc w:val="right"/>
              <w:rPr>
                <w:i/>
                <w:sz w:val="16"/>
                <w:szCs w:val="16"/>
              </w:rPr>
            </w:pPr>
            <w:r w:rsidRPr="009772A2">
              <w:rPr>
                <w:i/>
                <w:sz w:val="16"/>
                <w:szCs w:val="16"/>
              </w:rPr>
              <w:t>Millones de</w:t>
            </w:r>
            <w:r w:rsidR="004839AC" w:rsidRPr="009772A2">
              <w:rPr>
                <w:i/>
                <w:sz w:val="16"/>
                <w:szCs w:val="16"/>
              </w:rPr>
              <w:t xml:space="preserve"> dólares</w:t>
            </w:r>
          </w:p>
        </w:tc>
      </w:tr>
      <w:tr w:rsidR="004839AC" w:rsidRPr="009772A2">
        <w:tc>
          <w:tcPr>
            <w:tcW w:w="866" w:type="dxa"/>
            <w:tcBorders>
              <w:top w:val="single" w:sz="12" w:space="0" w:color="000000"/>
              <w:bottom w:val="single" w:sz="12" w:space="0" w:color="000000"/>
            </w:tcBorders>
            <w:shd w:val="clear" w:color="auto" w:fill="auto"/>
          </w:tcPr>
          <w:p w:rsidR="007944FC" w:rsidRPr="009772A2" w:rsidRDefault="007944FC" w:rsidP="00842D8F">
            <w:pPr>
              <w:spacing w:before="40" w:after="40" w:line="220" w:lineRule="exact"/>
              <w:ind w:right="113"/>
              <w:contextualSpacing/>
              <w:rPr>
                <w:sz w:val="18"/>
              </w:rPr>
            </w:pPr>
            <w:r w:rsidRPr="009772A2">
              <w:rPr>
                <w:sz w:val="18"/>
              </w:rPr>
              <w:t>Lesotho</w:t>
            </w:r>
          </w:p>
        </w:tc>
        <w:tc>
          <w:tcPr>
            <w:tcW w:w="700" w:type="dxa"/>
            <w:tcBorders>
              <w:top w:val="single" w:sz="12" w:space="0" w:color="000000"/>
              <w:bottom w:val="single" w:sz="12" w:space="0" w:color="000000"/>
            </w:tcBorders>
            <w:shd w:val="clear" w:color="auto" w:fill="auto"/>
            <w:vAlign w:val="bottom"/>
          </w:tcPr>
          <w:p w:rsidR="007944FC" w:rsidRPr="009772A2" w:rsidRDefault="004839AC" w:rsidP="00842D8F">
            <w:pPr>
              <w:spacing w:before="40" w:after="40" w:line="220" w:lineRule="exact"/>
              <w:contextualSpacing/>
              <w:jc w:val="right"/>
              <w:rPr>
                <w:sz w:val="18"/>
              </w:rPr>
            </w:pPr>
            <w:r w:rsidRPr="009772A2">
              <w:rPr>
                <w:sz w:val="18"/>
              </w:rPr>
              <w:t xml:space="preserve">60 </w:t>
            </w:r>
            <w:r w:rsidR="007944FC" w:rsidRPr="009772A2">
              <w:rPr>
                <w:sz w:val="18"/>
              </w:rPr>
              <w:t>032</w:t>
            </w:r>
          </w:p>
        </w:tc>
        <w:tc>
          <w:tcPr>
            <w:tcW w:w="1400" w:type="dxa"/>
            <w:tcBorders>
              <w:top w:val="single" w:sz="12" w:space="0" w:color="000000"/>
              <w:bottom w:val="single" w:sz="12" w:space="0" w:color="000000"/>
            </w:tcBorders>
            <w:shd w:val="clear" w:color="auto" w:fill="auto"/>
            <w:vAlign w:val="bottom"/>
          </w:tcPr>
          <w:p w:rsidR="007944FC" w:rsidRPr="009772A2" w:rsidRDefault="004839AC" w:rsidP="00842D8F">
            <w:pPr>
              <w:spacing w:before="40" w:after="40" w:line="220" w:lineRule="exact"/>
              <w:contextualSpacing/>
              <w:jc w:val="right"/>
              <w:rPr>
                <w:sz w:val="18"/>
              </w:rPr>
            </w:pPr>
            <w:r w:rsidRPr="009772A2">
              <w:rPr>
                <w:sz w:val="18"/>
              </w:rPr>
              <w:t xml:space="preserve">269 </w:t>
            </w:r>
            <w:r w:rsidR="007944FC" w:rsidRPr="009772A2">
              <w:rPr>
                <w:sz w:val="18"/>
              </w:rPr>
              <w:t>138</w:t>
            </w:r>
          </w:p>
        </w:tc>
        <w:tc>
          <w:tcPr>
            <w:tcW w:w="800" w:type="dxa"/>
            <w:tcBorders>
              <w:top w:val="single" w:sz="12" w:space="0" w:color="000000"/>
              <w:bottom w:val="single" w:sz="12" w:space="0" w:color="000000"/>
            </w:tcBorders>
            <w:shd w:val="clear" w:color="auto" w:fill="auto"/>
            <w:vAlign w:val="bottom"/>
          </w:tcPr>
          <w:p w:rsidR="007944FC" w:rsidRPr="009772A2" w:rsidRDefault="004839AC" w:rsidP="00842D8F">
            <w:pPr>
              <w:spacing w:before="40" w:after="40" w:line="220" w:lineRule="exact"/>
              <w:contextualSpacing/>
              <w:jc w:val="right"/>
              <w:rPr>
                <w:sz w:val="18"/>
              </w:rPr>
            </w:pPr>
            <w:r w:rsidRPr="009772A2">
              <w:rPr>
                <w:sz w:val="18"/>
              </w:rPr>
              <w:t xml:space="preserve">61 </w:t>
            </w:r>
            <w:r w:rsidR="007944FC" w:rsidRPr="009772A2">
              <w:rPr>
                <w:sz w:val="18"/>
              </w:rPr>
              <w:t>121</w:t>
            </w:r>
          </w:p>
        </w:tc>
        <w:tc>
          <w:tcPr>
            <w:tcW w:w="1400" w:type="dxa"/>
            <w:tcBorders>
              <w:top w:val="single" w:sz="12" w:space="0" w:color="000000"/>
              <w:bottom w:val="single" w:sz="12" w:space="0" w:color="000000"/>
            </w:tcBorders>
            <w:shd w:val="clear" w:color="auto" w:fill="auto"/>
            <w:vAlign w:val="bottom"/>
          </w:tcPr>
          <w:p w:rsidR="007944FC" w:rsidRPr="009772A2" w:rsidRDefault="004839AC" w:rsidP="00842D8F">
            <w:pPr>
              <w:spacing w:before="40" w:after="40" w:line="220" w:lineRule="exact"/>
              <w:contextualSpacing/>
              <w:jc w:val="right"/>
              <w:rPr>
                <w:sz w:val="18"/>
              </w:rPr>
            </w:pPr>
            <w:r w:rsidRPr="009772A2">
              <w:rPr>
                <w:sz w:val="18"/>
              </w:rPr>
              <w:t xml:space="preserve">271 </w:t>
            </w:r>
            <w:r w:rsidR="007944FC" w:rsidRPr="009772A2">
              <w:rPr>
                <w:sz w:val="18"/>
              </w:rPr>
              <w:t>339</w:t>
            </w:r>
          </w:p>
        </w:tc>
        <w:tc>
          <w:tcPr>
            <w:tcW w:w="800" w:type="dxa"/>
            <w:tcBorders>
              <w:top w:val="single" w:sz="12" w:space="0" w:color="000000"/>
              <w:bottom w:val="single" w:sz="12" w:space="0" w:color="000000"/>
            </w:tcBorders>
            <w:shd w:val="clear" w:color="auto" w:fill="auto"/>
            <w:vAlign w:val="bottom"/>
          </w:tcPr>
          <w:p w:rsidR="007944FC" w:rsidRPr="009772A2" w:rsidRDefault="004839AC" w:rsidP="00842D8F">
            <w:pPr>
              <w:spacing w:before="40" w:after="40" w:line="220" w:lineRule="exact"/>
              <w:contextualSpacing/>
              <w:jc w:val="right"/>
              <w:rPr>
                <w:sz w:val="18"/>
              </w:rPr>
            </w:pPr>
            <w:r w:rsidRPr="009772A2">
              <w:rPr>
                <w:sz w:val="18"/>
              </w:rPr>
              <w:t>1,</w:t>
            </w:r>
            <w:r w:rsidR="007944FC" w:rsidRPr="009772A2">
              <w:rPr>
                <w:sz w:val="18"/>
              </w:rPr>
              <w:t>81%</w:t>
            </w:r>
          </w:p>
        </w:tc>
        <w:tc>
          <w:tcPr>
            <w:tcW w:w="1405" w:type="dxa"/>
            <w:tcBorders>
              <w:top w:val="single" w:sz="12" w:space="0" w:color="000000"/>
              <w:bottom w:val="single" w:sz="12" w:space="0" w:color="000000"/>
            </w:tcBorders>
            <w:shd w:val="clear" w:color="auto" w:fill="auto"/>
            <w:vAlign w:val="bottom"/>
          </w:tcPr>
          <w:p w:rsidR="007944FC" w:rsidRPr="009772A2" w:rsidRDefault="004839AC" w:rsidP="00842D8F">
            <w:pPr>
              <w:spacing w:before="40" w:after="40" w:line="220" w:lineRule="exact"/>
              <w:contextualSpacing/>
              <w:jc w:val="right"/>
              <w:rPr>
                <w:sz w:val="18"/>
              </w:rPr>
            </w:pPr>
            <w:r w:rsidRPr="009772A2">
              <w:rPr>
                <w:sz w:val="18"/>
              </w:rPr>
              <w:t>0,</w:t>
            </w:r>
            <w:r w:rsidR="007944FC" w:rsidRPr="009772A2">
              <w:rPr>
                <w:sz w:val="18"/>
              </w:rPr>
              <w:t>82%</w:t>
            </w:r>
          </w:p>
        </w:tc>
      </w:tr>
    </w:tbl>
    <w:p w:rsidR="00542BD3" w:rsidRPr="009772A2" w:rsidRDefault="00542BD3" w:rsidP="004839AC">
      <w:pPr>
        <w:spacing w:before="120" w:after="240" w:line="220" w:lineRule="exact"/>
        <w:ind w:left="1134" w:right="1134" w:firstLine="170"/>
        <w:rPr>
          <w:sz w:val="18"/>
          <w:szCs w:val="18"/>
        </w:rPr>
      </w:pPr>
      <w:r w:rsidRPr="009772A2">
        <w:rPr>
          <w:i/>
          <w:sz w:val="18"/>
          <w:szCs w:val="18"/>
        </w:rPr>
        <w:t>Fuente:</w:t>
      </w:r>
      <w:r w:rsidRPr="009772A2">
        <w:rPr>
          <w:sz w:val="18"/>
          <w:szCs w:val="18"/>
        </w:rPr>
        <w:t xml:space="preserve"> Informe sobre el comercio entre Estados Unidos y África, enero de 2016</w:t>
      </w:r>
      <w:r w:rsidR="004839AC" w:rsidRPr="009772A2">
        <w:rPr>
          <w:sz w:val="18"/>
          <w:szCs w:val="18"/>
        </w:rPr>
        <w:t>.</w:t>
      </w:r>
    </w:p>
    <w:p w:rsidR="00542BD3" w:rsidRPr="009772A2" w:rsidRDefault="00542BD3" w:rsidP="00430326">
      <w:pPr>
        <w:pStyle w:val="SingleTxtG"/>
      </w:pPr>
      <w:r w:rsidRPr="009772A2">
        <w:t>3</w:t>
      </w:r>
      <w:r w:rsidR="00430326" w:rsidRPr="009772A2">
        <w:t>7.</w:t>
      </w:r>
      <w:r w:rsidR="00430326" w:rsidRPr="009772A2">
        <w:tab/>
      </w:r>
      <w:r w:rsidRPr="009772A2">
        <w:t>Por otro lado, las exportaciones de los países del Asia oriental al mercado de los Estados Unidos han registrado un crecimiento importante, tal vez debido a la anulación de los pedidos de los países de la región del África Subsahariana. Vietnam, los países de la Iniciativa de la Cuenca del Caribe (ICC) y Bangladesh registraron comparativamente un mayor crecimiento, como se indica en el siguiente cuadro.</w:t>
      </w:r>
    </w:p>
    <w:p w:rsidR="004839AC" w:rsidRPr="009772A2" w:rsidRDefault="004839AC" w:rsidP="004839AC">
      <w:pPr>
        <w:pStyle w:val="Heading1"/>
      </w:pPr>
      <w:r w:rsidRPr="009772A2">
        <w:t>Cuadro 6</w:t>
      </w:r>
    </w:p>
    <w:p w:rsidR="00542BD3" w:rsidRPr="009772A2" w:rsidRDefault="00542BD3" w:rsidP="004839AC">
      <w:pPr>
        <w:pStyle w:val="SingleTxtG"/>
        <w:keepNext/>
        <w:rPr>
          <w:b/>
        </w:rPr>
      </w:pPr>
      <w:r w:rsidRPr="009772A2">
        <w:rPr>
          <w:b/>
        </w:rPr>
        <w:t>Exportaciones de los países del Asia oriental</w:t>
      </w:r>
    </w:p>
    <w:tbl>
      <w:tblPr>
        <w:tblW w:w="0" w:type="auto"/>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268"/>
        <w:gridCol w:w="1701"/>
        <w:gridCol w:w="1701"/>
        <w:gridCol w:w="1701"/>
      </w:tblGrid>
      <w:tr w:rsidR="004839AC" w:rsidRPr="009772A2">
        <w:trPr>
          <w:tblHeader/>
        </w:trPr>
        <w:tc>
          <w:tcPr>
            <w:tcW w:w="2268" w:type="dxa"/>
            <w:tcBorders>
              <w:top w:val="single" w:sz="4" w:space="0" w:color="auto"/>
              <w:bottom w:val="single" w:sz="12" w:space="0" w:color="auto"/>
            </w:tcBorders>
            <w:shd w:val="clear" w:color="auto" w:fill="auto"/>
            <w:vAlign w:val="bottom"/>
          </w:tcPr>
          <w:p w:rsidR="004839AC" w:rsidRPr="009772A2" w:rsidRDefault="004839AC" w:rsidP="00842D8F">
            <w:pPr>
              <w:spacing w:before="80" w:after="80" w:line="200" w:lineRule="exact"/>
              <w:contextualSpacing/>
              <w:rPr>
                <w:i/>
                <w:sz w:val="16"/>
              </w:rPr>
            </w:pPr>
            <w:r w:rsidRPr="009772A2">
              <w:rPr>
                <w:i/>
                <w:sz w:val="16"/>
              </w:rPr>
              <w:t>Región/País</w:t>
            </w:r>
          </w:p>
        </w:tc>
        <w:tc>
          <w:tcPr>
            <w:tcW w:w="1701" w:type="dxa"/>
            <w:tcBorders>
              <w:top w:val="single" w:sz="4" w:space="0" w:color="auto"/>
              <w:bottom w:val="single" w:sz="12" w:space="0" w:color="auto"/>
            </w:tcBorders>
            <w:shd w:val="clear" w:color="auto" w:fill="auto"/>
            <w:vAlign w:val="bottom"/>
          </w:tcPr>
          <w:p w:rsidR="004839AC" w:rsidRPr="009772A2" w:rsidRDefault="004839AC" w:rsidP="00842D8F">
            <w:pPr>
              <w:spacing w:before="80" w:after="80" w:line="200" w:lineRule="exact"/>
              <w:contextualSpacing/>
              <w:jc w:val="right"/>
              <w:rPr>
                <w:i/>
                <w:sz w:val="16"/>
              </w:rPr>
            </w:pPr>
            <w:r w:rsidRPr="009772A2">
              <w:rPr>
                <w:i/>
                <w:sz w:val="16"/>
              </w:rPr>
              <w:t>Enero a octubre de 2014 (MIPYMES)</w:t>
            </w:r>
          </w:p>
        </w:tc>
        <w:tc>
          <w:tcPr>
            <w:tcW w:w="1701" w:type="dxa"/>
            <w:tcBorders>
              <w:top w:val="single" w:sz="4" w:space="0" w:color="auto"/>
              <w:bottom w:val="single" w:sz="12" w:space="0" w:color="auto"/>
            </w:tcBorders>
            <w:shd w:val="clear" w:color="auto" w:fill="auto"/>
            <w:vAlign w:val="bottom"/>
          </w:tcPr>
          <w:p w:rsidR="004839AC" w:rsidRPr="009772A2" w:rsidRDefault="004839AC" w:rsidP="00842D8F">
            <w:pPr>
              <w:spacing w:before="80" w:after="80" w:line="200" w:lineRule="exact"/>
              <w:contextualSpacing/>
              <w:jc w:val="right"/>
              <w:rPr>
                <w:i/>
                <w:sz w:val="16"/>
              </w:rPr>
            </w:pPr>
            <w:r w:rsidRPr="009772A2">
              <w:rPr>
                <w:i/>
                <w:sz w:val="16"/>
              </w:rPr>
              <w:t>Enero a octubre de 2015 (MIPYMES)</w:t>
            </w:r>
          </w:p>
        </w:tc>
        <w:tc>
          <w:tcPr>
            <w:tcW w:w="1701" w:type="dxa"/>
            <w:tcBorders>
              <w:top w:val="single" w:sz="4" w:space="0" w:color="auto"/>
              <w:bottom w:val="single" w:sz="12" w:space="0" w:color="auto"/>
            </w:tcBorders>
            <w:shd w:val="clear" w:color="auto" w:fill="auto"/>
            <w:vAlign w:val="bottom"/>
          </w:tcPr>
          <w:p w:rsidR="004839AC" w:rsidRPr="009772A2" w:rsidRDefault="004839AC" w:rsidP="00842D8F">
            <w:pPr>
              <w:spacing w:before="80" w:after="80" w:line="200" w:lineRule="exact"/>
              <w:contextualSpacing/>
              <w:jc w:val="right"/>
              <w:rPr>
                <w:i/>
                <w:sz w:val="16"/>
              </w:rPr>
            </w:pPr>
            <w:r w:rsidRPr="009772A2">
              <w:rPr>
                <w:i/>
                <w:sz w:val="16"/>
              </w:rPr>
              <w:t>% crecimiento</w:t>
            </w:r>
          </w:p>
        </w:tc>
      </w:tr>
      <w:tr w:rsidR="004839AC" w:rsidRPr="009772A2">
        <w:tc>
          <w:tcPr>
            <w:tcW w:w="2268" w:type="dxa"/>
            <w:tcBorders>
              <w:top w:val="single" w:sz="12" w:space="0" w:color="auto"/>
            </w:tcBorders>
            <w:shd w:val="clear" w:color="auto" w:fill="auto"/>
          </w:tcPr>
          <w:p w:rsidR="004839AC" w:rsidRPr="009772A2" w:rsidRDefault="004839AC" w:rsidP="00842D8F">
            <w:pPr>
              <w:spacing w:before="40" w:after="40" w:line="220" w:lineRule="exact"/>
              <w:contextualSpacing/>
              <w:rPr>
                <w:sz w:val="18"/>
              </w:rPr>
            </w:pPr>
            <w:r w:rsidRPr="009772A2">
              <w:rPr>
                <w:sz w:val="18"/>
              </w:rPr>
              <w:t>Viet Nam</w:t>
            </w:r>
          </w:p>
        </w:tc>
        <w:tc>
          <w:tcPr>
            <w:tcW w:w="1701" w:type="dxa"/>
            <w:tcBorders>
              <w:top w:val="single" w:sz="12" w:space="0" w:color="auto"/>
            </w:tcBorders>
            <w:shd w:val="clear" w:color="auto" w:fill="auto"/>
            <w:vAlign w:val="bottom"/>
          </w:tcPr>
          <w:p w:rsidR="004839AC" w:rsidRPr="009772A2" w:rsidRDefault="004839AC" w:rsidP="00842D8F">
            <w:pPr>
              <w:spacing w:before="40" w:after="40" w:line="220" w:lineRule="exact"/>
              <w:contextualSpacing/>
              <w:jc w:val="right"/>
              <w:rPr>
                <w:sz w:val="18"/>
              </w:rPr>
            </w:pPr>
            <w:r w:rsidRPr="009772A2">
              <w:rPr>
                <w:sz w:val="18"/>
              </w:rPr>
              <w:t>2 536,810</w:t>
            </w:r>
          </w:p>
        </w:tc>
        <w:tc>
          <w:tcPr>
            <w:tcW w:w="1701" w:type="dxa"/>
            <w:tcBorders>
              <w:top w:val="single" w:sz="12" w:space="0" w:color="auto"/>
            </w:tcBorders>
            <w:shd w:val="clear" w:color="auto" w:fill="auto"/>
            <w:vAlign w:val="bottom"/>
          </w:tcPr>
          <w:p w:rsidR="004839AC" w:rsidRPr="009772A2" w:rsidRDefault="004839AC" w:rsidP="00842D8F">
            <w:pPr>
              <w:spacing w:before="40" w:after="40" w:line="220" w:lineRule="exact"/>
              <w:contextualSpacing/>
              <w:jc w:val="right"/>
              <w:rPr>
                <w:sz w:val="18"/>
              </w:rPr>
            </w:pPr>
            <w:r w:rsidRPr="009772A2">
              <w:rPr>
                <w:sz w:val="18"/>
              </w:rPr>
              <w:t>2 898,273</w:t>
            </w:r>
          </w:p>
        </w:tc>
        <w:tc>
          <w:tcPr>
            <w:tcW w:w="1701" w:type="dxa"/>
            <w:tcBorders>
              <w:top w:val="single" w:sz="12" w:space="0" w:color="auto"/>
            </w:tcBorders>
            <w:shd w:val="clear" w:color="auto" w:fill="auto"/>
            <w:vAlign w:val="bottom"/>
          </w:tcPr>
          <w:p w:rsidR="004839AC" w:rsidRPr="009772A2" w:rsidRDefault="004839AC" w:rsidP="00842D8F">
            <w:pPr>
              <w:spacing w:before="40" w:after="40" w:line="220" w:lineRule="exact"/>
              <w:contextualSpacing/>
              <w:jc w:val="right"/>
              <w:rPr>
                <w:sz w:val="18"/>
              </w:rPr>
            </w:pPr>
            <w:r w:rsidRPr="009772A2">
              <w:rPr>
                <w:sz w:val="18"/>
              </w:rPr>
              <w:t>14,25%</w:t>
            </w:r>
          </w:p>
        </w:tc>
      </w:tr>
      <w:tr w:rsidR="004839AC" w:rsidRPr="009772A2">
        <w:tc>
          <w:tcPr>
            <w:tcW w:w="2268" w:type="dxa"/>
            <w:shd w:val="clear" w:color="auto" w:fill="auto"/>
          </w:tcPr>
          <w:p w:rsidR="004839AC" w:rsidRPr="009772A2" w:rsidRDefault="004839AC" w:rsidP="00842D8F">
            <w:pPr>
              <w:spacing w:before="40" w:after="40" w:line="220" w:lineRule="exact"/>
              <w:contextualSpacing/>
              <w:rPr>
                <w:sz w:val="18"/>
              </w:rPr>
            </w:pPr>
            <w:r w:rsidRPr="009772A2">
              <w:rPr>
                <w:sz w:val="18"/>
              </w:rPr>
              <w:t>ICC (no CAFTA)</w:t>
            </w:r>
          </w:p>
        </w:tc>
        <w:tc>
          <w:tcPr>
            <w:tcW w:w="1701" w:type="dxa"/>
            <w:shd w:val="clear" w:color="auto" w:fill="auto"/>
            <w:vAlign w:val="bottom"/>
          </w:tcPr>
          <w:p w:rsidR="004839AC" w:rsidRPr="009772A2" w:rsidRDefault="004839AC" w:rsidP="00842D8F">
            <w:pPr>
              <w:spacing w:before="40" w:after="40" w:line="220" w:lineRule="exact"/>
              <w:contextualSpacing/>
              <w:jc w:val="right"/>
              <w:rPr>
                <w:sz w:val="18"/>
              </w:rPr>
            </w:pPr>
            <w:r w:rsidRPr="009772A2">
              <w:rPr>
                <w:sz w:val="18"/>
              </w:rPr>
              <w:t>289,490</w:t>
            </w:r>
          </w:p>
        </w:tc>
        <w:tc>
          <w:tcPr>
            <w:tcW w:w="1701" w:type="dxa"/>
            <w:shd w:val="clear" w:color="auto" w:fill="auto"/>
            <w:vAlign w:val="bottom"/>
          </w:tcPr>
          <w:p w:rsidR="004839AC" w:rsidRPr="009772A2" w:rsidRDefault="004839AC" w:rsidP="00842D8F">
            <w:pPr>
              <w:spacing w:before="40" w:after="40" w:line="220" w:lineRule="exact"/>
              <w:contextualSpacing/>
              <w:jc w:val="right"/>
              <w:rPr>
                <w:sz w:val="18"/>
              </w:rPr>
            </w:pPr>
            <w:r w:rsidRPr="009772A2">
              <w:rPr>
                <w:sz w:val="18"/>
              </w:rPr>
              <w:t>309,825</w:t>
            </w:r>
          </w:p>
        </w:tc>
        <w:tc>
          <w:tcPr>
            <w:tcW w:w="1701" w:type="dxa"/>
            <w:shd w:val="clear" w:color="auto" w:fill="auto"/>
            <w:vAlign w:val="bottom"/>
          </w:tcPr>
          <w:p w:rsidR="004839AC" w:rsidRPr="009772A2" w:rsidRDefault="004839AC" w:rsidP="00842D8F">
            <w:pPr>
              <w:spacing w:before="40" w:after="40" w:line="220" w:lineRule="exact"/>
              <w:contextualSpacing/>
              <w:jc w:val="right"/>
              <w:rPr>
                <w:sz w:val="18"/>
              </w:rPr>
            </w:pPr>
            <w:r w:rsidRPr="009772A2">
              <w:rPr>
                <w:sz w:val="18"/>
              </w:rPr>
              <w:t>7,02%</w:t>
            </w:r>
          </w:p>
        </w:tc>
      </w:tr>
      <w:tr w:rsidR="004839AC" w:rsidRPr="009772A2">
        <w:tc>
          <w:tcPr>
            <w:tcW w:w="2268" w:type="dxa"/>
            <w:shd w:val="clear" w:color="auto" w:fill="auto"/>
          </w:tcPr>
          <w:p w:rsidR="004839AC" w:rsidRPr="009772A2" w:rsidRDefault="004839AC" w:rsidP="00842D8F">
            <w:pPr>
              <w:spacing w:before="40" w:after="40" w:line="220" w:lineRule="exact"/>
              <w:contextualSpacing/>
              <w:rPr>
                <w:sz w:val="18"/>
              </w:rPr>
            </w:pPr>
            <w:r w:rsidRPr="009772A2">
              <w:rPr>
                <w:sz w:val="18"/>
              </w:rPr>
              <w:t>Bangladesh</w:t>
            </w:r>
          </w:p>
        </w:tc>
        <w:tc>
          <w:tcPr>
            <w:tcW w:w="1701" w:type="dxa"/>
            <w:shd w:val="clear" w:color="auto" w:fill="auto"/>
            <w:vAlign w:val="bottom"/>
          </w:tcPr>
          <w:p w:rsidR="004839AC" w:rsidRPr="009772A2" w:rsidRDefault="004839AC" w:rsidP="00842D8F">
            <w:pPr>
              <w:spacing w:before="40" w:after="40" w:line="220" w:lineRule="exact"/>
              <w:contextualSpacing/>
              <w:jc w:val="right"/>
              <w:rPr>
                <w:sz w:val="18"/>
              </w:rPr>
            </w:pPr>
            <w:r w:rsidRPr="009772A2">
              <w:rPr>
                <w:sz w:val="18"/>
              </w:rPr>
              <w:t>1 488,378</w:t>
            </w:r>
          </w:p>
        </w:tc>
        <w:tc>
          <w:tcPr>
            <w:tcW w:w="1701" w:type="dxa"/>
            <w:shd w:val="clear" w:color="auto" w:fill="auto"/>
            <w:vAlign w:val="bottom"/>
          </w:tcPr>
          <w:p w:rsidR="004839AC" w:rsidRPr="009772A2" w:rsidRDefault="004839AC" w:rsidP="00842D8F">
            <w:pPr>
              <w:spacing w:before="40" w:after="40" w:line="220" w:lineRule="exact"/>
              <w:contextualSpacing/>
              <w:jc w:val="right"/>
              <w:rPr>
                <w:sz w:val="18"/>
              </w:rPr>
            </w:pPr>
            <w:r w:rsidRPr="009772A2">
              <w:rPr>
                <w:sz w:val="18"/>
              </w:rPr>
              <w:t>1 725,771</w:t>
            </w:r>
          </w:p>
        </w:tc>
        <w:tc>
          <w:tcPr>
            <w:tcW w:w="1701" w:type="dxa"/>
            <w:shd w:val="clear" w:color="auto" w:fill="auto"/>
            <w:vAlign w:val="bottom"/>
          </w:tcPr>
          <w:p w:rsidR="004839AC" w:rsidRPr="009772A2" w:rsidRDefault="004839AC" w:rsidP="00842D8F">
            <w:pPr>
              <w:spacing w:before="40" w:after="40" w:line="220" w:lineRule="exact"/>
              <w:contextualSpacing/>
              <w:jc w:val="right"/>
              <w:rPr>
                <w:sz w:val="18"/>
              </w:rPr>
            </w:pPr>
            <w:r w:rsidRPr="009772A2">
              <w:rPr>
                <w:sz w:val="18"/>
              </w:rPr>
              <w:t>15,95%</w:t>
            </w:r>
          </w:p>
        </w:tc>
      </w:tr>
      <w:tr w:rsidR="004839AC" w:rsidRPr="009772A2">
        <w:tc>
          <w:tcPr>
            <w:tcW w:w="2268" w:type="dxa"/>
            <w:shd w:val="clear" w:color="auto" w:fill="auto"/>
          </w:tcPr>
          <w:p w:rsidR="004839AC" w:rsidRPr="009772A2" w:rsidRDefault="004839AC" w:rsidP="00842D8F">
            <w:pPr>
              <w:spacing w:before="40" w:after="40" w:line="220" w:lineRule="exact"/>
              <w:contextualSpacing/>
              <w:rPr>
                <w:sz w:val="18"/>
              </w:rPr>
            </w:pPr>
            <w:r w:rsidRPr="009772A2">
              <w:rPr>
                <w:sz w:val="18"/>
              </w:rPr>
              <w:t>India</w:t>
            </w:r>
          </w:p>
        </w:tc>
        <w:tc>
          <w:tcPr>
            <w:tcW w:w="1701" w:type="dxa"/>
            <w:shd w:val="clear" w:color="auto" w:fill="auto"/>
            <w:vAlign w:val="bottom"/>
          </w:tcPr>
          <w:p w:rsidR="004839AC" w:rsidRPr="009772A2" w:rsidRDefault="004839AC" w:rsidP="00842D8F">
            <w:pPr>
              <w:spacing w:before="40" w:after="40" w:line="220" w:lineRule="exact"/>
              <w:contextualSpacing/>
              <w:jc w:val="right"/>
              <w:rPr>
                <w:sz w:val="18"/>
              </w:rPr>
            </w:pPr>
            <w:r w:rsidRPr="009772A2">
              <w:rPr>
                <w:sz w:val="18"/>
              </w:rPr>
              <w:t>890,908</w:t>
            </w:r>
          </w:p>
        </w:tc>
        <w:tc>
          <w:tcPr>
            <w:tcW w:w="1701" w:type="dxa"/>
            <w:shd w:val="clear" w:color="auto" w:fill="auto"/>
            <w:vAlign w:val="bottom"/>
          </w:tcPr>
          <w:p w:rsidR="004839AC" w:rsidRPr="009772A2" w:rsidRDefault="004839AC" w:rsidP="00842D8F">
            <w:pPr>
              <w:spacing w:before="40" w:after="40" w:line="220" w:lineRule="exact"/>
              <w:contextualSpacing/>
              <w:jc w:val="right"/>
              <w:rPr>
                <w:sz w:val="18"/>
              </w:rPr>
            </w:pPr>
            <w:r w:rsidRPr="009772A2">
              <w:rPr>
                <w:sz w:val="18"/>
              </w:rPr>
              <w:t>952,095</w:t>
            </w:r>
          </w:p>
        </w:tc>
        <w:tc>
          <w:tcPr>
            <w:tcW w:w="1701" w:type="dxa"/>
            <w:shd w:val="clear" w:color="auto" w:fill="auto"/>
            <w:vAlign w:val="bottom"/>
          </w:tcPr>
          <w:p w:rsidR="004839AC" w:rsidRPr="009772A2" w:rsidRDefault="004839AC" w:rsidP="00842D8F">
            <w:pPr>
              <w:spacing w:before="40" w:after="40" w:line="220" w:lineRule="exact"/>
              <w:contextualSpacing/>
              <w:jc w:val="right"/>
              <w:rPr>
                <w:sz w:val="18"/>
              </w:rPr>
            </w:pPr>
            <w:r w:rsidRPr="009772A2">
              <w:rPr>
                <w:sz w:val="18"/>
              </w:rPr>
              <w:t>6,87%</w:t>
            </w:r>
          </w:p>
        </w:tc>
      </w:tr>
      <w:tr w:rsidR="004839AC" w:rsidRPr="009772A2">
        <w:tc>
          <w:tcPr>
            <w:tcW w:w="2268" w:type="dxa"/>
            <w:shd w:val="clear" w:color="auto" w:fill="auto"/>
          </w:tcPr>
          <w:p w:rsidR="004839AC" w:rsidRPr="009772A2" w:rsidRDefault="004839AC" w:rsidP="00842D8F">
            <w:pPr>
              <w:spacing w:before="40" w:after="40" w:line="220" w:lineRule="exact"/>
              <w:contextualSpacing/>
              <w:rPr>
                <w:sz w:val="18"/>
              </w:rPr>
            </w:pPr>
            <w:r w:rsidRPr="009772A2">
              <w:rPr>
                <w:sz w:val="18"/>
              </w:rPr>
              <w:t>China</w:t>
            </w:r>
          </w:p>
        </w:tc>
        <w:tc>
          <w:tcPr>
            <w:tcW w:w="1701" w:type="dxa"/>
            <w:shd w:val="clear" w:color="auto" w:fill="auto"/>
            <w:vAlign w:val="bottom"/>
          </w:tcPr>
          <w:p w:rsidR="004839AC" w:rsidRPr="009772A2" w:rsidRDefault="004839AC" w:rsidP="00842D8F">
            <w:pPr>
              <w:spacing w:before="40" w:after="40" w:line="220" w:lineRule="exact"/>
              <w:contextualSpacing/>
              <w:jc w:val="right"/>
              <w:rPr>
                <w:sz w:val="18"/>
              </w:rPr>
            </w:pPr>
            <w:r w:rsidRPr="009772A2">
              <w:rPr>
                <w:sz w:val="18"/>
              </w:rPr>
              <w:t xml:space="preserve">10 </w:t>
            </w:r>
            <w:r w:rsidR="00AD29B7" w:rsidRPr="009772A2">
              <w:rPr>
                <w:sz w:val="18"/>
              </w:rPr>
              <w:t>007,</w:t>
            </w:r>
            <w:r w:rsidRPr="009772A2">
              <w:rPr>
                <w:sz w:val="18"/>
              </w:rPr>
              <w:t>150</w:t>
            </w:r>
          </w:p>
        </w:tc>
        <w:tc>
          <w:tcPr>
            <w:tcW w:w="1701" w:type="dxa"/>
            <w:shd w:val="clear" w:color="auto" w:fill="auto"/>
            <w:vAlign w:val="bottom"/>
          </w:tcPr>
          <w:p w:rsidR="004839AC" w:rsidRPr="009772A2" w:rsidRDefault="004839AC" w:rsidP="00842D8F">
            <w:pPr>
              <w:spacing w:before="40" w:after="40" w:line="220" w:lineRule="exact"/>
              <w:contextualSpacing/>
              <w:jc w:val="right"/>
              <w:rPr>
                <w:sz w:val="18"/>
              </w:rPr>
            </w:pPr>
            <w:r w:rsidRPr="009772A2">
              <w:rPr>
                <w:sz w:val="18"/>
              </w:rPr>
              <w:t>10 577,360</w:t>
            </w:r>
          </w:p>
        </w:tc>
        <w:tc>
          <w:tcPr>
            <w:tcW w:w="1701" w:type="dxa"/>
            <w:shd w:val="clear" w:color="auto" w:fill="auto"/>
            <w:vAlign w:val="bottom"/>
          </w:tcPr>
          <w:p w:rsidR="004839AC" w:rsidRPr="009772A2" w:rsidRDefault="004839AC" w:rsidP="00842D8F">
            <w:pPr>
              <w:spacing w:before="40" w:after="40" w:line="220" w:lineRule="exact"/>
              <w:contextualSpacing/>
              <w:jc w:val="right"/>
              <w:rPr>
                <w:sz w:val="18"/>
              </w:rPr>
            </w:pPr>
            <w:r w:rsidRPr="009772A2">
              <w:rPr>
                <w:sz w:val="18"/>
              </w:rPr>
              <w:t>5,70%</w:t>
            </w:r>
          </w:p>
        </w:tc>
      </w:tr>
      <w:tr w:rsidR="004839AC" w:rsidRPr="009772A2">
        <w:tc>
          <w:tcPr>
            <w:tcW w:w="2268" w:type="dxa"/>
            <w:shd w:val="clear" w:color="auto" w:fill="auto"/>
          </w:tcPr>
          <w:p w:rsidR="004839AC" w:rsidRPr="009772A2" w:rsidRDefault="004839AC" w:rsidP="00842D8F">
            <w:pPr>
              <w:spacing w:before="40" w:after="40" w:line="220" w:lineRule="exact"/>
              <w:contextualSpacing/>
              <w:rPr>
                <w:sz w:val="18"/>
              </w:rPr>
            </w:pPr>
            <w:r w:rsidRPr="009772A2">
              <w:rPr>
                <w:sz w:val="18"/>
              </w:rPr>
              <w:t>Camboya</w:t>
            </w:r>
          </w:p>
        </w:tc>
        <w:tc>
          <w:tcPr>
            <w:tcW w:w="1701" w:type="dxa"/>
            <w:shd w:val="clear" w:color="auto" w:fill="auto"/>
            <w:vAlign w:val="bottom"/>
          </w:tcPr>
          <w:p w:rsidR="004839AC" w:rsidRPr="009772A2" w:rsidRDefault="004839AC" w:rsidP="00842D8F">
            <w:pPr>
              <w:spacing w:before="40" w:after="40" w:line="220" w:lineRule="exact"/>
              <w:contextualSpacing/>
              <w:jc w:val="right"/>
              <w:rPr>
                <w:sz w:val="18"/>
              </w:rPr>
            </w:pPr>
            <w:r w:rsidRPr="009772A2">
              <w:rPr>
                <w:sz w:val="18"/>
              </w:rPr>
              <w:t>951,229</w:t>
            </w:r>
          </w:p>
        </w:tc>
        <w:tc>
          <w:tcPr>
            <w:tcW w:w="1701" w:type="dxa"/>
            <w:shd w:val="clear" w:color="auto" w:fill="auto"/>
            <w:vAlign w:val="bottom"/>
          </w:tcPr>
          <w:p w:rsidR="004839AC" w:rsidRPr="009772A2" w:rsidRDefault="004839AC" w:rsidP="00842D8F">
            <w:pPr>
              <w:spacing w:before="40" w:after="40" w:line="220" w:lineRule="exact"/>
              <w:contextualSpacing/>
              <w:jc w:val="right"/>
              <w:rPr>
                <w:sz w:val="18"/>
              </w:rPr>
            </w:pPr>
            <w:r w:rsidRPr="009772A2">
              <w:rPr>
                <w:sz w:val="18"/>
              </w:rPr>
              <w:t>972,805</w:t>
            </w:r>
          </w:p>
        </w:tc>
        <w:tc>
          <w:tcPr>
            <w:tcW w:w="1701" w:type="dxa"/>
            <w:shd w:val="clear" w:color="auto" w:fill="auto"/>
            <w:vAlign w:val="bottom"/>
          </w:tcPr>
          <w:p w:rsidR="004839AC" w:rsidRPr="009772A2" w:rsidRDefault="004839AC" w:rsidP="00842D8F">
            <w:pPr>
              <w:spacing w:before="40" w:after="40" w:line="220" w:lineRule="exact"/>
              <w:contextualSpacing/>
              <w:jc w:val="right"/>
              <w:rPr>
                <w:sz w:val="18"/>
              </w:rPr>
            </w:pPr>
            <w:r w:rsidRPr="009772A2">
              <w:rPr>
                <w:sz w:val="18"/>
              </w:rPr>
              <w:t>2,27%</w:t>
            </w:r>
          </w:p>
        </w:tc>
      </w:tr>
      <w:tr w:rsidR="004839AC" w:rsidRPr="009772A2">
        <w:tc>
          <w:tcPr>
            <w:tcW w:w="2268" w:type="dxa"/>
            <w:tcBorders>
              <w:bottom w:val="single" w:sz="12" w:space="0" w:color="auto"/>
            </w:tcBorders>
            <w:shd w:val="clear" w:color="auto" w:fill="auto"/>
          </w:tcPr>
          <w:p w:rsidR="004839AC" w:rsidRPr="009772A2" w:rsidRDefault="004839AC" w:rsidP="00842D8F">
            <w:pPr>
              <w:spacing w:before="40" w:after="40" w:line="220" w:lineRule="exact"/>
              <w:contextualSpacing/>
              <w:rPr>
                <w:sz w:val="18"/>
              </w:rPr>
            </w:pPr>
            <w:r w:rsidRPr="009772A2">
              <w:rPr>
                <w:sz w:val="18"/>
              </w:rPr>
              <w:t>África subsahariana</w:t>
            </w:r>
          </w:p>
        </w:tc>
        <w:tc>
          <w:tcPr>
            <w:tcW w:w="1701" w:type="dxa"/>
            <w:tcBorders>
              <w:bottom w:val="single" w:sz="12" w:space="0" w:color="auto"/>
            </w:tcBorders>
            <w:shd w:val="clear" w:color="auto" w:fill="auto"/>
            <w:vAlign w:val="bottom"/>
          </w:tcPr>
          <w:p w:rsidR="004839AC" w:rsidRPr="009772A2" w:rsidRDefault="004839AC" w:rsidP="00842D8F">
            <w:pPr>
              <w:spacing w:before="40" w:after="40" w:line="220" w:lineRule="exact"/>
              <w:contextualSpacing/>
              <w:jc w:val="right"/>
              <w:rPr>
                <w:sz w:val="18"/>
              </w:rPr>
            </w:pPr>
            <w:r w:rsidRPr="009772A2">
              <w:rPr>
                <w:sz w:val="18"/>
              </w:rPr>
              <w:t>237,680</w:t>
            </w:r>
          </w:p>
        </w:tc>
        <w:tc>
          <w:tcPr>
            <w:tcW w:w="1701" w:type="dxa"/>
            <w:tcBorders>
              <w:bottom w:val="single" w:sz="12" w:space="0" w:color="auto"/>
            </w:tcBorders>
            <w:shd w:val="clear" w:color="auto" w:fill="auto"/>
            <w:vAlign w:val="bottom"/>
          </w:tcPr>
          <w:p w:rsidR="004839AC" w:rsidRPr="009772A2" w:rsidRDefault="004839AC" w:rsidP="00842D8F">
            <w:pPr>
              <w:spacing w:before="40" w:after="40" w:line="220" w:lineRule="exact"/>
              <w:contextualSpacing/>
              <w:jc w:val="right"/>
              <w:rPr>
                <w:sz w:val="18"/>
              </w:rPr>
            </w:pPr>
            <w:r w:rsidRPr="009772A2">
              <w:rPr>
                <w:sz w:val="18"/>
              </w:rPr>
              <w:t>228,846</w:t>
            </w:r>
          </w:p>
        </w:tc>
        <w:tc>
          <w:tcPr>
            <w:tcW w:w="1701" w:type="dxa"/>
            <w:tcBorders>
              <w:bottom w:val="single" w:sz="12" w:space="0" w:color="auto"/>
            </w:tcBorders>
            <w:shd w:val="clear" w:color="auto" w:fill="auto"/>
            <w:vAlign w:val="bottom"/>
          </w:tcPr>
          <w:p w:rsidR="004839AC" w:rsidRPr="009772A2" w:rsidRDefault="004839AC" w:rsidP="00842D8F">
            <w:pPr>
              <w:spacing w:before="40" w:after="40" w:line="220" w:lineRule="exact"/>
              <w:contextualSpacing/>
              <w:jc w:val="right"/>
              <w:rPr>
                <w:sz w:val="18"/>
              </w:rPr>
            </w:pPr>
            <w:r w:rsidRPr="009772A2">
              <w:rPr>
                <w:sz w:val="18"/>
              </w:rPr>
              <w:t>-3,72%</w:t>
            </w:r>
          </w:p>
        </w:tc>
      </w:tr>
    </w:tbl>
    <w:p w:rsidR="00542BD3" w:rsidRPr="009772A2" w:rsidRDefault="00542BD3" w:rsidP="00312339">
      <w:pPr>
        <w:spacing w:before="120" w:after="240" w:line="220" w:lineRule="exact"/>
        <w:ind w:left="1134" w:right="1134" w:firstLine="170"/>
        <w:rPr>
          <w:sz w:val="18"/>
          <w:szCs w:val="18"/>
        </w:rPr>
      </w:pPr>
      <w:r w:rsidRPr="009772A2">
        <w:rPr>
          <w:i/>
          <w:sz w:val="18"/>
          <w:szCs w:val="18"/>
        </w:rPr>
        <w:t>Fuente:</w:t>
      </w:r>
      <w:r w:rsidRPr="009772A2">
        <w:rPr>
          <w:sz w:val="18"/>
          <w:szCs w:val="18"/>
        </w:rPr>
        <w:t xml:space="preserve"> Informe sobre el comercio entre Estados Unidos y África, enero de 2016</w:t>
      </w:r>
      <w:r w:rsidR="004839AC" w:rsidRPr="009772A2">
        <w:rPr>
          <w:sz w:val="18"/>
          <w:szCs w:val="18"/>
        </w:rPr>
        <w:t>.</w:t>
      </w:r>
    </w:p>
    <w:p w:rsidR="00542BD3" w:rsidRPr="009772A2" w:rsidRDefault="00542BD3" w:rsidP="00430326">
      <w:pPr>
        <w:pStyle w:val="SingleTxtG"/>
      </w:pPr>
      <w:r w:rsidRPr="009772A2">
        <w:t>3</w:t>
      </w:r>
      <w:r w:rsidR="00430326" w:rsidRPr="009772A2">
        <w:t>8.</w:t>
      </w:r>
      <w:r w:rsidR="00430326" w:rsidRPr="009772A2">
        <w:tab/>
      </w:r>
      <w:r w:rsidRPr="009772A2">
        <w:t>China y Vietnam constituyen una amenaza para la participación de África en el mercado de exportación, pues producen las mismas categorías de artículos y su crecimiento a lo largo del tiempo ha sido importante, a pesar de que han pagado derechos de aduana. Como consecuencia de la reciente aprobación del Acuerdo de Asociación Transpacífico, es probable que Vietnam perjudique a los países beneficiarios de la Ley sobre Crecimiento y Oportunidad en África.</w:t>
      </w:r>
    </w:p>
    <w:p w:rsidR="00542BD3" w:rsidRPr="009772A2" w:rsidRDefault="00542BD3" w:rsidP="00430326">
      <w:pPr>
        <w:pStyle w:val="SingleTxtG"/>
      </w:pPr>
      <w:r w:rsidRPr="009772A2">
        <w:t>3</w:t>
      </w:r>
      <w:r w:rsidR="00430326" w:rsidRPr="009772A2">
        <w:t>9.</w:t>
      </w:r>
      <w:r w:rsidR="00430326" w:rsidRPr="009772A2">
        <w:tab/>
      </w:r>
      <w:r w:rsidRPr="009772A2">
        <w:t>Sudáfrica también sigue siendo uno de los principales mercados para las exportaciones de Lesotho. El gráfico que figura más abajo ilustra el comercio entre Lesotho y Sudáfrica entre el trimestre septiembre/noviembre de 2014 y el trimestre septiembre/noviembre de 2015. En noviembre de 2015 se registró un crecimiento significativo de las exportaciones, debido al aumento de las exportaciones de textiles y prendas de vestir, pues algunas de las empresas que tradicionalmente exportaban a los Estados Unidos se orientaron hacia Sudáfrica.</w:t>
      </w:r>
    </w:p>
    <w:p w:rsidR="00DE0047" w:rsidRPr="009772A2" w:rsidRDefault="00DE0047" w:rsidP="00DE0047">
      <w:pPr>
        <w:pStyle w:val="Heading1"/>
      </w:pPr>
      <w:r w:rsidRPr="009772A2">
        <w:t>Gráfico 2</w:t>
      </w:r>
    </w:p>
    <w:p w:rsidR="00542BD3" w:rsidRPr="009772A2" w:rsidRDefault="00542BD3" w:rsidP="00DE0047">
      <w:pPr>
        <w:pStyle w:val="SingleTxtG"/>
        <w:keepNext/>
        <w:jc w:val="left"/>
        <w:rPr>
          <w:b/>
        </w:rPr>
      </w:pPr>
      <w:r w:rsidRPr="009772A2">
        <w:rPr>
          <w:b/>
        </w:rPr>
        <w:t xml:space="preserve">Exportaciones de </w:t>
      </w:r>
      <w:r w:rsidR="00DE0047" w:rsidRPr="009772A2">
        <w:rPr>
          <w:b/>
        </w:rPr>
        <w:t>Lesotho a Sudáfrica (septiembre-</w:t>
      </w:r>
      <w:r w:rsidRPr="009772A2">
        <w:rPr>
          <w:b/>
        </w:rPr>
        <w:t xml:space="preserve">noviembre </w:t>
      </w:r>
      <w:r w:rsidR="00DE0047" w:rsidRPr="009772A2">
        <w:rPr>
          <w:b/>
        </w:rPr>
        <w:t>de 2014 a septiembre-</w:t>
      </w:r>
      <w:r w:rsidRPr="009772A2">
        <w:rPr>
          <w:b/>
        </w:rPr>
        <w:t>noviembre de 2015)</w:t>
      </w:r>
    </w:p>
    <w:p w:rsidR="00DE0047" w:rsidRPr="009772A2" w:rsidRDefault="005A5957" w:rsidP="00430326">
      <w:pPr>
        <w:pStyle w:val="SingleTxtG"/>
      </w:pPr>
      <w:r w:rsidRPr="009772A2">
        <w:rPr>
          <w:b/>
          <w:noProof/>
        </w:rPr>
        <w:pict>
          <v:shape id="_x0000_s1043" type="#_x0000_t202" style="position:absolute;left:0;text-align:left;margin-left:257.4pt;margin-top:192.5pt;width:120pt;height:18pt;z-index:7" stroked="f">
            <v:textbox inset="0,0,0,0">
              <w:txbxContent>
                <w:p w:rsidR="005A5957" w:rsidRPr="005A5957" w:rsidRDefault="005A5957" w:rsidP="005A5957">
                  <w:pPr>
                    <w:spacing w:before="60" w:line="140" w:lineRule="exact"/>
                    <w:rPr>
                      <w:rFonts w:ascii="Calibri" w:hAnsi="Calibri" w:cs="Arial"/>
                      <w:color w:val="808080"/>
                      <w:sz w:val="16"/>
                      <w:szCs w:val="16"/>
                    </w:rPr>
                  </w:pPr>
                  <w:r w:rsidRPr="005A5957">
                    <w:rPr>
                      <w:rFonts w:ascii="Calibri" w:hAnsi="Calibri" w:cs="Arial"/>
                      <w:color w:val="808080"/>
                      <w:sz w:val="16"/>
                      <w:szCs w:val="16"/>
                    </w:rPr>
                    <w:t>Valor de las exportaciones</w:t>
                  </w:r>
                  <w:r>
                    <w:rPr>
                      <w:rFonts w:ascii="Calibri" w:hAnsi="Calibri" w:cs="Arial"/>
                      <w:color w:val="808080"/>
                      <w:sz w:val="16"/>
                      <w:szCs w:val="16"/>
                    </w:rPr>
                    <w:t xml:space="preserve"> en 2015</w:t>
                  </w:r>
                  <w:r>
                    <w:rPr>
                      <w:rFonts w:ascii="Calibri" w:hAnsi="Calibri" w:cs="Arial"/>
                      <w:color w:val="808080"/>
                      <w:sz w:val="16"/>
                      <w:szCs w:val="16"/>
                    </w:rPr>
                    <w:br/>
                  </w:r>
                  <w:r w:rsidRPr="005A5957">
                    <w:rPr>
                      <w:rFonts w:ascii="Calibri" w:hAnsi="Calibri" w:cs="Arial"/>
                      <w:color w:val="808080"/>
                      <w:sz w:val="16"/>
                      <w:szCs w:val="16"/>
                    </w:rPr>
                    <w:t>(en dólares de los EE.UU.</w:t>
                  </w:r>
                  <w:r>
                    <w:rPr>
                      <w:rFonts w:ascii="Calibri" w:hAnsi="Calibri" w:cs="Arial"/>
                      <w:color w:val="808080"/>
                      <w:sz w:val="16"/>
                      <w:szCs w:val="16"/>
                    </w:rPr>
                    <w:t>)</w:t>
                  </w:r>
                </w:p>
              </w:txbxContent>
            </v:textbox>
          </v:shape>
        </w:pict>
      </w:r>
      <w:r w:rsidRPr="009772A2">
        <w:rPr>
          <w:b/>
          <w:noProof/>
        </w:rPr>
        <w:pict>
          <v:shape id="_x0000_s1042" type="#_x0000_t202" style="position:absolute;left:0;text-align:left;margin-left:110pt;margin-top:192.5pt;width:120pt;height:18pt;z-index:6" stroked="f">
            <v:textbox inset="0,0,0,0">
              <w:txbxContent>
                <w:p w:rsidR="005A5957" w:rsidRPr="005A5957" w:rsidRDefault="005A5957" w:rsidP="005A5957">
                  <w:pPr>
                    <w:spacing w:before="60" w:line="140" w:lineRule="exact"/>
                    <w:rPr>
                      <w:rFonts w:ascii="Calibri" w:hAnsi="Calibri" w:cs="Arial"/>
                      <w:color w:val="808080"/>
                      <w:sz w:val="16"/>
                      <w:szCs w:val="16"/>
                    </w:rPr>
                  </w:pPr>
                  <w:r w:rsidRPr="005A5957">
                    <w:rPr>
                      <w:rFonts w:ascii="Calibri" w:hAnsi="Calibri" w:cs="Arial"/>
                      <w:color w:val="808080"/>
                      <w:sz w:val="16"/>
                      <w:szCs w:val="16"/>
                    </w:rPr>
                    <w:t>Valor de las exportaciones</w:t>
                  </w:r>
                  <w:r>
                    <w:rPr>
                      <w:rFonts w:ascii="Calibri" w:hAnsi="Calibri" w:cs="Arial"/>
                      <w:color w:val="808080"/>
                      <w:sz w:val="16"/>
                      <w:szCs w:val="16"/>
                    </w:rPr>
                    <w:t xml:space="preserve"> en 2014</w:t>
                  </w:r>
                  <w:r>
                    <w:rPr>
                      <w:rFonts w:ascii="Calibri" w:hAnsi="Calibri" w:cs="Arial"/>
                      <w:color w:val="808080"/>
                      <w:sz w:val="16"/>
                      <w:szCs w:val="16"/>
                    </w:rPr>
                    <w:br/>
                  </w:r>
                  <w:r w:rsidRPr="005A5957">
                    <w:rPr>
                      <w:rFonts w:ascii="Calibri" w:hAnsi="Calibri" w:cs="Arial"/>
                      <w:color w:val="808080"/>
                      <w:sz w:val="16"/>
                      <w:szCs w:val="16"/>
                    </w:rPr>
                    <w:t>(en dólares de los EE.UU.</w:t>
                  </w:r>
                  <w:r>
                    <w:rPr>
                      <w:rFonts w:ascii="Calibri" w:hAnsi="Calibri" w:cs="Arial"/>
                      <w:color w:val="808080"/>
                      <w:sz w:val="16"/>
                      <w:szCs w:val="16"/>
                    </w:rPr>
                    <w:t>)</w:t>
                  </w:r>
                </w:p>
              </w:txbxContent>
            </v:textbox>
          </v:shape>
        </w:pict>
      </w:r>
      <w:r w:rsidRPr="009772A2">
        <w:rPr>
          <w:noProof/>
        </w:rPr>
        <w:pict>
          <v:shape id="_x0000_s1041" type="#_x0000_t202" style="position:absolute;left:0;text-align:left;margin-left:312.15pt;margin-top:170.1pt;width:58pt;height:18pt;z-index:5" stroked="f">
            <v:textbox inset="0,0,0,0">
              <w:txbxContent>
                <w:p w:rsidR="005A5957" w:rsidRPr="00F53E62" w:rsidRDefault="005A5957" w:rsidP="005A5957">
                  <w:pPr>
                    <w:spacing w:line="240" w:lineRule="exact"/>
                    <w:jc w:val="center"/>
                    <w:rPr>
                      <w:rFonts w:ascii="Calibri" w:hAnsi="Calibri" w:cs="Arial"/>
                      <w:color w:val="808080"/>
                    </w:rPr>
                  </w:pPr>
                  <w:r>
                    <w:rPr>
                      <w:rFonts w:ascii="Calibri" w:hAnsi="Calibri" w:cs="Arial"/>
                      <w:color w:val="808080"/>
                    </w:rPr>
                    <w:t>Noviembre</w:t>
                  </w:r>
                </w:p>
              </w:txbxContent>
            </v:textbox>
          </v:shape>
        </w:pict>
      </w:r>
      <w:r w:rsidRPr="009772A2">
        <w:rPr>
          <w:noProof/>
        </w:rPr>
        <w:pict>
          <v:shape id="_x0000_s1040" type="#_x0000_t202" style="position:absolute;left:0;text-align:left;margin-left:227pt;margin-top:170.1pt;width:58pt;height:18pt;z-index:4" stroked="f">
            <v:textbox inset="0,0,0,0">
              <w:txbxContent>
                <w:p w:rsidR="005A5957" w:rsidRPr="00F53E62" w:rsidRDefault="005A5957" w:rsidP="005A5957">
                  <w:pPr>
                    <w:spacing w:line="240" w:lineRule="exact"/>
                    <w:jc w:val="center"/>
                    <w:rPr>
                      <w:rFonts w:ascii="Calibri" w:hAnsi="Calibri" w:cs="Arial"/>
                      <w:color w:val="808080"/>
                    </w:rPr>
                  </w:pPr>
                  <w:r>
                    <w:rPr>
                      <w:rFonts w:ascii="Calibri" w:hAnsi="Calibri" w:cs="Arial"/>
                      <w:color w:val="808080"/>
                    </w:rPr>
                    <w:t>Octubre</w:t>
                  </w:r>
                </w:p>
              </w:txbxContent>
            </v:textbox>
          </v:shape>
        </w:pict>
      </w:r>
      <w:r w:rsidR="00F53E62" w:rsidRPr="009772A2">
        <w:rPr>
          <w:noProof/>
        </w:rPr>
        <w:pict>
          <v:shape id="_x0000_s1039" type="#_x0000_t202" style="position:absolute;left:0;text-align:left;margin-left:142pt;margin-top:170.1pt;width:58pt;height:18pt;z-index:3" stroked="f">
            <v:textbox inset="0,0,0,0">
              <w:txbxContent>
                <w:p w:rsidR="00F53E62" w:rsidRPr="00F53E62" w:rsidRDefault="00F53E62" w:rsidP="005A5957">
                  <w:pPr>
                    <w:spacing w:line="240" w:lineRule="exact"/>
                    <w:jc w:val="center"/>
                    <w:rPr>
                      <w:rFonts w:ascii="Calibri" w:hAnsi="Calibri" w:cs="Arial"/>
                      <w:color w:val="808080"/>
                    </w:rPr>
                  </w:pPr>
                  <w:r>
                    <w:rPr>
                      <w:rFonts w:ascii="Calibri" w:hAnsi="Calibri" w:cs="Arial"/>
                      <w:color w:val="808080"/>
                    </w:rPr>
                    <w:t>Septiembre</w:t>
                  </w:r>
                </w:p>
              </w:txbxContent>
            </v:textbox>
          </v:shape>
        </w:pict>
      </w:r>
      <w:r w:rsidR="00F53E62" w:rsidRPr="009772A2">
        <w:rPr>
          <w:noProof/>
        </w:rPr>
        <w:pict>
          <v:shape id="_x0000_s1038" type="#_x0000_t202" style="position:absolute;left:0;text-align:left;margin-left:120pt;margin-top:3.5pt;width:238.3pt;height:27pt;z-index:2" stroked="f">
            <v:textbox inset="0,0,0,0">
              <w:txbxContent>
                <w:p w:rsidR="00F53E62" w:rsidRPr="00F53E62" w:rsidRDefault="00F53E62" w:rsidP="00F53E62">
                  <w:pPr>
                    <w:spacing w:line="340" w:lineRule="exact"/>
                    <w:jc w:val="center"/>
                    <w:rPr>
                      <w:rFonts w:ascii="Calibri" w:hAnsi="Calibri" w:cs="Arial"/>
                      <w:color w:val="808080"/>
                      <w:sz w:val="28"/>
                      <w:szCs w:val="28"/>
                    </w:rPr>
                  </w:pPr>
                  <w:r w:rsidRPr="00F53E62">
                    <w:rPr>
                      <w:rFonts w:ascii="Calibri" w:hAnsi="Calibri" w:cs="Arial"/>
                      <w:color w:val="808080"/>
                      <w:sz w:val="28"/>
                      <w:szCs w:val="28"/>
                    </w:rPr>
                    <w:t>Exportaciones de Lesotho a Sudáfrica</w:t>
                  </w:r>
                </w:p>
              </w:txbxContent>
            </v:textbox>
          </v:shape>
        </w:pict>
      </w:r>
      <w:r w:rsidR="00DE0047" w:rsidRPr="009772A2">
        <w:rPr>
          <w:noProof/>
          <w:color w:val="FF0000"/>
        </w:rPr>
        <w:object w:dxaOrig="7249" w:dyaOrig="4349">
          <v:shape id="Chart 4" o:spid="_x0000_i1027" type="#_x0000_t75" style="width:362.25pt;height:217.5pt;visibility:visible" o:ole="">
            <v:imagedata r:id="rId9" o:title=""/>
            <o:lock v:ext="edit" aspectratio="f"/>
          </v:shape>
          <o:OLEObject Type="Embed" ProgID="Excel.Chart.8" ShapeID="Chart 4" DrawAspect="Content" ObjectID="_1541587391" r:id="rId10">
            <o:FieldCodes>\s</o:FieldCodes>
          </o:OLEObject>
        </w:object>
      </w:r>
    </w:p>
    <w:p w:rsidR="00542BD3" w:rsidRPr="009772A2" w:rsidRDefault="00542BD3" w:rsidP="00DE0047">
      <w:pPr>
        <w:spacing w:before="120" w:after="240" w:line="220" w:lineRule="exact"/>
        <w:ind w:left="1134" w:right="1134" w:firstLine="170"/>
        <w:rPr>
          <w:sz w:val="18"/>
          <w:szCs w:val="18"/>
        </w:rPr>
      </w:pPr>
      <w:r w:rsidRPr="009772A2">
        <w:rPr>
          <w:i/>
          <w:sz w:val="18"/>
          <w:szCs w:val="18"/>
        </w:rPr>
        <w:t>Fuente:</w:t>
      </w:r>
      <w:r w:rsidRPr="009772A2">
        <w:rPr>
          <w:sz w:val="18"/>
          <w:szCs w:val="18"/>
        </w:rPr>
        <w:t xml:space="preserve"> Base de Datos de las Naciones Unidas sobre Estadísticas de Comercio de Productos Básicos (COMTRADE)</w:t>
      </w:r>
      <w:r w:rsidR="00DE0047" w:rsidRPr="009772A2">
        <w:rPr>
          <w:sz w:val="18"/>
          <w:szCs w:val="18"/>
        </w:rPr>
        <w:t>.</w:t>
      </w:r>
    </w:p>
    <w:p w:rsidR="00542BD3" w:rsidRPr="009772A2" w:rsidRDefault="00DE0047" w:rsidP="00DE0047">
      <w:pPr>
        <w:pStyle w:val="H56G"/>
      </w:pPr>
      <w:r w:rsidRPr="009772A2">
        <w:rPr>
          <w:szCs w:val="24"/>
        </w:rPr>
        <w:tab/>
      </w:r>
      <w:r w:rsidR="00542BD3" w:rsidRPr="009772A2">
        <w:rPr>
          <w:szCs w:val="24"/>
        </w:rPr>
        <w:t>ii</w:t>
      </w:r>
      <w:r w:rsidR="00542BD3" w:rsidRPr="009772A2">
        <w:t>)</w:t>
      </w:r>
      <w:r w:rsidRPr="009772A2">
        <w:tab/>
      </w:r>
      <w:r w:rsidR="00542BD3" w:rsidRPr="009772A2">
        <w:t>Mercado de la Unión Europea</w:t>
      </w:r>
    </w:p>
    <w:p w:rsidR="00542BD3" w:rsidRPr="009772A2" w:rsidRDefault="00542BD3" w:rsidP="00430326">
      <w:pPr>
        <w:pStyle w:val="SingleTxtG"/>
      </w:pPr>
      <w:r w:rsidRPr="009772A2">
        <w:t>4</w:t>
      </w:r>
      <w:r w:rsidR="00430326" w:rsidRPr="009772A2">
        <w:t>0.</w:t>
      </w:r>
      <w:r w:rsidR="00430326" w:rsidRPr="009772A2">
        <w:tab/>
      </w:r>
      <w:r w:rsidRPr="009772A2">
        <w:t>Lesotho sigue exportando a la Unión Europea principalmente diamantes en bruto.</w:t>
      </w:r>
    </w:p>
    <w:p w:rsidR="00542BD3" w:rsidRPr="009772A2" w:rsidRDefault="00DE0047" w:rsidP="00DE0047">
      <w:pPr>
        <w:pStyle w:val="H56G"/>
      </w:pPr>
      <w:r w:rsidRPr="009772A2">
        <w:tab/>
        <w:t>iii</w:t>
      </w:r>
      <w:r w:rsidR="00542BD3" w:rsidRPr="009772A2">
        <w:t>)</w:t>
      </w:r>
      <w:r w:rsidRPr="009772A2">
        <w:tab/>
      </w:r>
      <w:r w:rsidR="00542BD3" w:rsidRPr="009772A2">
        <w:t>Productos de exportación</w:t>
      </w:r>
    </w:p>
    <w:p w:rsidR="00542BD3" w:rsidRPr="009772A2" w:rsidRDefault="00542BD3" w:rsidP="00430326">
      <w:pPr>
        <w:pStyle w:val="SingleTxtG"/>
      </w:pPr>
      <w:r w:rsidRPr="009772A2">
        <w:t>4</w:t>
      </w:r>
      <w:r w:rsidR="00430326" w:rsidRPr="009772A2">
        <w:t>1.</w:t>
      </w:r>
      <w:r w:rsidR="00430326" w:rsidRPr="009772A2">
        <w:tab/>
      </w:r>
      <w:r w:rsidRPr="009772A2">
        <w:t>Las exportaciones de Lesotho a los Estados Unidos siguen concentradas en el sector de los textiles y las prendas de vestir, mientras que las exportaciones a Sudáfrica abarcan otros sectores. En 2016, la lista de productos de exportación a Sudáfrica incluye, entre otros, lana cruda y mohair, textiles y prendas de vestir, cuero y artículos de cuero, pescado congelado y granito.</w:t>
      </w:r>
    </w:p>
    <w:p w:rsidR="00542BD3" w:rsidRPr="009772A2" w:rsidRDefault="00DE0047" w:rsidP="00DE0047">
      <w:pPr>
        <w:pStyle w:val="H4G"/>
      </w:pPr>
      <w:r w:rsidRPr="009772A2">
        <w:tab/>
        <w:t>d</w:t>
      </w:r>
      <w:r w:rsidR="00542BD3" w:rsidRPr="009772A2">
        <w:t>)</w:t>
      </w:r>
      <w:r w:rsidRPr="009772A2">
        <w:tab/>
      </w:r>
      <w:r w:rsidR="00542BD3" w:rsidRPr="009772A2">
        <w:t>Salud</w:t>
      </w:r>
    </w:p>
    <w:p w:rsidR="00542BD3" w:rsidRPr="009772A2" w:rsidRDefault="00542BD3" w:rsidP="00430326">
      <w:pPr>
        <w:pStyle w:val="SingleTxtG"/>
      </w:pPr>
      <w:r w:rsidRPr="009772A2">
        <w:t>4</w:t>
      </w:r>
      <w:r w:rsidR="00430326" w:rsidRPr="009772A2">
        <w:t>2.</w:t>
      </w:r>
      <w:r w:rsidR="00430326" w:rsidRPr="009772A2">
        <w:tab/>
      </w:r>
      <w:r w:rsidRPr="009772A2">
        <w:t>La atención de la salud en Lesotho abarca servicios curativos, preventivos y de rehabilitación en hospitales, clínicas y centros de salud públicos y privados. Estas instalaciones incluyen hospitales especializados en salud mental y lepra y centros de salud específicos para el VIH/SIDA. Se expiden licencias a los curanderos tradicionales para que puedan ejercer, pero no hay datos consolidados sobre el número de licencias expedidas.</w:t>
      </w:r>
    </w:p>
    <w:p w:rsidR="00542BD3" w:rsidRPr="009772A2" w:rsidRDefault="00542BD3" w:rsidP="00430326">
      <w:pPr>
        <w:pStyle w:val="SingleTxtG"/>
      </w:pPr>
      <w:r w:rsidRPr="009772A2">
        <w:t>4</w:t>
      </w:r>
      <w:r w:rsidR="00430326" w:rsidRPr="009772A2">
        <w:t>3.</w:t>
      </w:r>
      <w:r w:rsidR="00430326" w:rsidRPr="009772A2">
        <w:tab/>
      </w:r>
      <w:r w:rsidRPr="009772A2">
        <w:t>Las contribuciones de los donantes han ayudado al Gobierno a cumplir sus obligaciones con respecto al derecho a la salud. En ese contexto, la Unión Europea hizo una donación de dos millones de euros a Apparel Lesotho Alliance to Fight Aids (ALAFA) para que prestara servicios relacionados con el VIH y el sida a los trabajadores, en particular de la industria de la confección. Además, en el marco de la Cuenta del Reto del Milenio, el Gobierno ha apoyado la renovación de centros de salud, así como el establecimiento de nuevos centros.</w:t>
      </w:r>
    </w:p>
    <w:p w:rsidR="00542BD3" w:rsidRPr="009772A2" w:rsidRDefault="00DE0047" w:rsidP="00DE0047">
      <w:pPr>
        <w:pStyle w:val="H56G"/>
      </w:pPr>
      <w:r w:rsidRPr="009772A2">
        <w:tab/>
      </w:r>
      <w:r w:rsidR="00542BD3" w:rsidRPr="009772A2">
        <w:t>i)</w:t>
      </w:r>
      <w:r w:rsidRPr="009772A2">
        <w:tab/>
      </w:r>
      <w:r w:rsidR="00542BD3" w:rsidRPr="009772A2">
        <w:t>VIH/SIDA</w:t>
      </w:r>
    </w:p>
    <w:p w:rsidR="00542BD3" w:rsidRPr="009772A2" w:rsidRDefault="00542BD3" w:rsidP="00430326">
      <w:pPr>
        <w:pStyle w:val="SingleTxtG"/>
      </w:pPr>
      <w:r w:rsidRPr="009772A2">
        <w:t>4</w:t>
      </w:r>
      <w:r w:rsidR="00430326" w:rsidRPr="009772A2">
        <w:t>4.</w:t>
      </w:r>
      <w:r w:rsidR="00430326" w:rsidRPr="009772A2">
        <w:tab/>
      </w:r>
      <w:r w:rsidRPr="009772A2">
        <w:t>Lesotho es uno de los países del mundo más afectados por el VIH, pues su tasa de prevalencia ocupa el segundo lugar. En 2013 fue del 22,9%, cifra que representa un ligero aumento con respecto a 2005 (22%). Se estima que 360.000 personas viven con el VIH en Lesotho, y en 2013 murieron 16.000 personas a causa de enfermedades relacionadas con el sida. La incidencia de nuevas infecciones de VIH ha disminuido marginalmente, de 30.000 en 2005 a 26.000 en 2013</w:t>
      </w:r>
      <w:r w:rsidRPr="009772A2">
        <w:rPr>
          <w:rStyle w:val="FootnoteReference"/>
        </w:rPr>
        <w:footnoteReference w:id="9"/>
      </w:r>
      <w:r w:rsidRPr="009772A2">
        <w:t>. El Gobierno ha tomado varias medidas destinadas a crear un entorno propicio para la lucha contra el VIH y el sida, por ejemplo, se promulgó la Ley sobre el Código de Trabajo (Enmienda) de 2006 para poner fin a la discriminación de las personas infectadas y afectadas en el lugar de trabajo. Asimismo, la Notificación sobre el Código de Trabajo (Código de Buenas Prácticas) de 2003 prohíbe el despido de una persona simplemente a causa del VIH/SIDA.</w:t>
      </w:r>
    </w:p>
    <w:p w:rsidR="00542BD3" w:rsidRPr="009772A2" w:rsidRDefault="00542BD3" w:rsidP="00430326">
      <w:pPr>
        <w:pStyle w:val="SingleTxtG"/>
      </w:pPr>
      <w:r w:rsidRPr="009772A2">
        <w:t>4</w:t>
      </w:r>
      <w:r w:rsidR="00430326" w:rsidRPr="009772A2">
        <w:t>5.</w:t>
      </w:r>
      <w:r w:rsidR="00430326" w:rsidRPr="009772A2">
        <w:tab/>
      </w:r>
      <w:r w:rsidRPr="009772A2">
        <w:t>La pandemia de VIH/SIDA es uno de los factores que contribuyen al aumento de la orfandad. El número de huérfanos pasó de 99.082 en 2004 a 122.769 en 2006. Se observó también que entre los niños escolarizados había 128.257 huérfanos, de un total de 424.855 alumnos, es decir, el 30,1%. Alrededor de la mitad (56,6%) de estos huérfanos habían perdido al padre, en tanto que el 18,9% habían perdido a su madre. Los que habían perdido a ambos padres constituían aproximadamente el 22,5%.</w:t>
      </w:r>
    </w:p>
    <w:p w:rsidR="00542BD3" w:rsidRPr="009772A2" w:rsidRDefault="00DE0047" w:rsidP="00DE0047">
      <w:pPr>
        <w:pStyle w:val="H4G"/>
      </w:pPr>
      <w:r w:rsidRPr="009772A2">
        <w:tab/>
      </w:r>
      <w:r w:rsidR="00542BD3" w:rsidRPr="009772A2">
        <w:t>e)</w:t>
      </w:r>
      <w:r w:rsidRPr="009772A2">
        <w:tab/>
      </w:r>
      <w:r w:rsidR="00542BD3" w:rsidRPr="009772A2">
        <w:t>Sector agrícola</w:t>
      </w:r>
    </w:p>
    <w:p w:rsidR="00542BD3" w:rsidRPr="009772A2" w:rsidRDefault="00542BD3" w:rsidP="00430326">
      <w:pPr>
        <w:pStyle w:val="SingleTxtG"/>
      </w:pPr>
      <w:r w:rsidRPr="009772A2">
        <w:t>4</w:t>
      </w:r>
      <w:r w:rsidR="00430326" w:rsidRPr="009772A2">
        <w:t>6.</w:t>
      </w:r>
      <w:r w:rsidR="00430326" w:rsidRPr="009772A2">
        <w:tab/>
      </w:r>
      <w:r w:rsidRPr="009772A2">
        <w:t>Lesotho es ante todo una economía rural, pues el 76% de sus habitantes viven en las zonas rurales y se dedican a la agricultura y la ganadería. El sector agropecuario ocupa el primer lugar, y los principales productos son maíz, trigo, sorgo, cebada, guisantes, frijoles, ganado y productos animales como lana, mohair, huevos, leche y carne. Aunque la contribución de la agricultura al PIB no es un buen indicador del rendimiento del sector, cabe señalar que dicha contribución tiende a la baja. Según la Publicación de las Cuentas Nacionales de 2014, la agricultura contribuye un 6,9% al PIB. Esto se atribuye a prolongadas condiciones climáticas desfavorables que afectan negativamente a la producción de los dos subsectores agropecuarios: los cultivos y el ganado.</w:t>
      </w:r>
    </w:p>
    <w:p w:rsidR="00542BD3" w:rsidRPr="009772A2" w:rsidRDefault="00542BD3" w:rsidP="00430326">
      <w:pPr>
        <w:pStyle w:val="SingleTxtG"/>
      </w:pPr>
      <w:r w:rsidRPr="009772A2">
        <w:t>4</w:t>
      </w:r>
      <w:r w:rsidR="00430326" w:rsidRPr="009772A2">
        <w:t>7.</w:t>
      </w:r>
      <w:r w:rsidR="00430326" w:rsidRPr="009772A2">
        <w:tab/>
      </w:r>
      <w:r w:rsidRPr="009772A2">
        <w:t xml:space="preserve">La tierra cultivable representa </w:t>
      </w:r>
      <w:r w:rsidR="00364A76" w:rsidRPr="009772A2">
        <w:t>solo</w:t>
      </w:r>
      <w:r w:rsidRPr="009772A2">
        <w:t xml:space="preserve"> el 9% de la superficie total del país y se debe hacer frente a problemas como la erosión y la degradación del suelo. En 2012-2013, se estima que 725.500 personas necesitaron asistencia alimentaria, lo cual llevó al Primer Ministro a declarar un estado de emergencia alimentaria. Durante dos cosechas consecutivas, 2014/15 y 2015/16, el país experimentó una grave sequía en la región meridional. La sequía de 2015/16 fue excepcionalmente intensa en la historia de Lesotho. Toda la agricultura de subsistencia del país es de secano, por lo que la excesiva sequía afectó negativamente al rendimiento de la agricultura y, en consecuencia, a otros sectores de la economía.</w:t>
      </w:r>
    </w:p>
    <w:p w:rsidR="00542BD3" w:rsidRPr="009772A2" w:rsidRDefault="00542BD3" w:rsidP="00430326">
      <w:pPr>
        <w:pStyle w:val="SingleTxtG"/>
      </w:pPr>
      <w:r w:rsidRPr="009772A2">
        <w:t>4</w:t>
      </w:r>
      <w:r w:rsidR="00430326" w:rsidRPr="009772A2">
        <w:t>8.</w:t>
      </w:r>
      <w:r w:rsidR="00430326" w:rsidRPr="009772A2">
        <w:tab/>
      </w:r>
      <w:r w:rsidRPr="009772A2">
        <w:t>El Gobierno ha adoptado medidas para reactivar el sector agrícola y diversificar la producción con miras a mejorar su rendimiento y desarrollo. El Gobierno lanzó la iniciativa de agricultura colectiva con la aportación de algunos subsidios, como mecanismo de comercialización y reactivación del sector agrícola. Desde que esta estrategia se puso en marcha, el sector ha tenido mejores resultados. La utilización prudente de los abundantes recursos naturales del país, como el agua para riego, uso doméstico y exportación a la República de Sudáfrica, son opciones viables para la diversificación económica.</w:t>
      </w:r>
    </w:p>
    <w:p w:rsidR="00542BD3" w:rsidRPr="009772A2" w:rsidRDefault="00542BD3" w:rsidP="00430326">
      <w:pPr>
        <w:pStyle w:val="SingleTxtG"/>
      </w:pPr>
      <w:r w:rsidRPr="009772A2">
        <w:t>4</w:t>
      </w:r>
      <w:r w:rsidR="00430326" w:rsidRPr="009772A2">
        <w:t>9.</w:t>
      </w:r>
      <w:r w:rsidR="00430326" w:rsidRPr="009772A2">
        <w:tab/>
      </w:r>
      <w:r w:rsidRPr="009772A2">
        <w:t>Actualmente Lesotho no puede producir suficientes alimentos y solo llega a satisfacer el 20% de la demanda interna. Prácticamente el 70% de los cereales que se requieren anualmente son importados, sobre todo de Sudáfrica. La mayoría de los habitantes, especialmente en las zonas rurales, dependen en gran medida de la agricultura de subsistencia. Una gran proporción de la población rural se encuentra atrapada en la pobreza debido a las malas cosechas y la escasez o la falta total de recursos para comprar alimentos importados. El informe sobre Lesotho elaborado en 2014 por el Comité de Evaluación de la Vulnerabilidad indica que alrededor del 24% de la población sufre de inseguridad alimentaria.</w:t>
      </w:r>
    </w:p>
    <w:p w:rsidR="00542BD3" w:rsidRPr="009772A2" w:rsidRDefault="00542BD3" w:rsidP="00430326">
      <w:pPr>
        <w:pStyle w:val="SingleTxtG"/>
      </w:pPr>
      <w:r w:rsidRPr="009772A2">
        <w:t>5</w:t>
      </w:r>
      <w:r w:rsidR="00430326" w:rsidRPr="009772A2">
        <w:t>0.</w:t>
      </w:r>
      <w:r w:rsidR="00430326" w:rsidRPr="009772A2">
        <w:tab/>
      </w:r>
      <w:r w:rsidRPr="009772A2">
        <w:t>La producción agrícola ha seguido planteando problemas en los últimos años, debido a una combinación de factores: escasez de tierra arable, repetidos episodios de sequía, pautas climáticas erráticas y tecnología agrícola inadecuada. Según los datos recopilados por el Banco Central de Lesotho, en 2004 la producción agrícola se contrajo un 1,9%; en 2005, un 1,7%; en 2006 aumentó el 1,7% y las cifras preliminares para 2007 registran una reducción del rendimiento del 8,6%. Esto significa que el país es cada vez más dependiente de las importaciones de cereales, verduras y frutas y de los alimentos donados por la comunidad internacional.</w:t>
      </w:r>
    </w:p>
    <w:p w:rsidR="00542BD3" w:rsidRPr="009772A2" w:rsidRDefault="00542BD3" w:rsidP="00430326">
      <w:pPr>
        <w:pStyle w:val="SingleTxtG"/>
      </w:pPr>
      <w:r w:rsidRPr="009772A2">
        <w:t>5</w:t>
      </w:r>
      <w:r w:rsidR="00430326" w:rsidRPr="009772A2">
        <w:t>1.</w:t>
      </w:r>
      <w:r w:rsidR="00430326" w:rsidRPr="009772A2">
        <w:tab/>
      </w:r>
      <w:r w:rsidRPr="009772A2">
        <w:t>A fin de hacer frente a este problema, se asignó al Ministerio de Agricultura y Seguridad Alimentaria el 11% del presupuesto total para intensificar la formación y mejorar los servicios de divulgación, reactivar el sistema de riego y promover la agricultura de conservación donde sea viable. Además, esta asignación se utilizará para adquirir equipo y suministros agrícolas adicionales, aumentar la capacidad y prestar asistencia oportuna a los agricultores en relación con las operaciones agrícolas y la cosecha y para rehabilitar la Facultad de Agronomía de Lesotho y los centros de formación de agricultores. Con todo, la mejora de la producción agrícola sigue siendo un reto. Todo retraso en este ámbito retrasa el alivio de la pobreza y el logro de la seguridad alimentaria.</w:t>
      </w:r>
    </w:p>
    <w:p w:rsidR="00542BD3" w:rsidRPr="009772A2" w:rsidRDefault="00DE0047" w:rsidP="00DE0047">
      <w:pPr>
        <w:pStyle w:val="H4G"/>
      </w:pPr>
      <w:r w:rsidRPr="009772A2">
        <w:tab/>
      </w:r>
      <w:r w:rsidR="00542BD3" w:rsidRPr="009772A2">
        <w:t>f)</w:t>
      </w:r>
      <w:r w:rsidRPr="009772A2">
        <w:tab/>
      </w:r>
      <w:r w:rsidR="00542BD3" w:rsidRPr="009772A2">
        <w:t>Pobreza</w:t>
      </w:r>
    </w:p>
    <w:p w:rsidR="00542BD3" w:rsidRPr="009772A2" w:rsidRDefault="00542BD3" w:rsidP="00430326">
      <w:pPr>
        <w:pStyle w:val="SingleTxtG"/>
      </w:pPr>
      <w:r w:rsidRPr="009772A2">
        <w:t>5</w:t>
      </w:r>
      <w:r w:rsidR="00430326" w:rsidRPr="009772A2">
        <w:t>2.</w:t>
      </w:r>
      <w:r w:rsidR="00430326" w:rsidRPr="009772A2">
        <w:tab/>
      </w:r>
      <w:r w:rsidRPr="009772A2">
        <w:t xml:space="preserve">La pobreza en Lesotho es un problema que varía en función del sexo, el tamaño del hogar y el acceso a bienes básicos, como el agua y la vivienda. El desempleo y la distribución desigual de los ingresos son las principales causas de la pobreza. Además, una proporción importante de la fuerza de trabajo se dedica a actividades poco productivas de cría de animales y cultivo de secano, que no proporcionan un sustento adecuado sin el apoyo adicional de empleo no agrícola y las remesas de los migrantes. Con todo, el sector agrícola sigue siendo la principal fuente de sustento e ingresos para la población rural pobre. El país sufre una grave degradación de sus recursos naturales y malas condiciones ambientales. La economía rural sigue muy afectada por la baja productividad agrícola, la falta de infraestructura y la sequía prolongada. </w:t>
      </w:r>
    </w:p>
    <w:p w:rsidR="00542BD3" w:rsidRPr="009772A2" w:rsidRDefault="00542BD3" w:rsidP="00430326">
      <w:pPr>
        <w:pStyle w:val="SingleTxtG"/>
      </w:pPr>
      <w:r w:rsidRPr="009772A2">
        <w:t>5</w:t>
      </w:r>
      <w:r w:rsidR="00430326" w:rsidRPr="009772A2">
        <w:t>3.</w:t>
      </w:r>
      <w:r w:rsidR="00430326" w:rsidRPr="009772A2">
        <w:tab/>
      </w:r>
      <w:r w:rsidRPr="009772A2">
        <w:t xml:space="preserve">La transformación de la economía de Lesotho de predominantemente agrícola a manufacturera ha mejorado las opciones de subsistencia en las zonas urbanas. Sin embargo, esto ha socavado significativamente la capacidad del sector rural y agropecuario como fuente de sustento, empleo e ingresos. Será, pues, necesario tomar medidas para restituir las fuentes de sustento a la población rural. </w:t>
      </w:r>
    </w:p>
    <w:p w:rsidR="00542BD3" w:rsidRPr="009772A2" w:rsidRDefault="00DE0047" w:rsidP="00DE0047">
      <w:pPr>
        <w:pStyle w:val="H4G"/>
      </w:pPr>
      <w:r w:rsidRPr="009772A2">
        <w:tab/>
      </w:r>
      <w:r w:rsidR="00542BD3" w:rsidRPr="009772A2">
        <w:t>g)</w:t>
      </w:r>
      <w:r w:rsidRPr="009772A2">
        <w:tab/>
      </w:r>
      <w:r w:rsidR="00542BD3" w:rsidRPr="009772A2">
        <w:t>Educación</w:t>
      </w:r>
    </w:p>
    <w:p w:rsidR="00542BD3" w:rsidRPr="009772A2" w:rsidRDefault="00542BD3" w:rsidP="00430326">
      <w:pPr>
        <w:pStyle w:val="SingleTxtG"/>
      </w:pPr>
      <w:r w:rsidRPr="009772A2">
        <w:t>5</w:t>
      </w:r>
      <w:r w:rsidR="00430326" w:rsidRPr="009772A2">
        <w:t>4.</w:t>
      </w:r>
      <w:r w:rsidR="00430326" w:rsidRPr="009772A2">
        <w:tab/>
      </w:r>
      <w:r w:rsidRPr="009772A2">
        <w:t>El Gobierno de Lesotho promulgó en 2010 la Ley de Educación, que estipula el derecho a la educación gratuita y obligatoria, y se ha considerado como un hito prometedor en el logro de los Objetivos de Desarrollo del Milenio relacionados con la enseñanza primaria universal. La educación primaria gratuita ya se estableció en 2000, como una estrategia importante para alcanzar los objetivos de enseñanza primaria universal y educación para todos. Cuando la escolarización no era obligatoria, algunos padres no mandaban a los niños en la escuela.</w:t>
      </w:r>
    </w:p>
    <w:p w:rsidR="00542BD3" w:rsidRPr="009772A2" w:rsidRDefault="00542BD3" w:rsidP="00430326">
      <w:pPr>
        <w:pStyle w:val="SingleTxtG"/>
      </w:pPr>
      <w:r w:rsidRPr="009772A2">
        <w:t>5</w:t>
      </w:r>
      <w:r w:rsidR="00430326" w:rsidRPr="009772A2">
        <w:t>5.</w:t>
      </w:r>
      <w:r w:rsidR="00430326" w:rsidRPr="009772A2">
        <w:tab/>
      </w:r>
      <w:r w:rsidRPr="009772A2">
        <w:t>La Constitución de Lesotho de 1993 estipula, en su artículo 3 1), que "los idiomas oficiales de Lesotho son el sesotho y el inglés". Estos son también los dos idiomas oficiales de la enseñanza a todos los niveles: escuela primaria, escuela secundaria (primero y segundo ciclo), educación terciaria, profesional y universitaria. La apertura de numerosas escuelas medias que imparten enseñanza en inglés también ha generado un uso intensivo del inglés en las escuelas.</w:t>
      </w:r>
    </w:p>
    <w:p w:rsidR="00542BD3" w:rsidRPr="009772A2" w:rsidRDefault="00542BD3" w:rsidP="00430326">
      <w:pPr>
        <w:pStyle w:val="SingleTxtG"/>
      </w:pPr>
      <w:r w:rsidRPr="009772A2">
        <w:t>5</w:t>
      </w:r>
      <w:r w:rsidR="00430326" w:rsidRPr="009772A2">
        <w:t>6.</w:t>
      </w:r>
      <w:r w:rsidR="00430326" w:rsidRPr="009772A2">
        <w:tab/>
      </w:r>
      <w:r w:rsidRPr="009772A2">
        <w:t>El Ministerio de Educación se encarga del programa de estudios de la escuela primaria, en tanto que la preparación de los exámenes del último año (séptimo) está a cargo del Consejo de Exámenes de Lesotho. El primer ciclo de la enseñanza secundaria abarca tres años y se organiza conjuntamente con el Ministerio de Educación del Reino de Swazilandia. La organización de los dos años del segundo ciclo de la escuela secundaria estaba a cargo de la Universidad de Cambridge en Inglaterra, pero ahora se realiza localmente. La escuela secundaria es el medio que da acceso a las instituciones de educación superior, como la universidad, las escuelas normales y las escuelas técnicas y profesionales.</w:t>
      </w:r>
    </w:p>
    <w:p w:rsidR="00542BD3" w:rsidRPr="009772A2" w:rsidRDefault="00542BD3" w:rsidP="00430326">
      <w:pPr>
        <w:pStyle w:val="SingleTxtG"/>
      </w:pPr>
      <w:r w:rsidRPr="009772A2">
        <w:t>5</w:t>
      </w:r>
      <w:r w:rsidR="00430326" w:rsidRPr="009772A2">
        <w:t>7.</w:t>
      </w:r>
      <w:r w:rsidR="00430326" w:rsidRPr="009772A2">
        <w:tab/>
      </w:r>
      <w:r w:rsidRPr="009772A2">
        <w:t xml:space="preserve">Según el </w:t>
      </w:r>
      <w:r w:rsidR="00037A8B" w:rsidRPr="009772A2">
        <w:t>"</w:t>
      </w:r>
      <w:r w:rsidRPr="009772A2">
        <w:t>Informe sobre la educación</w:t>
      </w:r>
      <w:r w:rsidR="00037A8B" w:rsidRPr="009772A2">
        <w:t>"</w:t>
      </w:r>
      <w:r w:rsidRPr="009772A2">
        <w:t xml:space="preserve"> de 2014, Lesotho tenía unas 1.477 escuelas primarias con 366.048 alumnos matriculados, divididos más o menos equitativamente entre varones y de mujeres, y 11.167 maestros, 8.463 de los cuales eran diplomados. Había alrededor de 339 escuelas secundarias con 128.473 estudiantes y 5.267 profesores, 5.043 de los cuales eran diplomados. La población escolar femenina era mayoritaria en este nivel. </w:t>
      </w:r>
    </w:p>
    <w:p w:rsidR="00542BD3" w:rsidRPr="009772A2" w:rsidRDefault="00542BD3" w:rsidP="00430326">
      <w:pPr>
        <w:pStyle w:val="SingleTxtG"/>
      </w:pPr>
      <w:r w:rsidRPr="009772A2">
        <w:t>5</w:t>
      </w:r>
      <w:r w:rsidR="00430326" w:rsidRPr="009772A2">
        <w:t>8.</w:t>
      </w:r>
      <w:r w:rsidR="00430326" w:rsidRPr="009772A2">
        <w:tab/>
      </w:r>
      <w:r w:rsidRPr="009772A2">
        <w:t xml:space="preserve">Después de obtener lo que antes era el Cambridge Overseas School Certificate y ahora el Certificado General de Enseñanza Secundaria de Lesotho, se puede ingresar en instituciones de nivel superior, es decir, establecimientos de educación terciaria o superior. Actualmente hay 14 instituciones reconocidas por el Gobierno de Lesotho, de las cuales nueve son públicas y cinco privadas. Un total de 24.073 estudiantes se inscribieron en estas instituciones </w:t>
      </w:r>
      <w:r w:rsidR="00037A8B" w:rsidRPr="009772A2">
        <w:t>durante el año académico 2012/</w:t>
      </w:r>
      <w:r w:rsidRPr="009772A2">
        <w:t>13: el 58,6% eran mujeres y el 41,4%, varones. El 85,4% de estos estudiantes estaban matriculados en la Universidad Nacional de Lesotho, la Universidad Limkokwing de Technología Creativa, el Politécnico Lerotholi y la Facultad de Educación de Lesotho. Cerca del 59% de los estudiantes de nivel terciario eran mujeres.</w:t>
      </w:r>
    </w:p>
    <w:p w:rsidR="00542BD3" w:rsidRPr="009772A2" w:rsidRDefault="00542BD3" w:rsidP="00430326">
      <w:pPr>
        <w:pStyle w:val="SingleTxtG"/>
      </w:pPr>
      <w:r w:rsidRPr="009772A2">
        <w:t>5</w:t>
      </w:r>
      <w:r w:rsidR="00430326" w:rsidRPr="009772A2">
        <w:t>9.</w:t>
      </w:r>
      <w:r w:rsidR="00430326" w:rsidRPr="009772A2">
        <w:tab/>
      </w:r>
      <w:r w:rsidRPr="009772A2">
        <w:t>Cuando se analizó la matrícula en las escuelas primarias registradas en</w:t>
      </w:r>
      <w:r w:rsidR="00635CB4" w:rsidRPr="009772A2">
        <w:t xml:space="preserve"> los distritos durante 2012/</w:t>
      </w:r>
      <w:r w:rsidRPr="009772A2">
        <w:t>14, se observó que en 2014 Maseru ocupaba el primer lugar (82.487 alumnos), seguido de Leribe (55.915), Berea (44.601) y Mafeteng (37.102). En ese mismo año, Qachas Nek tuvo la matrícula más baja (15.380 alumnos). También se observaron diferencias entre los sexos en los distritos y las regiones. En los distritos de las tierras bajas se matricularon más varones, mientras que en las montañas se verificó la situación contraria.</w:t>
      </w:r>
    </w:p>
    <w:p w:rsidR="00542BD3" w:rsidRPr="009772A2" w:rsidRDefault="00542BD3" w:rsidP="00430326">
      <w:pPr>
        <w:pStyle w:val="SingleTxtG"/>
      </w:pPr>
      <w:r w:rsidRPr="009772A2">
        <w:t>6</w:t>
      </w:r>
      <w:r w:rsidR="00430326" w:rsidRPr="009772A2">
        <w:t>0.</w:t>
      </w:r>
      <w:r w:rsidR="00430326" w:rsidRPr="009772A2">
        <w:tab/>
      </w:r>
      <w:r w:rsidRPr="009772A2">
        <w:t>La distribución de escuelas por distrito refleja que Maseru tiene el mayor número (252), seguido de Leribe (199) y Mohale´s Hoek (171). Butha-Buthe es el distrito con menos escuelas (</w:t>
      </w:r>
      <w:r w:rsidR="00364A76" w:rsidRPr="009772A2">
        <w:t>solo</w:t>
      </w:r>
      <w:r w:rsidRPr="009772A2">
        <w:t xml:space="preserve"> 82). La región montañosa tiene numerosas escuelas pequeñas dispersas por toda la región con un pequeño número de alumnos matriculados.</w:t>
      </w:r>
    </w:p>
    <w:p w:rsidR="00542BD3" w:rsidRPr="009772A2" w:rsidRDefault="00DE0047" w:rsidP="00DE0047">
      <w:pPr>
        <w:pStyle w:val="H23G"/>
        <w:rPr>
          <w:spacing w:val="-2"/>
        </w:rPr>
      </w:pPr>
      <w:r w:rsidRPr="009772A2">
        <w:tab/>
      </w:r>
      <w:r w:rsidRPr="009772A2">
        <w:tab/>
      </w:r>
      <w:r w:rsidR="00542BD3" w:rsidRPr="009772A2">
        <w:rPr>
          <w:spacing w:val="-2"/>
        </w:rPr>
        <w:t>Matriculación en las escuelas primarias registradas,</w:t>
      </w:r>
      <w:r w:rsidRPr="009772A2">
        <w:rPr>
          <w:spacing w:val="-2"/>
        </w:rPr>
        <w:t xml:space="preserve"> por distrito, sexo y año, </w:t>
      </w:r>
      <w:r w:rsidR="00542BD3" w:rsidRPr="009772A2">
        <w:rPr>
          <w:spacing w:val="-2"/>
        </w:rPr>
        <w:t>2012-2014</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66"/>
        <w:gridCol w:w="700"/>
        <w:gridCol w:w="800"/>
        <w:gridCol w:w="700"/>
        <w:gridCol w:w="800"/>
        <w:gridCol w:w="700"/>
        <w:gridCol w:w="900"/>
        <w:gridCol w:w="900"/>
        <w:gridCol w:w="900"/>
        <w:gridCol w:w="939"/>
      </w:tblGrid>
      <w:tr w:rsidR="00DE0047" w:rsidRPr="009772A2">
        <w:trPr>
          <w:trHeight w:val="240"/>
          <w:tblHeader/>
        </w:trPr>
        <w:tc>
          <w:tcPr>
            <w:tcW w:w="1166" w:type="dxa"/>
            <w:vMerge w:val="restart"/>
            <w:tcBorders>
              <w:top w:val="single" w:sz="4" w:space="0" w:color="auto"/>
              <w:bottom w:val="single" w:sz="12" w:space="0" w:color="auto"/>
            </w:tcBorders>
            <w:shd w:val="clear" w:color="auto" w:fill="auto"/>
            <w:vAlign w:val="bottom"/>
          </w:tcPr>
          <w:p w:rsidR="00DE0047" w:rsidRPr="009772A2" w:rsidRDefault="00CB045B" w:rsidP="00DE0047">
            <w:pPr>
              <w:pStyle w:val="Heading1"/>
              <w:spacing w:before="80" w:after="80" w:line="200" w:lineRule="exact"/>
              <w:ind w:left="0" w:right="0"/>
              <w:jc w:val="left"/>
              <w:rPr>
                <w:rFonts w:eastAsia="Arial Unicode MS" w:cs="Times New Roman"/>
                <w:i/>
                <w:sz w:val="16"/>
                <w:szCs w:val="16"/>
              </w:rPr>
            </w:pPr>
            <w:r w:rsidRPr="009772A2">
              <w:rPr>
                <w:rFonts w:cs="Times New Roman"/>
                <w:i/>
                <w:sz w:val="16"/>
                <w:szCs w:val="16"/>
              </w:rPr>
              <w:t>Distrito</w:t>
            </w:r>
          </w:p>
        </w:tc>
        <w:tc>
          <w:tcPr>
            <w:tcW w:w="2200" w:type="dxa"/>
            <w:gridSpan w:val="3"/>
            <w:tcBorders>
              <w:top w:val="single" w:sz="4" w:space="0" w:color="auto"/>
              <w:bottom w:val="single" w:sz="4" w:space="0" w:color="auto"/>
              <w:right w:val="single" w:sz="24" w:space="0" w:color="FFFFFF"/>
            </w:tcBorders>
            <w:shd w:val="clear" w:color="auto" w:fill="auto"/>
            <w:vAlign w:val="bottom"/>
          </w:tcPr>
          <w:p w:rsidR="00DE0047" w:rsidRPr="009772A2" w:rsidRDefault="00DE0047" w:rsidP="00CB045B">
            <w:pPr>
              <w:pStyle w:val="Heading5"/>
              <w:keepNext/>
              <w:spacing w:before="80" w:after="80" w:line="200" w:lineRule="exact"/>
              <w:jc w:val="center"/>
              <w:rPr>
                <w:b w:val="0"/>
                <w:sz w:val="16"/>
                <w:szCs w:val="16"/>
              </w:rPr>
            </w:pPr>
            <w:r w:rsidRPr="009772A2">
              <w:rPr>
                <w:b w:val="0"/>
                <w:sz w:val="16"/>
                <w:szCs w:val="16"/>
              </w:rPr>
              <w:t>2012</w:t>
            </w:r>
          </w:p>
        </w:tc>
        <w:tc>
          <w:tcPr>
            <w:tcW w:w="2400"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DE0047" w:rsidRPr="009772A2" w:rsidRDefault="00DE0047" w:rsidP="00CB045B">
            <w:pPr>
              <w:pStyle w:val="Heading5"/>
              <w:keepNext/>
              <w:spacing w:before="80" w:after="80" w:line="200" w:lineRule="exact"/>
              <w:jc w:val="center"/>
              <w:rPr>
                <w:b w:val="0"/>
                <w:sz w:val="16"/>
                <w:szCs w:val="16"/>
              </w:rPr>
            </w:pPr>
            <w:r w:rsidRPr="009772A2">
              <w:rPr>
                <w:b w:val="0"/>
                <w:sz w:val="16"/>
                <w:szCs w:val="16"/>
              </w:rPr>
              <w:t>2013</w:t>
            </w:r>
          </w:p>
        </w:tc>
        <w:tc>
          <w:tcPr>
            <w:tcW w:w="2739" w:type="dxa"/>
            <w:gridSpan w:val="3"/>
            <w:tcBorders>
              <w:top w:val="single" w:sz="4" w:space="0" w:color="auto"/>
              <w:left w:val="single" w:sz="24" w:space="0" w:color="FFFFFF"/>
              <w:bottom w:val="single" w:sz="4" w:space="0" w:color="auto"/>
            </w:tcBorders>
            <w:shd w:val="clear" w:color="auto" w:fill="auto"/>
            <w:vAlign w:val="bottom"/>
          </w:tcPr>
          <w:p w:rsidR="00DE0047" w:rsidRPr="009772A2" w:rsidRDefault="00DE0047" w:rsidP="00CB045B">
            <w:pPr>
              <w:pStyle w:val="Heading5"/>
              <w:keepNext/>
              <w:spacing w:before="80" w:after="80" w:line="200" w:lineRule="exact"/>
              <w:jc w:val="center"/>
              <w:rPr>
                <w:b w:val="0"/>
                <w:sz w:val="16"/>
                <w:szCs w:val="16"/>
              </w:rPr>
            </w:pPr>
            <w:r w:rsidRPr="009772A2">
              <w:rPr>
                <w:b w:val="0"/>
                <w:sz w:val="16"/>
                <w:szCs w:val="16"/>
              </w:rPr>
              <w:t>2014</w:t>
            </w:r>
          </w:p>
        </w:tc>
      </w:tr>
      <w:tr w:rsidR="00DE0047" w:rsidRPr="009772A2">
        <w:trPr>
          <w:trHeight w:val="240"/>
          <w:tblHeader/>
        </w:trPr>
        <w:tc>
          <w:tcPr>
            <w:tcW w:w="1166" w:type="dxa"/>
            <w:vMerge/>
            <w:tcBorders>
              <w:top w:val="single" w:sz="12" w:space="0" w:color="auto"/>
              <w:bottom w:val="single" w:sz="12" w:space="0" w:color="auto"/>
            </w:tcBorders>
            <w:shd w:val="clear" w:color="auto" w:fill="auto"/>
            <w:vAlign w:val="bottom"/>
          </w:tcPr>
          <w:p w:rsidR="00DE0047" w:rsidRPr="009772A2" w:rsidRDefault="00DE0047" w:rsidP="00DE0047">
            <w:pPr>
              <w:spacing w:before="40" w:after="40" w:line="220" w:lineRule="exact"/>
              <w:rPr>
                <w:rFonts w:eastAsia="Arial Unicode MS"/>
                <w:bCs/>
                <w:i/>
                <w:sz w:val="18"/>
                <w:szCs w:val="16"/>
              </w:rPr>
            </w:pPr>
          </w:p>
        </w:tc>
        <w:tc>
          <w:tcPr>
            <w:tcW w:w="700" w:type="dxa"/>
            <w:tcBorders>
              <w:top w:val="single" w:sz="4" w:space="0" w:color="auto"/>
              <w:bottom w:val="single" w:sz="12" w:space="0" w:color="auto"/>
            </w:tcBorders>
            <w:shd w:val="clear" w:color="auto" w:fill="auto"/>
            <w:vAlign w:val="bottom"/>
          </w:tcPr>
          <w:p w:rsidR="00DE0047" w:rsidRPr="009772A2" w:rsidRDefault="00CB045B" w:rsidP="00DE0047">
            <w:pPr>
              <w:pStyle w:val="Heading5"/>
              <w:spacing w:before="80" w:after="80" w:line="200" w:lineRule="exact"/>
              <w:jc w:val="right"/>
              <w:rPr>
                <w:b w:val="0"/>
                <w:sz w:val="16"/>
                <w:szCs w:val="16"/>
              </w:rPr>
            </w:pPr>
            <w:r w:rsidRPr="009772A2">
              <w:rPr>
                <w:b w:val="0"/>
                <w:sz w:val="16"/>
                <w:szCs w:val="16"/>
              </w:rPr>
              <w:t>Varones</w:t>
            </w:r>
          </w:p>
        </w:tc>
        <w:tc>
          <w:tcPr>
            <w:tcW w:w="800" w:type="dxa"/>
            <w:tcBorders>
              <w:top w:val="single" w:sz="4" w:space="0" w:color="auto"/>
              <w:bottom w:val="single" w:sz="12" w:space="0" w:color="auto"/>
            </w:tcBorders>
            <w:shd w:val="clear" w:color="auto" w:fill="auto"/>
            <w:vAlign w:val="bottom"/>
          </w:tcPr>
          <w:p w:rsidR="00DE0047" w:rsidRPr="009772A2" w:rsidRDefault="00CB045B" w:rsidP="00DE0047">
            <w:pPr>
              <w:pStyle w:val="Heading5"/>
              <w:spacing w:before="80" w:after="80" w:line="200" w:lineRule="exact"/>
              <w:jc w:val="right"/>
              <w:rPr>
                <w:b w:val="0"/>
                <w:sz w:val="16"/>
                <w:szCs w:val="16"/>
              </w:rPr>
            </w:pPr>
            <w:r w:rsidRPr="009772A2">
              <w:rPr>
                <w:b w:val="0"/>
                <w:sz w:val="16"/>
                <w:szCs w:val="16"/>
              </w:rPr>
              <w:t>Mujeres</w:t>
            </w:r>
          </w:p>
        </w:tc>
        <w:tc>
          <w:tcPr>
            <w:tcW w:w="700" w:type="dxa"/>
            <w:tcBorders>
              <w:top w:val="single" w:sz="4" w:space="0" w:color="auto"/>
              <w:bottom w:val="single" w:sz="12" w:space="0" w:color="auto"/>
              <w:right w:val="single" w:sz="24" w:space="0" w:color="FFFFFF"/>
            </w:tcBorders>
            <w:shd w:val="clear" w:color="auto" w:fill="auto"/>
            <w:vAlign w:val="bottom"/>
          </w:tcPr>
          <w:p w:rsidR="00DE0047" w:rsidRPr="009772A2" w:rsidRDefault="00DE0047" w:rsidP="00DE0047">
            <w:pPr>
              <w:pStyle w:val="Heading5"/>
              <w:spacing w:before="80" w:after="80" w:line="200" w:lineRule="exact"/>
              <w:jc w:val="right"/>
              <w:rPr>
                <w:sz w:val="16"/>
                <w:szCs w:val="16"/>
              </w:rPr>
            </w:pPr>
            <w:r w:rsidRPr="009772A2">
              <w:rPr>
                <w:sz w:val="16"/>
                <w:szCs w:val="16"/>
              </w:rPr>
              <w:t>Total</w:t>
            </w:r>
          </w:p>
        </w:tc>
        <w:tc>
          <w:tcPr>
            <w:tcW w:w="800" w:type="dxa"/>
            <w:tcBorders>
              <w:top w:val="single" w:sz="4" w:space="0" w:color="auto"/>
              <w:left w:val="single" w:sz="24" w:space="0" w:color="FFFFFF"/>
              <w:bottom w:val="single" w:sz="12" w:space="0" w:color="auto"/>
            </w:tcBorders>
            <w:shd w:val="clear" w:color="auto" w:fill="auto"/>
            <w:vAlign w:val="bottom"/>
          </w:tcPr>
          <w:p w:rsidR="00DE0047" w:rsidRPr="009772A2" w:rsidRDefault="00CB045B" w:rsidP="00DE0047">
            <w:pPr>
              <w:pStyle w:val="Heading5"/>
              <w:spacing w:before="80" w:after="80" w:line="200" w:lineRule="exact"/>
              <w:jc w:val="right"/>
              <w:rPr>
                <w:b w:val="0"/>
                <w:sz w:val="16"/>
                <w:szCs w:val="16"/>
              </w:rPr>
            </w:pPr>
            <w:r w:rsidRPr="009772A2">
              <w:rPr>
                <w:b w:val="0"/>
                <w:sz w:val="16"/>
                <w:szCs w:val="16"/>
              </w:rPr>
              <w:t>Varones</w:t>
            </w:r>
          </w:p>
        </w:tc>
        <w:tc>
          <w:tcPr>
            <w:tcW w:w="700" w:type="dxa"/>
            <w:tcBorders>
              <w:top w:val="single" w:sz="4" w:space="0" w:color="auto"/>
              <w:bottom w:val="single" w:sz="12" w:space="0" w:color="auto"/>
            </w:tcBorders>
            <w:shd w:val="clear" w:color="auto" w:fill="auto"/>
            <w:vAlign w:val="bottom"/>
          </w:tcPr>
          <w:p w:rsidR="00DE0047" w:rsidRPr="009772A2" w:rsidRDefault="00CB045B" w:rsidP="00DE0047">
            <w:pPr>
              <w:pStyle w:val="Heading5"/>
              <w:spacing w:before="80" w:after="80" w:line="200" w:lineRule="exact"/>
              <w:jc w:val="right"/>
              <w:rPr>
                <w:b w:val="0"/>
                <w:sz w:val="16"/>
                <w:szCs w:val="16"/>
              </w:rPr>
            </w:pPr>
            <w:r w:rsidRPr="009772A2">
              <w:rPr>
                <w:b w:val="0"/>
                <w:sz w:val="16"/>
                <w:szCs w:val="16"/>
              </w:rPr>
              <w:t>Mujeres</w:t>
            </w:r>
          </w:p>
        </w:tc>
        <w:tc>
          <w:tcPr>
            <w:tcW w:w="900" w:type="dxa"/>
            <w:tcBorders>
              <w:top w:val="single" w:sz="4" w:space="0" w:color="auto"/>
              <w:bottom w:val="single" w:sz="12" w:space="0" w:color="auto"/>
              <w:right w:val="single" w:sz="24" w:space="0" w:color="FFFFFF"/>
            </w:tcBorders>
            <w:shd w:val="clear" w:color="auto" w:fill="auto"/>
            <w:vAlign w:val="bottom"/>
          </w:tcPr>
          <w:p w:rsidR="00DE0047" w:rsidRPr="009772A2" w:rsidRDefault="00DE0047" w:rsidP="00DE0047">
            <w:pPr>
              <w:pStyle w:val="Heading5"/>
              <w:spacing w:before="80" w:after="80" w:line="200" w:lineRule="exact"/>
              <w:jc w:val="right"/>
              <w:rPr>
                <w:sz w:val="16"/>
                <w:szCs w:val="16"/>
              </w:rPr>
            </w:pPr>
            <w:r w:rsidRPr="009772A2">
              <w:rPr>
                <w:sz w:val="16"/>
                <w:szCs w:val="16"/>
              </w:rPr>
              <w:t>Total</w:t>
            </w:r>
          </w:p>
        </w:tc>
        <w:tc>
          <w:tcPr>
            <w:tcW w:w="900" w:type="dxa"/>
            <w:tcBorders>
              <w:top w:val="single" w:sz="4" w:space="0" w:color="auto"/>
              <w:left w:val="single" w:sz="24" w:space="0" w:color="FFFFFF"/>
              <w:bottom w:val="single" w:sz="12" w:space="0" w:color="auto"/>
            </w:tcBorders>
            <w:shd w:val="clear" w:color="auto" w:fill="auto"/>
            <w:vAlign w:val="bottom"/>
          </w:tcPr>
          <w:p w:rsidR="00DE0047" w:rsidRPr="009772A2" w:rsidRDefault="00CB045B" w:rsidP="00DE0047">
            <w:pPr>
              <w:pStyle w:val="Heading5"/>
              <w:spacing w:before="80" w:after="80" w:line="200" w:lineRule="exact"/>
              <w:jc w:val="right"/>
              <w:rPr>
                <w:b w:val="0"/>
                <w:sz w:val="16"/>
                <w:szCs w:val="16"/>
              </w:rPr>
            </w:pPr>
            <w:r w:rsidRPr="009772A2">
              <w:rPr>
                <w:b w:val="0"/>
                <w:sz w:val="16"/>
                <w:szCs w:val="16"/>
              </w:rPr>
              <w:t>Varones</w:t>
            </w:r>
          </w:p>
        </w:tc>
        <w:tc>
          <w:tcPr>
            <w:tcW w:w="900" w:type="dxa"/>
            <w:tcBorders>
              <w:top w:val="single" w:sz="4" w:space="0" w:color="auto"/>
              <w:bottom w:val="single" w:sz="12" w:space="0" w:color="auto"/>
            </w:tcBorders>
            <w:shd w:val="clear" w:color="auto" w:fill="auto"/>
            <w:vAlign w:val="bottom"/>
          </w:tcPr>
          <w:p w:rsidR="00DE0047" w:rsidRPr="009772A2" w:rsidRDefault="00CB045B" w:rsidP="00DE0047">
            <w:pPr>
              <w:pStyle w:val="Heading5"/>
              <w:spacing w:before="80" w:after="80" w:line="200" w:lineRule="exact"/>
              <w:jc w:val="right"/>
              <w:rPr>
                <w:b w:val="0"/>
                <w:sz w:val="16"/>
                <w:szCs w:val="16"/>
              </w:rPr>
            </w:pPr>
            <w:r w:rsidRPr="009772A2">
              <w:rPr>
                <w:b w:val="0"/>
                <w:sz w:val="16"/>
                <w:szCs w:val="16"/>
              </w:rPr>
              <w:t>Mujeres</w:t>
            </w:r>
          </w:p>
        </w:tc>
        <w:tc>
          <w:tcPr>
            <w:tcW w:w="939" w:type="dxa"/>
            <w:tcBorders>
              <w:top w:val="single" w:sz="4" w:space="0" w:color="auto"/>
              <w:bottom w:val="single" w:sz="12" w:space="0" w:color="auto"/>
            </w:tcBorders>
            <w:shd w:val="clear" w:color="auto" w:fill="auto"/>
            <w:vAlign w:val="bottom"/>
          </w:tcPr>
          <w:p w:rsidR="00DE0047" w:rsidRPr="009772A2" w:rsidRDefault="00DE0047" w:rsidP="00DE0047">
            <w:pPr>
              <w:pStyle w:val="Heading5"/>
              <w:spacing w:before="80" w:after="80" w:line="200" w:lineRule="exact"/>
              <w:jc w:val="right"/>
              <w:rPr>
                <w:sz w:val="16"/>
                <w:szCs w:val="16"/>
              </w:rPr>
            </w:pPr>
            <w:r w:rsidRPr="009772A2">
              <w:rPr>
                <w:sz w:val="16"/>
                <w:szCs w:val="16"/>
              </w:rPr>
              <w:t>Total</w:t>
            </w:r>
          </w:p>
        </w:tc>
      </w:tr>
      <w:tr w:rsidR="00CB045B" w:rsidRPr="009772A2">
        <w:trPr>
          <w:trHeight w:val="240"/>
        </w:trPr>
        <w:tc>
          <w:tcPr>
            <w:tcW w:w="1166" w:type="dxa"/>
            <w:tcBorders>
              <w:top w:val="single" w:sz="12" w:space="0" w:color="auto"/>
            </w:tcBorders>
            <w:shd w:val="clear" w:color="auto" w:fill="auto"/>
          </w:tcPr>
          <w:p w:rsidR="00DE0047" w:rsidRPr="009772A2" w:rsidRDefault="00DE0047" w:rsidP="00DE0047">
            <w:pPr>
              <w:pStyle w:val="Heading5"/>
              <w:spacing w:before="40" w:after="40" w:line="220" w:lineRule="exact"/>
              <w:rPr>
                <w:b w:val="0"/>
                <w:i w:val="0"/>
                <w:iCs w:val="0"/>
                <w:sz w:val="18"/>
              </w:rPr>
            </w:pPr>
            <w:r w:rsidRPr="009772A2">
              <w:rPr>
                <w:b w:val="0"/>
                <w:i w:val="0"/>
                <w:iCs w:val="0"/>
                <w:sz w:val="18"/>
              </w:rPr>
              <w:t>Butha-Buthe</w:t>
            </w:r>
          </w:p>
        </w:tc>
        <w:tc>
          <w:tcPr>
            <w:tcW w:w="700" w:type="dxa"/>
            <w:tcBorders>
              <w:top w:val="single" w:sz="12" w:space="0" w:color="auto"/>
            </w:tcBorders>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11</w:t>
            </w:r>
            <w:r w:rsidR="00CB045B" w:rsidRPr="009772A2">
              <w:rPr>
                <w:b w:val="0"/>
                <w:bCs w:val="0"/>
                <w:i w:val="0"/>
                <w:sz w:val="18"/>
                <w:szCs w:val="18"/>
              </w:rPr>
              <w:t xml:space="preserve"> </w:t>
            </w:r>
            <w:r w:rsidRPr="009772A2">
              <w:rPr>
                <w:b w:val="0"/>
                <w:bCs w:val="0"/>
                <w:i w:val="0"/>
                <w:sz w:val="18"/>
                <w:szCs w:val="18"/>
              </w:rPr>
              <w:t>572</w:t>
            </w:r>
          </w:p>
        </w:tc>
        <w:tc>
          <w:tcPr>
            <w:tcW w:w="800" w:type="dxa"/>
            <w:tcBorders>
              <w:top w:val="single" w:sz="12" w:space="0" w:color="auto"/>
            </w:tcBorders>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10</w:t>
            </w:r>
            <w:r w:rsidR="00CB045B" w:rsidRPr="009772A2">
              <w:rPr>
                <w:b w:val="0"/>
                <w:bCs w:val="0"/>
                <w:i w:val="0"/>
                <w:sz w:val="18"/>
                <w:szCs w:val="18"/>
              </w:rPr>
              <w:t xml:space="preserve"> </w:t>
            </w:r>
            <w:r w:rsidRPr="009772A2">
              <w:rPr>
                <w:b w:val="0"/>
                <w:bCs w:val="0"/>
                <w:i w:val="0"/>
                <w:sz w:val="18"/>
                <w:szCs w:val="18"/>
              </w:rPr>
              <w:t>823</w:t>
            </w:r>
          </w:p>
        </w:tc>
        <w:tc>
          <w:tcPr>
            <w:tcW w:w="700" w:type="dxa"/>
            <w:tcBorders>
              <w:top w:val="single" w:sz="12" w:space="0" w:color="auto"/>
            </w:tcBorders>
            <w:shd w:val="clear" w:color="auto" w:fill="auto"/>
            <w:vAlign w:val="bottom"/>
          </w:tcPr>
          <w:p w:rsidR="00DE0047" w:rsidRPr="009772A2" w:rsidRDefault="00DE0047" w:rsidP="00DE0047">
            <w:pPr>
              <w:pStyle w:val="Heading5"/>
              <w:spacing w:before="40" w:after="40" w:line="220" w:lineRule="exact"/>
              <w:jc w:val="right"/>
              <w:rPr>
                <w:bCs w:val="0"/>
                <w:i w:val="0"/>
                <w:sz w:val="18"/>
                <w:szCs w:val="18"/>
              </w:rPr>
            </w:pPr>
            <w:r w:rsidRPr="009772A2">
              <w:rPr>
                <w:bCs w:val="0"/>
                <w:i w:val="0"/>
                <w:sz w:val="18"/>
                <w:szCs w:val="18"/>
              </w:rPr>
              <w:t>22</w:t>
            </w:r>
            <w:r w:rsidR="00CB045B" w:rsidRPr="009772A2">
              <w:rPr>
                <w:bCs w:val="0"/>
                <w:i w:val="0"/>
                <w:sz w:val="18"/>
                <w:szCs w:val="18"/>
              </w:rPr>
              <w:t xml:space="preserve"> </w:t>
            </w:r>
            <w:r w:rsidRPr="009772A2">
              <w:rPr>
                <w:bCs w:val="0"/>
                <w:i w:val="0"/>
                <w:sz w:val="18"/>
                <w:szCs w:val="18"/>
              </w:rPr>
              <w:t>395</w:t>
            </w:r>
          </w:p>
        </w:tc>
        <w:tc>
          <w:tcPr>
            <w:tcW w:w="800" w:type="dxa"/>
            <w:tcBorders>
              <w:top w:val="single" w:sz="12" w:space="0" w:color="auto"/>
            </w:tcBorders>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114</w:t>
            </w:r>
            <w:r w:rsidR="00CB045B" w:rsidRPr="009772A2">
              <w:rPr>
                <w:b w:val="0"/>
                <w:bCs w:val="0"/>
                <w:i w:val="0"/>
                <w:sz w:val="18"/>
                <w:szCs w:val="18"/>
              </w:rPr>
              <w:t xml:space="preserve"> </w:t>
            </w:r>
            <w:r w:rsidRPr="009772A2">
              <w:rPr>
                <w:b w:val="0"/>
                <w:bCs w:val="0"/>
                <w:i w:val="0"/>
                <w:sz w:val="18"/>
                <w:szCs w:val="18"/>
              </w:rPr>
              <w:t>266</w:t>
            </w:r>
          </w:p>
        </w:tc>
        <w:tc>
          <w:tcPr>
            <w:tcW w:w="700" w:type="dxa"/>
            <w:tcBorders>
              <w:top w:val="single" w:sz="12" w:space="0" w:color="auto"/>
            </w:tcBorders>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107</w:t>
            </w:r>
            <w:r w:rsidR="00CB045B" w:rsidRPr="009772A2">
              <w:rPr>
                <w:b w:val="0"/>
                <w:bCs w:val="0"/>
                <w:i w:val="0"/>
                <w:sz w:val="18"/>
                <w:szCs w:val="18"/>
              </w:rPr>
              <w:t xml:space="preserve"> </w:t>
            </w:r>
            <w:r w:rsidRPr="009772A2">
              <w:rPr>
                <w:b w:val="0"/>
                <w:bCs w:val="0"/>
                <w:i w:val="0"/>
                <w:sz w:val="18"/>
                <w:szCs w:val="18"/>
              </w:rPr>
              <w:t>787</w:t>
            </w:r>
          </w:p>
        </w:tc>
        <w:tc>
          <w:tcPr>
            <w:tcW w:w="900" w:type="dxa"/>
            <w:tcBorders>
              <w:top w:val="single" w:sz="12" w:space="0" w:color="auto"/>
            </w:tcBorders>
            <w:shd w:val="clear" w:color="auto" w:fill="auto"/>
            <w:vAlign w:val="bottom"/>
          </w:tcPr>
          <w:p w:rsidR="00DE0047" w:rsidRPr="009772A2" w:rsidRDefault="00DE0047" w:rsidP="00DE0047">
            <w:pPr>
              <w:pStyle w:val="Heading5"/>
              <w:spacing w:before="40" w:after="40" w:line="220" w:lineRule="exact"/>
              <w:jc w:val="right"/>
              <w:rPr>
                <w:bCs w:val="0"/>
                <w:i w:val="0"/>
                <w:sz w:val="18"/>
                <w:szCs w:val="18"/>
              </w:rPr>
            </w:pPr>
            <w:r w:rsidRPr="009772A2">
              <w:rPr>
                <w:bCs w:val="0"/>
                <w:i w:val="0"/>
                <w:sz w:val="18"/>
                <w:szCs w:val="18"/>
              </w:rPr>
              <w:t>222</w:t>
            </w:r>
            <w:r w:rsidR="00CB045B" w:rsidRPr="009772A2">
              <w:rPr>
                <w:bCs w:val="0"/>
                <w:i w:val="0"/>
                <w:sz w:val="18"/>
                <w:szCs w:val="18"/>
              </w:rPr>
              <w:t xml:space="preserve"> </w:t>
            </w:r>
            <w:r w:rsidRPr="009772A2">
              <w:rPr>
                <w:bCs w:val="0"/>
                <w:i w:val="0"/>
                <w:sz w:val="18"/>
                <w:szCs w:val="18"/>
              </w:rPr>
              <w:t>043</w:t>
            </w:r>
          </w:p>
        </w:tc>
        <w:tc>
          <w:tcPr>
            <w:tcW w:w="900" w:type="dxa"/>
            <w:tcBorders>
              <w:top w:val="single" w:sz="12" w:space="0" w:color="auto"/>
            </w:tcBorders>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114</w:t>
            </w:r>
            <w:r w:rsidR="00CB045B" w:rsidRPr="009772A2">
              <w:rPr>
                <w:b w:val="0"/>
                <w:bCs w:val="0"/>
                <w:i w:val="0"/>
                <w:sz w:val="18"/>
                <w:szCs w:val="18"/>
              </w:rPr>
              <w:t xml:space="preserve"> </w:t>
            </w:r>
            <w:r w:rsidRPr="009772A2">
              <w:rPr>
                <w:b w:val="0"/>
                <w:bCs w:val="0"/>
                <w:i w:val="0"/>
                <w:sz w:val="18"/>
                <w:szCs w:val="18"/>
              </w:rPr>
              <w:t>367</w:t>
            </w:r>
          </w:p>
        </w:tc>
        <w:tc>
          <w:tcPr>
            <w:tcW w:w="900" w:type="dxa"/>
            <w:tcBorders>
              <w:top w:val="single" w:sz="12" w:space="0" w:color="auto"/>
            </w:tcBorders>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108</w:t>
            </w:r>
            <w:r w:rsidR="00CB045B" w:rsidRPr="009772A2">
              <w:rPr>
                <w:b w:val="0"/>
                <w:bCs w:val="0"/>
                <w:i w:val="0"/>
                <w:sz w:val="18"/>
                <w:szCs w:val="18"/>
              </w:rPr>
              <w:t xml:space="preserve"> </w:t>
            </w:r>
            <w:r w:rsidRPr="009772A2">
              <w:rPr>
                <w:b w:val="0"/>
                <w:bCs w:val="0"/>
                <w:i w:val="0"/>
                <w:sz w:val="18"/>
                <w:szCs w:val="18"/>
              </w:rPr>
              <w:t>235</w:t>
            </w:r>
          </w:p>
        </w:tc>
        <w:tc>
          <w:tcPr>
            <w:tcW w:w="939" w:type="dxa"/>
            <w:tcBorders>
              <w:top w:val="single" w:sz="12" w:space="0" w:color="auto"/>
            </w:tcBorders>
            <w:shd w:val="clear" w:color="auto" w:fill="auto"/>
            <w:vAlign w:val="bottom"/>
          </w:tcPr>
          <w:p w:rsidR="00DE0047" w:rsidRPr="009772A2" w:rsidRDefault="00DE0047" w:rsidP="00DE0047">
            <w:pPr>
              <w:pStyle w:val="Heading5"/>
              <w:spacing w:before="40" w:after="40" w:line="220" w:lineRule="exact"/>
              <w:jc w:val="right"/>
              <w:rPr>
                <w:bCs w:val="0"/>
                <w:i w:val="0"/>
                <w:sz w:val="18"/>
                <w:szCs w:val="18"/>
              </w:rPr>
            </w:pPr>
            <w:r w:rsidRPr="009772A2">
              <w:rPr>
                <w:bCs w:val="0"/>
                <w:i w:val="0"/>
                <w:sz w:val="18"/>
                <w:szCs w:val="18"/>
              </w:rPr>
              <w:t>222</w:t>
            </w:r>
            <w:r w:rsidR="00CB045B" w:rsidRPr="009772A2">
              <w:rPr>
                <w:bCs w:val="0"/>
                <w:i w:val="0"/>
                <w:sz w:val="18"/>
                <w:szCs w:val="18"/>
              </w:rPr>
              <w:t xml:space="preserve"> </w:t>
            </w:r>
            <w:r w:rsidRPr="009772A2">
              <w:rPr>
                <w:bCs w:val="0"/>
                <w:i w:val="0"/>
                <w:sz w:val="18"/>
                <w:szCs w:val="18"/>
              </w:rPr>
              <w:t>592</w:t>
            </w:r>
          </w:p>
        </w:tc>
      </w:tr>
      <w:tr w:rsidR="00CB045B" w:rsidRPr="009772A2">
        <w:trPr>
          <w:trHeight w:val="240"/>
        </w:trPr>
        <w:tc>
          <w:tcPr>
            <w:tcW w:w="1166" w:type="dxa"/>
            <w:tcBorders>
              <w:bottom w:val="nil"/>
            </w:tcBorders>
            <w:shd w:val="clear" w:color="auto" w:fill="auto"/>
          </w:tcPr>
          <w:p w:rsidR="00DE0047" w:rsidRPr="009772A2" w:rsidRDefault="00DE0047" w:rsidP="00DE0047">
            <w:pPr>
              <w:pStyle w:val="Heading5"/>
              <w:spacing w:before="40" w:after="40" w:line="220" w:lineRule="exact"/>
              <w:rPr>
                <w:b w:val="0"/>
                <w:i w:val="0"/>
                <w:iCs w:val="0"/>
                <w:sz w:val="18"/>
              </w:rPr>
            </w:pPr>
            <w:r w:rsidRPr="009772A2">
              <w:rPr>
                <w:b w:val="0"/>
                <w:i w:val="0"/>
                <w:iCs w:val="0"/>
                <w:sz w:val="18"/>
              </w:rPr>
              <w:t>Leribe</w:t>
            </w:r>
          </w:p>
        </w:tc>
        <w:tc>
          <w:tcPr>
            <w:tcW w:w="700" w:type="dxa"/>
            <w:tcBorders>
              <w:bottom w:val="nil"/>
            </w:tcBorders>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30</w:t>
            </w:r>
            <w:r w:rsidR="00CB045B" w:rsidRPr="009772A2">
              <w:rPr>
                <w:b w:val="0"/>
                <w:bCs w:val="0"/>
                <w:i w:val="0"/>
                <w:sz w:val="18"/>
                <w:szCs w:val="18"/>
              </w:rPr>
              <w:t xml:space="preserve"> </w:t>
            </w:r>
            <w:r w:rsidRPr="009772A2">
              <w:rPr>
                <w:b w:val="0"/>
                <w:bCs w:val="0"/>
                <w:i w:val="0"/>
                <w:sz w:val="18"/>
                <w:szCs w:val="18"/>
              </w:rPr>
              <w:t>696</w:t>
            </w:r>
          </w:p>
        </w:tc>
        <w:tc>
          <w:tcPr>
            <w:tcW w:w="800" w:type="dxa"/>
            <w:tcBorders>
              <w:bottom w:val="nil"/>
            </w:tcBorders>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28</w:t>
            </w:r>
            <w:r w:rsidR="00CB045B" w:rsidRPr="009772A2">
              <w:rPr>
                <w:b w:val="0"/>
                <w:bCs w:val="0"/>
                <w:i w:val="0"/>
                <w:sz w:val="18"/>
                <w:szCs w:val="18"/>
              </w:rPr>
              <w:t xml:space="preserve"> </w:t>
            </w:r>
            <w:r w:rsidRPr="009772A2">
              <w:rPr>
                <w:b w:val="0"/>
                <w:bCs w:val="0"/>
                <w:i w:val="0"/>
                <w:sz w:val="18"/>
                <w:szCs w:val="18"/>
              </w:rPr>
              <w:t>445</w:t>
            </w:r>
          </w:p>
        </w:tc>
        <w:tc>
          <w:tcPr>
            <w:tcW w:w="700" w:type="dxa"/>
            <w:tcBorders>
              <w:bottom w:val="nil"/>
            </w:tcBorders>
            <w:shd w:val="clear" w:color="auto" w:fill="auto"/>
            <w:vAlign w:val="bottom"/>
          </w:tcPr>
          <w:p w:rsidR="00DE0047" w:rsidRPr="009772A2" w:rsidRDefault="00DE0047" w:rsidP="00DE0047">
            <w:pPr>
              <w:pStyle w:val="Heading5"/>
              <w:spacing w:before="40" w:after="40" w:line="220" w:lineRule="exact"/>
              <w:jc w:val="right"/>
              <w:rPr>
                <w:bCs w:val="0"/>
                <w:i w:val="0"/>
                <w:sz w:val="18"/>
                <w:szCs w:val="18"/>
              </w:rPr>
            </w:pPr>
            <w:r w:rsidRPr="009772A2">
              <w:rPr>
                <w:bCs w:val="0"/>
                <w:i w:val="0"/>
                <w:sz w:val="18"/>
                <w:szCs w:val="18"/>
              </w:rPr>
              <w:t>59</w:t>
            </w:r>
            <w:r w:rsidR="00CB045B" w:rsidRPr="009772A2">
              <w:rPr>
                <w:bCs w:val="0"/>
                <w:i w:val="0"/>
                <w:sz w:val="18"/>
                <w:szCs w:val="18"/>
              </w:rPr>
              <w:t xml:space="preserve"> </w:t>
            </w:r>
            <w:r w:rsidRPr="009772A2">
              <w:rPr>
                <w:bCs w:val="0"/>
                <w:i w:val="0"/>
                <w:sz w:val="18"/>
                <w:szCs w:val="18"/>
              </w:rPr>
              <w:t>141</w:t>
            </w:r>
          </w:p>
        </w:tc>
        <w:tc>
          <w:tcPr>
            <w:tcW w:w="800" w:type="dxa"/>
            <w:tcBorders>
              <w:bottom w:val="nil"/>
            </w:tcBorders>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29</w:t>
            </w:r>
            <w:r w:rsidR="00CB045B" w:rsidRPr="009772A2">
              <w:rPr>
                <w:b w:val="0"/>
                <w:bCs w:val="0"/>
                <w:i w:val="0"/>
                <w:sz w:val="18"/>
                <w:szCs w:val="18"/>
              </w:rPr>
              <w:t xml:space="preserve"> </w:t>
            </w:r>
            <w:r w:rsidRPr="009772A2">
              <w:rPr>
                <w:b w:val="0"/>
                <w:bCs w:val="0"/>
                <w:i w:val="0"/>
                <w:sz w:val="18"/>
                <w:szCs w:val="18"/>
              </w:rPr>
              <w:t>567</w:t>
            </w:r>
          </w:p>
        </w:tc>
        <w:tc>
          <w:tcPr>
            <w:tcW w:w="700" w:type="dxa"/>
            <w:tcBorders>
              <w:bottom w:val="nil"/>
            </w:tcBorders>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273</w:t>
            </w:r>
            <w:r w:rsidR="00CB045B" w:rsidRPr="009772A2">
              <w:rPr>
                <w:b w:val="0"/>
                <w:bCs w:val="0"/>
                <w:i w:val="0"/>
                <w:sz w:val="18"/>
                <w:szCs w:val="18"/>
              </w:rPr>
              <w:t xml:space="preserve"> </w:t>
            </w:r>
            <w:r w:rsidRPr="009772A2">
              <w:rPr>
                <w:b w:val="0"/>
                <w:bCs w:val="0"/>
                <w:i w:val="0"/>
                <w:sz w:val="18"/>
                <w:szCs w:val="18"/>
              </w:rPr>
              <w:t>343</w:t>
            </w:r>
          </w:p>
        </w:tc>
        <w:tc>
          <w:tcPr>
            <w:tcW w:w="900" w:type="dxa"/>
            <w:tcBorders>
              <w:bottom w:val="nil"/>
            </w:tcBorders>
            <w:shd w:val="clear" w:color="auto" w:fill="auto"/>
            <w:vAlign w:val="bottom"/>
          </w:tcPr>
          <w:p w:rsidR="00DE0047" w:rsidRPr="009772A2" w:rsidRDefault="00DE0047" w:rsidP="00DE0047">
            <w:pPr>
              <w:pStyle w:val="Heading5"/>
              <w:spacing w:before="40" w:after="40" w:line="220" w:lineRule="exact"/>
              <w:jc w:val="right"/>
              <w:rPr>
                <w:bCs w:val="0"/>
                <w:i w:val="0"/>
                <w:sz w:val="18"/>
                <w:szCs w:val="18"/>
              </w:rPr>
            </w:pPr>
            <w:r w:rsidRPr="009772A2">
              <w:rPr>
                <w:bCs w:val="0"/>
                <w:i w:val="0"/>
                <w:sz w:val="18"/>
                <w:szCs w:val="18"/>
              </w:rPr>
              <w:t>569</w:t>
            </w:r>
            <w:r w:rsidR="00CB045B" w:rsidRPr="009772A2">
              <w:rPr>
                <w:bCs w:val="0"/>
                <w:i w:val="0"/>
                <w:sz w:val="18"/>
                <w:szCs w:val="18"/>
              </w:rPr>
              <w:t xml:space="preserve"> </w:t>
            </w:r>
            <w:r w:rsidRPr="009772A2">
              <w:rPr>
                <w:bCs w:val="0"/>
                <w:i w:val="0"/>
                <w:sz w:val="18"/>
                <w:szCs w:val="18"/>
              </w:rPr>
              <w:t>101</w:t>
            </w:r>
          </w:p>
        </w:tc>
        <w:tc>
          <w:tcPr>
            <w:tcW w:w="900" w:type="dxa"/>
            <w:tcBorders>
              <w:bottom w:val="nil"/>
            </w:tcBorders>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289</w:t>
            </w:r>
            <w:r w:rsidR="00CB045B" w:rsidRPr="009772A2">
              <w:rPr>
                <w:b w:val="0"/>
                <w:bCs w:val="0"/>
                <w:i w:val="0"/>
                <w:sz w:val="18"/>
                <w:szCs w:val="18"/>
              </w:rPr>
              <w:t xml:space="preserve"> </w:t>
            </w:r>
            <w:r w:rsidRPr="009772A2">
              <w:rPr>
                <w:b w:val="0"/>
                <w:bCs w:val="0"/>
                <w:i w:val="0"/>
                <w:sz w:val="18"/>
                <w:szCs w:val="18"/>
              </w:rPr>
              <w:t>102</w:t>
            </w:r>
          </w:p>
        </w:tc>
        <w:tc>
          <w:tcPr>
            <w:tcW w:w="900" w:type="dxa"/>
            <w:tcBorders>
              <w:bottom w:val="nil"/>
            </w:tcBorders>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270</w:t>
            </w:r>
            <w:r w:rsidR="00CB045B" w:rsidRPr="009772A2">
              <w:rPr>
                <w:b w:val="0"/>
                <w:bCs w:val="0"/>
                <w:i w:val="0"/>
                <w:sz w:val="18"/>
                <w:szCs w:val="18"/>
              </w:rPr>
              <w:t xml:space="preserve"> </w:t>
            </w:r>
            <w:r w:rsidRPr="009772A2">
              <w:rPr>
                <w:b w:val="0"/>
                <w:bCs w:val="0"/>
                <w:i w:val="0"/>
                <w:sz w:val="18"/>
                <w:szCs w:val="18"/>
              </w:rPr>
              <w:t>056</w:t>
            </w:r>
          </w:p>
        </w:tc>
        <w:tc>
          <w:tcPr>
            <w:tcW w:w="939" w:type="dxa"/>
            <w:tcBorders>
              <w:bottom w:val="nil"/>
            </w:tcBorders>
            <w:shd w:val="clear" w:color="auto" w:fill="auto"/>
            <w:vAlign w:val="bottom"/>
          </w:tcPr>
          <w:p w:rsidR="00DE0047" w:rsidRPr="009772A2" w:rsidRDefault="00DE0047" w:rsidP="00DE0047">
            <w:pPr>
              <w:pStyle w:val="Heading5"/>
              <w:spacing w:before="40" w:after="40" w:line="220" w:lineRule="exact"/>
              <w:jc w:val="right"/>
              <w:rPr>
                <w:bCs w:val="0"/>
                <w:i w:val="0"/>
                <w:sz w:val="18"/>
                <w:szCs w:val="18"/>
              </w:rPr>
            </w:pPr>
            <w:r w:rsidRPr="009772A2">
              <w:rPr>
                <w:bCs w:val="0"/>
                <w:i w:val="0"/>
                <w:sz w:val="18"/>
                <w:szCs w:val="18"/>
              </w:rPr>
              <w:t>559</w:t>
            </w:r>
            <w:r w:rsidR="00CB045B" w:rsidRPr="009772A2">
              <w:rPr>
                <w:bCs w:val="0"/>
                <w:i w:val="0"/>
                <w:sz w:val="18"/>
                <w:szCs w:val="18"/>
              </w:rPr>
              <w:t xml:space="preserve"> </w:t>
            </w:r>
            <w:r w:rsidRPr="009772A2">
              <w:rPr>
                <w:bCs w:val="0"/>
                <w:i w:val="0"/>
                <w:sz w:val="18"/>
                <w:szCs w:val="18"/>
              </w:rPr>
              <w:t>158</w:t>
            </w:r>
          </w:p>
        </w:tc>
      </w:tr>
      <w:tr w:rsidR="00CB045B" w:rsidRPr="009772A2">
        <w:trPr>
          <w:trHeight w:val="240"/>
        </w:trPr>
        <w:tc>
          <w:tcPr>
            <w:tcW w:w="1166" w:type="dxa"/>
            <w:tcBorders>
              <w:top w:val="nil"/>
              <w:bottom w:val="nil"/>
            </w:tcBorders>
            <w:shd w:val="clear" w:color="auto" w:fill="auto"/>
          </w:tcPr>
          <w:p w:rsidR="00DE0047" w:rsidRPr="009772A2" w:rsidRDefault="00DE0047" w:rsidP="00DE0047">
            <w:pPr>
              <w:pStyle w:val="Heading5"/>
              <w:spacing w:before="40" w:after="40" w:line="220" w:lineRule="exact"/>
              <w:rPr>
                <w:b w:val="0"/>
                <w:i w:val="0"/>
                <w:iCs w:val="0"/>
                <w:sz w:val="18"/>
              </w:rPr>
            </w:pPr>
            <w:r w:rsidRPr="009772A2">
              <w:rPr>
                <w:b w:val="0"/>
                <w:i w:val="0"/>
                <w:iCs w:val="0"/>
                <w:sz w:val="18"/>
              </w:rPr>
              <w:t>Berea</w:t>
            </w:r>
          </w:p>
        </w:tc>
        <w:tc>
          <w:tcPr>
            <w:tcW w:w="700" w:type="dxa"/>
            <w:tcBorders>
              <w:top w:val="nil"/>
              <w:bottom w:val="nil"/>
            </w:tcBorders>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24</w:t>
            </w:r>
            <w:r w:rsidR="00CB045B" w:rsidRPr="009772A2">
              <w:rPr>
                <w:b w:val="0"/>
                <w:bCs w:val="0"/>
                <w:i w:val="0"/>
                <w:sz w:val="18"/>
                <w:szCs w:val="18"/>
              </w:rPr>
              <w:t xml:space="preserve"> </w:t>
            </w:r>
            <w:r w:rsidRPr="009772A2">
              <w:rPr>
                <w:b w:val="0"/>
                <w:bCs w:val="0"/>
                <w:i w:val="0"/>
                <w:sz w:val="18"/>
                <w:szCs w:val="18"/>
              </w:rPr>
              <w:t>525</w:t>
            </w:r>
          </w:p>
        </w:tc>
        <w:tc>
          <w:tcPr>
            <w:tcW w:w="800" w:type="dxa"/>
            <w:tcBorders>
              <w:top w:val="nil"/>
              <w:bottom w:val="nil"/>
            </w:tcBorders>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22</w:t>
            </w:r>
            <w:r w:rsidR="00CB045B" w:rsidRPr="009772A2">
              <w:rPr>
                <w:b w:val="0"/>
                <w:bCs w:val="0"/>
                <w:i w:val="0"/>
                <w:sz w:val="18"/>
                <w:szCs w:val="18"/>
              </w:rPr>
              <w:t xml:space="preserve"> </w:t>
            </w:r>
            <w:r w:rsidRPr="009772A2">
              <w:rPr>
                <w:b w:val="0"/>
                <w:bCs w:val="0"/>
                <w:i w:val="0"/>
                <w:sz w:val="18"/>
                <w:szCs w:val="18"/>
              </w:rPr>
              <w:t>345</w:t>
            </w:r>
          </w:p>
        </w:tc>
        <w:tc>
          <w:tcPr>
            <w:tcW w:w="700" w:type="dxa"/>
            <w:tcBorders>
              <w:top w:val="nil"/>
              <w:bottom w:val="nil"/>
            </w:tcBorders>
            <w:shd w:val="clear" w:color="auto" w:fill="auto"/>
            <w:vAlign w:val="bottom"/>
          </w:tcPr>
          <w:p w:rsidR="00DE0047" w:rsidRPr="009772A2" w:rsidRDefault="00DE0047" w:rsidP="00DE0047">
            <w:pPr>
              <w:pStyle w:val="Heading5"/>
              <w:spacing w:before="40" w:after="40" w:line="220" w:lineRule="exact"/>
              <w:jc w:val="right"/>
              <w:rPr>
                <w:bCs w:val="0"/>
                <w:i w:val="0"/>
                <w:sz w:val="18"/>
                <w:szCs w:val="18"/>
              </w:rPr>
            </w:pPr>
            <w:r w:rsidRPr="009772A2">
              <w:rPr>
                <w:bCs w:val="0"/>
                <w:i w:val="0"/>
                <w:sz w:val="18"/>
                <w:szCs w:val="18"/>
              </w:rPr>
              <w:t>46</w:t>
            </w:r>
            <w:r w:rsidR="00CB045B" w:rsidRPr="009772A2">
              <w:rPr>
                <w:bCs w:val="0"/>
                <w:i w:val="0"/>
                <w:sz w:val="18"/>
                <w:szCs w:val="18"/>
              </w:rPr>
              <w:t xml:space="preserve"> </w:t>
            </w:r>
            <w:r w:rsidRPr="009772A2">
              <w:rPr>
                <w:bCs w:val="0"/>
                <w:i w:val="0"/>
                <w:sz w:val="18"/>
                <w:szCs w:val="18"/>
              </w:rPr>
              <w:t>870</w:t>
            </w:r>
          </w:p>
        </w:tc>
        <w:tc>
          <w:tcPr>
            <w:tcW w:w="800" w:type="dxa"/>
            <w:tcBorders>
              <w:top w:val="nil"/>
              <w:bottom w:val="nil"/>
            </w:tcBorders>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23</w:t>
            </w:r>
            <w:r w:rsidR="00CB045B" w:rsidRPr="009772A2">
              <w:rPr>
                <w:b w:val="0"/>
                <w:bCs w:val="0"/>
                <w:i w:val="0"/>
                <w:sz w:val="18"/>
                <w:szCs w:val="18"/>
              </w:rPr>
              <w:t xml:space="preserve"> </w:t>
            </w:r>
            <w:r w:rsidRPr="009772A2">
              <w:rPr>
                <w:b w:val="0"/>
                <w:bCs w:val="0"/>
                <w:i w:val="0"/>
                <w:sz w:val="18"/>
                <w:szCs w:val="18"/>
              </w:rPr>
              <w:t>695</w:t>
            </w:r>
          </w:p>
        </w:tc>
        <w:tc>
          <w:tcPr>
            <w:tcW w:w="700" w:type="dxa"/>
            <w:tcBorders>
              <w:top w:val="nil"/>
              <w:bottom w:val="nil"/>
            </w:tcBorders>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21</w:t>
            </w:r>
            <w:r w:rsidR="00CB045B" w:rsidRPr="009772A2">
              <w:rPr>
                <w:b w:val="0"/>
                <w:bCs w:val="0"/>
                <w:i w:val="0"/>
                <w:sz w:val="18"/>
                <w:szCs w:val="18"/>
              </w:rPr>
              <w:t xml:space="preserve"> </w:t>
            </w:r>
            <w:r w:rsidRPr="009772A2">
              <w:rPr>
                <w:b w:val="0"/>
                <w:bCs w:val="0"/>
                <w:i w:val="0"/>
                <w:sz w:val="18"/>
                <w:szCs w:val="18"/>
              </w:rPr>
              <w:t>631</w:t>
            </w:r>
          </w:p>
        </w:tc>
        <w:tc>
          <w:tcPr>
            <w:tcW w:w="900" w:type="dxa"/>
            <w:tcBorders>
              <w:top w:val="nil"/>
              <w:bottom w:val="nil"/>
            </w:tcBorders>
            <w:shd w:val="clear" w:color="auto" w:fill="auto"/>
            <w:vAlign w:val="bottom"/>
          </w:tcPr>
          <w:p w:rsidR="00DE0047" w:rsidRPr="009772A2" w:rsidRDefault="00DE0047" w:rsidP="00DE0047">
            <w:pPr>
              <w:pStyle w:val="Heading5"/>
              <w:spacing w:before="40" w:after="40" w:line="220" w:lineRule="exact"/>
              <w:jc w:val="right"/>
              <w:rPr>
                <w:bCs w:val="0"/>
                <w:i w:val="0"/>
                <w:sz w:val="18"/>
                <w:szCs w:val="18"/>
              </w:rPr>
            </w:pPr>
            <w:r w:rsidRPr="009772A2">
              <w:rPr>
                <w:bCs w:val="0"/>
                <w:i w:val="0"/>
                <w:sz w:val="18"/>
                <w:szCs w:val="18"/>
              </w:rPr>
              <w:t>453</w:t>
            </w:r>
            <w:r w:rsidR="00CB045B" w:rsidRPr="009772A2">
              <w:rPr>
                <w:bCs w:val="0"/>
                <w:i w:val="0"/>
                <w:sz w:val="18"/>
                <w:szCs w:val="18"/>
              </w:rPr>
              <w:t xml:space="preserve"> </w:t>
            </w:r>
            <w:r w:rsidRPr="009772A2">
              <w:rPr>
                <w:bCs w:val="0"/>
                <w:i w:val="0"/>
                <w:sz w:val="18"/>
                <w:szCs w:val="18"/>
              </w:rPr>
              <w:t>264</w:t>
            </w:r>
          </w:p>
        </w:tc>
        <w:tc>
          <w:tcPr>
            <w:tcW w:w="900" w:type="dxa"/>
            <w:tcBorders>
              <w:top w:val="nil"/>
              <w:bottom w:val="nil"/>
            </w:tcBorders>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232</w:t>
            </w:r>
            <w:r w:rsidR="00CB045B" w:rsidRPr="009772A2">
              <w:rPr>
                <w:b w:val="0"/>
                <w:bCs w:val="0"/>
                <w:i w:val="0"/>
                <w:sz w:val="18"/>
                <w:szCs w:val="18"/>
              </w:rPr>
              <w:t xml:space="preserve"> </w:t>
            </w:r>
            <w:r w:rsidRPr="009772A2">
              <w:rPr>
                <w:b w:val="0"/>
                <w:bCs w:val="0"/>
                <w:i w:val="0"/>
                <w:sz w:val="18"/>
                <w:szCs w:val="18"/>
              </w:rPr>
              <w:t>652</w:t>
            </w:r>
          </w:p>
        </w:tc>
        <w:tc>
          <w:tcPr>
            <w:tcW w:w="900" w:type="dxa"/>
            <w:tcBorders>
              <w:top w:val="nil"/>
              <w:bottom w:val="nil"/>
            </w:tcBorders>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213</w:t>
            </w:r>
            <w:r w:rsidR="00CB045B" w:rsidRPr="009772A2">
              <w:rPr>
                <w:b w:val="0"/>
                <w:bCs w:val="0"/>
                <w:i w:val="0"/>
                <w:sz w:val="18"/>
                <w:szCs w:val="18"/>
              </w:rPr>
              <w:t xml:space="preserve"> </w:t>
            </w:r>
            <w:r w:rsidRPr="009772A2">
              <w:rPr>
                <w:b w:val="0"/>
                <w:bCs w:val="0"/>
                <w:i w:val="0"/>
                <w:sz w:val="18"/>
                <w:szCs w:val="18"/>
              </w:rPr>
              <w:t>363</w:t>
            </w:r>
          </w:p>
        </w:tc>
        <w:tc>
          <w:tcPr>
            <w:tcW w:w="939" w:type="dxa"/>
            <w:tcBorders>
              <w:top w:val="nil"/>
              <w:bottom w:val="nil"/>
            </w:tcBorders>
            <w:shd w:val="clear" w:color="auto" w:fill="auto"/>
            <w:vAlign w:val="bottom"/>
          </w:tcPr>
          <w:p w:rsidR="00DE0047" w:rsidRPr="009772A2" w:rsidRDefault="00DE0047" w:rsidP="00DE0047">
            <w:pPr>
              <w:pStyle w:val="Heading5"/>
              <w:spacing w:before="40" w:after="40" w:line="220" w:lineRule="exact"/>
              <w:jc w:val="right"/>
              <w:rPr>
                <w:bCs w:val="0"/>
                <w:i w:val="0"/>
                <w:sz w:val="18"/>
                <w:szCs w:val="18"/>
              </w:rPr>
            </w:pPr>
            <w:r w:rsidRPr="009772A2">
              <w:rPr>
                <w:bCs w:val="0"/>
                <w:i w:val="0"/>
                <w:sz w:val="18"/>
                <w:szCs w:val="18"/>
              </w:rPr>
              <w:t>446</w:t>
            </w:r>
            <w:r w:rsidR="00CB045B" w:rsidRPr="009772A2">
              <w:rPr>
                <w:bCs w:val="0"/>
                <w:i w:val="0"/>
                <w:sz w:val="18"/>
                <w:szCs w:val="18"/>
              </w:rPr>
              <w:t xml:space="preserve"> </w:t>
            </w:r>
            <w:r w:rsidRPr="009772A2">
              <w:rPr>
                <w:bCs w:val="0"/>
                <w:i w:val="0"/>
                <w:sz w:val="18"/>
                <w:szCs w:val="18"/>
              </w:rPr>
              <w:t>015</w:t>
            </w:r>
          </w:p>
        </w:tc>
      </w:tr>
      <w:tr w:rsidR="00CB045B" w:rsidRPr="009772A2">
        <w:trPr>
          <w:trHeight w:val="240"/>
        </w:trPr>
        <w:tc>
          <w:tcPr>
            <w:tcW w:w="1166" w:type="dxa"/>
            <w:tcBorders>
              <w:top w:val="nil"/>
            </w:tcBorders>
            <w:shd w:val="clear" w:color="auto" w:fill="auto"/>
          </w:tcPr>
          <w:p w:rsidR="00DE0047" w:rsidRPr="009772A2" w:rsidRDefault="00DE0047" w:rsidP="00DE0047">
            <w:pPr>
              <w:pStyle w:val="Heading5"/>
              <w:spacing w:before="40" w:after="40" w:line="220" w:lineRule="exact"/>
              <w:rPr>
                <w:b w:val="0"/>
                <w:i w:val="0"/>
                <w:iCs w:val="0"/>
                <w:sz w:val="18"/>
              </w:rPr>
            </w:pPr>
            <w:r w:rsidRPr="009772A2">
              <w:rPr>
                <w:b w:val="0"/>
                <w:i w:val="0"/>
                <w:iCs w:val="0"/>
                <w:sz w:val="18"/>
              </w:rPr>
              <w:t>Maseru</w:t>
            </w:r>
          </w:p>
        </w:tc>
        <w:tc>
          <w:tcPr>
            <w:tcW w:w="700" w:type="dxa"/>
            <w:tcBorders>
              <w:top w:val="nil"/>
            </w:tcBorders>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43</w:t>
            </w:r>
            <w:r w:rsidR="00CB045B" w:rsidRPr="009772A2">
              <w:rPr>
                <w:b w:val="0"/>
                <w:bCs w:val="0"/>
                <w:i w:val="0"/>
                <w:sz w:val="18"/>
                <w:szCs w:val="18"/>
              </w:rPr>
              <w:t xml:space="preserve"> </w:t>
            </w:r>
            <w:r w:rsidRPr="009772A2">
              <w:rPr>
                <w:b w:val="0"/>
                <w:bCs w:val="0"/>
                <w:i w:val="0"/>
                <w:sz w:val="18"/>
                <w:szCs w:val="18"/>
              </w:rPr>
              <w:t xml:space="preserve">186 </w:t>
            </w:r>
          </w:p>
        </w:tc>
        <w:tc>
          <w:tcPr>
            <w:tcW w:w="800" w:type="dxa"/>
            <w:tcBorders>
              <w:top w:val="nil"/>
            </w:tcBorders>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41</w:t>
            </w:r>
            <w:r w:rsidR="00CB045B" w:rsidRPr="009772A2">
              <w:rPr>
                <w:b w:val="0"/>
                <w:bCs w:val="0"/>
                <w:i w:val="0"/>
                <w:sz w:val="18"/>
                <w:szCs w:val="18"/>
              </w:rPr>
              <w:t xml:space="preserve"> </w:t>
            </w:r>
            <w:r w:rsidRPr="009772A2">
              <w:rPr>
                <w:b w:val="0"/>
                <w:bCs w:val="0"/>
                <w:i w:val="0"/>
                <w:sz w:val="18"/>
                <w:szCs w:val="18"/>
              </w:rPr>
              <w:t>314</w:t>
            </w:r>
          </w:p>
        </w:tc>
        <w:tc>
          <w:tcPr>
            <w:tcW w:w="700" w:type="dxa"/>
            <w:tcBorders>
              <w:top w:val="nil"/>
            </w:tcBorders>
            <w:shd w:val="clear" w:color="auto" w:fill="auto"/>
            <w:vAlign w:val="bottom"/>
          </w:tcPr>
          <w:p w:rsidR="00DE0047" w:rsidRPr="009772A2" w:rsidRDefault="00DE0047" w:rsidP="00DE0047">
            <w:pPr>
              <w:pStyle w:val="Heading5"/>
              <w:spacing w:before="40" w:after="40" w:line="220" w:lineRule="exact"/>
              <w:jc w:val="right"/>
              <w:rPr>
                <w:bCs w:val="0"/>
                <w:i w:val="0"/>
                <w:sz w:val="18"/>
                <w:szCs w:val="18"/>
              </w:rPr>
            </w:pPr>
            <w:r w:rsidRPr="009772A2">
              <w:rPr>
                <w:bCs w:val="0"/>
                <w:i w:val="0"/>
                <w:sz w:val="18"/>
                <w:szCs w:val="18"/>
              </w:rPr>
              <w:t>84</w:t>
            </w:r>
            <w:r w:rsidR="00CB045B" w:rsidRPr="009772A2">
              <w:rPr>
                <w:bCs w:val="0"/>
                <w:i w:val="0"/>
                <w:sz w:val="18"/>
                <w:szCs w:val="18"/>
              </w:rPr>
              <w:t xml:space="preserve"> </w:t>
            </w:r>
            <w:r w:rsidRPr="009772A2">
              <w:rPr>
                <w:bCs w:val="0"/>
                <w:i w:val="0"/>
                <w:sz w:val="18"/>
                <w:szCs w:val="18"/>
              </w:rPr>
              <w:t>500</w:t>
            </w:r>
          </w:p>
        </w:tc>
        <w:tc>
          <w:tcPr>
            <w:tcW w:w="800" w:type="dxa"/>
            <w:tcBorders>
              <w:top w:val="nil"/>
            </w:tcBorders>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42</w:t>
            </w:r>
            <w:r w:rsidR="00CB045B" w:rsidRPr="009772A2">
              <w:rPr>
                <w:b w:val="0"/>
                <w:bCs w:val="0"/>
                <w:i w:val="0"/>
                <w:sz w:val="18"/>
                <w:szCs w:val="18"/>
              </w:rPr>
              <w:t xml:space="preserve"> </w:t>
            </w:r>
            <w:r w:rsidRPr="009772A2">
              <w:rPr>
                <w:b w:val="0"/>
                <w:bCs w:val="0"/>
                <w:i w:val="0"/>
                <w:sz w:val="18"/>
                <w:szCs w:val="18"/>
              </w:rPr>
              <w:t>445</w:t>
            </w:r>
          </w:p>
        </w:tc>
        <w:tc>
          <w:tcPr>
            <w:tcW w:w="700" w:type="dxa"/>
            <w:tcBorders>
              <w:top w:val="nil"/>
            </w:tcBorders>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40</w:t>
            </w:r>
            <w:r w:rsidR="00CB045B" w:rsidRPr="009772A2">
              <w:rPr>
                <w:b w:val="0"/>
                <w:bCs w:val="0"/>
                <w:i w:val="0"/>
                <w:sz w:val="18"/>
                <w:szCs w:val="18"/>
              </w:rPr>
              <w:t xml:space="preserve"> </w:t>
            </w:r>
            <w:r w:rsidRPr="009772A2">
              <w:rPr>
                <w:b w:val="0"/>
                <w:bCs w:val="0"/>
                <w:i w:val="0"/>
                <w:sz w:val="18"/>
                <w:szCs w:val="18"/>
              </w:rPr>
              <w:t>478</w:t>
            </w:r>
          </w:p>
        </w:tc>
        <w:tc>
          <w:tcPr>
            <w:tcW w:w="900" w:type="dxa"/>
            <w:tcBorders>
              <w:top w:val="nil"/>
            </w:tcBorders>
            <w:shd w:val="clear" w:color="auto" w:fill="auto"/>
            <w:vAlign w:val="bottom"/>
          </w:tcPr>
          <w:p w:rsidR="00DE0047" w:rsidRPr="009772A2" w:rsidRDefault="00DE0047" w:rsidP="00DE0047">
            <w:pPr>
              <w:pStyle w:val="Heading5"/>
              <w:spacing w:before="40" w:after="40" w:line="220" w:lineRule="exact"/>
              <w:jc w:val="right"/>
              <w:rPr>
                <w:bCs w:val="0"/>
                <w:i w:val="0"/>
                <w:sz w:val="18"/>
                <w:szCs w:val="18"/>
              </w:rPr>
            </w:pPr>
            <w:r w:rsidRPr="009772A2">
              <w:rPr>
                <w:bCs w:val="0"/>
                <w:i w:val="0"/>
                <w:sz w:val="18"/>
                <w:szCs w:val="18"/>
              </w:rPr>
              <w:t>829</w:t>
            </w:r>
            <w:r w:rsidR="00CB045B" w:rsidRPr="009772A2">
              <w:rPr>
                <w:bCs w:val="0"/>
                <w:i w:val="0"/>
                <w:sz w:val="18"/>
                <w:szCs w:val="18"/>
              </w:rPr>
              <w:t xml:space="preserve"> </w:t>
            </w:r>
            <w:r w:rsidRPr="009772A2">
              <w:rPr>
                <w:bCs w:val="0"/>
                <w:i w:val="0"/>
                <w:sz w:val="18"/>
                <w:szCs w:val="18"/>
              </w:rPr>
              <w:t>237</w:t>
            </w:r>
          </w:p>
        </w:tc>
        <w:tc>
          <w:tcPr>
            <w:tcW w:w="900" w:type="dxa"/>
            <w:tcBorders>
              <w:top w:val="nil"/>
            </w:tcBorders>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424</w:t>
            </w:r>
            <w:r w:rsidR="00CB045B" w:rsidRPr="009772A2">
              <w:rPr>
                <w:b w:val="0"/>
                <w:bCs w:val="0"/>
                <w:i w:val="0"/>
                <w:sz w:val="18"/>
                <w:szCs w:val="18"/>
              </w:rPr>
              <w:t xml:space="preserve"> </w:t>
            </w:r>
            <w:r w:rsidRPr="009772A2">
              <w:rPr>
                <w:b w:val="0"/>
                <w:bCs w:val="0"/>
                <w:i w:val="0"/>
                <w:sz w:val="18"/>
                <w:szCs w:val="18"/>
              </w:rPr>
              <w:t>075</w:t>
            </w:r>
          </w:p>
        </w:tc>
        <w:tc>
          <w:tcPr>
            <w:tcW w:w="900" w:type="dxa"/>
            <w:tcBorders>
              <w:top w:val="nil"/>
            </w:tcBorders>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400</w:t>
            </w:r>
            <w:r w:rsidR="00CB045B" w:rsidRPr="009772A2">
              <w:rPr>
                <w:b w:val="0"/>
                <w:bCs w:val="0"/>
                <w:i w:val="0"/>
                <w:sz w:val="18"/>
                <w:szCs w:val="18"/>
              </w:rPr>
              <w:t xml:space="preserve"> </w:t>
            </w:r>
            <w:r w:rsidRPr="009772A2">
              <w:rPr>
                <w:b w:val="0"/>
                <w:bCs w:val="0"/>
                <w:i w:val="0"/>
                <w:sz w:val="18"/>
                <w:szCs w:val="18"/>
              </w:rPr>
              <w:t>803</w:t>
            </w:r>
          </w:p>
        </w:tc>
        <w:tc>
          <w:tcPr>
            <w:tcW w:w="939" w:type="dxa"/>
            <w:tcBorders>
              <w:top w:val="nil"/>
            </w:tcBorders>
            <w:shd w:val="clear" w:color="auto" w:fill="auto"/>
            <w:vAlign w:val="bottom"/>
          </w:tcPr>
          <w:p w:rsidR="00DE0047" w:rsidRPr="009772A2" w:rsidRDefault="00DE0047" w:rsidP="00DE0047">
            <w:pPr>
              <w:pStyle w:val="Heading5"/>
              <w:spacing w:before="40" w:after="40" w:line="220" w:lineRule="exact"/>
              <w:jc w:val="right"/>
              <w:rPr>
                <w:bCs w:val="0"/>
                <w:i w:val="0"/>
                <w:sz w:val="18"/>
                <w:szCs w:val="18"/>
              </w:rPr>
            </w:pPr>
            <w:r w:rsidRPr="009772A2">
              <w:rPr>
                <w:bCs w:val="0"/>
                <w:i w:val="0"/>
                <w:sz w:val="18"/>
                <w:szCs w:val="18"/>
              </w:rPr>
              <w:t>824</w:t>
            </w:r>
            <w:r w:rsidR="00CB045B" w:rsidRPr="009772A2">
              <w:rPr>
                <w:bCs w:val="0"/>
                <w:i w:val="0"/>
                <w:sz w:val="18"/>
                <w:szCs w:val="18"/>
              </w:rPr>
              <w:t xml:space="preserve"> </w:t>
            </w:r>
            <w:r w:rsidRPr="009772A2">
              <w:rPr>
                <w:bCs w:val="0"/>
                <w:i w:val="0"/>
                <w:sz w:val="18"/>
                <w:szCs w:val="18"/>
              </w:rPr>
              <w:t>878</w:t>
            </w:r>
          </w:p>
        </w:tc>
      </w:tr>
      <w:tr w:rsidR="00CB045B" w:rsidRPr="009772A2">
        <w:trPr>
          <w:trHeight w:val="240"/>
        </w:trPr>
        <w:tc>
          <w:tcPr>
            <w:tcW w:w="1166" w:type="dxa"/>
            <w:shd w:val="clear" w:color="auto" w:fill="auto"/>
          </w:tcPr>
          <w:p w:rsidR="00DE0047" w:rsidRPr="009772A2" w:rsidRDefault="00DE0047" w:rsidP="00DE0047">
            <w:pPr>
              <w:pStyle w:val="Heading5"/>
              <w:spacing w:before="40" w:after="40" w:line="220" w:lineRule="exact"/>
              <w:rPr>
                <w:b w:val="0"/>
                <w:i w:val="0"/>
                <w:iCs w:val="0"/>
                <w:sz w:val="18"/>
              </w:rPr>
            </w:pPr>
            <w:r w:rsidRPr="009772A2">
              <w:rPr>
                <w:b w:val="0"/>
                <w:i w:val="0"/>
                <w:iCs w:val="0"/>
                <w:sz w:val="18"/>
              </w:rPr>
              <w:t>Mafeteng</w:t>
            </w:r>
          </w:p>
        </w:tc>
        <w:tc>
          <w:tcPr>
            <w:tcW w:w="700" w:type="dxa"/>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30</w:t>
            </w:r>
            <w:r w:rsidR="00CB045B" w:rsidRPr="009772A2">
              <w:rPr>
                <w:b w:val="0"/>
                <w:bCs w:val="0"/>
                <w:i w:val="0"/>
                <w:sz w:val="18"/>
                <w:szCs w:val="18"/>
              </w:rPr>
              <w:t xml:space="preserve"> </w:t>
            </w:r>
            <w:r w:rsidRPr="009772A2">
              <w:rPr>
                <w:b w:val="0"/>
                <w:bCs w:val="0"/>
                <w:i w:val="0"/>
                <w:sz w:val="18"/>
                <w:szCs w:val="18"/>
              </w:rPr>
              <w:t>323</w:t>
            </w:r>
          </w:p>
        </w:tc>
        <w:tc>
          <w:tcPr>
            <w:tcW w:w="800" w:type="dxa"/>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18</w:t>
            </w:r>
            <w:r w:rsidR="00CB045B" w:rsidRPr="009772A2">
              <w:rPr>
                <w:b w:val="0"/>
                <w:bCs w:val="0"/>
                <w:i w:val="0"/>
                <w:sz w:val="18"/>
                <w:szCs w:val="18"/>
              </w:rPr>
              <w:t xml:space="preserve"> </w:t>
            </w:r>
            <w:r w:rsidRPr="009772A2">
              <w:rPr>
                <w:b w:val="0"/>
                <w:bCs w:val="0"/>
                <w:i w:val="0"/>
                <w:sz w:val="18"/>
                <w:szCs w:val="18"/>
              </w:rPr>
              <w:t>508</w:t>
            </w:r>
          </w:p>
        </w:tc>
        <w:tc>
          <w:tcPr>
            <w:tcW w:w="700" w:type="dxa"/>
            <w:shd w:val="clear" w:color="auto" w:fill="auto"/>
            <w:vAlign w:val="bottom"/>
          </w:tcPr>
          <w:p w:rsidR="00DE0047" w:rsidRPr="009772A2" w:rsidRDefault="00DE0047" w:rsidP="00DE0047">
            <w:pPr>
              <w:pStyle w:val="Heading5"/>
              <w:spacing w:before="40" w:after="40" w:line="220" w:lineRule="exact"/>
              <w:jc w:val="right"/>
              <w:rPr>
                <w:bCs w:val="0"/>
                <w:i w:val="0"/>
                <w:sz w:val="18"/>
                <w:szCs w:val="18"/>
              </w:rPr>
            </w:pPr>
            <w:r w:rsidRPr="009772A2">
              <w:rPr>
                <w:bCs w:val="0"/>
                <w:i w:val="0"/>
                <w:sz w:val="18"/>
                <w:szCs w:val="18"/>
              </w:rPr>
              <w:t>38</w:t>
            </w:r>
            <w:r w:rsidR="00CB045B" w:rsidRPr="009772A2">
              <w:rPr>
                <w:bCs w:val="0"/>
                <w:i w:val="0"/>
                <w:sz w:val="18"/>
                <w:szCs w:val="18"/>
              </w:rPr>
              <w:t xml:space="preserve"> </w:t>
            </w:r>
            <w:r w:rsidRPr="009772A2">
              <w:rPr>
                <w:bCs w:val="0"/>
                <w:i w:val="0"/>
                <w:sz w:val="18"/>
                <w:szCs w:val="18"/>
              </w:rPr>
              <w:t>831</w:t>
            </w:r>
          </w:p>
        </w:tc>
        <w:tc>
          <w:tcPr>
            <w:tcW w:w="800" w:type="dxa"/>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19</w:t>
            </w:r>
            <w:r w:rsidR="00CB045B" w:rsidRPr="009772A2">
              <w:rPr>
                <w:b w:val="0"/>
                <w:bCs w:val="0"/>
                <w:i w:val="0"/>
                <w:sz w:val="18"/>
                <w:szCs w:val="18"/>
              </w:rPr>
              <w:t xml:space="preserve"> </w:t>
            </w:r>
            <w:r w:rsidRPr="009772A2">
              <w:rPr>
                <w:b w:val="0"/>
                <w:bCs w:val="0"/>
                <w:i w:val="0"/>
                <w:sz w:val="18"/>
                <w:szCs w:val="18"/>
              </w:rPr>
              <w:t>529</w:t>
            </w:r>
          </w:p>
        </w:tc>
        <w:tc>
          <w:tcPr>
            <w:tcW w:w="700" w:type="dxa"/>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18</w:t>
            </w:r>
            <w:r w:rsidR="00CB045B" w:rsidRPr="009772A2">
              <w:rPr>
                <w:b w:val="0"/>
                <w:bCs w:val="0"/>
                <w:i w:val="0"/>
                <w:sz w:val="18"/>
                <w:szCs w:val="18"/>
              </w:rPr>
              <w:t xml:space="preserve"> </w:t>
            </w:r>
            <w:r w:rsidRPr="009772A2">
              <w:rPr>
                <w:b w:val="0"/>
                <w:bCs w:val="0"/>
                <w:i w:val="0"/>
                <w:sz w:val="18"/>
                <w:szCs w:val="18"/>
              </w:rPr>
              <w:t>069</w:t>
            </w:r>
          </w:p>
        </w:tc>
        <w:tc>
          <w:tcPr>
            <w:tcW w:w="900" w:type="dxa"/>
            <w:shd w:val="clear" w:color="auto" w:fill="auto"/>
            <w:vAlign w:val="bottom"/>
          </w:tcPr>
          <w:p w:rsidR="00DE0047" w:rsidRPr="009772A2" w:rsidRDefault="00DE0047" w:rsidP="00DE0047">
            <w:pPr>
              <w:pStyle w:val="Heading5"/>
              <w:spacing w:before="40" w:after="40" w:line="220" w:lineRule="exact"/>
              <w:jc w:val="right"/>
              <w:rPr>
                <w:bCs w:val="0"/>
                <w:i w:val="0"/>
                <w:sz w:val="18"/>
                <w:szCs w:val="18"/>
              </w:rPr>
            </w:pPr>
            <w:r w:rsidRPr="009772A2">
              <w:rPr>
                <w:bCs w:val="0"/>
                <w:i w:val="0"/>
                <w:sz w:val="18"/>
                <w:szCs w:val="18"/>
              </w:rPr>
              <w:t>375</w:t>
            </w:r>
            <w:r w:rsidR="00CB045B" w:rsidRPr="009772A2">
              <w:rPr>
                <w:bCs w:val="0"/>
                <w:i w:val="0"/>
                <w:sz w:val="18"/>
                <w:szCs w:val="18"/>
              </w:rPr>
              <w:t xml:space="preserve"> </w:t>
            </w:r>
            <w:r w:rsidRPr="009772A2">
              <w:rPr>
                <w:bCs w:val="0"/>
                <w:i w:val="0"/>
                <w:sz w:val="18"/>
                <w:szCs w:val="18"/>
              </w:rPr>
              <w:t>980</w:t>
            </w:r>
          </w:p>
        </w:tc>
        <w:tc>
          <w:tcPr>
            <w:tcW w:w="900" w:type="dxa"/>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192</w:t>
            </w:r>
            <w:r w:rsidR="00CB045B" w:rsidRPr="009772A2">
              <w:rPr>
                <w:b w:val="0"/>
                <w:bCs w:val="0"/>
                <w:i w:val="0"/>
                <w:sz w:val="18"/>
                <w:szCs w:val="18"/>
              </w:rPr>
              <w:t xml:space="preserve"> </w:t>
            </w:r>
            <w:r w:rsidRPr="009772A2">
              <w:rPr>
                <w:b w:val="0"/>
                <w:bCs w:val="0"/>
                <w:i w:val="0"/>
                <w:sz w:val="18"/>
                <w:szCs w:val="18"/>
              </w:rPr>
              <w:t>866</w:t>
            </w:r>
          </w:p>
        </w:tc>
        <w:tc>
          <w:tcPr>
            <w:tcW w:w="900" w:type="dxa"/>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178</w:t>
            </w:r>
            <w:r w:rsidR="00CB045B" w:rsidRPr="009772A2">
              <w:rPr>
                <w:b w:val="0"/>
                <w:bCs w:val="0"/>
                <w:i w:val="0"/>
                <w:sz w:val="18"/>
                <w:szCs w:val="18"/>
              </w:rPr>
              <w:t xml:space="preserve"> </w:t>
            </w:r>
            <w:r w:rsidRPr="009772A2">
              <w:rPr>
                <w:b w:val="0"/>
                <w:bCs w:val="0"/>
                <w:i w:val="0"/>
                <w:sz w:val="18"/>
                <w:szCs w:val="18"/>
              </w:rPr>
              <w:t>060</w:t>
            </w:r>
          </w:p>
        </w:tc>
        <w:tc>
          <w:tcPr>
            <w:tcW w:w="939" w:type="dxa"/>
            <w:shd w:val="clear" w:color="auto" w:fill="auto"/>
            <w:vAlign w:val="bottom"/>
          </w:tcPr>
          <w:p w:rsidR="00DE0047" w:rsidRPr="009772A2" w:rsidRDefault="00DE0047" w:rsidP="00DE0047">
            <w:pPr>
              <w:pStyle w:val="Heading5"/>
              <w:spacing w:before="40" w:after="40" w:line="220" w:lineRule="exact"/>
              <w:jc w:val="right"/>
              <w:rPr>
                <w:bCs w:val="0"/>
                <w:i w:val="0"/>
                <w:sz w:val="18"/>
                <w:szCs w:val="18"/>
              </w:rPr>
            </w:pPr>
            <w:r w:rsidRPr="009772A2">
              <w:rPr>
                <w:bCs w:val="0"/>
                <w:i w:val="0"/>
                <w:sz w:val="18"/>
                <w:szCs w:val="18"/>
              </w:rPr>
              <w:t>371</w:t>
            </w:r>
            <w:r w:rsidR="00CB045B" w:rsidRPr="009772A2">
              <w:rPr>
                <w:bCs w:val="0"/>
                <w:i w:val="0"/>
                <w:sz w:val="18"/>
                <w:szCs w:val="18"/>
              </w:rPr>
              <w:t xml:space="preserve"> </w:t>
            </w:r>
            <w:r w:rsidRPr="009772A2">
              <w:rPr>
                <w:bCs w:val="0"/>
                <w:i w:val="0"/>
                <w:sz w:val="18"/>
                <w:szCs w:val="18"/>
              </w:rPr>
              <w:t>026</w:t>
            </w:r>
          </w:p>
        </w:tc>
      </w:tr>
      <w:tr w:rsidR="00CB045B" w:rsidRPr="009772A2">
        <w:trPr>
          <w:trHeight w:val="240"/>
        </w:trPr>
        <w:tc>
          <w:tcPr>
            <w:tcW w:w="1166" w:type="dxa"/>
            <w:shd w:val="clear" w:color="auto" w:fill="auto"/>
          </w:tcPr>
          <w:p w:rsidR="00DE0047" w:rsidRPr="009772A2" w:rsidRDefault="00DE0047" w:rsidP="00DE0047">
            <w:pPr>
              <w:pStyle w:val="Heading5"/>
              <w:spacing w:before="40" w:after="40" w:line="220" w:lineRule="exact"/>
              <w:rPr>
                <w:b w:val="0"/>
                <w:i w:val="0"/>
                <w:iCs w:val="0"/>
                <w:sz w:val="18"/>
              </w:rPr>
            </w:pPr>
            <w:r w:rsidRPr="009772A2">
              <w:rPr>
                <w:b w:val="0"/>
                <w:i w:val="0"/>
                <w:iCs w:val="0"/>
                <w:sz w:val="18"/>
              </w:rPr>
              <w:t>Mohale’sHoek</w:t>
            </w:r>
          </w:p>
        </w:tc>
        <w:tc>
          <w:tcPr>
            <w:tcW w:w="700" w:type="dxa"/>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17</w:t>
            </w:r>
            <w:r w:rsidR="00CB045B" w:rsidRPr="009772A2">
              <w:rPr>
                <w:b w:val="0"/>
                <w:bCs w:val="0"/>
                <w:i w:val="0"/>
                <w:sz w:val="18"/>
                <w:szCs w:val="18"/>
              </w:rPr>
              <w:t xml:space="preserve"> </w:t>
            </w:r>
            <w:r w:rsidRPr="009772A2">
              <w:rPr>
                <w:b w:val="0"/>
                <w:bCs w:val="0"/>
                <w:i w:val="0"/>
                <w:sz w:val="18"/>
                <w:szCs w:val="18"/>
              </w:rPr>
              <w:t>332</w:t>
            </w:r>
          </w:p>
        </w:tc>
        <w:tc>
          <w:tcPr>
            <w:tcW w:w="800" w:type="dxa"/>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w:t>
            </w:r>
            <w:r w:rsidR="00CB045B" w:rsidRPr="009772A2">
              <w:rPr>
                <w:b w:val="0"/>
                <w:bCs w:val="0"/>
                <w:i w:val="0"/>
                <w:sz w:val="18"/>
                <w:szCs w:val="18"/>
              </w:rPr>
              <w:t xml:space="preserve"> </w:t>
            </w:r>
            <w:r w:rsidRPr="009772A2">
              <w:rPr>
                <w:b w:val="0"/>
                <w:bCs w:val="0"/>
                <w:i w:val="0"/>
                <w:sz w:val="18"/>
                <w:szCs w:val="18"/>
              </w:rPr>
              <w:t>707</w:t>
            </w:r>
          </w:p>
        </w:tc>
        <w:tc>
          <w:tcPr>
            <w:tcW w:w="700" w:type="dxa"/>
            <w:shd w:val="clear" w:color="auto" w:fill="auto"/>
            <w:vAlign w:val="bottom"/>
          </w:tcPr>
          <w:p w:rsidR="00DE0047" w:rsidRPr="009772A2" w:rsidRDefault="00DE0047" w:rsidP="00DE0047">
            <w:pPr>
              <w:pStyle w:val="Heading5"/>
              <w:spacing w:before="40" w:after="40" w:line="220" w:lineRule="exact"/>
              <w:jc w:val="right"/>
              <w:rPr>
                <w:bCs w:val="0"/>
                <w:i w:val="0"/>
                <w:sz w:val="18"/>
                <w:szCs w:val="18"/>
              </w:rPr>
            </w:pPr>
            <w:r w:rsidRPr="009772A2">
              <w:rPr>
                <w:bCs w:val="0"/>
                <w:i w:val="0"/>
                <w:sz w:val="18"/>
                <w:szCs w:val="18"/>
              </w:rPr>
              <w:t>34</w:t>
            </w:r>
            <w:r w:rsidR="00CB045B" w:rsidRPr="009772A2">
              <w:rPr>
                <w:bCs w:val="0"/>
                <w:i w:val="0"/>
                <w:sz w:val="18"/>
                <w:szCs w:val="18"/>
              </w:rPr>
              <w:t xml:space="preserve"> </w:t>
            </w:r>
            <w:r w:rsidRPr="009772A2">
              <w:rPr>
                <w:bCs w:val="0"/>
                <w:i w:val="0"/>
                <w:sz w:val="18"/>
                <w:szCs w:val="18"/>
              </w:rPr>
              <w:t>409</w:t>
            </w:r>
          </w:p>
        </w:tc>
        <w:tc>
          <w:tcPr>
            <w:tcW w:w="800" w:type="dxa"/>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16</w:t>
            </w:r>
            <w:r w:rsidR="00CB045B" w:rsidRPr="009772A2">
              <w:rPr>
                <w:b w:val="0"/>
                <w:bCs w:val="0"/>
                <w:i w:val="0"/>
                <w:sz w:val="18"/>
                <w:szCs w:val="18"/>
              </w:rPr>
              <w:t xml:space="preserve"> </w:t>
            </w:r>
            <w:r w:rsidRPr="009772A2">
              <w:rPr>
                <w:b w:val="0"/>
                <w:bCs w:val="0"/>
                <w:i w:val="0"/>
                <w:sz w:val="18"/>
                <w:szCs w:val="18"/>
              </w:rPr>
              <w:t>275</w:t>
            </w:r>
          </w:p>
        </w:tc>
        <w:tc>
          <w:tcPr>
            <w:tcW w:w="700" w:type="dxa"/>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16</w:t>
            </w:r>
            <w:r w:rsidR="00CB045B" w:rsidRPr="009772A2">
              <w:rPr>
                <w:b w:val="0"/>
                <w:bCs w:val="0"/>
                <w:i w:val="0"/>
                <w:sz w:val="18"/>
                <w:szCs w:val="18"/>
              </w:rPr>
              <w:t xml:space="preserve"> </w:t>
            </w:r>
            <w:r w:rsidRPr="009772A2">
              <w:rPr>
                <w:b w:val="0"/>
                <w:bCs w:val="0"/>
                <w:i w:val="0"/>
                <w:sz w:val="18"/>
                <w:szCs w:val="18"/>
              </w:rPr>
              <w:t>100</w:t>
            </w:r>
          </w:p>
        </w:tc>
        <w:tc>
          <w:tcPr>
            <w:tcW w:w="900" w:type="dxa"/>
            <w:shd w:val="clear" w:color="auto" w:fill="auto"/>
            <w:vAlign w:val="bottom"/>
          </w:tcPr>
          <w:p w:rsidR="00DE0047" w:rsidRPr="009772A2" w:rsidRDefault="00DE0047" w:rsidP="00DE0047">
            <w:pPr>
              <w:pStyle w:val="Heading5"/>
              <w:spacing w:before="40" w:after="40" w:line="220" w:lineRule="exact"/>
              <w:jc w:val="right"/>
              <w:rPr>
                <w:bCs w:val="0"/>
                <w:i w:val="0"/>
                <w:sz w:val="18"/>
                <w:szCs w:val="18"/>
              </w:rPr>
            </w:pPr>
            <w:r w:rsidRPr="009772A2">
              <w:rPr>
                <w:bCs w:val="0"/>
                <w:i w:val="0"/>
                <w:sz w:val="18"/>
                <w:szCs w:val="18"/>
              </w:rPr>
              <w:t>323</w:t>
            </w:r>
            <w:r w:rsidR="00CB045B" w:rsidRPr="009772A2">
              <w:rPr>
                <w:bCs w:val="0"/>
                <w:i w:val="0"/>
                <w:sz w:val="18"/>
                <w:szCs w:val="18"/>
              </w:rPr>
              <w:t xml:space="preserve"> </w:t>
            </w:r>
            <w:r w:rsidRPr="009772A2">
              <w:rPr>
                <w:bCs w:val="0"/>
                <w:i w:val="0"/>
                <w:sz w:val="18"/>
                <w:szCs w:val="18"/>
              </w:rPr>
              <w:t>750</w:t>
            </w:r>
          </w:p>
        </w:tc>
        <w:tc>
          <w:tcPr>
            <w:tcW w:w="900" w:type="dxa"/>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163</w:t>
            </w:r>
            <w:r w:rsidR="00CB045B" w:rsidRPr="009772A2">
              <w:rPr>
                <w:b w:val="0"/>
                <w:bCs w:val="0"/>
                <w:i w:val="0"/>
                <w:sz w:val="18"/>
                <w:szCs w:val="18"/>
              </w:rPr>
              <w:t xml:space="preserve"> </w:t>
            </w:r>
            <w:r w:rsidRPr="009772A2">
              <w:rPr>
                <w:b w:val="0"/>
                <w:bCs w:val="0"/>
                <w:i w:val="0"/>
                <w:sz w:val="18"/>
                <w:szCs w:val="18"/>
              </w:rPr>
              <w:t>330</w:t>
            </w:r>
          </w:p>
        </w:tc>
        <w:tc>
          <w:tcPr>
            <w:tcW w:w="900" w:type="dxa"/>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160</w:t>
            </w:r>
            <w:r w:rsidR="00CB045B" w:rsidRPr="009772A2">
              <w:rPr>
                <w:b w:val="0"/>
                <w:bCs w:val="0"/>
                <w:i w:val="0"/>
                <w:sz w:val="18"/>
                <w:szCs w:val="18"/>
              </w:rPr>
              <w:t xml:space="preserve"> </w:t>
            </w:r>
            <w:r w:rsidRPr="009772A2">
              <w:rPr>
                <w:b w:val="0"/>
                <w:bCs w:val="0"/>
                <w:i w:val="0"/>
                <w:sz w:val="18"/>
                <w:szCs w:val="18"/>
              </w:rPr>
              <w:t>106</w:t>
            </w:r>
          </w:p>
        </w:tc>
        <w:tc>
          <w:tcPr>
            <w:tcW w:w="939" w:type="dxa"/>
            <w:shd w:val="clear" w:color="auto" w:fill="auto"/>
            <w:vAlign w:val="bottom"/>
          </w:tcPr>
          <w:p w:rsidR="00DE0047" w:rsidRPr="009772A2" w:rsidRDefault="00DE0047" w:rsidP="00DE0047">
            <w:pPr>
              <w:pStyle w:val="Heading5"/>
              <w:spacing w:before="40" w:after="40" w:line="220" w:lineRule="exact"/>
              <w:jc w:val="right"/>
              <w:rPr>
                <w:bCs w:val="0"/>
                <w:i w:val="0"/>
                <w:sz w:val="18"/>
                <w:szCs w:val="18"/>
              </w:rPr>
            </w:pPr>
            <w:r w:rsidRPr="009772A2">
              <w:rPr>
                <w:bCs w:val="0"/>
                <w:i w:val="0"/>
                <w:sz w:val="18"/>
                <w:szCs w:val="18"/>
              </w:rPr>
              <w:t>323</w:t>
            </w:r>
            <w:r w:rsidR="00CB045B" w:rsidRPr="009772A2">
              <w:rPr>
                <w:bCs w:val="0"/>
                <w:i w:val="0"/>
                <w:sz w:val="18"/>
                <w:szCs w:val="18"/>
              </w:rPr>
              <w:t xml:space="preserve"> </w:t>
            </w:r>
            <w:r w:rsidRPr="009772A2">
              <w:rPr>
                <w:bCs w:val="0"/>
                <w:i w:val="0"/>
                <w:sz w:val="18"/>
                <w:szCs w:val="18"/>
              </w:rPr>
              <w:t>436</w:t>
            </w:r>
          </w:p>
        </w:tc>
      </w:tr>
      <w:tr w:rsidR="00CB045B" w:rsidRPr="009772A2">
        <w:trPr>
          <w:trHeight w:val="240"/>
        </w:trPr>
        <w:tc>
          <w:tcPr>
            <w:tcW w:w="1166" w:type="dxa"/>
            <w:shd w:val="clear" w:color="auto" w:fill="auto"/>
          </w:tcPr>
          <w:p w:rsidR="00DE0047" w:rsidRPr="009772A2" w:rsidRDefault="00DE0047" w:rsidP="00DE0047">
            <w:pPr>
              <w:pStyle w:val="Heading5"/>
              <w:spacing w:before="40" w:after="40" w:line="220" w:lineRule="exact"/>
              <w:rPr>
                <w:b w:val="0"/>
                <w:i w:val="0"/>
                <w:iCs w:val="0"/>
                <w:sz w:val="18"/>
              </w:rPr>
            </w:pPr>
            <w:r w:rsidRPr="009772A2">
              <w:rPr>
                <w:b w:val="0"/>
                <w:i w:val="0"/>
                <w:iCs w:val="0"/>
                <w:sz w:val="18"/>
              </w:rPr>
              <w:t>Quthing</w:t>
            </w:r>
          </w:p>
        </w:tc>
        <w:tc>
          <w:tcPr>
            <w:tcW w:w="700" w:type="dxa"/>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11</w:t>
            </w:r>
            <w:r w:rsidR="00CB045B" w:rsidRPr="009772A2">
              <w:rPr>
                <w:b w:val="0"/>
                <w:bCs w:val="0"/>
                <w:i w:val="0"/>
                <w:sz w:val="18"/>
                <w:szCs w:val="18"/>
              </w:rPr>
              <w:t xml:space="preserve"> </w:t>
            </w:r>
            <w:r w:rsidRPr="009772A2">
              <w:rPr>
                <w:b w:val="0"/>
                <w:bCs w:val="0"/>
                <w:i w:val="0"/>
                <w:sz w:val="18"/>
                <w:szCs w:val="18"/>
              </w:rPr>
              <w:t>859</w:t>
            </w:r>
          </w:p>
        </w:tc>
        <w:tc>
          <w:tcPr>
            <w:tcW w:w="800" w:type="dxa"/>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11</w:t>
            </w:r>
            <w:r w:rsidR="00CB045B" w:rsidRPr="009772A2">
              <w:rPr>
                <w:b w:val="0"/>
                <w:bCs w:val="0"/>
                <w:i w:val="0"/>
                <w:sz w:val="18"/>
                <w:szCs w:val="18"/>
              </w:rPr>
              <w:t xml:space="preserve"> </w:t>
            </w:r>
            <w:r w:rsidRPr="009772A2">
              <w:rPr>
                <w:b w:val="0"/>
                <w:bCs w:val="0"/>
                <w:i w:val="0"/>
                <w:sz w:val="18"/>
                <w:szCs w:val="18"/>
              </w:rPr>
              <w:t>573</w:t>
            </w:r>
          </w:p>
        </w:tc>
        <w:tc>
          <w:tcPr>
            <w:tcW w:w="700" w:type="dxa"/>
            <w:shd w:val="clear" w:color="auto" w:fill="auto"/>
            <w:vAlign w:val="bottom"/>
          </w:tcPr>
          <w:p w:rsidR="00DE0047" w:rsidRPr="009772A2" w:rsidRDefault="00DE0047" w:rsidP="00DE0047">
            <w:pPr>
              <w:pStyle w:val="Heading5"/>
              <w:spacing w:before="40" w:after="40" w:line="220" w:lineRule="exact"/>
              <w:jc w:val="right"/>
              <w:rPr>
                <w:bCs w:val="0"/>
                <w:i w:val="0"/>
                <w:sz w:val="18"/>
                <w:szCs w:val="18"/>
              </w:rPr>
            </w:pPr>
            <w:r w:rsidRPr="009772A2">
              <w:rPr>
                <w:bCs w:val="0"/>
                <w:i w:val="0"/>
                <w:sz w:val="18"/>
                <w:szCs w:val="18"/>
              </w:rPr>
              <w:t>23</w:t>
            </w:r>
            <w:r w:rsidR="00CB045B" w:rsidRPr="009772A2">
              <w:rPr>
                <w:bCs w:val="0"/>
                <w:i w:val="0"/>
                <w:sz w:val="18"/>
                <w:szCs w:val="18"/>
              </w:rPr>
              <w:t xml:space="preserve"> </w:t>
            </w:r>
            <w:r w:rsidRPr="009772A2">
              <w:rPr>
                <w:bCs w:val="0"/>
                <w:i w:val="0"/>
                <w:sz w:val="18"/>
                <w:szCs w:val="18"/>
              </w:rPr>
              <w:t>432</w:t>
            </w:r>
          </w:p>
        </w:tc>
        <w:tc>
          <w:tcPr>
            <w:tcW w:w="800" w:type="dxa"/>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11</w:t>
            </w:r>
            <w:r w:rsidR="00CB045B" w:rsidRPr="009772A2">
              <w:rPr>
                <w:b w:val="0"/>
                <w:bCs w:val="0"/>
                <w:i w:val="0"/>
                <w:sz w:val="18"/>
                <w:szCs w:val="18"/>
              </w:rPr>
              <w:t xml:space="preserve"> </w:t>
            </w:r>
            <w:r w:rsidRPr="009772A2">
              <w:rPr>
                <w:b w:val="0"/>
                <w:bCs w:val="0"/>
                <w:i w:val="0"/>
                <w:sz w:val="18"/>
                <w:szCs w:val="18"/>
              </w:rPr>
              <w:t>280</w:t>
            </w:r>
          </w:p>
        </w:tc>
        <w:tc>
          <w:tcPr>
            <w:tcW w:w="700" w:type="dxa"/>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11</w:t>
            </w:r>
            <w:r w:rsidR="00CB045B" w:rsidRPr="009772A2">
              <w:rPr>
                <w:b w:val="0"/>
                <w:bCs w:val="0"/>
                <w:i w:val="0"/>
                <w:sz w:val="18"/>
                <w:szCs w:val="18"/>
              </w:rPr>
              <w:t xml:space="preserve"> </w:t>
            </w:r>
            <w:r w:rsidRPr="009772A2">
              <w:rPr>
                <w:b w:val="0"/>
                <w:bCs w:val="0"/>
                <w:i w:val="0"/>
                <w:sz w:val="18"/>
                <w:szCs w:val="18"/>
              </w:rPr>
              <w:t>101</w:t>
            </w:r>
          </w:p>
        </w:tc>
        <w:tc>
          <w:tcPr>
            <w:tcW w:w="900" w:type="dxa"/>
            <w:shd w:val="clear" w:color="auto" w:fill="auto"/>
            <w:vAlign w:val="bottom"/>
          </w:tcPr>
          <w:p w:rsidR="00DE0047" w:rsidRPr="009772A2" w:rsidRDefault="00DE0047" w:rsidP="00DE0047">
            <w:pPr>
              <w:pStyle w:val="Heading5"/>
              <w:spacing w:before="40" w:after="40" w:line="220" w:lineRule="exact"/>
              <w:jc w:val="right"/>
              <w:rPr>
                <w:bCs w:val="0"/>
                <w:i w:val="0"/>
                <w:sz w:val="18"/>
                <w:szCs w:val="18"/>
              </w:rPr>
            </w:pPr>
            <w:r w:rsidRPr="009772A2">
              <w:rPr>
                <w:bCs w:val="0"/>
                <w:i w:val="0"/>
                <w:sz w:val="18"/>
                <w:szCs w:val="18"/>
              </w:rPr>
              <w:t>223</w:t>
            </w:r>
            <w:r w:rsidR="00CB045B" w:rsidRPr="009772A2">
              <w:rPr>
                <w:bCs w:val="0"/>
                <w:i w:val="0"/>
                <w:sz w:val="18"/>
                <w:szCs w:val="18"/>
              </w:rPr>
              <w:t xml:space="preserve"> </w:t>
            </w:r>
            <w:r w:rsidRPr="009772A2">
              <w:rPr>
                <w:bCs w:val="0"/>
                <w:i w:val="0"/>
                <w:sz w:val="18"/>
                <w:szCs w:val="18"/>
              </w:rPr>
              <w:t>811</w:t>
            </w:r>
          </w:p>
        </w:tc>
        <w:tc>
          <w:tcPr>
            <w:tcW w:w="900" w:type="dxa"/>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112</w:t>
            </w:r>
            <w:r w:rsidR="00CB045B" w:rsidRPr="009772A2">
              <w:rPr>
                <w:b w:val="0"/>
                <w:bCs w:val="0"/>
                <w:i w:val="0"/>
                <w:sz w:val="18"/>
                <w:szCs w:val="18"/>
              </w:rPr>
              <w:t xml:space="preserve"> </w:t>
            </w:r>
            <w:r w:rsidRPr="009772A2">
              <w:rPr>
                <w:b w:val="0"/>
                <w:bCs w:val="0"/>
                <w:i w:val="0"/>
                <w:sz w:val="18"/>
                <w:szCs w:val="18"/>
              </w:rPr>
              <w:t>281</w:t>
            </w:r>
          </w:p>
        </w:tc>
        <w:tc>
          <w:tcPr>
            <w:tcW w:w="900" w:type="dxa"/>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108</w:t>
            </w:r>
            <w:r w:rsidR="00CB045B" w:rsidRPr="009772A2">
              <w:rPr>
                <w:b w:val="0"/>
                <w:bCs w:val="0"/>
                <w:i w:val="0"/>
                <w:sz w:val="18"/>
                <w:szCs w:val="18"/>
              </w:rPr>
              <w:t xml:space="preserve"> </w:t>
            </w:r>
            <w:r w:rsidRPr="009772A2">
              <w:rPr>
                <w:b w:val="0"/>
                <w:bCs w:val="0"/>
                <w:i w:val="0"/>
                <w:sz w:val="18"/>
                <w:szCs w:val="18"/>
              </w:rPr>
              <w:t>467</w:t>
            </w:r>
          </w:p>
        </w:tc>
        <w:tc>
          <w:tcPr>
            <w:tcW w:w="939" w:type="dxa"/>
            <w:shd w:val="clear" w:color="auto" w:fill="auto"/>
            <w:vAlign w:val="bottom"/>
          </w:tcPr>
          <w:p w:rsidR="00DE0047" w:rsidRPr="009772A2" w:rsidRDefault="00DE0047" w:rsidP="00DE0047">
            <w:pPr>
              <w:pStyle w:val="Heading5"/>
              <w:spacing w:before="40" w:after="40" w:line="220" w:lineRule="exact"/>
              <w:jc w:val="right"/>
              <w:rPr>
                <w:bCs w:val="0"/>
                <w:i w:val="0"/>
                <w:sz w:val="18"/>
                <w:szCs w:val="18"/>
              </w:rPr>
            </w:pPr>
            <w:r w:rsidRPr="009772A2">
              <w:rPr>
                <w:bCs w:val="0"/>
                <w:i w:val="0"/>
                <w:sz w:val="18"/>
                <w:szCs w:val="18"/>
              </w:rPr>
              <w:t>220</w:t>
            </w:r>
            <w:r w:rsidR="00CB045B" w:rsidRPr="009772A2">
              <w:rPr>
                <w:bCs w:val="0"/>
                <w:i w:val="0"/>
                <w:sz w:val="18"/>
                <w:szCs w:val="18"/>
              </w:rPr>
              <w:t xml:space="preserve"> </w:t>
            </w:r>
            <w:r w:rsidRPr="009772A2">
              <w:rPr>
                <w:bCs w:val="0"/>
                <w:i w:val="0"/>
                <w:sz w:val="18"/>
                <w:szCs w:val="18"/>
              </w:rPr>
              <w:t>748</w:t>
            </w:r>
          </w:p>
        </w:tc>
      </w:tr>
      <w:tr w:rsidR="00CB045B" w:rsidRPr="009772A2">
        <w:trPr>
          <w:trHeight w:val="240"/>
        </w:trPr>
        <w:tc>
          <w:tcPr>
            <w:tcW w:w="1166" w:type="dxa"/>
            <w:shd w:val="clear" w:color="auto" w:fill="auto"/>
          </w:tcPr>
          <w:p w:rsidR="00DE0047" w:rsidRPr="009772A2" w:rsidRDefault="00DE0047" w:rsidP="00DE0047">
            <w:pPr>
              <w:pStyle w:val="Heading5"/>
              <w:spacing w:before="40" w:after="40" w:line="220" w:lineRule="exact"/>
              <w:rPr>
                <w:b w:val="0"/>
                <w:i w:val="0"/>
                <w:iCs w:val="0"/>
                <w:sz w:val="18"/>
              </w:rPr>
            </w:pPr>
            <w:r w:rsidRPr="009772A2">
              <w:rPr>
                <w:b w:val="0"/>
                <w:i w:val="0"/>
                <w:iCs w:val="0"/>
                <w:sz w:val="18"/>
              </w:rPr>
              <w:t>Qacha’sNek</w:t>
            </w:r>
          </w:p>
        </w:tc>
        <w:tc>
          <w:tcPr>
            <w:tcW w:w="700" w:type="dxa"/>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8</w:t>
            </w:r>
            <w:r w:rsidR="00CB045B" w:rsidRPr="009772A2">
              <w:rPr>
                <w:b w:val="0"/>
                <w:bCs w:val="0"/>
                <w:i w:val="0"/>
                <w:sz w:val="18"/>
                <w:szCs w:val="18"/>
              </w:rPr>
              <w:t xml:space="preserve"> </w:t>
            </w:r>
            <w:r w:rsidRPr="009772A2">
              <w:rPr>
                <w:b w:val="0"/>
                <w:bCs w:val="0"/>
                <w:i w:val="0"/>
                <w:sz w:val="18"/>
                <w:szCs w:val="18"/>
              </w:rPr>
              <w:t xml:space="preserve">146 </w:t>
            </w:r>
          </w:p>
        </w:tc>
        <w:tc>
          <w:tcPr>
            <w:tcW w:w="800" w:type="dxa"/>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7</w:t>
            </w:r>
            <w:r w:rsidR="00CB045B" w:rsidRPr="009772A2">
              <w:rPr>
                <w:b w:val="0"/>
                <w:bCs w:val="0"/>
                <w:i w:val="0"/>
                <w:sz w:val="18"/>
                <w:szCs w:val="18"/>
              </w:rPr>
              <w:t xml:space="preserve"> </w:t>
            </w:r>
            <w:r w:rsidRPr="009772A2">
              <w:rPr>
                <w:b w:val="0"/>
                <w:bCs w:val="0"/>
                <w:i w:val="0"/>
                <w:sz w:val="18"/>
                <w:szCs w:val="18"/>
              </w:rPr>
              <w:t>893</w:t>
            </w:r>
          </w:p>
        </w:tc>
        <w:tc>
          <w:tcPr>
            <w:tcW w:w="700" w:type="dxa"/>
            <w:shd w:val="clear" w:color="auto" w:fill="auto"/>
            <w:vAlign w:val="bottom"/>
          </w:tcPr>
          <w:p w:rsidR="00DE0047" w:rsidRPr="009772A2" w:rsidRDefault="00DE0047" w:rsidP="00DE0047">
            <w:pPr>
              <w:pStyle w:val="Heading5"/>
              <w:spacing w:before="40" w:after="40" w:line="220" w:lineRule="exact"/>
              <w:jc w:val="right"/>
              <w:rPr>
                <w:bCs w:val="0"/>
                <w:i w:val="0"/>
                <w:sz w:val="18"/>
                <w:szCs w:val="18"/>
              </w:rPr>
            </w:pPr>
            <w:r w:rsidRPr="009772A2">
              <w:rPr>
                <w:bCs w:val="0"/>
                <w:i w:val="0"/>
                <w:sz w:val="18"/>
                <w:szCs w:val="18"/>
              </w:rPr>
              <w:t>16</w:t>
            </w:r>
            <w:r w:rsidR="00CB045B" w:rsidRPr="009772A2">
              <w:rPr>
                <w:bCs w:val="0"/>
                <w:i w:val="0"/>
                <w:sz w:val="18"/>
                <w:szCs w:val="18"/>
              </w:rPr>
              <w:t xml:space="preserve"> </w:t>
            </w:r>
            <w:r w:rsidRPr="009772A2">
              <w:rPr>
                <w:bCs w:val="0"/>
                <w:i w:val="0"/>
                <w:sz w:val="18"/>
                <w:szCs w:val="18"/>
              </w:rPr>
              <w:t>039</w:t>
            </w:r>
          </w:p>
        </w:tc>
        <w:tc>
          <w:tcPr>
            <w:tcW w:w="800" w:type="dxa"/>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7</w:t>
            </w:r>
            <w:r w:rsidR="00CB045B" w:rsidRPr="009772A2">
              <w:rPr>
                <w:b w:val="0"/>
                <w:bCs w:val="0"/>
                <w:i w:val="0"/>
                <w:sz w:val="18"/>
                <w:szCs w:val="18"/>
              </w:rPr>
              <w:t xml:space="preserve"> </w:t>
            </w:r>
            <w:r w:rsidRPr="009772A2">
              <w:rPr>
                <w:b w:val="0"/>
                <w:bCs w:val="0"/>
                <w:i w:val="0"/>
                <w:sz w:val="18"/>
                <w:szCs w:val="18"/>
              </w:rPr>
              <w:t>974</w:t>
            </w:r>
          </w:p>
        </w:tc>
        <w:tc>
          <w:tcPr>
            <w:tcW w:w="700" w:type="dxa"/>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7</w:t>
            </w:r>
            <w:r w:rsidR="00CB045B" w:rsidRPr="009772A2">
              <w:rPr>
                <w:b w:val="0"/>
                <w:bCs w:val="0"/>
                <w:i w:val="0"/>
                <w:sz w:val="18"/>
                <w:szCs w:val="18"/>
              </w:rPr>
              <w:t xml:space="preserve"> </w:t>
            </w:r>
            <w:r w:rsidRPr="009772A2">
              <w:rPr>
                <w:b w:val="0"/>
                <w:bCs w:val="0"/>
                <w:i w:val="0"/>
                <w:sz w:val="18"/>
                <w:szCs w:val="18"/>
              </w:rPr>
              <w:t>755</w:t>
            </w:r>
          </w:p>
        </w:tc>
        <w:tc>
          <w:tcPr>
            <w:tcW w:w="900" w:type="dxa"/>
            <w:shd w:val="clear" w:color="auto" w:fill="auto"/>
            <w:vAlign w:val="bottom"/>
          </w:tcPr>
          <w:p w:rsidR="00DE0047" w:rsidRPr="009772A2" w:rsidRDefault="00DE0047" w:rsidP="00DE0047">
            <w:pPr>
              <w:pStyle w:val="Heading5"/>
              <w:spacing w:before="40" w:after="40" w:line="220" w:lineRule="exact"/>
              <w:jc w:val="right"/>
              <w:rPr>
                <w:bCs w:val="0"/>
                <w:i w:val="0"/>
                <w:sz w:val="18"/>
                <w:szCs w:val="18"/>
              </w:rPr>
            </w:pPr>
            <w:r w:rsidRPr="009772A2">
              <w:rPr>
                <w:bCs w:val="0"/>
                <w:i w:val="0"/>
                <w:sz w:val="18"/>
                <w:szCs w:val="18"/>
              </w:rPr>
              <w:t>157</w:t>
            </w:r>
            <w:r w:rsidR="00CB045B" w:rsidRPr="009772A2">
              <w:rPr>
                <w:bCs w:val="0"/>
                <w:i w:val="0"/>
                <w:sz w:val="18"/>
                <w:szCs w:val="18"/>
              </w:rPr>
              <w:t xml:space="preserve"> </w:t>
            </w:r>
            <w:r w:rsidRPr="009772A2">
              <w:rPr>
                <w:bCs w:val="0"/>
                <w:i w:val="0"/>
                <w:sz w:val="18"/>
                <w:szCs w:val="18"/>
              </w:rPr>
              <w:t>290</w:t>
            </w:r>
          </w:p>
        </w:tc>
        <w:tc>
          <w:tcPr>
            <w:tcW w:w="900" w:type="dxa"/>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7</w:t>
            </w:r>
            <w:r w:rsidR="00CB045B" w:rsidRPr="009772A2">
              <w:rPr>
                <w:b w:val="0"/>
                <w:bCs w:val="0"/>
                <w:i w:val="0"/>
                <w:sz w:val="18"/>
                <w:szCs w:val="18"/>
              </w:rPr>
              <w:t xml:space="preserve"> </w:t>
            </w:r>
            <w:r w:rsidRPr="009772A2">
              <w:rPr>
                <w:b w:val="0"/>
                <w:bCs w:val="0"/>
                <w:i w:val="0"/>
                <w:sz w:val="18"/>
                <w:szCs w:val="18"/>
              </w:rPr>
              <w:t>870</w:t>
            </w:r>
          </w:p>
        </w:tc>
        <w:tc>
          <w:tcPr>
            <w:tcW w:w="900" w:type="dxa"/>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7</w:t>
            </w:r>
            <w:r w:rsidR="00CB045B" w:rsidRPr="009772A2">
              <w:rPr>
                <w:b w:val="0"/>
                <w:bCs w:val="0"/>
                <w:i w:val="0"/>
                <w:sz w:val="18"/>
                <w:szCs w:val="18"/>
              </w:rPr>
              <w:t xml:space="preserve"> </w:t>
            </w:r>
            <w:r w:rsidRPr="009772A2">
              <w:rPr>
                <w:b w:val="0"/>
                <w:bCs w:val="0"/>
                <w:i w:val="0"/>
                <w:sz w:val="18"/>
                <w:szCs w:val="18"/>
              </w:rPr>
              <w:t>510</w:t>
            </w:r>
          </w:p>
        </w:tc>
        <w:tc>
          <w:tcPr>
            <w:tcW w:w="939" w:type="dxa"/>
            <w:shd w:val="clear" w:color="auto" w:fill="auto"/>
            <w:vAlign w:val="bottom"/>
          </w:tcPr>
          <w:p w:rsidR="00DE0047" w:rsidRPr="009772A2" w:rsidRDefault="00DE0047" w:rsidP="00DE0047">
            <w:pPr>
              <w:pStyle w:val="Heading5"/>
              <w:spacing w:before="40" w:after="40" w:line="220" w:lineRule="exact"/>
              <w:jc w:val="right"/>
              <w:rPr>
                <w:bCs w:val="0"/>
                <w:i w:val="0"/>
                <w:sz w:val="18"/>
                <w:szCs w:val="18"/>
              </w:rPr>
            </w:pPr>
            <w:r w:rsidRPr="009772A2">
              <w:rPr>
                <w:bCs w:val="0"/>
                <w:i w:val="0"/>
                <w:sz w:val="18"/>
                <w:szCs w:val="18"/>
              </w:rPr>
              <w:t>153</w:t>
            </w:r>
            <w:r w:rsidR="00CB045B" w:rsidRPr="009772A2">
              <w:rPr>
                <w:bCs w:val="0"/>
                <w:i w:val="0"/>
                <w:sz w:val="18"/>
                <w:szCs w:val="18"/>
              </w:rPr>
              <w:t xml:space="preserve"> </w:t>
            </w:r>
            <w:r w:rsidRPr="009772A2">
              <w:rPr>
                <w:bCs w:val="0"/>
                <w:i w:val="0"/>
                <w:sz w:val="18"/>
                <w:szCs w:val="18"/>
              </w:rPr>
              <w:t>809</w:t>
            </w:r>
          </w:p>
        </w:tc>
      </w:tr>
      <w:tr w:rsidR="00CB045B" w:rsidRPr="009772A2">
        <w:trPr>
          <w:trHeight w:val="240"/>
        </w:trPr>
        <w:tc>
          <w:tcPr>
            <w:tcW w:w="1166" w:type="dxa"/>
            <w:shd w:val="clear" w:color="auto" w:fill="auto"/>
          </w:tcPr>
          <w:p w:rsidR="00DE0047" w:rsidRPr="009772A2" w:rsidRDefault="00DE0047" w:rsidP="00DE0047">
            <w:pPr>
              <w:pStyle w:val="Heading5"/>
              <w:spacing w:before="40" w:after="40" w:line="220" w:lineRule="exact"/>
              <w:rPr>
                <w:b w:val="0"/>
                <w:i w:val="0"/>
                <w:iCs w:val="0"/>
                <w:sz w:val="18"/>
              </w:rPr>
            </w:pPr>
            <w:r w:rsidRPr="009772A2">
              <w:rPr>
                <w:b w:val="0"/>
                <w:i w:val="0"/>
                <w:iCs w:val="0"/>
                <w:sz w:val="18"/>
              </w:rPr>
              <w:t>Mokhotlong</w:t>
            </w:r>
          </w:p>
        </w:tc>
        <w:tc>
          <w:tcPr>
            <w:tcW w:w="700" w:type="dxa"/>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11</w:t>
            </w:r>
            <w:r w:rsidR="00CB045B" w:rsidRPr="009772A2">
              <w:rPr>
                <w:b w:val="0"/>
                <w:bCs w:val="0"/>
                <w:i w:val="0"/>
                <w:sz w:val="18"/>
                <w:szCs w:val="18"/>
              </w:rPr>
              <w:t xml:space="preserve"> </w:t>
            </w:r>
            <w:r w:rsidRPr="009772A2">
              <w:rPr>
                <w:b w:val="0"/>
                <w:bCs w:val="0"/>
                <w:i w:val="0"/>
                <w:sz w:val="18"/>
                <w:szCs w:val="18"/>
              </w:rPr>
              <w:t>097</w:t>
            </w:r>
          </w:p>
        </w:tc>
        <w:tc>
          <w:tcPr>
            <w:tcW w:w="800" w:type="dxa"/>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12</w:t>
            </w:r>
            <w:r w:rsidR="00CB045B" w:rsidRPr="009772A2">
              <w:rPr>
                <w:b w:val="0"/>
                <w:bCs w:val="0"/>
                <w:i w:val="0"/>
                <w:sz w:val="18"/>
                <w:szCs w:val="18"/>
              </w:rPr>
              <w:t xml:space="preserve"> </w:t>
            </w:r>
            <w:r w:rsidRPr="009772A2">
              <w:rPr>
                <w:b w:val="0"/>
                <w:bCs w:val="0"/>
                <w:i w:val="0"/>
                <w:sz w:val="18"/>
                <w:szCs w:val="18"/>
              </w:rPr>
              <w:t>161</w:t>
            </w:r>
          </w:p>
        </w:tc>
        <w:tc>
          <w:tcPr>
            <w:tcW w:w="700" w:type="dxa"/>
            <w:shd w:val="clear" w:color="auto" w:fill="auto"/>
            <w:vAlign w:val="bottom"/>
          </w:tcPr>
          <w:p w:rsidR="00DE0047" w:rsidRPr="009772A2" w:rsidRDefault="00DE0047" w:rsidP="00DE0047">
            <w:pPr>
              <w:pStyle w:val="Heading5"/>
              <w:spacing w:before="40" w:after="40" w:line="220" w:lineRule="exact"/>
              <w:jc w:val="right"/>
              <w:rPr>
                <w:bCs w:val="0"/>
                <w:i w:val="0"/>
                <w:sz w:val="18"/>
                <w:szCs w:val="18"/>
              </w:rPr>
            </w:pPr>
            <w:r w:rsidRPr="009772A2">
              <w:rPr>
                <w:bCs w:val="0"/>
                <w:i w:val="0"/>
                <w:sz w:val="18"/>
                <w:szCs w:val="18"/>
              </w:rPr>
              <w:t>23</w:t>
            </w:r>
            <w:r w:rsidR="00CB045B" w:rsidRPr="009772A2">
              <w:rPr>
                <w:bCs w:val="0"/>
                <w:i w:val="0"/>
                <w:sz w:val="18"/>
                <w:szCs w:val="18"/>
              </w:rPr>
              <w:t xml:space="preserve"> </w:t>
            </w:r>
            <w:r w:rsidRPr="009772A2">
              <w:rPr>
                <w:bCs w:val="0"/>
                <w:i w:val="0"/>
                <w:sz w:val="18"/>
                <w:szCs w:val="18"/>
              </w:rPr>
              <w:t>258</w:t>
            </w:r>
          </w:p>
        </w:tc>
        <w:tc>
          <w:tcPr>
            <w:tcW w:w="800" w:type="dxa"/>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10</w:t>
            </w:r>
            <w:r w:rsidR="00CB045B" w:rsidRPr="009772A2">
              <w:rPr>
                <w:b w:val="0"/>
                <w:bCs w:val="0"/>
                <w:i w:val="0"/>
                <w:sz w:val="18"/>
                <w:szCs w:val="18"/>
              </w:rPr>
              <w:t xml:space="preserve"> </w:t>
            </w:r>
            <w:r w:rsidRPr="009772A2">
              <w:rPr>
                <w:b w:val="0"/>
                <w:bCs w:val="0"/>
                <w:i w:val="0"/>
                <w:sz w:val="18"/>
                <w:szCs w:val="18"/>
              </w:rPr>
              <w:t>801</w:t>
            </w:r>
          </w:p>
        </w:tc>
        <w:tc>
          <w:tcPr>
            <w:tcW w:w="700" w:type="dxa"/>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11</w:t>
            </w:r>
            <w:r w:rsidR="00CB045B" w:rsidRPr="009772A2">
              <w:rPr>
                <w:b w:val="0"/>
                <w:bCs w:val="0"/>
                <w:i w:val="0"/>
                <w:sz w:val="18"/>
                <w:szCs w:val="18"/>
              </w:rPr>
              <w:t xml:space="preserve"> </w:t>
            </w:r>
            <w:r w:rsidRPr="009772A2">
              <w:rPr>
                <w:b w:val="0"/>
                <w:bCs w:val="0"/>
                <w:i w:val="0"/>
                <w:sz w:val="18"/>
                <w:szCs w:val="18"/>
              </w:rPr>
              <w:t>911</w:t>
            </w:r>
          </w:p>
        </w:tc>
        <w:tc>
          <w:tcPr>
            <w:tcW w:w="900" w:type="dxa"/>
            <w:shd w:val="clear" w:color="auto" w:fill="auto"/>
            <w:vAlign w:val="bottom"/>
          </w:tcPr>
          <w:p w:rsidR="00DE0047" w:rsidRPr="009772A2" w:rsidRDefault="00DE0047" w:rsidP="00DE0047">
            <w:pPr>
              <w:pStyle w:val="Heading5"/>
              <w:spacing w:before="40" w:after="40" w:line="220" w:lineRule="exact"/>
              <w:jc w:val="right"/>
              <w:rPr>
                <w:bCs w:val="0"/>
                <w:i w:val="0"/>
                <w:sz w:val="18"/>
                <w:szCs w:val="18"/>
              </w:rPr>
            </w:pPr>
            <w:r w:rsidRPr="009772A2">
              <w:rPr>
                <w:bCs w:val="0"/>
                <w:i w:val="0"/>
                <w:sz w:val="18"/>
                <w:szCs w:val="18"/>
              </w:rPr>
              <w:t>227</w:t>
            </w:r>
            <w:r w:rsidR="00CB045B" w:rsidRPr="009772A2">
              <w:rPr>
                <w:bCs w:val="0"/>
                <w:i w:val="0"/>
                <w:sz w:val="18"/>
                <w:szCs w:val="18"/>
              </w:rPr>
              <w:t xml:space="preserve"> </w:t>
            </w:r>
            <w:r w:rsidRPr="009772A2">
              <w:rPr>
                <w:bCs w:val="0"/>
                <w:i w:val="0"/>
                <w:sz w:val="18"/>
                <w:szCs w:val="18"/>
              </w:rPr>
              <w:t>120</w:t>
            </w:r>
          </w:p>
        </w:tc>
        <w:tc>
          <w:tcPr>
            <w:tcW w:w="900" w:type="dxa"/>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109</w:t>
            </w:r>
            <w:r w:rsidR="00CB045B" w:rsidRPr="009772A2">
              <w:rPr>
                <w:b w:val="0"/>
                <w:bCs w:val="0"/>
                <w:i w:val="0"/>
                <w:sz w:val="18"/>
                <w:szCs w:val="18"/>
              </w:rPr>
              <w:t xml:space="preserve"> </w:t>
            </w:r>
            <w:r w:rsidRPr="009772A2">
              <w:rPr>
                <w:b w:val="0"/>
                <w:bCs w:val="0"/>
                <w:i w:val="0"/>
                <w:sz w:val="18"/>
                <w:szCs w:val="18"/>
              </w:rPr>
              <w:t>976</w:t>
            </w:r>
          </w:p>
        </w:tc>
        <w:tc>
          <w:tcPr>
            <w:tcW w:w="900" w:type="dxa"/>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118</w:t>
            </w:r>
            <w:r w:rsidR="00CB045B" w:rsidRPr="009772A2">
              <w:rPr>
                <w:b w:val="0"/>
                <w:bCs w:val="0"/>
                <w:i w:val="0"/>
                <w:sz w:val="18"/>
                <w:szCs w:val="18"/>
              </w:rPr>
              <w:t xml:space="preserve"> </w:t>
            </w:r>
            <w:r w:rsidRPr="009772A2">
              <w:rPr>
                <w:b w:val="0"/>
                <w:bCs w:val="0"/>
                <w:i w:val="0"/>
                <w:sz w:val="18"/>
                <w:szCs w:val="18"/>
              </w:rPr>
              <w:t>865</w:t>
            </w:r>
          </w:p>
        </w:tc>
        <w:tc>
          <w:tcPr>
            <w:tcW w:w="939" w:type="dxa"/>
            <w:shd w:val="clear" w:color="auto" w:fill="auto"/>
            <w:vAlign w:val="bottom"/>
          </w:tcPr>
          <w:p w:rsidR="00DE0047" w:rsidRPr="009772A2" w:rsidRDefault="00DE0047" w:rsidP="00DE0047">
            <w:pPr>
              <w:pStyle w:val="Heading5"/>
              <w:spacing w:before="40" w:after="40" w:line="220" w:lineRule="exact"/>
              <w:jc w:val="right"/>
              <w:rPr>
                <w:bCs w:val="0"/>
                <w:i w:val="0"/>
                <w:sz w:val="18"/>
                <w:szCs w:val="18"/>
              </w:rPr>
            </w:pPr>
            <w:r w:rsidRPr="009772A2">
              <w:rPr>
                <w:bCs w:val="0"/>
                <w:i w:val="0"/>
                <w:sz w:val="18"/>
                <w:szCs w:val="18"/>
              </w:rPr>
              <w:t>228</w:t>
            </w:r>
            <w:r w:rsidR="00CB045B" w:rsidRPr="009772A2">
              <w:rPr>
                <w:bCs w:val="0"/>
                <w:i w:val="0"/>
                <w:sz w:val="18"/>
                <w:szCs w:val="18"/>
              </w:rPr>
              <w:t xml:space="preserve"> </w:t>
            </w:r>
            <w:r w:rsidRPr="009772A2">
              <w:rPr>
                <w:bCs w:val="0"/>
                <w:i w:val="0"/>
                <w:sz w:val="18"/>
                <w:szCs w:val="18"/>
              </w:rPr>
              <w:t>831</w:t>
            </w:r>
          </w:p>
        </w:tc>
      </w:tr>
      <w:tr w:rsidR="00CB045B" w:rsidRPr="009772A2">
        <w:trPr>
          <w:trHeight w:val="240"/>
        </w:trPr>
        <w:tc>
          <w:tcPr>
            <w:tcW w:w="1166" w:type="dxa"/>
            <w:tcBorders>
              <w:bottom w:val="single" w:sz="4" w:space="0" w:color="auto"/>
            </w:tcBorders>
            <w:shd w:val="clear" w:color="auto" w:fill="auto"/>
          </w:tcPr>
          <w:p w:rsidR="00DE0047" w:rsidRPr="009772A2" w:rsidRDefault="00DE0047" w:rsidP="00DE0047">
            <w:pPr>
              <w:pStyle w:val="Heading5"/>
              <w:spacing w:before="40" w:after="40" w:line="220" w:lineRule="exact"/>
              <w:rPr>
                <w:b w:val="0"/>
                <w:i w:val="0"/>
                <w:iCs w:val="0"/>
                <w:sz w:val="18"/>
              </w:rPr>
            </w:pPr>
            <w:r w:rsidRPr="009772A2">
              <w:rPr>
                <w:b w:val="0"/>
                <w:i w:val="0"/>
                <w:iCs w:val="0"/>
                <w:sz w:val="18"/>
              </w:rPr>
              <w:t>ThabaTseka</w:t>
            </w:r>
          </w:p>
        </w:tc>
        <w:tc>
          <w:tcPr>
            <w:tcW w:w="700" w:type="dxa"/>
            <w:tcBorders>
              <w:bottom w:val="single" w:sz="4" w:space="0" w:color="auto"/>
            </w:tcBorders>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16</w:t>
            </w:r>
            <w:r w:rsidR="00CB045B" w:rsidRPr="009772A2">
              <w:rPr>
                <w:b w:val="0"/>
                <w:bCs w:val="0"/>
                <w:i w:val="0"/>
                <w:sz w:val="18"/>
                <w:szCs w:val="18"/>
              </w:rPr>
              <w:t xml:space="preserve"> </w:t>
            </w:r>
            <w:r w:rsidRPr="009772A2">
              <w:rPr>
                <w:b w:val="0"/>
                <w:bCs w:val="0"/>
                <w:i w:val="0"/>
                <w:sz w:val="18"/>
                <w:szCs w:val="18"/>
              </w:rPr>
              <w:t xml:space="preserve">113 </w:t>
            </w:r>
          </w:p>
        </w:tc>
        <w:tc>
          <w:tcPr>
            <w:tcW w:w="800" w:type="dxa"/>
            <w:tcBorders>
              <w:bottom w:val="single" w:sz="4" w:space="0" w:color="auto"/>
            </w:tcBorders>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16</w:t>
            </w:r>
            <w:r w:rsidR="00CB045B" w:rsidRPr="009772A2">
              <w:rPr>
                <w:b w:val="0"/>
                <w:bCs w:val="0"/>
                <w:i w:val="0"/>
                <w:sz w:val="18"/>
                <w:szCs w:val="18"/>
              </w:rPr>
              <w:t xml:space="preserve"> </w:t>
            </w:r>
            <w:r w:rsidRPr="009772A2">
              <w:rPr>
                <w:b w:val="0"/>
                <w:bCs w:val="0"/>
                <w:i w:val="0"/>
                <w:sz w:val="18"/>
                <w:szCs w:val="18"/>
              </w:rPr>
              <w:t>702</w:t>
            </w:r>
          </w:p>
        </w:tc>
        <w:tc>
          <w:tcPr>
            <w:tcW w:w="700" w:type="dxa"/>
            <w:tcBorders>
              <w:bottom w:val="single" w:sz="4" w:space="0" w:color="auto"/>
            </w:tcBorders>
            <w:shd w:val="clear" w:color="auto" w:fill="auto"/>
            <w:vAlign w:val="bottom"/>
          </w:tcPr>
          <w:p w:rsidR="00DE0047" w:rsidRPr="009772A2" w:rsidRDefault="00DE0047" w:rsidP="00DE0047">
            <w:pPr>
              <w:pStyle w:val="Heading5"/>
              <w:spacing w:before="40" w:after="40" w:line="220" w:lineRule="exact"/>
              <w:jc w:val="right"/>
              <w:rPr>
                <w:bCs w:val="0"/>
                <w:i w:val="0"/>
                <w:sz w:val="18"/>
                <w:szCs w:val="18"/>
              </w:rPr>
            </w:pPr>
            <w:r w:rsidRPr="009772A2">
              <w:rPr>
                <w:bCs w:val="0"/>
                <w:i w:val="0"/>
                <w:sz w:val="18"/>
                <w:szCs w:val="18"/>
              </w:rPr>
              <w:t>32</w:t>
            </w:r>
            <w:r w:rsidR="00CB045B" w:rsidRPr="009772A2">
              <w:rPr>
                <w:bCs w:val="0"/>
                <w:i w:val="0"/>
                <w:sz w:val="18"/>
                <w:szCs w:val="18"/>
              </w:rPr>
              <w:t xml:space="preserve"> </w:t>
            </w:r>
            <w:r w:rsidRPr="009772A2">
              <w:rPr>
                <w:bCs w:val="0"/>
                <w:i w:val="0"/>
                <w:sz w:val="18"/>
                <w:szCs w:val="18"/>
              </w:rPr>
              <w:t>815</w:t>
            </w:r>
          </w:p>
        </w:tc>
        <w:tc>
          <w:tcPr>
            <w:tcW w:w="800" w:type="dxa"/>
            <w:tcBorders>
              <w:bottom w:val="single" w:sz="4" w:space="0" w:color="auto"/>
            </w:tcBorders>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15</w:t>
            </w:r>
            <w:r w:rsidR="00CB045B" w:rsidRPr="009772A2">
              <w:rPr>
                <w:b w:val="0"/>
                <w:bCs w:val="0"/>
                <w:i w:val="0"/>
                <w:sz w:val="18"/>
                <w:szCs w:val="18"/>
              </w:rPr>
              <w:t xml:space="preserve"> </w:t>
            </w:r>
            <w:r w:rsidRPr="009772A2">
              <w:rPr>
                <w:b w:val="0"/>
                <w:bCs w:val="0"/>
                <w:i w:val="0"/>
                <w:sz w:val="18"/>
                <w:szCs w:val="18"/>
              </w:rPr>
              <w:t>058</w:t>
            </w:r>
          </w:p>
        </w:tc>
        <w:tc>
          <w:tcPr>
            <w:tcW w:w="700" w:type="dxa"/>
            <w:tcBorders>
              <w:bottom w:val="single" w:sz="4" w:space="0" w:color="auto"/>
            </w:tcBorders>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16</w:t>
            </w:r>
            <w:r w:rsidR="00CB045B" w:rsidRPr="009772A2">
              <w:rPr>
                <w:b w:val="0"/>
                <w:bCs w:val="0"/>
                <w:i w:val="0"/>
                <w:sz w:val="18"/>
                <w:szCs w:val="18"/>
              </w:rPr>
              <w:t xml:space="preserve"> </w:t>
            </w:r>
            <w:r w:rsidRPr="009772A2">
              <w:rPr>
                <w:b w:val="0"/>
                <w:bCs w:val="0"/>
                <w:i w:val="0"/>
                <w:sz w:val="18"/>
                <w:szCs w:val="18"/>
              </w:rPr>
              <w:t>253</w:t>
            </w:r>
          </w:p>
        </w:tc>
        <w:tc>
          <w:tcPr>
            <w:tcW w:w="900" w:type="dxa"/>
            <w:tcBorders>
              <w:bottom w:val="single" w:sz="4" w:space="0" w:color="auto"/>
            </w:tcBorders>
            <w:shd w:val="clear" w:color="auto" w:fill="auto"/>
            <w:vAlign w:val="bottom"/>
          </w:tcPr>
          <w:p w:rsidR="00DE0047" w:rsidRPr="009772A2" w:rsidRDefault="00DE0047" w:rsidP="00DE0047">
            <w:pPr>
              <w:pStyle w:val="Heading5"/>
              <w:spacing w:before="40" w:after="40" w:line="220" w:lineRule="exact"/>
              <w:jc w:val="right"/>
              <w:rPr>
                <w:bCs w:val="0"/>
                <w:i w:val="0"/>
                <w:sz w:val="18"/>
                <w:szCs w:val="18"/>
              </w:rPr>
            </w:pPr>
            <w:r w:rsidRPr="009772A2">
              <w:rPr>
                <w:bCs w:val="0"/>
                <w:i w:val="0"/>
                <w:sz w:val="18"/>
                <w:szCs w:val="18"/>
              </w:rPr>
              <w:t>313</w:t>
            </w:r>
            <w:r w:rsidR="00CB045B" w:rsidRPr="009772A2">
              <w:rPr>
                <w:bCs w:val="0"/>
                <w:i w:val="0"/>
                <w:sz w:val="18"/>
                <w:szCs w:val="18"/>
              </w:rPr>
              <w:t xml:space="preserve"> </w:t>
            </w:r>
            <w:r w:rsidRPr="009772A2">
              <w:rPr>
                <w:bCs w:val="0"/>
                <w:i w:val="0"/>
                <w:sz w:val="18"/>
                <w:szCs w:val="18"/>
              </w:rPr>
              <w:t>112</w:t>
            </w:r>
          </w:p>
        </w:tc>
        <w:tc>
          <w:tcPr>
            <w:tcW w:w="900" w:type="dxa"/>
            <w:tcBorders>
              <w:bottom w:val="single" w:sz="4" w:space="0" w:color="auto"/>
            </w:tcBorders>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148</w:t>
            </w:r>
            <w:r w:rsidR="00CB045B" w:rsidRPr="009772A2">
              <w:rPr>
                <w:b w:val="0"/>
                <w:bCs w:val="0"/>
                <w:i w:val="0"/>
                <w:sz w:val="18"/>
                <w:szCs w:val="18"/>
              </w:rPr>
              <w:t xml:space="preserve"> </w:t>
            </w:r>
            <w:r w:rsidRPr="009772A2">
              <w:rPr>
                <w:b w:val="0"/>
                <w:bCs w:val="0"/>
                <w:i w:val="0"/>
                <w:sz w:val="18"/>
                <w:szCs w:val="18"/>
              </w:rPr>
              <w:t>649</w:t>
            </w:r>
          </w:p>
        </w:tc>
        <w:tc>
          <w:tcPr>
            <w:tcW w:w="900" w:type="dxa"/>
            <w:tcBorders>
              <w:bottom w:val="single" w:sz="4" w:space="0" w:color="auto"/>
            </w:tcBorders>
            <w:shd w:val="clear" w:color="auto" w:fill="auto"/>
            <w:vAlign w:val="bottom"/>
          </w:tcPr>
          <w:p w:rsidR="00DE0047" w:rsidRPr="009772A2" w:rsidRDefault="00DE0047" w:rsidP="00DE0047">
            <w:pPr>
              <w:pStyle w:val="Heading5"/>
              <w:spacing w:before="40" w:after="40" w:line="220" w:lineRule="exact"/>
              <w:jc w:val="right"/>
              <w:rPr>
                <w:b w:val="0"/>
                <w:bCs w:val="0"/>
                <w:i w:val="0"/>
                <w:sz w:val="18"/>
                <w:szCs w:val="18"/>
              </w:rPr>
            </w:pPr>
            <w:r w:rsidRPr="009772A2">
              <w:rPr>
                <w:b w:val="0"/>
                <w:bCs w:val="0"/>
                <w:i w:val="0"/>
                <w:sz w:val="18"/>
                <w:szCs w:val="18"/>
              </w:rPr>
              <w:t>161</w:t>
            </w:r>
            <w:r w:rsidR="00CB045B" w:rsidRPr="009772A2">
              <w:rPr>
                <w:b w:val="0"/>
                <w:bCs w:val="0"/>
                <w:i w:val="0"/>
                <w:sz w:val="18"/>
                <w:szCs w:val="18"/>
              </w:rPr>
              <w:t xml:space="preserve"> </w:t>
            </w:r>
            <w:r w:rsidRPr="009772A2">
              <w:rPr>
                <w:b w:val="0"/>
                <w:bCs w:val="0"/>
                <w:i w:val="0"/>
                <w:sz w:val="18"/>
                <w:szCs w:val="18"/>
              </w:rPr>
              <w:t>403</w:t>
            </w:r>
          </w:p>
        </w:tc>
        <w:tc>
          <w:tcPr>
            <w:tcW w:w="939" w:type="dxa"/>
            <w:tcBorders>
              <w:bottom w:val="single" w:sz="4" w:space="0" w:color="auto"/>
            </w:tcBorders>
            <w:shd w:val="clear" w:color="auto" w:fill="auto"/>
            <w:vAlign w:val="bottom"/>
          </w:tcPr>
          <w:p w:rsidR="00DE0047" w:rsidRPr="009772A2" w:rsidRDefault="00DE0047" w:rsidP="00DE0047">
            <w:pPr>
              <w:pStyle w:val="Heading5"/>
              <w:spacing w:before="40" w:after="40" w:line="220" w:lineRule="exact"/>
              <w:jc w:val="right"/>
              <w:rPr>
                <w:bCs w:val="0"/>
                <w:i w:val="0"/>
                <w:sz w:val="18"/>
                <w:szCs w:val="18"/>
              </w:rPr>
            </w:pPr>
            <w:r w:rsidRPr="009772A2">
              <w:rPr>
                <w:bCs w:val="0"/>
                <w:i w:val="0"/>
                <w:sz w:val="18"/>
                <w:szCs w:val="18"/>
              </w:rPr>
              <w:t>310</w:t>
            </w:r>
            <w:r w:rsidR="00CB045B" w:rsidRPr="009772A2">
              <w:rPr>
                <w:bCs w:val="0"/>
                <w:i w:val="0"/>
                <w:sz w:val="18"/>
                <w:szCs w:val="18"/>
              </w:rPr>
              <w:t xml:space="preserve"> </w:t>
            </w:r>
            <w:r w:rsidRPr="009772A2">
              <w:rPr>
                <w:bCs w:val="0"/>
                <w:i w:val="0"/>
                <w:sz w:val="18"/>
                <w:szCs w:val="18"/>
              </w:rPr>
              <w:t>042</w:t>
            </w:r>
          </w:p>
        </w:tc>
      </w:tr>
      <w:tr w:rsidR="00DE0047" w:rsidRPr="009772A2">
        <w:trPr>
          <w:trHeight w:val="240"/>
        </w:trPr>
        <w:tc>
          <w:tcPr>
            <w:tcW w:w="1166" w:type="dxa"/>
            <w:tcBorders>
              <w:top w:val="single" w:sz="4" w:space="0" w:color="auto"/>
              <w:bottom w:val="single" w:sz="12" w:space="0" w:color="auto"/>
            </w:tcBorders>
            <w:shd w:val="clear" w:color="auto" w:fill="auto"/>
          </w:tcPr>
          <w:p w:rsidR="00DE0047" w:rsidRPr="009772A2" w:rsidRDefault="00DE0047" w:rsidP="00CB045B">
            <w:pPr>
              <w:pStyle w:val="Heading5"/>
              <w:spacing w:before="80" w:after="80" w:line="220" w:lineRule="exact"/>
              <w:ind w:left="284"/>
              <w:rPr>
                <w:bCs w:val="0"/>
                <w:i w:val="0"/>
                <w:iCs w:val="0"/>
                <w:sz w:val="18"/>
              </w:rPr>
            </w:pPr>
            <w:r w:rsidRPr="009772A2">
              <w:rPr>
                <w:bCs w:val="0"/>
                <w:i w:val="0"/>
                <w:iCs w:val="0"/>
                <w:sz w:val="18"/>
              </w:rPr>
              <w:t>Total</w:t>
            </w:r>
          </w:p>
        </w:tc>
        <w:tc>
          <w:tcPr>
            <w:tcW w:w="700" w:type="dxa"/>
            <w:tcBorders>
              <w:top w:val="single" w:sz="4" w:space="0" w:color="auto"/>
              <w:bottom w:val="single" w:sz="12" w:space="0" w:color="auto"/>
            </w:tcBorders>
            <w:shd w:val="clear" w:color="auto" w:fill="auto"/>
            <w:vAlign w:val="bottom"/>
          </w:tcPr>
          <w:p w:rsidR="00DE0047" w:rsidRPr="009772A2" w:rsidRDefault="00DE0047" w:rsidP="00CB045B">
            <w:pPr>
              <w:pStyle w:val="Heading5"/>
              <w:spacing w:before="80" w:after="80" w:line="220" w:lineRule="exact"/>
              <w:jc w:val="right"/>
              <w:rPr>
                <w:bCs w:val="0"/>
                <w:i w:val="0"/>
                <w:sz w:val="18"/>
                <w:szCs w:val="18"/>
              </w:rPr>
            </w:pPr>
            <w:r w:rsidRPr="009772A2">
              <w:rPr>
                <w:bCs w:val="0"/>
                <w:i w:val="0"/>
                <w:sz w:val="18"/>
                <w:szCs w:val="18"/>
              </w:rPr>
              <w:t>194</w:t>
            </w:r>
            <w:r w:rsidR="00CB045B" w:rsidRPr="009772A2">
              <w:rPr>
                <w:bCs w:val="0"/>
                <w:i w:val="0"/>
                <w:sz w:val="18"/>
                <w:szCs w:val="18"/>
              </w:rPr>
              <w:t xml:space="preserve"> </w:t>
            </w:r>
            <w:r w:rsidRPr="009772A2">
              <w:rPr>
                <w:bCs w:val="0"/>
                <w:i w:val="0"/>
                <w:sz w:val="18"/>
                <w:szCs w:val="18"/>
              </w:rPr>
              <w:t xml:space="preserve">849 </w:t>
            </w:r>
          </w:p>
        </w:tc>
        <w:tc>
          <w:tcPr>
            <w:tcW w:w="800" w:type="dxa"/>
            <w:tcBorders>
              <w:top w:val="single" w:sz="4" w:space="0" w:color="auto"/>
              <w:bottom w:val="single" w:sz="12" w:space="0" w:color="auto"/>
            </w:tcBorders>
            <w:shd w:val="clear" w:color="auto" w:fill="auto"/>
            <w:vAlign w:val="bottom"/>
          </w:tcPr>
          <w:p w:rsidR="00DE0047" w:rsidRPr="009772A2" w:rsidRDefault="00DE0047" w:rsidP="00CB045B">
            <w:pPr>
              <w:pStyle w:val="Heading5"/>
              <w:spacing w:before="80" w:after="80" w:line="220" w:lineRule="exact"/>
              <w:jc w:val="right"/>
              <w:rPr>
                <w:bCs w:val="0"/>
                <w:i w:val="0"/>
                <w:sz w:val="18"/>
                <w:szCs w:val="18"/>
              </w:rPr>
            </w:pPr>
            <w:r w:rsidRPr="009772A2">
              <w:rPr>
                <w:bCs w:val="0"/>
                <w:i w:val="0"/>
                <w:sz w:val="18"/>
                <w:szCs w:val="18"/>
              </w:rPr>
              <w:t>1</w:t>
            </w:r>
            <w:r w:rsidR="00CB045B" w:rsidRPr="009772A2">
              <w:rPr>
                <w:bCs w:val="0"/>
                <w:i w:val="0"/>
                <w:sz w:val="18"/>
                <w:szCs w:val="18"/>
              </w:rPr>
              <w:t xml:space="preserve"> </w:t>
            </w:r>
            <w:r w:rsidRPr="009772A2">
              <w:rPr>
                <w:bCs w:val="0"/>
                <w:i w:val="0"/>
                <w:sz w:val="18"/>
                <w:szCs w:val="18"/>
              </w:rPr>
              <w:t>868</w:t>
            </w:r>
            <w:r w:rsidR="00CB045B" w:rsidRPr="009772A2">
              <w:rPr>
                <w:bCs w:val="0"/>
                <w:i w:val="0"/>
                <w:sz w:val="18"/>
                <w:szCs w:val="18"/>
              </w:rPr>
              <w:t xml:space="preserve"> </w:t>
            </w:r>
            <w:r w:rsidRPr="009772A2">
              <w:rPr>
                <w:bCs w:val="0"/>
                <w:i w:val="0"/>
                <w:sz w:val="18"/>
                <w:szCs w:val="18"/>
              </w:rPr>
              <w:t>417</w:t>
            </w:r>
          </w:p>
        </w:tc>
        <w:tc>
          <w:tcPr>
            <w:tcW w:w="700" w:type="dxa"/>
            <w:tcBorders>
              <w:top w:val="single" w:sz="4" w:space="0" w:color="auto"/>
              <w:bottom w:val="single" w:sz="12" w:space="0" w:color="auto"/>
            </w:tcBorders>
            <w:shd w:val="clear" w:color="auto" w:fill="auto"/>
            <w:vAlign w:val="bottom"/>
          </w:tcPr>
          <w:p w:rsidR="00DE0047" w:rsidRPr="009772A2" w:rsidRDefault="00DE0047" w:rsidP="00CB045B">
            <w:pPr>
              <w:pStyle w:val="Heading5"/>
              <w:spacing w:before="80" w:after="80" w:line="220" w:lineRule="exact"/>
              <w:jc w:val="right"/>
              <w:rPr>
                <w:bCs w:val="0"/>
                <w:i w:val="0"/>
                <w:sz w:val="18"/>
                <w:szCs w:val="18"/>
              </w:rPr>
            </w:pPr>
            <w:r w:rsidRPr="009772A2">
              <w:rPr>
                <w:bCs w:val="0"/>
                <w:i w:val="0"/>
                <w:sz w:val="18"/>
                <w:szCs w:val="18"/>
              </w:rPr>
              <w:t>381</w:t>
            </w:r>
            <w:r w:rsidR="00CB045B" w:rsidRPr="009772A2">
              <w:rPr>
                <w:bCs w:val="0"/>
                <w:i w:val="0"/>
                <w:sz w:val="18"/>
                <w:szCs w:val="18"/>
              </w:rPr>
              <w:t xml:space="preserve"> </w:t>
            </w:r>
            <w:r w:rsidRPr="009772A2">
              <w:rPr>
                <w:bCs w:val="0"/>
                <w:i w:val="0"/>
                <w:sz w:val="18"/>
                <w:szCs w:val="18"/>
              </w:rPr>
              <w:t>690</w:t>
            </w:r>
          </w:p>
        </w:tc>
        <w:tc>
          <w:tcPr>
            <w:tcW w:w="800" w:type="dxa"/>
            <w:tcBorders>
              <w:top w:val="single" w:sz="4" w:space="0" w:color="auto"/>
              <w:bottom w:val="single" w:sz="12" w:space="0" w:color="auto"/>
            </w:tcBorders>
            <w:shd w:val="clear" w:color="auto" w:fill="auto"/>
            <w:vAlign w:val="bottom"/>
          </w:tcPr>
          <w:p w:rsidR="00DE0047" w:rsidRPr="009772A2" w:rsidRDefault="00DE0047" w:rsidP="00CB045B">
            <w:pPr>
              <w:pStyle w:val="Heading5"/>
              <w:spacing w:before="80" w:after="80" w:line="220" w:lineRule="exact"/>
              <w:jc w:val="right"/>
              <w:rPr>
                <w:bCs w:val="0"/>
                <w:i w:val="0"/>
                <w:sz w:val="18"/>
                <w:szCs w:val="18"/>
              </w:rPr>
            </w:pPr>
            <w:r w:rsidRPr="009772A2">
              <w:rPr>
                <w:bCs w:val="0"/>
                <w:i w:val="0"/>
                <w:sz w:val="18"/>
                <w:szCs w:val="18"/>
              </w:rPr>
              <w:t>188</w:t>
            </w:r>
            <w:r w:rsidR="00CB045B" w:rsidRPr="009772A2">
              <w:rPr>
                <w:bCs w:val="0"/>
                <w:i w:val="0"/>
                <w:sz w:val="18"/>
                <w:szCs w:val="18"/>
              </w:rPr>
              <w:t xml:space="preserve"> </w:t>
            </w:r>
            <w:r w:rsidRPr="009772A2">
              <w:rPr>
                <w:bCs w:val="0"/>
                <w:i w:val="0"/>
                <w:sz w:val="18"/>
                <w:szCs w:val="18"/>
              </w:rPr>
              <w:t>050</w:t>
            </w:r>
          </w:p>
        </w:tc>
        <w:tc>
          <w:tcPr>
            <w:tcW w:w="700" w:type="dxa"/>
            <w:tcBorders>
              <w:top w:val="single" w:sz="4" w:space="0" w:color="auto"/>
              <w:bottom w:val="single" w:sz="12" w:space="0" w:color="auto"/>
            </w:tcBorders>
            <w:shd w:val="clear" w:color="auto" w:fill="auto"/>
            <w:vAlign w:val="bottom"/>
          </w:tcPr>
          <w:p w:rsidR="00DE0047" w:rsidRPr="009772A2" w:rsidRDefault="00DE0047" w:rsidP="00CB045B">
            <w:pPr>
              <w:pStyle w:val="Heading5"/>
              <w:spacing w:before="80" w:after="80" w:line="220" w:lineRule="exact"/>
              <w:jc w:val="right"/>
              <w:rPr>
                <w:bCs w:val="0"/>
                <w:i w:val="0"/>
                <w:sz w:val="18"/>
                <w:szCs w:val="18"/>
              </w:rPr>
            </w:pPr>
            <w:r w:rsidRPr="009772A2">
              <w:rPr>
                <w:bCs w:val="0"/>
                <w:i w:val="0"/>
                <w:sz w:val="18"/>
                <w:szCs w:val="18"/>
              </w:rPr>
              <w:t>181</w:t>
            </w:r>
            <w:r w:rsidR="00CB045B" w:rsidRPr="009772A2">
              <w:rPr>
                <w:bCs w:val="0"/>
                <w:i w:val="0"/>
                <w:sz w:val="18"/>
                <w:szCs w:val="18"/>
              </w:rPr>
              <w:t xml:space="preserve"> </w:t>
            </w:r>
            <w:r w:rsidRPr="009772A2">
              <w:rPr>
                <w:bCs w:val="0"/>
                <w:i w:val="0"/>
                <w:sz w:val="18"/>
                <w:szCs w:val="18"/>
              </w:rPr>
              <w:t>419</w:t>
            </w:r>
          </w:p>
        </w:tc>
        <w:tc>
          <w:tcPr>
            <w:tcW w:w="900" w:type="dxa"/>
            <w:tcBorders>
              <w:top w:val="single" w:sz="4" w:space="0" w:color="auto"/>
              <w:bottom w:val="single" w:sz="12" w:space="0" w:color="auto"/>
            </w:tcBorders>
            <w:shd w:val="clear" w:color="auto" w:fill="auto"/>
            <w:vAlign w:val="bottom"/>
          </w:tcPr>
          <w:p w:rsidR="00DE0047" w:rsidRPr="009772A2" w:rsidRDefault="00DE0047" w:rsidP="00CB045B">
            <w:pPr>
              <w:pStyle w:val="Heading5"/>
              <w:spacing w:before="80" w:after="80" w:line="220" w:lineRule="exact"/>
              <w:jc w:val="right"/>
              <w:rPr>
                <w:bCs w:val="0"/>
                <w:i w:val="0"/>
                <w:sz w:val="18"/>
                <w:szCs w:val="18"/>
              </w:rPr>
            </w:pPr>
            <w:r w:rsidRPr="009772A2">
              <w:rPr>
                <w:bCs w:val="0"/>
                <w:i w:val="0"/>
                <w:sz w:val="18"/>
                <w:szCs w:val="18"/>
              </w:rPr>
              <w:t>36</w:t>
            </w:r>
            <w:r w:rsidR="00CB045B" w:rsidRPr="009772A2">
              <w:rPr>
                <w:bCs w:val="0"/>
                <w:i w:val="0"/>
                <w:sz w:val="18"/>
                <w:szCs w:val="18"/>
              </w:rPr>
              <w:t xml:space="preserve"> </w:t>
            </w:r>
            <w:r w:rsidRPr="009772A2">
              <w:rPr>
                <w:bCs w:val="0"/>
                <w:i w:val="0"/>
                <w:sz w:val="18"/>
                <w:szCs w:val="18"/>
              </w:rPr>
              <w:t>946</w:t>
            </w:r>
            <w:r w:rsidR="00CB045B" w:rsidRPr="009772A2">
              <w:rPr>
                <w:bCs w:val="0"/>
                <w:i w:val="0"/>
                <w:sz w:val="18"/>
                <w:szCs w:val="18"/>
              </w:rPr>
              <w:t xml:space="preserve"> </w:t>
            </w:r>
            <w:r w:rsidRPr="009772A2">
              <w:rPr>
                <w:bCs w:val="0"/>
                <w:i w:val="0"/>
                <w:sz w:val="18"/>
                <w:szCs w:val="18"/>
              </w:rPr>
              <w:t>978</w:t>
            </w:r>
          </w:p>
        </w:tc>
        <w:tc>
          <w:tcPr>
            <w:tcW w:w="900" w:type="dxa"/>
            <w:tcBorders>
              <w:top w:val="single" w:sz="4" w:space="0" w:color="auto"/>
              <w:bottom w:val="single" w:sz="12" w:space="0" w:color="auto"/>
            </w:tcBorders>
            <w:shd w:val="clear" w:color="auto" w:fill="auto"/>
            <w:vAlign w:val="bottom"/>
          </w:tcPr>
          <w:p w:rsidR="00DE0047" w:rsidRPr="009772A2" w:rsidRDefault="00DE0047" w:rsidP="00CB045B">
            <w:pPr>
              <w:pStyle w:val="Heading5"/>
              <w:spacing w:before="80" w:after="80" w:line="220" w:lineRule="exact"/>
              <w:jc w:val="right"/>
              <w:rPr>
                <w:bCs w:val="0"/>
                <w:i w:val="0"/>
                <w:sz w:val="18"/>
                <w:szCs w:val="18"/>
              </w:rPr>
            </w:pPr>
            <w:r w:rsidRPr="009772A2">
              <w:rPr>
                <w:bCs w:val="0"/>
                <w:i w:val="0"/>
                <w:sz w:val="18"/>
                <w:szCs w:val="18"/>
              </w:rPr>
              <w:t>18</w:t>
            </w:r>
            <w:r w:rsidR="00CB045B" w:rsidRPr="009772A2">
              <w:rPr>
                <w:bCs w:val="0"/>
                <w:i w:val="0"/>
                <w:sz w:val="18"/>
                <w:szCs w:val="18"/>
              </w:rPr>
              <w:t xml:space="preserve"> </w:t>
            </w:r>
            <w:r w:rsidRPr="009772A2">
              <w:rPr>
                <w:bCs w:val="0"/>
                <w:i w:val="0"/>
                <w:sz w:val="18"/>
                <w:szCs w:val="18"/>
              </w:rPr>
              <w:t>660</w:t>
            </w:r>
            <w:r w:rsidR="00CB045B" w:rsidRPr="009772A2">
              <w:rPr>
                <w:bCs w:val="0"/>
                <w:i w:val="0"/>
                <w:sz w:val="18"/>
                <w:szCs w:val="18"/>
              </w:rPr>
              <w:t xml:space="preserve"> </w:t>
            </w:r>
            <w:r w:rsidRPr="009772A2">
              <w:rPr>
                <w:bCs w:val="0"/>
                <w:i w:val="0"/>
                <w:sz w:val="18"/>
                <w:szCs w:val="18"/>
              </w:rPr>
              <w:t>623</w:t>
            </w:r>
          </w:p>
        </w:tc>
        <w:tc>
          <w:tcPr>
            <w:tcW w:w="900" w:type="dxa"/>
            <w:tcBorders>
              <w:top w:val="single" w:sz="4" w:space="0" w:color="auto"/>
              <w:bottom w:val="single" w:sz="12" w:space="0" w:color="auto"/>
            </w:tcBorders>
            <w:shd w:val="clear" w:color="auto" w:fill="auto"/>
            <w:vAlign w:val="bottom"/>
          </w:tcPr>
          <w:p w:rsidR="00DE0047" w:rsidRPr="009772A2" w:rsidRDefault="00DE0047" w:rsidP="00CB045B">
            <w:pPr>
              <w:pStyle w:val="Heading5"/>
              <w:spacing w:before="80" w:after="80" w:line="220" w:lineRule="exact"/>
              <w:jc w:val="right"/>
              <w:rPr>
                <w:bCs w:val="0"/>
                <w:i w:val="0"/>
                <w:sz w:val="18"/>
                <w:szCs w:val="18"/>
              </w:rPr>
            </w:pPr>
            <w:r w:rsidRPr="009772A2">
              <w:rPr>
                <w:bCs w:val="0"/>
                <w:i w:val="0"/>
                <w:sz w:val="18"/>
                <w:szCs w:val="18"/>
              </w:rPr>
              <w:t>17</w:t>
            </w:r>
            <w:r w:rsidR="00CB045B" w:rsidRPr="009772A2">
              <w:rPr>
                <w:bCs w:val="0"/>
                <w:i w:val="0"/>
                <w:sz w:val="18"/>
                <w:szCs w:val="18"/>
              </w:rPr>
              <w:t xml:space="preserve"> </w:t>
            </w:r>
            <w:r w:rsidRPr="009772A2">
              <w:rPr>
                <w:bCs w:val="0"/>
                <w:i w:val="0"/>
                <w:sz w:val="18"/>
                <w:szCs w:val="18"/>
              </w:rPr>
              <w:t>944</w:t>
            </w:r>
            <w:r w:rsidR="00CB045B" w:rsidRPr="009772A2">
              <w:rPr>
                <w:bCs w:val="0"/>
                <w:i w:val="0"/>
                <w:sz w:val="18"/>
                <w:szCs w:val="18"/>
              </w:rPr>
              <w:t xml:space="preserve"> </w:t>
            </w:r>
            <w:r w:rsidRPr="009772A2">
              <w:rPr>
                <w:bCs w:val="0"/>
                <w:i w:val="0"/>
                <w:sz w:val="18"/>
                <w:szCs w:val="18"/>
              </w:rPr>
              <w:t>232</w:t>
            </w:r>
          </w:p>
        </w:tc>
        <w:tc>
          <w:tcPr>
            <w:tcW w:w="939" w:type="dxa"/>
            <w:tcBorders>
              <w:top w:val="single" w:sz="4" w:space="0" w:color="auto"/>
              <w:bottom w:val="single" w:sz="12" w:space="0" w:color="auto"/>
            </w:tcBorders>
            <w:shd w:val="clear" w:color="auto" w:fill="auto"/>
            <w:vAlign w:val="bottom"/>
          </w:tcPr>
          <w:p w:rsidR="00DE0047" w:rsidRPr="009772A2" w:rsidRDefault="00DE0047" w:rsidP="00CB045B">
            <w:pPr>
              <w:pStyle w:val="Heading5"/>
              <w:spacing w:before="80" w:after="80" w:line="220" w:lineRule="exact"/>
              <w:jc w:val="right"/>
              <w:rPr>
                <w:bCs w:val="0"/>
                <w:i w:val="0"/>
                <w:sz w:val="18"/>
                <w:szCs w:val="18"/>
              </w:rPr>
            </w:pPr>
            <w:r w:rsidRPr="009772A2">
              <w:rPr>
                <w:bCs w:val="0"/>
                <w:i w:val="0"/>
                <w:sz w:val="18"/>
                <w:szCs w:val="18"/>
              </w:rPr>
              <w:t>36</w:t>
            </w:r>
            <w:r w:rsidR="00CB045B" w:rsidRPr="009772A2">
              <w:rPr>
                <w:bCs w:val="0"/>
                <w:i w:val="0"/>
                <w:sz w:val="18"/>
                <w:szCs w:val="18"/>
              </w:rPr>
              <w:t xml:space="preserve"> </w:t>
            </w:r>
            <w:r w:rsidRPr="009772A2">
              <w:rPr>
                <w:bCs w:val="0"/>
                <w:i w:val="0"/>
                <w:sz w:val="18"/>
                <w:szCs w:val="18"/>
              </w:rPr>
              <w:t>604</w:t>
            </w:r>
            <w:r w:rsidR="00CB045B" w:rsidRPr="009772A2">
              <w:rPr>
                <w:bCs w:val="0"/>
                <w:i w:val="0"/>
                <w:sz w:val="18"/>
                <w:szCs w:val="18"/>
              </w:rPr>
              <w:t xml:space="preserve"> </w:t>
            </w:r>
            <w:r w:rsidRPr="009772A2">
              <w:rPr>
                <w:bCs w:val="0"/>
                <w:i w:val="0"/>
                <w:sz w:val="18"/>
                <w:szCs w:val="18"/>
              </w:rPr>
              <w:t>855</w:t>
            </w:r>
          </w:p>
        </w:tc>
      </w:tr>
    </w:tbl>
    <w:p w:rsidR="00542BD3" w:rsidRPr="009772A2" w:rsidRDefault="00542BD3" w:rsidP="00CB045B">
      <w:pPr>
        <w:spacing w:before="120" w:after="240" w:line="220" w:lineRule="exact"/>
        <w:ind w:left="1134" w:right="1134" w:firstLine="170"/>
        <w:rPr>
          <w:i/>
          <w:sz w:val="18"/>
          <w:szCs w:val="18"/>
        </w:rPr>
      </w:pPr>
      <w:r w:rsidRPr="009772A2">
        <w:rPr>
          <w:i/>
          <w:sz w:val="18"/>
          <w:szCs w:val="18"/>
        </w:rPr>
        <w:t>Fuente:</w:t>
      </w:r>
      <w:r w:rsidRPr="009772A2">
        <w:rPr>
          <w:sz w:val="18"/>
          <w:szCs w:val="18"/>
        </w:rPr>
        <w:t xml:space="preserve"> Informe sobre estadísticas de la educación, 2014</w:t>
      </w:r>
      <w:r w:rsidR="00CB045B" w:rsidRPr="009772A2">
        <w:rPr>
          <w:sz w:val="18"/>
          <w:szCs w:val="18"/>
        </w:rPr>
        <w:t>.</w:t>
      </w:r>
    </w:p>
    <w:p w:rsidR="00542BD3" w:rsidRPr="009772A2" w:rsidRDefault="00CB045B" w:rsidP="00CB045B">
      <w:pPr>
        <w:pStyle w:val="H4G"/>
      </w:pPr>
      <w:r w:rsidRPr="009772A2">
        <w:tab/>
      </w:r>
      <w:r w:rsidR="00542BD3" w:rsidRPr="009772A2">
        <w:t>h)</w:t>
      </w:r>
      <w:r w:rsidRPr="009772A2">
        <w:tab/>
      </w:r>
      <w:r w:rsidR="00542BD3" w:rsidRPr="009772A2">
        <w:t>Turismo</w:t>
      </w:r>
    </w:p>
    <w:p w:rsidR="00542BD3" w:rsidRPr="009772A2" w:rsidRDefault="00542BD3" w:rsidP="00430326">
      <w:pPr>
        <w:pStyle w:val="SingleTxtG"/>
      </w:pPr>
      <w:r w:rsidRPr="009772A2">
        <w:t>6</w:t>
      </w:r>
      <w:r w:rsidR="00430326" w:rsidRPr="009772A2">
        <w:t>1.</w:t>
      </w:r>
      <w:r w:rsidR="00430326" w:rsidRPr="009772A2">
        <w:tab/>
      </w:r>
      <w:r w:rsidRPr="009772A2">
        <w:t xml:space="preserve">El sector del turismo contribuye más del 4% al PIB del país. Las montañas, la cultura y la altitud de Lesotho lo hacen atractivo para los turistas. La Zona de Conservación y Desarrollo Transfronteriza abarca las montañas Maloti en Lesotho y las montañas Drakensberg en la provincia de KwaZulu-Natal en Sudáfrica. Esta Zona es uno de los logros de la colaboración entre Lesotho y Sudáfrica en materia de conservación del patrimonio natural y cultural de importancia mundial y la magnificencia de los paisajes de la zona. </w:t>
      </w:r>
    </w:p>
    <w:p w:rsidR="00542BD3" w:rsidRPr="009772A2" w:rsidRDefault="00542BD3" w:rsidP="00430326">
      <w:pPr>
        <w:pStyle w:val="SingleTxtG"/>
      </w:pPr>
      <w:r w:rsidRPr="009772A2">
        <w:t>6</w:t>
      </w:r>
      <w:r w:rsidR="00430326" w:rsidRPr="009772A2">
        <w:t>2.</w:t>
      </w:r>
      <w:r w:rsidR="00430326" w:rsidRPr="009772A2">
        <w:tab/>
      </w:r>
      <w:r w:rsidRPr="009772A2">
        <w:t>Durante la temporada de invierno, la nieve en los distritos montañosos constituye un gran atractivo turístico, razón por la cual se inauguró en 2010 la estación de esquí y montaña de Mahlasela Afri-Ski. Se trata principalmente de un destino de invierno, aunque se está acondicionando para funcionar todo el año y tendrá la tirolina más alta de África. Se espera que esté totalmente terminado para el próximo invierno (junio de 2016). En promedio, Afri-Ski tiene capacidad para recibir más de 500 personas por día y puede alojar a unas 300 personas.</w:t>
      </w:r>
    </w:p>
    <w:p w:rsidR="00542BD3" w:rsidRPr="009772A2" w:rsidRDefault="00542BD3" w:rsidP="00430326">
      <w:pPr>
        <w:pStyle w:val="SingleTxtG"/>
      </w:pPr>
      <w:r w:rsidRPr="009772A2">
        <w:t>6</w:t>
      </w:r>
      <w:r w:rsidR="00430326" w:rsidRPr="009772A2">
        <w:t>3.</w:t>
      </w:r>
      <w:r w:rsidR="00430326" w:rsidRPr="009772A2">
        <w:tab/>
      </w:r>
      <w:r w:rsidRPr="009772A2">
        <w:t>Alrededor de 2005 Lesotho heredó instalaciones de la Dirección de Desarrollo de las Tierras Altas de Lesotho, a saber, el Centro Liphofung de Cultura y Patrimonio, la Reserva Natural de Tshehlanyane y la Reserva Natural de Bokong. El otro centro de atracción turística es el Parque Nacional de Sehlabathabe, que se abrió al público en 1970, después de las obras de mejoramiento realizadas en el marco del Proyecto Tranfronterizo Maloti Drakensberg, y actualmente se llama Parque Maluti Drakensberg. Este parque es el primero en haber sido declarado patrimonio de la humanidad y haberse incluido en la lista de la UNESCO y es la mayor zona protegida a lo largo de la gran escarpadura del África meridional. Sus instalaciones incluyen un centro de medio ambiente donde se exhiben fauna y flora extinguidas (biodiversidad) y animales extinguidos, un centro de investigación científica y hospedaje.</w:t>
      </w:r>
    </w:p>
    <w:p w:rsidR="00542BD3" w:rsidRPr="009772A2" w:rsidRDefault="00542BD3" w:rsidP="00430326">
      <w:pPr>
        <w:pStyle w:val="SingleTxtG"/>
      </w:pPr>
      <w:r w:rsidRPr="009772A2">
        <w:t>6</w:t>
      </w:r>
      <w:r w:rsidR="00430326" w:rsidRPr="009772A2">
        <w:t>4.</w:t>
      </w:r>
      <w:r w:rsidR="00430326" w:rsidRPr="009772A2">
        <w:tab/>
      </w:r>
      <w:r w:rsidRPr="009772A2">
        <w:t xml:space="preserve">Las Cuevas de Kome, sitio de patrimonio vivo que tiene unos 200 años, también constituyen una atracción turística. Además, la meseta de Thaba Bosiu es un monumento histórico y un museo, pues la nación basotho fue fundada allí por el rey Moshoeshoe I. La histórica aldea real se mantiene en la cima de la meseta y al pie hay una aldea cultural que ilustra la forma de vida de los basotho. </w:t>
      </w:r>
      <w:r w:rsidR="00460C8B" w:rsidRPr="009772A2">
        <w:t>El hotel Malea</w:t>
      </w:r>
      <w:r w:rsidRPr="009772A2">
        <w:t>-Lea y muchos otros hospedajes de todo el país proporcionan a los turistas la frescura del aire puro.</w:t>
      </w:r>
    </w:p>
    <w:p w:rsidR="00542BD3" w:rsidRPr="009772A2" w:rsidRDefault="00542BD3" w:rsidP="00430326">
      <w:pPr>
        <w:pStyle w:val="SingleTxtG"/>
      </w:pPr>
      <w:r w:rsidRPr="009772A2">
        <w:t>6</w:t>
      </w:r>
      <w:r w:rsidR="00430326" w:rsidRPr="009772A2">
        <w:t>5.</w:t>
      </w:r>
      <w:r w:rsidR="00430326" w:rsidRPr="009772A2">
        <w:tab/>
      </w:r>
      <w:r w:rsidRPr="009772A2">
        <w:t xml:space="preserve">Hace unos 30 años, en la primera fase del Proyecto Hídrico de las Tierras Altas de Lesotho se construyeron dos grandes presas, principalmente para recoger el agua que se vende a Sudáfrica para consumo doméstico, pero también para la generación de electricidad para los basotho en la Planta hidroeléctrica de Muela, a saber, la presa de Katse en el distrito de Leribe y la presa de Mohale en el distrito de Maseru. La presa de Mohale tiene una isla, la Thaba Chitja, que es accesible </w:t>
      </w:r>
      <w:r w:rsidR="00364A76" w:rsidRPr="009772A2">
        <w:t>solo</w:t>
      </w:r>
      <w:r w:rsidRPr="009772A2">
        <w:t xml:space="preserve"> por helicóptero y barco. La presa de Katse, a su vez, tiene una cuenca receptora donde se crían truchas, principalmente para la exportación, que son altamente orgánicas y se exportan hasta el Japón. Estas presas ganaron premios internacionales al mejor diseño técnico y por ser las presas construidas por el hombre a mayor altitud del mundo. Se han iniciado las consultorías y los trabajos preparatorios para la segunda fase del proyecto, en la que se construirán infraestructura y hospedajes. Desde 2008 existen hospedajes económicos, que en los pueblos se llaman </w:t>
      </w:r>
      <w:r w:rsidRPr="009772A2">
        <w:rPr>
          <w:i/>
        </w:rPr>
        <w:t>homestays</w:t>
      </w:r>
      <w:r w:rsidRPr="009772A2">
        <w:t xml:space="preserve"> y en las ciudades, casas de huéspedes y </w:t>
      </w:r>
      <w:r w:rsidRPr="009772A2">
        <w:rPr>
          <w:i/>
        </w:rPr>
        <w:t>Bed &amp; Breakfast</w:t>
      </w:r>
      <w:r w:rsidRPr="009772A2">
        <w:t>.</w:t>
      </w:r>
    </w:p>
    <w:p w:rsidR="00542BD3" w:rsidRPr="009772A2" w:rsidRDefault="00542BD3" w:rsidP="00430326">
      <w:pPr>
        <w:pStyle w:val="SingleTxtG"/>
      </w:pPr>
      <w:r w:rsidRPr="009772A2">
        <w:t>6</w:t>
      </w:r>
      <w:r w:rsidR="00430326" w:rsidRPr="009772A2">
        <w:t>6.</w:t>
      </w:r>
      <w:r w:rsidR="00430326" w:rsidRPr="009772A2">
        <w:tab/>
      </w:r>
      <w:r w:rsidRPr="009772A2">
        <w:t>Las cataratas de Maletsunyane son las más altas del África meridional y figuran en la Libro Guinness de los Récords como el mayor descenso en rápel. El museo de Morija es el más antiguo del país, con más de 150 años de rica historia, pues es el lugar donde funcionaron el primer hospital, la primera imprenta y la primera escuela del país, donde vivieron los primeros misioneros y también donde se encuentra la base real.</w:t>
      </w:r>
    </w:p>
    <w:p w:rsidR="00542BD3" w:rsidRPr="009772A2" w:rsidRDefault="00542BD3" w:rsidP="00430326">
      <w:pPr>
        <w:pStyle w:val="SingleTxtG"/>
      </w:pPr>
      <w:r w:rsidRPr="009772A2">
        <w:t>6</w:t>
      </w:r>
      <w:r w:rsidR="00430326" w:rsidRPr="009772A2">
        <w:t>7.</w:t>
      </w:r>
      <w:r w:rsidR="00430326" w:rsidRPr="009772A2">
        <w:tab/>
      </w:r>
      <w:r w:rsidRPr="009772A2">
        <w:t>Se está planeando la creación de circuitos turísticos con zonas de recreo entre los puntos de interés. Una red de carreteras que se está construyendo hará una gran contribución al desarrollo del sector del turismo. Lesotho tiene el lugar habitable más alto de África y la pista transitable más alta, en Tlaeng, distrito de Mokhotlong.</w:t>
      </w:r>
    </w:p>
    <w:p w:rsidR="00542BD3" w:rsidRPr="009772A2" w:rsidRDefault="00542BD3" w:rsidP="00430326">
      <w:pPr>
        <w:pStyle w:val="SingleTxtG"/>
      </w:pPr>
      <w:r w:rsidRPr="009772A2">
        <w:t>6</w:t>
      </w:r>
      <w:r w:rsidR="00430326" w:rsidRPr="009772A2">
        <w:t>8.</w:t>
      </w:r>
      <w:r w:rsidR="00430326" w:rsidRPr="009772A2">
        <w:tab/>
      </w:r>
      <w:r w:rsidRPr="009772A2">
        <w:t>Roof of Africa es un evento que contribuye al desarrollo del turismo en el país. Comenzó hace 49 años, normalmente tiene lugar entre noviembre y diciembre, y atrae a cerca de 3.000 personas.</w:t>
      </w:r>
    </w:p>
    <w:p w:rsidR="00542BD3" w:rsidRPr="009772A2" w:rsidRDefault="00542BD3" w:rsidP="00430326">
      <w:pPr>
        <w:pStyle w:val="SingleTxtG"/>
      </w:pPr>
      <w:r w:rsidRPr="009772A2">
        <w:t>6</w:t>
      </w:r>
      <w:r w:rsidR="00430326" w:rsidRPr="009772A2">
        <w:t>9.</w:t>
      </w:r>
      <w:r w:rsidR="00430326" w:rsidRPr="009772A2">
        <w:tab/>
      </w:r>
      <w:r w:rsidRPr="009772A2">
        <w:t>La Lesotho Tourism Development Corporation se creó, entre otras cosas, para promover y comercializar el turismo dentro y fuera del país mediante el desarrollo de infraestructura y la difusión de información, y también para asesorar al Gobierno sobre todas las cuestiones normativas. La promoción y la comercialización también se realizan a través de ferias de turismo y viajes de cuatro días de duración, a saber, Indaba, exposición que tuvo lugar en Durban (Sudáfrica), el Mercado Mundial del Turismo en el Reino Unido o en Ciudad del Cabo, y a través del sitio web de turismo que publicita la belleza de Lesotho.</w:t>
      </w:r>
    </w:p>
    <w:p w:rsidR="00542BD3" w:rsidRPr="009772A2" w:rsidRDefault="00ED3EEE" w:rsidP="00ED3EEE">
      <w:pPr>
        <w:pStyle w:val="H4G"/>
      </w:pPr>
      <w:r w:rsidRPr="009772A2">
        <w:tab/>
      </w:r>
      <w:r w:rsidR="00542BD3" w:rsidRPr="009772A2">
        <w:t>i</w:t>
      </w:r>
      <w:r w:rsidRPr="009772A2">
        <w:t>)</w:t>
      </w:r>
      <w:r w:rsidRPr="009772A2">
        <w:tab/>
      </w:r>
      <w:r w:rsidR="00542BD3" w:rsidRPr="009772A2">
        <w:t>Ingresos del Gobierno</w:t>
      </w:r>
    </w:p>
    <w:p w:rsidR="00542BD3" w:rsidRPr="009772A2" w:rsidRDefault="00542BD3" w:rsidP="00430326">
      <w:pPr>
        <w:pStyle w:val="SingleTxtG"/>
      </w:pPr>
      <w:r w:rsidRPr="009772A2">
        <w:t>7</w:t>
      </w:r>
      <w:r w:rsidR="00430326" w:rsidRPr="009772A2">
        <w:t>0.</w:t>
      </w:r>
      <w:r w:rsidR="00430326" w:rsidRPr="009772A2">
        <w:tab/>
      </w:r>
      <w:r w:rsidRPr="009772A2">
        <w:t>Los ingresos del Gobierno dependen en gran medida de las transferencias de Sudáfrica. Los derechos de aduana de la Unión Aduanera del África Meridional representaron en 2012 el 44% de los ingresos públicos. El Gobierno de Sudáfrica también paga derechos por el agua que llega desde un sistema de presa y embalse en Lesotho. Sin embargo, el Gobierno continúa reforzando su sistema fiscal para reducir la dependencia de los derechos de aduana y de otras transferencias. La distribución del ingreso en Lesotho sigue siendo desigual. Lesotho importa el 90% de los productos que consume de Sudáfrica, incluida la mayoría de los insumos agrícolas.</w:t>
      </w:r>
    </w:p>
    <w:p w:rsidR="00542BD3" w:rsidRPr="009772A2" w:rsidRDefault="00ED3EEE" w:rsidP="00ED3EEE">
      <w:pPr>
        <w:pStyle w:val="H4G"/>
      </w:pPr>
      <w:r w:rsidRPr="009772A2">
        <w:tab/>
      </w:r>
      <w:r w:rsidR="00542BD3" w:rsidRPr="009772A2">
        <w:t>j)</w:t>
      </w:r>
      <w:r w:rsidRPr="009772A2">
        <w:tab/>
      </w:r>
      <w:r w:rsidR="00542BD3" w:rsidRPr="009772A2">
        <w:t>Tipo de cambio</w:t>
      </w:r>
    </w:p>
    <w:p w:rsidR="00542BD3" w:rsidRPr="009772A2" w:rsidRDefault="00542BD3" w:rsidP="00430326">
      <w:pPr>
        <w:pStyle w:val="SingleTxtG"/>
      </w:pPr>
      <w:r w:rsidRPr="009772A2">
        <w:t>7</w:t>
      </w:r>
      <w:r w:rsidR="00430326" w:rsidRPr="009772A2">
        <w:t>1.</w:t>
      </w:r>
      <w:r w:rsidR="00430326" w:rsidRPr="009772A2">
        <w:tab/>
      </w:r>
      <w:r w:rsidRPr="009772A2">
        <w:t>Durante el cuarto trimestre de 2014, el rand y, por tanto, el loti se depreciaron frente al dólar y la libra esterlina, y se apreciaron frente al euro. La depreciación del rand condujo a un aumento de la demanda de valores denominados en dólares y, por consiguiente, a la apreciación del dólar de los Estados Unidos. La depreciación del rand frente al dólar es el resultado de las previsiones de una política monetaria más estricta de la Reserva Federal de los Estados Unidos en el segundo semestre del año. El loti también acusó el impacto de resultados comerciales mediocres, restricciones en el suministro de electricidad y pocas perspectivas de crecimiento interno en Sudáfrica. El tipo de cambio se depreció un 4,2% y un 0,2% frente al dólar de los Estados Unidos y la libra esterlina, respectivamente, y se apreció un 5,6% frente al euro en el mismo año. La relación dólar de los Estados Unidos/loti de Lesotho aumentó 4,185 o 36,61% durante los últimos 12 meses</w:t>
      </w:r>
      <w:r w:rsidR="00635CB4" w:rsidRPr="009772A2">
        <w:t>, frente a </w:t>
      </w:r>
      <w:r w:rsidRPr="009772A2">
        <w:t>11,43 en febrero de 2015. Históricamente, el maluti de Lesotho alcanzó su nivel máximo en enero de 2016 (16,87) y su nivel mínimo en noviembre de 1990 (2,51).</w:t>
      </w:r>
    </w:p>
    <w:p w:rsidR="00542BD3" w:rsidRPr="009772A2" w:rsidRDefault="00ED3EEE" w:rsidP="00ED3EEE">
      <w:pPr>
        <w:pStyle w:val="HChG"/>
      </w:pPr>
      <w:r w:rsidRPr="009772A2">
        <w:tab/>
        <w:t>II.</w:t>
      </w:r>
      <w:r w:rsidRPr="009772A2">
        <w:tab/>
      </w:r>
      <w:r w:rsidR="00542BD3" w:rsidRPr="009772A2">
        <w:t>Estructuras del gobierno constitucional y estructuras políticas generales</w:t>
      </w:r>
    </w:p>
    <w:p w:rsidR="00542BD3" w:rsidRPr="009772A2" w:rsidRDefault="00542BD3" w:rsidP="00430326">
      <w:pPr>
        <w:pStyle w:val="SingleTxtG"/>
      </w:pPr>
      <w:r w:rsidRPr="009772A2">
        <w:t>7</w:t>
      </w:r>
      <w:r w:rsidR="00430326" w:rsidRPr="009772A2">
        <w:t>2.</w:t>
      </w:r>
      <w:r w:rsidR="00430326" w:rsidRPr="009772A2">
        <w:tab/>
      </w:r>
      <w:r w:rsidRPr="009772A2">
        <w:t>Lesotho es una monarquía constitucional que obtuvo la independencia de Gran Bretaña el 4 de octubre de 1966. El Rey es el Jefe de Estado. El Gobierno</w:t>
      </w:r>
      <w:r w:rsidR="00460C8B" w:rsidRPr="009772A2">
        <w:t xml:space="preserve"> consta de tres poderes —</w:t>
      </w:r>
      <w:r w:rsidRPr="009772A2">
        <w:t>el legislativo, el ejecutivo y el judicial</w:t>
      </w:r>
      <w:r w:rsidR="00460C8B" w:rsidRPr="009772A2">
        <w:t>—</w:t>
      </w:r>
      <w:r w:rsidRPr="009772A2">
        <w:t xml:space="preserve"> para garantizar controles y equilibrios de poder. El Jefe de Gobierno es el Primer Ministro.</w:t>
      </w:r>
    </w:p>
    <w:p w:rsidR="00542BD3" w:rsidRPr="009772A2" w:rsidRDefault="00ED3EEE" w:rsidP="00F42DD4">
      <w:pPr>
        <w:pStyle w:val="H1G"/>
      </w:pPr>
      <w:r w:rsidRPr="009772A2">
        <w:tab/>
      </w:r>
      <w:r w:rsidR="00542BD3" w:rsidRPr="009772A2">
        <w:t>A.</w:t>
      </w:r>
      <w:r w:rsidRPr="009772A2">
        <w:tab/>
      </w:r>
      <w:r w:rsidR="00542BD3" w:rsidRPr="009772A2">
        <w:t>Poder legislativo</w:t>
      </w:r>
      <w:r w:rsidR="00F42DD4">
        <w:t>/</w:t>
      </w:r>
      <w:r w:rsidR="00542BD3" w:rsidRPr="009772A2">
        <w:t>Parlamento</w:t>
      </w:r>
    </w:p>
    <w:p w:rsidR="00542BD3" w:rsidRPr="009772A2" w:rsidRDefault="00542BD3" w:rsidP="00430326">
      <w:pPr>
        <w:pStyle w:val="SingleTxtG"/>
      </w:pPr>
      <w:r w:rsidRPr="009772A2">
        <w:t>7</w:t>
      </w:r>
      <w:r w:rsidR="00430326" w:rsidRPr="009772A2">
        <w:t>3.</w:t>
      </w:r>
      <w:r w:rsidR="00430326" w:rsidRPr="009772A2">
        <w:tab/>
      </w:r>
      <w:r w:rsidRPr="009772A2">
        <w:t>El artículo 54 de la Constitución establece el Parlamento, formado por el Senado y la Asamblea Nacional. El Senado se compone de 22 jefes principales y otros 11 senadores nombrados por el Rey con el asesoramiento del Consejo de Estado (artículo 55 de la Constitución). La Asamblea Nacional se compone de 80 miembros elegidos de conformidad con lo dispuesto en la Constitución (artículo 56).</w:t>
      </w:r>
    </w:p>
    <w:p w:rsidR="00542BD3" w:rsidRPr="009772A2" w:rsidRDefault="00542BD3" w:rsidP="00430326">
      <w:pPr>
        <w:pStyle w:val="SingleTxtG"/>
      </w:pPr>
      <w:r w:rsidRPr="009772A2">
        <w:t>7</w:t>
      </w:r>
      <w:r w:rsidR="00430326" w:rsidRPr="009772A2">
        <w:t>4.</w:t>
      </w:r>
      <w:r w:rsidR="00430326" w:rsidRPr="009772A2">
        <w:tab/>
      </w:r>
      <w:r w:rsidRPr="009772A2">
        <w:t>El Parlamento de Lesotho es bicameral y está formado por la Cámara Alta (Senado) y la Cámara Baja (Asamblea Nacional). La Asamblea Nacional consta de 120 escaños.</w:t>
      </w:r>
    </w:p>
    <w:p w:rsidR="00542BD3" w:rsidRPr="009772A2" w:rsidRDefault="00542BD3" w:rsidP="00430326">
      <w:pPr>
        <w:pStyle w:val="SingleTxtG"/>
      </w:pPr>
      <w:r w:rsidRPr="009772A2">
        <w:t>7</w:t>
      </w:r>
      <w:r w:rsidR="00430326" w:rsidRPr="009772A2">
        <w:t>5.</w:t>
      </w:r>
      <w:r w:rsidR="00430326" w:rsidRPr="009772A2">
        <w:tab/>
      </w:r>
      <w:r w:rsidRPr="009772A2">
        <w:t>El derecho a participar en los asuntos del país se ejerce a través de la representación de los parlamentarios, que han recibido el mandato como resultado de elecciones generales o parciales. Hay Comités Parlamentarios vinculados a diversos Ministerios para supervisar las actividades de la administración pública y garantizar la rendición de cuentas a la ciudadanía.</w:t>
      </w:r>
    </w:p>
    <w:p w:rsidR="00542BD3" w:rsidRPr="009772A2" w:rsidRDefault="00ED3EEE" w:rsidP="00ED3EEE">
      <w:pPr>
        <w:pStyle w:val="H1G"/>
      </w:pPr>
      <w:r w:rsidRPr="009772A2">
        <w:tab/>
        <w:t>B.</w:t>
      </w:r>
      <w:r w:rsidRPr="009772A2">
        <w:tab/>
      </w:r>
      <w:r w:rsidR="00542BD3" w:rsidRPr="009772A2">
        <w:t>Poder ejecutivo</w:t>
      </w:r>
    </w:p>
    <w:p w:rsidR="00542BD3" w:rsidRPr="009772A2" w:rsidRDefault="00542BD3" w:rsidP="00430326">
      <w:pPr>
        <w:pStyle w:val="SingleTxtG"/>
      </w:pPr>
      <w:r w:rsidRPr="009772A2">
        <w:t>7</w:t>
      </w:r>
      <w:r w:rsidR="00430326" w:rsidRPr="009772A2">
        <w:t>6.</w:t>
      </w:r>
      <w:r w:rsidR="00430326" w:rsidRPr="009772A2">
        <w:tab/>
      </w:r>
      <w:r w:rsidRPr="009772A2">
        <w:t xml:space="preserve">A lo largo de los años la democracia de Lesotho ha ido evolucionando y en ocasiones demostró ser frágil. Esta fragilidad se puso de manifiesto en los problemas que se plantearon después de algunas elecciones. En ocasiones, esto llevó a la suspensión del régimen constitucional, dictaduras temporales y violación de los derechos humanos. Lesotho celebró elecciones democráticas en 1965, 1970, 1993 y 1998, con arreglo al modelo de Westminster basado en la democracia multipartidista. En el pasado, Lesotho celebraba elecciones con arreglo al modelo electoral según el cual gana el candidato con mayor número de votos en la primera vuelta. Si bien ese modelo era aceptado y utilizado en muchos otros países democráticos, algunos consideraban que no traducía los votos nacionales en una repartición proporcional satisfactoria de los escaños de la Asamblea Nacional. La experiencia de la década de 1990 reveló que el modelo electoral no satisfacía a todo los partidos. En 1993, Lesotho tuvo un nuevo desarrollo político, con las primeras elecciones democráticas y la elaboración de una nueva Constitución. </w:t>
      </w:r>
    </w:p>
    <w:p w:rsidR="00542BD3" w:rsidRPr="009772A2" w:rsidRDefault="00542BD3" w:rsidP="00430326">
      <w:pPr>
        <w:pStyle w:val="SingleTxtG"/>
      </w:pPr>
      <w:r w:rsidRPr="009772A2">
        <w:t>7</w:t>
      </w:r>
      <w:r w:rsidR="00430326" w:rsidRPr="009772A2">
        <w:t>7.</w:t>
      </w:r>
      <w:r w:rsidR="00430326" w:rsidRPr="009772A2">
        <w:tab/>
      </w:r>
      <w:r w:rsidRPr="009772A2">
        <w:t>Después de las elecciones de 1998, hubo un período de agitación política. Como resultado de ello, se dejó de utilizar el modelo de mayoría relativa en primera vuelta, que no brindaba oportunidades políticas a todos los partidos, y se adoptó el modelo de representación proporcional mixta (40/80). Lesotho utilizó este modelo en las elecciones generales de 2002, 2007 y 2012. El modelo funcionó bien, pues mejoró el diálogo entre partidos y fomentó la inclusión y una representación más amplia en la Asamblea Nacional. Las elecciones de 2012 dieron lugar al primer Gobierno de coalición, que ejerció el poder durante dos años, pues en febrero de 2015 se celebraron por primera vez elecciones anticipadas, que fueron las sextas elecciones democráticas, y dieron como resultado en actual Gobierno multipartidista.</w:t>
      </w:r>
    </w:p>
    <w:p w:rsidR="00542BD3" w:rsidRPr="009772A2" w:rsidRDefault="00ED3EEE" w:rsidP="00ED3EEE">
      <w:pPr>
        <w:pStyle w:val="H1G"/>
      </w:pPr>
      <w:r w:rsidRPr="009772A2">
        <w:tab/>
        <w:t>C.</w:t>
      </w:r>
      <w:r w:rsidRPr="009772A2">
        <w:tab/>
      </w:r>
      <w:r w:rsidR="00542BD3" w:rsidRPr="009772A2">
        <w:t>Poder judicial</w:t>
      </w:r>
    </w:p>
    <w:p w:rsidR="00542BD3" w:rsidRPr="009772A2" w:rsidRDefault="00542BD3" w:rsidP="00430326">
      <w:pPr>
        <w:pStyle w:val="SingleTxtG"/>
      </w:pPr>
      <w:r w:rsidRPr="009772A2">
        <w:t>7</w:t>
      </w:r>
      <w:r w:rsidR="00430326" w:rsidRPr="009772A2">
        <w:t>8.</w:t>
      </w:r>
      <w:r w:rsidR="00430326" w:rsidRPr="009772A2">
        <w:tab/>
      </w:r>
      <w:r w:rsidRPr="009772A2">
        <w:t>Las libertades fundamentales y los derechos humanos inherentes están garantizados por un poder judicial independiente, que comprende el Tribunal de Apelaciones, el Tribunal Supremo, tribunales de primera instancia y tribunales especializados que ejercen la función judicial consagrada en la Constitución.</w:t>
      </w:r>
    </w:p>
    <w:p w:rsidR="00542BD3" w:rsidRPr="009772A2" w:rsidRDefault="00542BD3" w:rsidP="00430326">
      <w:pPr>
        <w:pStyle w:val="SingleTxtG"/>
      </w:pPr>
      <w:r w:rsidRPr="009772A2">
        <w:t>7</w:t>
      </w:r>
      <w:r w:rsidR="00430326" w:rsidRPr="009772A2">
        <w:t>9.</w:t>
      </w:r>
      <w:r w:rsidR="00430326" w:rsidRPr="009772A2">
        <w:tab/>
      </w:r>
      <w:r w:rsidRPr="009772A2">
        <w:t xml:space="preserve">Los tribunales ejercen sus funciones libres de injerencias y sometidos únicamente a la Constitución y las leyes. El Gobierno, en su calidad de poder ejecutivo, les brinda la asistencia que les permite proteger su independencia, integridad, dignidad y eficacia. El poder ejecutivo y el poder legislativo tienen el deber de respetar la independencia del poder judicial. Los tribunales resuelven los asuntos que se les presentan con imparcialidad, basándose en los hechos de conformidad con la ley, sin influencias, amenazas, presiones o restricciones indebidas. Los procedimientos judiciales se llevan a cabo respetando los derechos de todas las partes. El Tribunal Supremo oficia de Tribunal Constitucional para dirimir causas relativas a derechos humanos y asuntos constitucionales exclusivamente. Lesotho promulgó en 2011 la Ley de Administración Judicial, que incorpora los principios básicos que promueven la independencia del poder judicial y establece la administración y las condiciones de servicio de la judicatura. Esta </w:t>
      </w:r>
      <w:r w:rsidR="00364A76" w:rsidRPr="009772A2">
        <w:t>ley</w:t>
      </w:r>
      <w:r w:rsidRPr="009772A2">
        <w:t xml:space="preserve"> también permite al Parlamento asignar créditos directamente al poder judicial, a diferencia de lo que ocurría en el pasado, cuando dependía del Ministerio de Justicia.</w:t>
      </w:r>
    </w:p>
    <w:p w:rsidR="00542BD3" w:rsidRPr="009772A2" w:rsidRDefault="00542BD3" w:rsidP="00430326">
      <w:pPr>
        <w:pStyle w:val="SingleTxtG"/>
      </w:pPr>
      <w:r w:rsidRPr="009772A2">
        <w:t>8</w:t>
      </w:r>
      <w:r w:rsidR="00430326" w:rsidRPr="009772A2">
        <w:t>0.</w:t>
      </w:r>
      <w:r w:rsidR="00430326" w:rsidRPr="009772A2">
        <w:tab/>
      </w:r>
      <w:r w:rsidRPr="009772A2">
        <w:t xml:space="preserve">Como la mayoría de los Estados del Commonwealth británico, Lesotho se rige por la </w:t>
      </w:r>
      <w:r w:rsidRPr="009772A2">
        <w:rPr>
          <w:i/>
        </w:rPr>
        <w:t>common law</w:t>
      </w:r>
      <w:r w:rsidRPr="009772A2">
        <w:t xml:space="preserve">, por lo cual las convenciones y los convenios internacionales no se invocan directamente en los tribunales nacionales, a menos que sean de aplicación inmediata. Estos instrumentos deben traducirse en leyes internas aprobadas por el Parlamento o reglamentaciones de los órganos administrativos. Por tanto, una norma internacional no forma parte, por sí misma, del derecho interno, sino que deber ser específicamente incorporada en él mediante los procedimientos legislativos nacionales. Los Principios de Bangalore estipulan que es inherente a la naturaleza propia del proceso judicial que los tribunales nacionales tengan en cuenta las normas internacionales de derechos humanos, incorporadas o no en el derecho interno, para resolver ambigüedades o incertidumbre en las constituciones y leyes nacionales. Hasta la fecha no se ha presentado en los tribunales ningún caso de ese tipo. </w:t>
      </w:r>
    </w:p>
    <w:p w:rsidR="00542BD3" w:rsidRPr="009772A2" w:rsidRDefault="00542BD3" w:rsidP="00430326">
      <w:pPr>
        <w:pStyle w:val="SingleTxtG"/>
      </w:pPr>
      <w:r w:rsidRPr="009772A2">
        <w:t>8</w:t>
      </w:r>
      <w:r w:rsidR="00430326" w:rsidRPr="009772A2">
        <w:t>1.</w:t>
      </w:r>
      <w:r w:rsidR="00430326" w:rsidRPr="009772A2">
        <w:tab/>
      </w:r>
      <w:r w:rsidRPr="009772A2">
        <w:t>El Código de Trabajo de 1992 establece en su artículo 4 c) que, "en caso de ambigüedad, las disposiciones del presente Código y de las demás normas y reglamentos establecidos en virtud de él deberán interpretarse de la manera que más se conforme a las disposiciones de los convenios aprobados por la Conferencia de la Organización Internacional del Trabajo, así como a las recomendaciones de ese órgano. Se aplicarán los convenios internacionales del trabajo cuando el derecho interno no proteja los derechos de los trabajadores, tal como se indica a continuación. En el presente artículo se estipula específicamente que cuando no haya leyes nacionales sobre determinada norma laboral, se aplicarán las normas internacionales del trabajo. Los convenios de la OIT no ratificados por Lesotho también podrán invocarse cuando puedan resolver una ambigüedad en la legislación nacional".</w:t>
      </w:r>
    </w:p>
    <w:p w:rsidR="00542BD3" w:rsidRPr="009772A2" w:rsidRDefault="00542BD3" w:rsidP="00430326">
      <w:pPr>
        <w:pStyle w:val="SingleTxtG"/>
      </w:pPr>
      <w:r w:rsidRPr="009772A2">
        <w:t>8</w:t>
      </w:r>
      <w:r w:rsidR="00430326" w:rsidRPr="009772A2">
        <w:t>2.</w:t>
      </w:r>
      <w:r w:rsidR="00430326" w:rsidRPr="009772A2">
        <w:tab/>
      </w:r>
      <w:r w:rsidRPr="009772A2">
        <w:t>Recientemente se realizaron cambios en el sector judicial en el marco del componente de reforma del derecho civil de la Cuenta del Reto del Milenio para Lesotho, y la Millennium Challenge Corporation de los Estados Unidos puso en marcha un programa destinado a mejorar el sector privado. El proyecto de reforma se centra en la mejora del funcionamiento de los tribunales comerciales, la introducción del mecanismo de resolución alternativa de diferencias, el tribunal de demandas de menor cuantía, y una mejor gestión de las causas civiles, penales y mercantiles. Se ha contratado a una firma de consultores de Uganda para ayudar al sector judicial a poner en práctica este programa.</w:t>
      </w:r>
    </w:p>
    <w:p w:rsidR="00542BD3" w:rsidRPr="009772A2" w:rsidRDefault="00ED3EEE" w:rsidP="00ED3EEE">
      <w:pPr>
        <w:pStyle w:val="HChG"/>
      </w:pPr>
      <w:r w:rsidRPr="009772A2">
        <w:tab/>
        <w:t>III.</w:t>
      </w:r>
      <w:r w:rsidRPr="009772A2">
        <w:tab/>
      </w:r>
      <w:r w:rsidR="00542BD3" w:rsidRPr="009772A2">
        <w:t>Principales iniciativas y programas de gobierno</w:t>
      </w:r>
    </w:p>
    <w:p w:rsidR="00542BD3" w:rsidRPr="009772A2" w:rsidRDefault="00ED3EEE" w:rsidP="00ED3EEE">
      <w:pPr>
        <w:pStyle w:val="H1G"/>
      </w:pPr>
      <w:r w:rsidRPr="009772A2">
        <w:tab/>
      </w:r>
      <w:r w:rsidR="00542BD3" w:rsidRPr="009772A2">
        <w:t>A.</w:t>
      </w:r>
      <w:r w:rsidRPr="009772A2">
        <w:tab/>
      </w:r>
      <w:r w:rsidR="00542BD3" w:rsidRPr="009772A2">
        <w:t>Visión Nacional 2020</w:t>
      </w:r>
    </w:p>
    <w:p w:rsidR="00542BD3" w:rsidRPr="009772A2" w:rsidRDefault="00542BD3" w:rsidP="00430326">
      <w:pPr>
        <w:pStyle w:val="SingleTxtG"/>
      </w:pPr>
      <w:r w:rsidRPr="009772A2">
        <w:t>8</w:t>
      </w:r>
      <w:r w:rsidR="00430326" w:rsidRPr="009772A2">
        <w:t>3.</w:t>
      </w:r>
      <w:r w:rsidR="00430326" w:rsidRPr="009772A2">
        <w:tab/>
      </w:r>
      <w:r w:rsidRPr="009772A2">
        <w:t>Se aprobó la Visión 2020, que define la visión de desarrollo del país del siguiente modo: "En 2020 Lesotho será una democracia estable, una nación unida y próspera, en paz consigo misma y con sus vecinos. Tendrá una base de recursos humanos sana y bien desarrollada. Su economía será fuerte, su entorno bien administrado y su tecnología bien establecida".</w:t>
      </w:r>
    </w:p>
    <w:p w:rsidR="00542BD3" w:rsidRPr="009772A2" w:rsidRDefault="00542BD3" w:rsidP="00430326">
      <w:pPr>
        <w:pStyle w:val="SingleTxtG"/>
      </w:pPr>
      <w:r w:rsidRPr="009772A2">
        <w:t>8</w:t>
      </w:r>
      <w:r w:rsidR="00430326" w:rsidRPr="009772A2">
        <w:t>4.</w:t>
      </w:r>
      <w:r w:rsidR="00430326" w:rsidRPr="009772A2">
        <w:tab/>
      </w:r>
      <w:r w:rsidRPr="009772A2">
        <w:t>La Visión Nacional de Lesotho establece un plan a largo plazo que va más allá de los planes a corto y mediano plazo y los programas de ajuste macroeconómico: explora opciones para lograr el progreso económico, social, político y del desarrollo humano pa</w:t>
      </w:r>
      <w:r w:rsidR="00635CB4" w:rsidRPr="009772A2">
        <w:t>ra </w:t>
      </w:r>
      <w:r w:rsidRPr="009772A2">
        <w:t>2020, y define otras estrategias de desarrollo adecuadas para la situación de Lesotho, que darán como resultado, ente otras cosas, una democracia estable, la paz y la seguridad, la estabilidad tanto a nivel nacional como regional, una base de recursos humanos sana y bien desarrollada, una economía sólida con un nivel de vida digno, un entorno bien administrado, tecnología avanzada y buen gobierno y un progreso considerable del desarrollo humano (en sentido amplio). La Visión se basa en los principios de la democracia, el buen gobierno y los derechos humanos. A la luz de la modificación de los parámetros acarreada por la crisis financiera y económica mundial, que ha tenido efectos muy adversos en los países menos adelantados como Lesotho, se hace patente la necesidad de revisar el marco estratégico. Se complementará con un plan de desarrollo a mediano plazo denominado Estrategia Nacional de Crecimiento.</w:t>
      </w:r>
    </w:p>
    <w:p w:rsidR="00542BD3" w:rsidRPr="009772A2" w:rsidRDefault="00ED3EEE" w:rsidP="00ED3EEE">
      <w:pPr>
        <w:pStyle w:val="H1G"/>
      </w:pPr>
      <w:r w:rsidRPr="009772A2">
        <w:tab/>
        <w:t>B.</w:t>
      </w:r>
      <w:r w:rsidRPr="009772A2">
        <w:tab/>
      </w:r>
      <w:r w:rsidR="00542BD3" w:rsidRPr="009772A2">
        <w:t>Objetivos de Desarrollo del Milenio</w:t>
      </w:r>
    </w:p>
    <w:p w:rsidR="00542BD3" w:rsidRPr="009772A2" w:rsidRDefault="00542BD3" w:rsidP="00430326">
      <w:pPr>
        <w:pStyle w:val="SingleTxtG"/>
      </w:pPr>
      <w:r w:rsidRPr="009772A2">
        <w:t>8</w:t>
      </w:r>
      <w:r w:rsidR="00430326" w:rsidRPr="009772A2">
        <w:t>5.</w:t>
      </w:r>
      <w:r w:rsidR="00430326" w:rsidRPr="009772A2">
        <w:tab/>
      </w:r>
      <w:r w:rsidRPr="009772A2">
        <w:t xml:space="preserve">Lesotho es signatario de la Declaración del Milenio, aprobada por las Naciones Unidas en 2000. A pesar de que Lesotho se enfrenta a los retos de la lucha contra la pandemia de VIH/SIDA, el hambre y la pobreza extrema, el país sigue comprometido con el logro de los Objetivos de Desarrollo del Milenio. </w:t>
      </w:r>
    </w:p>
    <w:p w:rsidR="00542BD3" w:rsidRPr="009772A2" w:rsidRDefault="00542BD3" w:rsidP="00430326">
      <w:pPr>
        <w:pStyle w:val="SingleTxtG"/>
      </w:pPr>
      <w:r w:rsidRPr="009772A2">
        <w:t>8</w:t>
      </w:r>
      <w:r w:rsidR="00430326" w:rsidRPr="009772A2">
        <w:t>6.</w:t>
      </w:r>
      <w:r w:rsidR="00430326" w:rsidRPr="009772A2">
        <w:tab/>
      </w:r>
      <w:r w:rsidRPr="009772A2">
        <w:t>Los logros y avances alcanzados por Lesotho hasta la fecha en relación con los Objetivos de Desarrollo del Milenio se señalaron recientemente en el Informe sobre los Objetivos de Desarrollo del Milenio de 2010, presentado por su Excelencia el Muy Honorable Primer Ministro de Lesotho en el período de sesiones de 2010 de la Asamblea General, celebrado en Nueva York.</w:t>
      </w:r>
    </w:p>
    <w:p w:rsidR="00542BD3" w:rsidRPr="009772A2" w:rsidRDefault="00ED3EEE" w:rsidP="00C97894">
      <w:pPr>
        <w:pStyle w:val="H1G"/>
      </w:pPr>
      <w:r w:rsidRPr="009772A2">
        <w:tab/>
      </w:r>
      <w:r w:rsidR="00542BD3" w:rsidRPr="009772A2">
        <w:t>C.</w:t>
      </w:r>
      <w:r w:rsidRPr="009772A2">
        <w:tab/>
      </w:r>
      <w:r w:rsidR="00542BD3" w:rsidRPr="009772A2">
        <w:t>Plan Nacional de Desarrollo Estratégico (2012/13-2016/17)</w:t>
      </w:r>
    </w:p>
    <w:p w:rsidR="00542BD3" w:rsidRPr="009772A2" w:rsidRDefault="00542BD3" w:rsidP="00430326">
      <w:pPr>
        <w:pStyle w:val="SingleTxtG"/>
      </w:pPr>
      <w:r w:rsidRPr="009772A2">
        <w:t>8</w:t>
      </w:r>
      <w:r w:rsidR="00430326" w:rsidRPr="009772A2">
        <w:t>7.</w:t>
      </w:r>
      <w:r w:rsidR="00430326" w:rsidRPr="009772A2">
        <w:tab/>
      </w:r>
      <w:r w:rsidRPr="009772A2">
        <w:t>El Plan Nacional de Desarrollo Estratégico sucede al Documento de Estrategia de Lucha contra la Pobreza y el Marco Nacional de Desarrollo Provisional. Al igual que estos dos últimos, el Plan Nacional también servirá de estrategia para la implementación de la Visión Nacional 2020 durante el próximo quinquenio. Se espera que este Plan reduzca la pobreza y logre el desarrollo sostenible. Sus objetivos estratégicos son lograr un gran crecimiento económico, bien distribuido y generador de empleo, desarrollar infraestructura fundamental, mejorar la base de capacidades, adoptar tecnología y sentar las bases de la innovación, mejorar la salud, luchar contra el VIH y el sida y reducir la vulnerabilidad, revertir la degradación ambiental y lograr la adaptación al cambio climático y promover la paz, la gobernanza democrática y la construcción de instituciones eficaces.</w:t>
      </w:r>
    </w:p>
    <w:p w:rsidR="00542BD3" w:rsidRPr="009772A2" w:rsidRDefault="00542BD3" w:rsidP="00430326">
      <w:pPr>
        <w:pStyle w:val="SingleTxtG"/>
      </w:pPr>
      <w:r w:rsidRPr="009772A2">
        <w:t>8</w:t>
      </w:r>
      <w:r w:rsidR="00430326" w:rsidRPr="009772A2">
        <w:t>8.</w:t>
      </w:r>
      <w:r w:rsidR="00430326" w:rsidRPr="009772A2">
        <w:tab/>
      </w:r>
      <w:r w:rsidRPr="009772A2">
        <w:t>En el marco de la Visión 2020 y la Estrategia Nacional de Lucha contra la Pobreza, se introdujo la descentralización de los servicios nacionales de desarrollo a través de las estructuras de la administración local, con la promulgación</w:t>
      </w:r>
      <w:r w:rsidR="00635CB4" w:rsidRPr="009772A2">
        <w:t xml:space="preserve"> de la Ley de Gobierno Local de </w:t>
      </w:r>
      <w:r w:rsidRPr="009772A2">
        <w:t>1997, que establece las estructuras de descentralización. Estas estructuras deben promover la democracia participativa y la implicación de las comunidades rurales en los asuntos que les incumben.</w:t>
      </w:r>
    </w:p>
    <w:p w:rsidR="00542BD3" w:rsidRPr="009772A2" w:rsidRDefault="00542BD3" w:rsidP="00430326">
      <w:pPr>
        <w:pStyle w:val="SingleTxtG"/>
      </w:pPr>
      <w:r w:rsidRPr="009772A2">
        <w:t>8</w:t>
      </w:r>
      <w:r w:rsidR="00430326" w:rsidRPr="009772A2">
        <w:t>9.</w:t>
      </w:r>
      <w:r w:rsidR="00430326" w:rsidRPr="009772A2">
        <w:tab/>
      </w:r>
      <w:r w:rsidRPr="009772A2">
        <w:t>Se celebraron elecciones locales democráticas por primera vez en 2005. El Gobierno tomó medidas, a través de la promulgación de la Ley Electoral (Enmienda) de 2005, destinadas a fijar una cuota del 30% para la nominación de mujeres en las elecciones de los gobiernos locales. Como resultado de ello, las mujeres obtuvieron el 58% de los escaños. El problema con estas elecciones fue que la participación del electorado no fue tan alta como en las elecciones nacionales.</w:t>
      </w:r>
    </w:p>
    <w:p w:rsidR="00542BD3" w:rsidRPr="009772A2" w:rsidRDefault="00ED3EEE" w:rsidP="00ED3EEE">
      <w:pPr>
        <w:pStyle w:val="HChG"/>
      </w:pPr>
      <w:r w:rsidRPr="009772A2">
        <w:tab/>
        <w:t>IV.</w:t>
      </w:r>
      <w:r w:rsidRPr="009772A2">
        <w:tab/>
      </w:r>
      <w:r w:rsidR="00542BD3" w:rsidRPr="009772A2">
        <w:t>Mecanismo institucional encargado de supervisar la efectividad de los derechos humanos</w:t>
      </w:r>
    </w:p>
    <w:p w:rsidR="00542BD3" w:rsidRPr="009772A2" w:rsidRDefault="00ED3EEE" w:rsidP="00ED3EEE">
      <w:pPr>
        <w:pStyle w:val="H1G"/>
      </w:pPr>
      <w:r w:rsidRPr="009772A2">
        <w:tab/>
        <w:t>A.</w:t>
      </w:r>
      <w:r w:rsidRPr="009772A2">
        <w:tab/>
      </w:r>
      <w:r w:rsidR="00542BD3" w:rsidRPr="009772A2">
        <w:t>Comisión Electoral Independiente</w:t>
      </w:r>
    </w:p>
    <w:p w:rsidR="00542BD3" w:rsidRPr="009772A2" w:rsidRDefault="00542BD3" w:rsidP="00430326">
      <w:pPr>
        <w:pStyle w:val="SingleTxtG"/>
      </w:pPr>
      <w:r w:rsidRPr="009772A2">
        <w:t>9</w:t>
      </w:r>
      <w:r w:rsidR="00430326" w:rsidRPr="009772A2">
        <w:t>0.</w:t>
      </w:r>
      <w:r w:rsidR="00430326" w:rsidRPr="009772A2">
        <w:tab/>
      </w:r>
      <w:r w:rsidRPr="009772A2">
        <w:t>La Comisión Electoral Independiente fue establecida en virtud de la Segunda Enmienda de la Constitución, de 1997. La Ley de Elecciones Parlamentarias (Enmienda) de</w:t>
      </w:r>
      <w:r w:rsidR="00635CB4" w:rsidRPr="009772A2">
        <w:t> </w:t>
      </w:r>
      <w:r w:rsidRPr="009772A2">
        <w:t>2001 establece la Comisión y su mandato, que incluye, entre otras cosas, la delimitación de las circunscripciones electorales, la compilación del registro de votantes, y la organización y celebración de elecciones parlamentarias, elecciones de los gobiernos locales y referendos. La Comisión organizó y llevó a cabo las primeras elecciones parlamentarias en 1998 y elecciones posteriores en 2002, 2007, 2012 y 2015, mientras que las primeras elecciones locales se celebraron en 2005. Además de gestionar el proceso electoral, la Comisión difunde información pertinente a los votantes a través de los medios de comunicación y promueve el ejercicio del derecho de voto en el país.</w:t>
      </w:r>
    </w:p>
    <w:p w:rsidR="00542BD3" w:rsidRPr="009772A2" w:rsidRDefault="00ED3EEE" w:rsidP="00ED3EEE">
      <w:pPr>
        <w:pStyle w:val="H1G"/>
      </w:pPr>
      <w:r w:rsidRPr="009772A2">
        <w:tab/>
        <w:t>B.</w:t>
      </w:r>
      <w:r w:rsidRPr="009772A2">
        <w:tab/>
      </w:r>
      <w:r w:rsidR="00542BD3" w:rsidRPr="009772A2">
        <w:t>Defensor del Pueblo</w:t>
      </w:r>
    </w:p>
    <w:p w:rsidR="00542BD3" w:rsidRPr="009772A2" w:rsidRDefault="00542BD3" w:rsidP="00430326">
      <w:pPr>
        <w:pStyle w:val="SingleTxtG"/>
      </w:pPr>
      <w:r w:rsidRPr="009772A2">
        <w:t>9</w:t>
      </w:r>
      <w:r w:rsidR="00430326" w:rsidRPr="009772A2">
        <w:t>1.</w:t>
      </w:r>
      <w:r w:rsidR="00430326" w:rsidRPr="009772A2">
        <w:tab/>
      </w:r>
      <w:r w:rsidRPr="009772A2">
        <w:t>La Oficina del Defensor del Pueblo se estableció de conformidad con el artículo 134 de la Constitución. El Defensor del Pueblo complementa la labor del poder judicial. Ofrece procedimientos rápidos con fuerza legal, aunque oficiosos, que permiten la pronta tramitación de las denuncias y la solución de conflictos.</w:t>
      </w:r>
    </w:p>
    <w:p w:rsidR="00542BD3" w:rsidRPr="009772A2" w:rsidRDefault="00542BD3" w:rsidP="00430326">
      <w:pPr>
        <w:pStyle w:val="SingleTxtG"/>
      </w:pPr>
      <w:r w:rsidRPr="009772A2">
        <w:t>9</w:t>
      </w:r>
      <w:r w:rsidR="00430326" w:rsidRPr="009772A2">
        <w:t>2.</w:t>
      </w:r>
      <w:r w:rsidR="00430326" w:rsidRPr="009772A2">
        <w:tab/>
      </w:r>
      <w:r w:rsidRPr="009772A2">
        <w:t xml:space="preserve">El Defensor del Pueblo tiene el mandato constitucional y legal, dimanante de la Ley del Defensor del Pueblo de 1996, de investigar los actos de mala administración de los organismos administrativos y también protege los derechos de las personas que se consideran víctimas de actos injustos cometidos por el Gobierno y las empresas públicas. Sin embargo, la oficina </w:t>
      </w:r>
      <w:r w:rsidR="00364A76" w:rsidRPr="009772A2">
        <w:t>solo</w:t>
      </w:r>
      <w:r w:rsidRPr="009772A2">
        <w:t xml:space="preserve"> hace recomendaciones, no tiene facultades de ejecución. </w:t>
      </w:r>
    </w:p>
    <w:p w:rsidR="00542BD3" w:rsidRPr="009772A2" w:rsidRDefault="00ED3EEE" w:rsidP="00ED3EEE">
      <w:pPr>
        <w:pStyle w:val="H1G"/>
      </w:pPr>
      <w:r w:rsidRPr="009772A2">
        <w:tab/>
        <w:t>C.</w:t>
      </w:r>
      <w:r w:rsidRPr="009772A2">
        <w:tab/>
      </w:r>
      <w:r w:rsidR="00542BD3" w:rsidRPr="009772A2">
        <w:t>Dirección de Lucha contra la Corrupción y los Delitos Económicos</w:t>
      </w:r>
    </w:p>
    <w:p w:rsidR="00542BD3" w:rsidRPr="009772A2" w:rsidRDefault="00542BD3" w:rsidP="00430326">
      <w:pPr>
        <w:pStyle w:val="SingleTxtG"/>
      </w:pPr>
      <w:r w:rsidRPr="009772A2">
        <w:t>9</w:t>
      </w:r>
      <w:r w:rsidR="00430326" w:rsidRPr="009772A2">
        <w:t>3.</w:t>
      </w:r>
      <w:r w:rsidR="00430326" w:rsidRPr="009772A2">
        <w:tab/>
      </w:r>
      <w:r w:rsidRPr="009772A2">
        <w:t>La Dirección de Lucha contra la Corrupción y los Delitos Económicos fue creada como órgano de supervisión para garantizar la rendición de cuentas y la transparencia en la gestión y utilización de los bienes públicos. El Gobierno promulgó en 1999 la Ley de Prevención de la Corrupción y los Delitos Económicos, por la que se establece la correspondiente Dirección para investigar los presuntos casos de corrupción. Desde que este órgano empezó a funcionar, ha logrado reforzar los procedimientos y controles internos para prevenir la corrupción y facilitar la detección de las prácticas corruptas y el enjuiciamiento de los responsables. La Ley de Prevención de la Corrupción y los Delitos Económicos (Enmienda), de 2006, estipula la obligación de declarar bienes e ingresos de todos los que trabajan en la administración pública, y da mayor margen de maniobra a la Dirección.</w:t>
      </w:r>
    </w:p>
    <w:p w:rsidR="00542BD3" w:rsidRPr="009772A2" w:rsidRDefault="00ED3EEE" w:rsidP="00ED3EEE">
      <w:pPr>
        <w:pStyle w:val="H1G"/>
      </w:pPr>
      <w:r w:rsidRPr="009772A2">
        <w:tab/>
        <w:t>D.</w:t>
      </w:r>
      <w:r w:rsidRPr="009772A2">
        <w:tab/>
      </w:r>
      <w:r w:rsidR="00542BD3" w:rsidRPr="009772A2">
        <w:t>Organismo de Denuncias contra la Policía</w:t>
      </w:r>
    </w:p>
    <w:p w:rsidR="00542BD3" w:rsidRPr="009772A2" w:rsidRDefault="00542BD3" w:rsidP="00430326">
      <w:pPr>
        <w:pStyle w:val="SingleTxtG"/>
      </w:pPr>
      <w:r w:rsidRPr="009772A2">
        <w:t>9</w:t>
      </w:r>
      <w:r w:rsidR="00430326" w:rsidRPr="009772A2">
        <w:t>4.</w:t>
      </w:r>
      <w:r w:rsidR="00430326" w:rsidRPr="009772A2">
        <w:tab/>
      </w:r>
      <w:r w:rsidRPr="009772A2">
        <w:t>El Organismo de Denuncias contra la Policía es una de las instituciones que promueven y protegen los derechos humanos en Lesotho; se estableció con arreglo a la Ley del Servicio de Policía de 1998 y está facultado para investigar toda denuncia de un particular relativa a una conducta de un miembro del Servicio de Policía que sea corrupta o viole los derechos humanos e informar al respecto al Departamento de Policía o el Comisionado. El objetivo del Organismo es contribuir a la vigilancia y el respecto efectivos de los derechos humanos por las fuerzas del orden.</w:t>
      </w:r>
    </w:p>
    <w:p w:rsidR="00542BD3" w:rsidRPr="009772A2" w:rsidRDefault="00542BD3" w:rsidP="00430326">
      <w:pPr>
        <w:pStyle w:val="SingleTxtG"/>
      </w:pPr>
      <w:r w:rsidRPr="009772A2">
        <w:t>9</w:t>
      </w:r>
      <w:r w:rsidR="00430326" w:rsidRPr="009772A2">
        <w:t>5.</w:t>
      </w:r>
      <w:r w:rsidR="00430326" w:rsidRPr="009772A2">
        <w:tab/>
      </w:r>
      <w:r w:rsidRPr="009772A2">
        <w:t>Para facilitar la accesibilidad a los servicios, el Organismo de Denuncias contra la Policía ha adoptado procedimientos operativos estándar que ayudan a evitar los problemas asociados con la presentación de denuncias contra la policía al Ministro o el Comisionado. Estos procedimientos permiten la presentación de denuncias en las comisarías de los distritos, que se remiten luego al Organismo para su investigación. El Organismo trabaja en estrecha colaboración con la policía y ha impartido talleres de formación sobre protección de los derechos humanos, robo de ganado y atención al cliente. Su éxito se refleja en los informes sobre el cumplimiento de los derechos humanos por el servicio de policía.</w:t>
      </w:r>
    </w:p>
    <w:p w:rsidR="00542BD3" w:rsidRPr="009772A2" w:rsidRDefault="00E60112" w:rsidP="00E60112">
      <w:pPr>
        <w:pStyle w:val="H1G"/>
      </w:pPr>
      <w:r w:rsidRPr="009772A2">
        <w:tab/>
        <w:t>E.</w:t>
      </w:r>
      <w:r w:rsidRPr="009772A2">
        <w:tab/>
      </w:r>
      <w:r w:rsidR="00542BD3" w:rsidRPr="009772A2">
        <w:t>Dependencia de Derechos Humanos</w:t>
      </w:r>
    </w:p>
    <w:p w:rsidR="00542BD3" w:rsidRPr="009772A2" w:rsidRDefault="00542BD3" w:rsidP="00430326">
      <w:pPr>
        <w:pStyle w:val="SingleTxtG"/>
      </w:pPr>
      <w:r w:rsidRPr="009772A2">
        <w:t>9</w:t>
      </w:r>
      <w:r w:rsidR="00430326" w:rsidRPr="009772A2">
        <w:t>6.</w:t>
      </w:r>
      <w:r w:rsidR="00430326" w:rsidRPr="009772A2">
        <w:tab/>
      </w:r>
      <w:r w:rsidRPr="009772A2">
        <w:t>La Dependencia de Derechos Humanos fue creada en 1995 con el objetivo de establecer una cultura de observancia y respeto de los derechos humanos. La Dependencia recibe quejas de los particulares, lleva a cabo investigaciones de presuntas violaciones de los derechos humanos y, cuando es necesario, remite el caso. También realiza actividades de sensibilización en materia de derechos humanos y examina la legislación y las políticas para verificar su compatibilidad con las normas internacionales. Ha organizado asimismo talleres de capacitación en derechos humanos para las fuerzas del orden, los miembros del Parlamento, el poder judicial, maestros y jóvenes, en colaboración con organizaciones de la sociedad civil, organizaciones no gubernamentales y asociados para el desarrollo. También se encarga todos los años de la conmemoración del Día Internacional de los Derechos Humanos y de la compilación, presentación y divulgación de los instrumentos internacionales y regionales de derechos humanos en los que Lesotho es parte.</w:t>
      </w:r>
    </w:p>
    <w:p w:rsidR="00542BD3" w:rsidRPr="009772A2" w:rsidRDefault="00542BD3" w:rsidP="00430326">
      <w:pPr>
        <w:pStyle w:val="SingleTxtG"/>
      </w:pPr>
      <w:r w:rsidRPr="009772A2">
        <w:t>9</w:t>
      </w:r>
      <w:r w:rsidR="00430326" w:rsidRPr="009772A2">
        <w:t>7.</w:t>
      </w:r>
      <w:r w:rsidR="00430326" w:rsidRPr="009772A2">
        <w:tab/>
      </w:r>
      <w:r w:rsidRPr="009772A2">
        <w:t>En 2008, en el marco del Programa de Consolidación de la Democracia y Buen Gobierno del Programa de las Naciones Unidas para el Desarrollo (PNUD) e Irish Aid, el Gobierno recibió apoyo para la creación de la Comisión Nacional de Derechos Humanos. Este órgano se estableció en 2011, en virtud de la sexta enmienda de la Constitución, y el Parlamento está ahora examinando la base jurídica en su noveno período de sesiones. El proyecto de ley define la composición de la Comisión, sus facultades y sus procedimientos. El cálculo de los costos presupuestarios y las necesidades de recursos humanos para el funcionamiento de la Comisión y sus mecanismos administrativos también se han completado. La Comisión se encargará de supervisar la situación general de los derechos humanos e investigar violaciones de los derechos humanos, e inspeccionará y vigilará los lugares donde dichas violaciones pueden producirse, como los centros penitenciarios, las comisarías y demás lugares de reclusión o detención.</w:t>
      </w:r>
    </w:p>
    <w:p w:rsidR="00542BD3" w:rsidRPr="009772A2" w:rsidRDefault="00E60112" w:rsidP="00E60112">
      <w:pPr>
        <w:pStyle w:val="HChG"/>
      </w:pPr>
      <w:r w:rsidRPr="009772A2">
        <w:tab/>
      </w:r>
      <w:r w:rsidR="00542BD3" w:rsidRPr="009772A2">
        <w:t>V.</w:t>
      </w:r>
      <w:r w:rsidRPr="009772A2">
        <w:tab/>
      </w:r>
      <w:r w:rsidR="00542BD3" w:rsidRPr="009772A2">
        <w:t>Marco jurídico general para la protección de los derechos humanos</w:t>
      </w:r>
    </w:p>
    <w:p w:rsidR="00542BD3" w:rsidRPr="009772A2" w:rsidRDefault="00E60112" w:rsidP="00E60112">
      <w:pPr>
        <w:pStyle w:val="H1G"/>
      </w:pPr>
      <w:r w:rsidRPr="009772A2">
        <w:tab/>
        <w:t>A.</w:t>
      </w:r>
      <w:r w:rsidRPr="009772A2">
        <w:tab/>
      </w:r>
      <w:r w:rsidR="00542BD3" w:rsidRPr="009772A2">
        <w:t>Constitución</w:t>
      </w:r>
    </w:p>
    <w:p w:rsidR="00542BD3" w:rsidRPr="009772A2" w:rsidRDefault="00542BD3" w:rsidP="00430326">
      <w:pPr>
        <w:pStyle w:val="SingleTxtG"/>
      </w:pPr>
      <w:r w:rsidRPr="009772A2">
        <w:t>9</w:t>
      </w:r>
      <w:r w:rsidR="00430326" w:rsidRPr="009772A2">
        <w:t>8.</w:t>
      </w:r>
      <w:r w:rsidR="00430326" w:rsidRPr="009772A2">
        <w:tab/>
      </w:r>
      <w:r w:rsidRPr="009772A2">
        <w:t>El Gobierno de Lesotho asigna gran importancia al respeto, la promoción y la protección de los derechos humanos. Los derechos humanos y las libertades fundamentales están garantizados en el capítulo II de la Constitución de 1993, que es la ley suprema de la nación, e incluyen el derecho a la vida, el derecho a la libertad personal, la libertad de circulación y residencia, la prohibición de los tratos inhumanos, la prohibición de la esclavitud y el trabajo forzoso, la prohibición del registro o el allanamiento de domicilio sin orden legal, el derecho al respeto de la vida privada y familiar, el derecho a un juicio imparcial, la libertad de conciencia, la libertad de expresión, la libertad de reunión pacífica, la libertad de asociación, la prohibición de la alienación arbitraria de bienes, la prohibición de la discriminación, el derecho a la igualdad ante la ley y a igual protección de la ley y el derecho a participar en el Gobierno.</w:t>
      </w:r>
    </w:p>
    <w:p w:rsidR="00542BD3" w:rsidRPr="009772A2" w:rsidRDefault="00E60112" w:rsidP="00E60112">
      <w:pPr>
        <w:pStyle w:val="H1G"/>
      </w:pPr>
      <w:r w:rsidRPr="009772A2">
        <w:tab/>
      </w:r>
      <w:r w:rsidR="00542BD3" w:rsidRPr="009772A2">
        <w:t>B.</w:t>
      </w:r>
      <w:r w:rsidRPr="009772A2">
        <w:tab/>
      </w:r>
      <w:r w:rsidR="00542BD3" w:rsidRPr="009772A2">
        <w:t>Legislación</w:t>
      </w:r>
    </w:p>
    <w:p w:rsidR="00542BD3" w:rsidRPr="009772A2" w:rsidRDefault="00542BD3" w:rsidP="00430326">
      <w:pPr>
        <w:pStyle w:val="SingleTxtG"/>
      </w:pPr>
      <w:r w:rsidRPr="009772A2">
        <w:t>9</w:t>
      </w:r>
      <w:r w:rsidR="00430326" w:rsidRPr="009772A2">
        <w:t>9.</w:t>
      </w:r>
      <w:r w:rsidR="00430326" w:rsidRPr="009772A2">
        <w:tab/>
      </w:r>
      <w:r w:rsidRPr="009772A2">
        <w:t>Se indican a continuación algunos de los nuevos instrumentos legislativos que, además de la Constitución, protegen el ejercicio de los derechos humanos:</w:t>
      </w:r>
    </w:p>
    <w:p w:rsidR="00542BD3" w:rsidRPr="009772A2" w:rsidRDefault="00542BD3" w:rsidP="00E60112">
      <w:pPr>
        <w:pStyle w:val="Bullet1G"/>
      </w:pPr>
      <w:r w:rsidRPr="009772A2">
        <w:t xml:space="preserve">La Ley de Delitos Sexuales, de 2003, contiene elementos no incluidos en la tipificación del delito de violación en la </w:t>
      </w:r>
      <w:r w:rsidRPr="009772A2">
        <w:rPr>
          <w:i/>
        </w:rPr>
        <w:t>common law</w:t>
      </w:r>
      <w:r w:rsidRPr="009772A2">
        <w:t xml:space="preserve">. Esta </w:t>
      </w:r>
      <w:r w:rsidR="00364A76" w:rsidRPr="009772A2">
        <w:t>ley</w:t>
      </w:r>
      <w:r w:rsidRPr="009772A2">
        <w:t xml:space="preserve"> tiene en cuenta los derechos de las víctimas, los derechos de las personas con discapacidad, homb</w:t>
      </w:r>
      <w:r w:rsidR="00E60112" w:rsidRPr="009772A2">
        <w:t>res, mujeres y niños.</w:t>
      </w:r>
    </w:p>
    <w:p w:rsidR="00542BD3" w:rsidRPr="009772A2" w:rsidRDefault="00542BD3" w:rsidP="00E60112">
      <w:pPr>
        <w:pStyle w:val="Bullet1G"/>
      </w:pPr>
      <w:r w:rsidRPr="009772A2">
        <w:t>La Ley sobre el Juicio Rápido, de 2002, garantiza la protección de los derechos de los delincuentes a un juicio imparcial</w:t>
      </w:r>
      <w:r w:rsidR="00E60112" w:rsidRPr="009772A2">
        <w:t xml:space="preserve"> y rápido en un plazo razonable.</w:t>
      </w:r>
    </w:p>
    <w:p w:rsidR="00542BD3" w:rsidRPr="009772A2" w:rsidRDefault="00542BD3" w:rsidP="00E60112">
      <w:pPr>
        <w:pStyle w:val="Bullet1G"/>
      </w:pPr>
      <w:r w:rsidRPr="009772A2">
        <w:t>La Ley sobre la Capacidad Jurídica de los Cónyuges, de 2006, suprime la condición de menor de edad de las mujeres casadas en régimen de comunidad de bienes y la potestad del marido sobre la persona y los bienes de la mujer en lo que respecta a la administrac</w:t>
      </w:r>
      <w:r w:rsidR="00E60112" w:rsidRPr="009772A2">
        <w:t>ión del patrimonio conjunto.</w:t>
      </w:r>
    </w:p>
    <w:p w:rsidR="00542BD3" w:rsidRPr="009772A2" w:rsidRDefault="00364A76" w:rsidP="00E60112">
      <w:pPr>
        <w:pStyle w:val="Bullet1G"/>
      </w:pPr>
      <w:r w:rsidRPr="009772A2">
        <w:t>L</w:t>
      </w:r>
      <w:r w:rsidR="00542BD3" w:rsidRPr="009772A2">
        <w:t xml:space="preserve">a Ley de Protección y Bienestar de los Niños, de 2011, protege los derechos de todos los niños y promueve su bienestar general. Esta </w:t>
      </w:r>
      <w:r w:rsidRPr="009772A2">
        <w:t>ley</w:t>
      </w:r>
      <w:r w:rsidR="00542BD3" w:rsidRPr="009772A2">
        <w:t xml:space="preserve"> prevé además el establecimiento de un tribunal de menores, que empezó a funcionar en sep</w:t>
      </w:r>
      <w:r w:rsidR="00635CB4" w:rsidRPr="009772A2">
        <w:t>tiembre de </w:t>
      </w:r>
      <w:r w:rsidR="00542BD3" w:rsidRPr="009772A2">
        <w:t>2011, como parte de la iniciativa del Gobierno de proporcionar un entorno adecuado para los niños en conflicto co</w:t>
      </w:r>
      <w:r w:rsidR="00E60112" w:rsidRPr="009772A2">
        <w:t>n la ley y afectados por la ley.</w:t>
      </w:r>
    </w:p>
    <w:p w:rsidR="00542BD3" w:rsidRPr="009772A2" w:rsidRDefault="00542BD3" w:rsidP="00E60112">
      <w:pPr>
        <w:pStyle w:val="Bullet1G"/>
      </w:pPr>
      <w:r w:rsidRPr="009772A2">
        <w:t>La Ley sobre Relaciones Raciales (Enmienda), de 2005, brinda protección contra las prácticas de o</w:t>
      </w:r>
      <w:r w:rsidR="00E60112" w:rsidRPr="009772A2">
        <w:t>dio racial.</w:t>
      </w:r>
    </w:p>
    <w:p w:rsidR="00542BD3" w:rsidRPr="009772A2" w:rsidRDefault="00542BD3" w:rsidP="00E60112">
      <w:pPr>
        <w:pStyle w:val="Bullet1G"/>
      </w:pPr>
      <w:r w:rsidRPr="009772A2">
        <w:t>La Ley de Medio Ambiente, de 2008, protege el derecho a un medio ambient</w:t>
      </w:r>
      <w:r w:rsidR="00E60112" w:rsidRPr="009772A2">
        <w:t>e limpio y saludable.</w:t>
      </w:r>
    </w:p>
    <w:p w:rsidR="00542BD3" w:rsidRPr="009772A2" w:rsidRDefault="00542BD3" w:rsidP="00E60112">
      <w:pPr>
        <w:pStyle w:val="Bullet1G"/>
      </w:pPr>
      <w:r w:rsidRPr="009772A2">
        <w:t>La Ley de Tierras, de 2010, se refiere a la no discriminación y el empoderamiento de la mujer, y da a las mujeres casadas acceso a la tierra y derecho a adminis</w:t>
      </w:r>
      <w:r w:rsidR="00E60112" w:rsidRPr="009772A2">
        <w:t>trarla como recurso productivo.</w:t>
      </w:r>
    </w:p>
    <w:p w:rsidR="00542BD3" w:rsidRPr="009772A2" w:rsidRDefault="00542BD3" w:rsidP="00E60112">
      <w:pPr>
        <w:pStyle w:val="Bullet1G"/>
      </w:pPr>
      <w:r w:rsidRPr="009772A2">
        <w:t xml:space="preserve">La Ley de Educación, de 2010, estipula la educación gratuita y obligatoria para todos los niños en edad escolar. Tipifica además como delito el hecho de que un padre o tutor legal impida que un niño asista a la escuela. La </w:t>
      </w:r>
      <w:r w:rsidR="00364A76" w:rsidRPr="009772A2">
        <w:t>ley</w:t>
      </w:r>
      <w:r w:rsidRPr="009772A2">
        <w:t xml:space="preserve"> también prohíbe los tratos inhumanos y degradantes, en particular e</w:t>
      </w:r>
      <w:r w:rsidR="00E60112" w:rsidRPr="009772A2">
        <w:t>l castigo corporal de los niños.</w:t>
      </w:r>
    </w:p>
    <w:p w:rsidR="00542BD3" w:rsidRPr="009772A2" w:rsidRDefault="00542BD3" w:rsidP="00E60112">
      <w:pPr>
        <w:pStyle w:val="Bullet1G"/>
      </w:pPr>
      <w:r w:rsidRPr="009772A2">
        <w:t>El Código Penal, que se promulgó en 2010, tipifica todos los tipos de violencia, incluida la violencia doméstica. Sin embargo, no proporciona una protección completa contra la violencia en el hogar, pues su ámbito de aplica</w:t>
      </w:r>
      <w:r w:rsidR="00E60112" w:rsidRPr="009772A2">
        <w:t>ción es la violencia en general.</w:t>
      </w:r>
    </w:p>
    <w:p w:rsidR="00542BD3" w:rsidRPr="009772A2" w:rsidRDefault="00542BD3" w:rsidP="00E60112">
      <w:pPr>
        <w:pStyle w:val="Bullet1G"/>
      </w:pPr>
      <w:r w:rsidRPr="009772A2">
        <w:t xml:space="preserve">La Ley de Lucha contra la Trata de Personas, de 2011, prohíbe y sanciona toda forma de trata y estipula la adopción de medidas de protección para las víctimas. Esta </w:t>
      </w:r>
      <w:r w:rsidR="00364A76" w:rsidRPr="009772A2">
        <w:t>ley</w:t>
      </w:r>
      <w:r w:rsidRPr="009772A2">
        <w:t xml:space="preserve"> prevé la creación de centros de atención en todo el país, protege a las víctimas del enjuiciamiento por actos ilegales cometidos como resultado directo de haber sido objeto de trata, ofrece a las víctimas extranjeras la residencia permanente como alternativa legal a su deportación, y alienta a las víctimas a colaborar en la investigación de los delincuentes</w:t>
      </w:r>
      <w:r w:rsidR="00E60112" w:rsidRPr="009772A2">
        <w:t>.</w:t>
      </w:r>
    </w:p>
    <w:p w:rsidR="00542BD3" w:rsidRPr="009772A2" w:rsidRDefault="00542BD3" w:rsidP="00E60112">
      <w:pPr>
        <w:pStyle w:val="Bullet1G"/>
      </w:pPr>
      <w:r w:rsidRPr="009772A2">
        <w:t xml:space="preserve">La Ley de Administración de la Judicatura, de 2011, establece la independencia del poder judicial. </w:t>
      </w:r>
    </w:p>
    <w:p w:rsidR="00542BD3" w:rsidRPr="009772A2" w:rsidRDefault="00FE7B84" w:rsidP="00C97894">
      <w:pPr>
        <w:pStyle w:val="HChG"/>
      </w:pPr>
      <w:r w:rsidRPr="009772A2">
        <w:tab/>
        <w:t>VI.</w:t>
      </w:r>
      <w:r w:rsidRPr="009772A2">
        <w:tab/>
      </w:r>
      <w:r w:rsidR="00542BD3" w:rsidRPr="009772A2">
        <w:t>Marco para la ratificación de los instrumentos internacionales de derech</w:t>
      </w:r>
      <w:r w:rsidRPr="009772A2">
        <w:t>os humanos, su incorporación en</w:t>
      </w:r>
      <w:r w:rsidR="00C97894" w:rsidRPr="009772A2">
        <w:t xml:space="preserve"> el </w:t>
      </w:r>
      <w:r w:rsidR="00542BD3" w:rsidRPr="009772A2">
        <w:t xml:space="preserve">derecho interno y mecanismos de examen entre pares </w:t>
      </w:r>
    </w:p>
    <w:p w:rsidR="00542BD3" w:rsidRPr="009772A2" w:rsidRDefault="00FE7B84" w:rsidP="00FE7B84">
      <w:pPr>
        <w:pStyle w:val="H1G"/>
      </w:pPr>
      <w:r w:rsidRPr="009772A2">
        <w:tab/>
        <w:t>A.</w:t>
      </w:r>
      <w:r w:rsidRPr="009772A2">
        <w:tab/>
      </w:r>
      <w:r w:rsidR="00542BD3" w:rsidRPr="009772A2">
        <w:t>Situación de la ratificación y la incorporación en el derecho interno</w:t>
      </w:r>
    </w:p>
    <w:p w:rsidR="00542BD3" w:rsidRPr="009772A2" w:rsidRDefault="00542BD3" w:rsidP="00430326">
      <w:pPr>
        <w:pStyle w:val="SingleTxtG"/>
      </w:pPr>
      <w:r w:rsidRPr="009772A2">
        <w:t>10</w:t>
      </w:r>
      <w:r w:rsidR="00430326" w:rsidRPr="009772A2">
        <w:t>0.</w:t>
      </w:r>
      <w:r w:rsidR="00430326" w:rsidRPr="009772A2">
        <w:tab/>
      </w:r>
      <w:r w:rsidRPr="009772A2">
        <w:t>En Lesotho, los instrumentos y las normas internacionales de derechos humanos no son de ejecución inmediata y no se aplican directamente en las jurisdicciones legales del país. Para entrar en vigor, estos deben traducirse en leyes nacionales o reglamentaciones administrativas, a excepción de los convenios de la Organización Internacional del Trabajo. Una vez más, la falta de capacidad ha sido la única causa de la demora de la incorporación en el derecho interno de algunas convenciones. Sin embargo, los Principios de Bangalore del Commonwealth, de 1989, y la Declaración de Harare, de 1990, estipulan la incorporación e interpretación de las normas de derechos humanos.</w:t>
      </w:r>
    </w:p>
    <w:p w:rsidR="00542BD3" w:rsidRPr="009772A2" w:rsidRDefault="00FE7B84" w:rsidP="00FE7B84">
      <w:pPr>
        <w:pStyle w:val="H1G"/>
      </w:pPr>
      <w:r w:rsidRPr="009772A2">
        <w:tab/>
        <w:t>B.</w:t>
      </w:r>
      <w:r w:rsidRPr="009772A2">
        <w:tab/>
      </w:r>
      <w:r w:rsidR="00542BD3" w:rsidRPr="009772A2">
        <w:t xml:space="preserve">Convenciones regionales e internacionales de derechos humanos </w:t>
      </w:r>
      <w:r w:rsidR="00C97894" w:rsidRPr="009772A2">
        <w:t>y su </w:t>
      </w:r>
      <w:r w:rsidR="00542BD3" w:rsidRPr="009772A2">
        <w:t>incorporación en el derecho interno</w:t>
      </w:r>
    </w:p>
    <w:p w:rsidR="00542BD3" w:rsidRPr="009772A2" w:rsidRDefault="00542BD3" w:rsidP="00430326">
      <w:pPr>
        <w:pStyle w:val="SingleTxtG"/>
      </w:pPr>
      <w:r w:rsidRPr="009772A2">
        <w:t>10</w:t>
      </w:r>
      <w:r w:rsidR="00430326" w:rsidRPr="009772A2">
        <w:t>1.</w:t>
      </w:r>
      <w:r w:rsidR="00430326" w:rsidRPr="009772A2">
        <w:tab/>
      </w:r>
      <w:r w:rsidRPr="009772A2">
        <w:t>Lesotho ha ratificado los principales tratados internacionales y regionales de derechos humanos, a saber:</w:t>
      </w:r>
    </w:p>
    <w:p w:rsidR="00542BD3" w:rsidRPr="009772A2" w:rsidRDefault="00542BD3" w:rsidP="00FE7B84">
      <w:pPr>
        <w:pStyle w:val="Bullet1G"/>
      </w:pPr>
      <w:r w:rsidRPr="009772A2">
        <w:t>Pacto Internacional de Derechos Civiles y Políticos, ratificado en 1992;</w:t>
      </w:r>
    </w:p>
    <w:p w:rsidR="00542BD3" w:rsidRPr="009772A2" w:rsidRDefault="00542BD3" w:rsidP="00FE7B84">
      <w:pPr>
        <w:pStyle w:val="Bullet1G"/>
      </w:pPr>
      <w:r w:rsidRPr="009772A2">
        <w:t>Pacto Internacional de Derechos Económicos, Socia</w:t>
      </w:r>
      <w:r w:rsidR="00635CB4" w:rsidRPr="009772A2">
        <w:t>les y Culturales, ratificado en </w:t>
      </w:r>
      <w:r w:rsidRPr="009772A2">
        <w:t>1992;</w:t>
      </w:r>
    </w:p>
    <w:p w:rsidR="00542BD3" w:rsidRPr="009772A2" w:rsidRDefault="00542BD3" w:rsidP="00FE7B84">
      <w:pPr>
        <w:pStyle w:val="Bullet1G"/>
      </w:pPr>
      <w:r w:rsidRPr="009772A2">
        <w:t>Convención sobre la Eliminación de Todas las Formas de Discriminación contra la Mujer, ratificada en 1995 con una reserva al artículo 2;</w:t>
      </w:r>
    </w:p>
    <w:p w:rsidR="00542BD3" w:rsidRPr="009772A2" w:rsidRDefault="00542BD3" w:rsidP="00FE7B84">
      <w:pPr>
        <w:pStyle w:val="Bullet1G"/>
      </w:pPr>
      <w:r w:rsidRPr="009772A2">
        <w:t>Convención sobre la Eliminación de Todas las Formas de Discriminación Racial, ratificada en 1971;</w:t>
      </w:r>
    </w:p>
    <w:p w:rsidR="00542BD3" w:rsidRPr="009772A2" w:rsidRDefault="00542BD3" w:rsidP="00FE7B84">
      <w:pPr>
        <w:pStyle w:val="Bullet1G"/>
      </w:pPr>
      <w:r w:rsidRPr="009772A2">
        <w:t>Convención sobre los Derechos del Niño, ratificada en 1992;</w:t>
      </w:r>
    </w:p>
    <w:p w:rsidR="00542BD3" w:rsidRPr="009772A2" w:rsidRDefault="00542BD3" w:rsidP="00FE7B84">
      <w:pPr>
        <w:pStyle w:val="Bullet1G"/>
      </w:pPr>
      <w:r w:rsidRPr="009772A2">
        <w:t>Convención Internacional sobre la Protección de los Derechos de Todos los Trabajadores Migratorios y de sus Familiares, ratificada en 2006;</w:t>
      </w:r>
    </w:p>
    <w:p w:rsidR="00542BD3" w:rsidRPr="009772A2" w:rsidRDefault="00542BD3" w:rsidP="00FE7B84">
      <w:pPr>
        <w:pStyle w:val="Bullet1G"/>
      </w:pPr>
      <w:r w:rsidRPr="009772A2">
        <w:t>Convención sobre los Derechos de las Personas con Dis</w:t>
      </w:r>
      <w:r w:rsidR="00635CB4" w:rsidRPr="009772A2">
        <w:t>capacidad, adhesión en </w:t>
      </w:r>
      <w:r w:rsidRPr="009772A2">
        <w:t>2008;</w:t>
      </w:r>
    </w:p>
    <w:p w:rsidR="00542BD3" w:rsidRPr="009772A2" w:rsidRDefault="00542BD3" w:rsidP="00FE7B84">
      <w:pPr>
        <w:pStyle w:val="Bullet1G"/>
      </w:pPr>
      <w:r w:rsidRPr="009772A2">
        <w:t>Convención contra la Tortura y Otros Tratos o Penas Crueles, Inhumanos o Degradantes, ratificada en 2001;</w:t>
      </w:r>
    </w:p>
    <w:p w:rsidR="00542BD3" w:rsidRPr="009772A2" w:rsidRDefault="00542BD3" w:rsidP="00FE7B84">
      <w:pPr>
        <w:pStyle w:val="Bullet1G"/>
      </w:pPr>
      <w:r w:rsidRPr="009772A2">
        <w:t>Convención sobre la Desaparición Forzada de Personas, ratificada en 2013;</w:t>
      </w:r>
    </w:p>
    <w:p w:rsidR="00542BD3" w:rsidRPr="009772A2" w:rsidRDefault="00542BD3" w:rsidP="00FE7B84">
      <w:pPr>
        <w:pStyle w:val="Bullet1G"/>
      </w:pPr>
      <w:r w:rsidRPr="009772A2">
        <w:t>Convenio de la OIT sobre las Peores Formas del Trabajo Infantil, ratificado en 2001;</w:t>
      </w:r>
    </w:p>
    <w:p w:rsidR="00542BD3" w:rsidRPr="009772A2" w:rsidRDefault="00542BD3" w:rsidP="00FE7B84">
      <w:pPr>
        <w:pStyle w:val="Bullet1G"/>
      </w:pPr>
      <w:r w:rsidRPr="009772A2">
        <w:t>Convenio 111 de la OIT sobre la Discriminación (Empleo y Ocupación), ratificado en 2000;</w:t>
      </w:r>
    </w:p>
    <w:p w:rsidR="00542BD3" w:rsidRPr="009772A2" w:rsidRDefault="00542BD3" w:rsidP="00FE7B84">
      <w:pPr>
        <w:pStyle w:val="Bullet1G"/>
      </w:pPr>
      <w:r w:rsidRPr="009772A2">
        <w:t>Carta Africana de Derechos Humanos y de los Pueblos, ratificada en 1992;</w:t>
      </w:r>
    </w:p>
    <w:p w:rsidR="00542BD3" w:rsidRPr="009772A2" w:rsidRDefault="00542BD3" w:rsidP="00FE7B84">
      <w:pPr>
        <w:pStyle w:val="Bullet1G"/>
      </w:pPr>
      <w:r w:rsidRPr="009772A2">
        <w:t>Carta Africana sobre los Derechos y el Bienestar del Niño, ratificada en 1999; y</w:t>
      </w:r>
    </w:p>
    <w:p w:rsidR="00542BD3" w:rsidRPr="009772A2" w:rsidRDefault="00542BD3" w:rsidP="00FE7B84">
      <w:pPr>
        <w:pStyle w:val="Bullet1G"/>
      </w:pPr>
      <w:r w:rsidRPr="009772A2">
        <w:t>Protocolo a la Carta Africana de Derechos Humanos y de los Pueblos relativo a los Derechos de la Mujer en África, ratificado en 2004.</w:t>
      </w:r>
    </w:p>
    <w:p w:rsidR="00542BD3" w:rsidRPr="009772A2" w:rsidRDefault="00542BD3" w:rsidP="00430326">
      <w:pPr>
        <w:pStyle w:val="SingleTxtG"/>
      </w:pPr>
      <w:r w:rsidRPr="009772A2">
        <w:t>10</w:t>
      </w:r>
      <w:r w:rsidR="00430326" w:rsidRPr="009772A2">
        <w:t>2.</w:t>
      </w:r>
      <w:r w:rsidR="00430326" w:rsidRPr="009772A2">
        <w:tab/>
      </w:r>
      <w:r w:rsidRPr="009772A2">
        <w:t>Lesotho ha presentado informes sobre los siguientes instrumentos internacionales: Pacto Internacional de Derechos Civiles y Políticos, en 1999; Convención sobre la Eliminación d todas las Formas de Discriminación Racial, en 2000; Convención sobre los Derechos del Niño, en 2001; Convención sobre la Eliminación de Todas las Formas de Discriminación contra la Mujer, en 2010; y Carta Africana sobre los Derechos y el Bienestar del Niño, en 2015. Debido a la falta de capacidad se ha producido una demora en la presentación de informes sobre otros tratados. Actualmente se están preparando proyectos de informe sobre el Pacto Internacional de Derechos Económicos, Sociales y Culturales, la Convención contra la Tortura y la Carta Africana de Derechos Humanos y proyectos de informes periódicos sobre la Convención sobre los Derechos del Niño, el Pacto de Derechos Civiles y Políticos y la Convención sobre la Eliminación de Todas las Formas de Discriminación Racial.</w:t>
      </w:r>
    </w:p>
    <w:p w:rsidR="00542BD3" w:rsidRPr="009772A2" w:rsidRDefault="00FE7B84" w:rsidP="00FE7B84">
      <w:pPr>
        <w:pStyle w:val="H1G"/>
      </w:pPr>
      <w:r w:rsidRPr="009772A2">
        <w:tab/>
      </w:r>
      <w:r w:rsidR="00542BD3" w:rsidRPr="009772A2">
        <w:t>C.</w:t>
      </w:r>
      <w:r w:rsidRPr="009772A2">
        <w:tab/>
      </w:r>
      <w:r w:rsidR="00542BD3" w:rsidRPr="009772A2">
        <w:t>Convenciones de derecho internacional humanitario</w:t>
      </w:r>
    </w:p>
    <w:p w:rsidR="00542BD3" w:rsidRPr="009772A2" w:rsidRDefault="00542BD3" w:rsidP="00430326">
      <w:pPr>
        <w:pStyle w:val="SingleTxtG"/>
      </w:pPr>
      <w:r w:rsidRPr="009772A2">
        <w:t>10</w:t>
      </w:r>
      <w:r w:rsidR="00430326" w:rsidRPr="009772A2">
        <w:t>3.</w:t>
      </w:r>
      <w:r w:rsidR="00430326" w:rsidRPr="009772A2">
        <w:tab/>
      </w:r>
      <w:r w:rsidRPr="009772A2">
        <w:t>En su declaración de sucesión de 20 de mayo de 1958, el Reino Unido firmó y ratificó los cuatro Convenios de Ginebra sobre derecho internacional humanitario, como parte de las normas humanitarias internacionales vinculantes para Lesotho, a saber: el Convenio de Ginebra de 12 de agosto de 1949 relativo al Trato Debido a los Prisioneros de Guerra, el Convenio de Ginebra del 12 de agosto de 1949 para Aliviar la Suerte que Corren los Heridos, los Enfermos y los Náufragos de las Fuerzas Armadas en el Mar, el Convenio para Aliviar la Suerte que Corren los Heridos y los Enfermos de las Fuerzas Armadas en Campaña, y el Convenio relativo a la Protección Debida a las Personas Civiles en Tiempo de Guerra.</w:t>
      </w:r>
    </w:p>
    <w:p w:rsidR="00542BD3" w:rsidRPr="009772A2" w:rsidRDefault="00542BD3" w:rsidP="00430326">
      <w:pPr>
        <w:pStyle w:val="SingleTxtG"/>
      </w:pPr>
      <w:r w:rsidRPr="009772A2">
        <w:t>10</w:t>
      </w:r>
      <w:r w:rsidR="00430326" w:rsidRPr="009772A2">
        <w:t>4.</w:t>
      </w:r>
      <w:r w:rsidR="00430326" w:rsidRPr="009772A2">
        <w:tab/>
      </w:r>
      <w:r w:rsidRPr="009772A2">
        <w:t xml:space="preserve">Estos convenios son vinculantes para Lesotho, con carácter retroactivo, a partir del 4 de octubre de 1966, fecha en que adquirió la independencia. Lesotho también se adhirió </w:t>
      </w:r>
      <w:r w:rsidR="009846B1" w:rsidRPr="009772A2">
        <w:t>en </w:t>
      </w:r>
      <w:r w:rsidRPr="009772A2">
        <w:t>1977 a los Protocolos adicionales a los cuatro Convenios de Ginebra, relativos a la protección de monumentos históricos, culturales y artísticos, incluidos los símbolos nacionales, durante situaciones de conflicto armado interno y externo, el Convenio de Ginebra de 1949 para Aliviar la Suerte que Corren los Heridos y los Enfermos de las Fuerzas Armadas en Campaña (Convenio I), el Convenio de Ginebra de 1949 para Aliviar la Suerte que Corren los Heridos, los Enfermos y los Náufragos de las Fuerzas Armadas en el Mar (Convenio II), el Convenio de Ginebra de 1949 relativo al Trato Debido a los Prisioneros de Guerra (Convenio III), el Convenio de Ginebra de 1949 relativo a la Protección Debida a las Personas Civiles en Tiempo de Guerra (Convenio IV), el Protocolo I adicional a los Convenios de Ginebra de 12 de agosto de 1949 relativo a la Protección de las Víctimas de los Conflictos Armados sin Carácter Internacional de 1977, la Convención de Ottawa de 1997 sobre la Prohibición del Empleo, Almacenamiento, Producción y Transferencia de Minas Antipersonal y sobre su Destrucción. Todos los Convenios de Ginebra han sido incorporados en el mandato asignado a la Cruz Roja en virtud de la Ley sobre la Cruz Roja de 1967.</w:t>
      </w:r>
    </w:p>
    <w:p w:rsidR="00542BD3" w:rsidRPr="009772A2" w:rsidRDefault="00542BD3" w:rsidP="00430326">
      <w:pPr>
        <w:pStyle w:val="SingleTxtG"/>
      </w:pPr>
      <w:r w:rsidRPr="009772A2">
        <w:t>10</w:t>
      </w:r>
      <w:r w:rsidR="00430326" w:rsidRPr="009772A2">
        <w:t>5.</w:t>
      </w:r>
      <w:r w:rsidR="00430326" w:rsidRPr="009772A2">
        <w:tab/>
      </w:r>
      <w:r w:rsidRPr="009772A2">
        <w:t xml:space="preserve">A nivel nacional, en marzo de 2001 se creó un comité nacional </w:t>
      </w:r>
      <w:r w:rsidRPr="009772A2">
        <w:rPr>
          <w:i/>
        </w:rPr>
        <w:t>ad hoc</w:t>
      </w:r>
      <w:r w:rsidRPr="009772A2">
        <w:t xml:space="preserve"> sobre derecho humanitario, compuesto por representantes de diferentes Ministerios, como Asuntos Exteriores, Defensa, Derecho, Asuntos Constitucionales y Derechos Humanos, Interior, Salud, Educación, Servicio de Policía y Justicia, y la Sociedad de la Cruz Roja de Lesotho. Este comité ha desempeñado un papel fundamental asesorando al Gobierno sobre cuestiones relativas a la adhesión a las convenciones humanitarias y su ratificación, el establecimiento de programas de educación y formación, la elaboración de estudios sobre derecho internacional humanitario, y la identificación y preparación de medidas para la aplicación del derecho humanitario internacional, incluido el seguimiento de su aplicación. </w:t>
      </w:r>
    </w:p>
    <w:p w:rsidR="00542BD3" w:rsidRPr="009772A2" w:rsidRDefault="00FE7B84" w:rsidP="00FE7B84">
      <w:pPr>
        <w:pStyle w:val="H1G"/>
      </w:pPr>
      <w:r w:rsidRPr="009772A2">
        <w:tab/>
        <w:t>D.</w:t>
      </w:r>
      <w:r w:rsidRPr="009772A2">
        <w:tab/>
      </w:r>
      <w:r w:rsidR="00542BD3" w:rsidRPr="009772A2">
        <w:t>Convenios de la Organización Internacional del Trabajo</w:t>
      </w:r>
    </w:p>
    <w:p w:rsidR="00542BD3" w:rsidRPr="009772A2" w:rsidRDefault="00542BD3" w:rsidP="00430326">
      <w:pPr>
        <w:pStyle w:val="SingleTxtG"/>
      </w:pPr>
      <w:r w:rsidRPr="009772A2">
        <w:t>10</w:t>
      </w:r>
      <w:r w:rsidR="00430326" w:rsidRPr="009772A2">
        <w:t>6.</w:t>
      </w:r>
      <w:r w:rsidR="00430326" w:rsidRPr="009772A2">
        <w:tab/>
      </w:r>
      <w:r w:rsidRPr="009772A2">
        <w:t>Lesotho es miembro de la Organización Internacional del Trabajo y ha firmado la mayoría de los instrumentos internacionales laborales sobre normas mínimas, relaciones laborales y protección de los derechos de los trabajadores. Lesotho ha ratificado casi todos los instrumentos más importantes de la OIT, a saber: Convenio sobre la Edad Mínima (Industria), 1919; Convenio sobre el Derecho de Asociación (Agricultura), 1921; Convenio sobre el Descanso Semanal (Industria), 1921; Convenio sobre la Igualdad de Trato (Accidentes del Trabajo), 1925; Convenio sobre los Métodos para la Fijación de los Salarios Mínimos, 1928; Convenio sobre el Trabajo Forzoso, 1930; Convenio sobre los Contratos de Trabajo (Trabajadores Indígenas), 1939; Convenio sobre las Sanciones Penales (Trabajadores Indígenas), 1939; Convenio sobre la Inspección del Trabajo, 1947; Convenio sobre la Libertad Sindical y la Protección de los Derechos de Sindicación, 1948; Convenio sobre el Derecho de Sindicación y de Negociación Colectiva, 1949; Convenio sobre la Igualdad de Remuneración, 1957; Convenio sobre la Discriminación (Empleo y Ocupación), 1958; Convenio sobre los Representantes de los Trabajadores, 1971; Convenio sobre la Edad Mínima, 1973; Convenio sobre la Consulta Tripartita (Normas Internacionales del Trabajo), 1976; Convenio sobre la Administración del Trabajo, 1978; Protocolo relativo al Convenio sobre Seguridad y Salud de los Trabajadores, 1981; Convenio sobre la Terminación de la Relación de Trabajo, 1988; y Convenio sobre las Peores Formas de Trabajo Infantil, 1999</w:t>
      </w:r>
      <w:r w:rsidRPr="009772A2">
        <w:rPr>
          <w:rStyle w:val="FootnoteReference"/>
        </w:rPr>
        <w:footnoteReference w:id="10"/>
      </w:r>
      <w:r w:rsidRPr="009772A2">
        <w:t>. Lesotho también ha ratificado varias normas internacionales sobre salud y seguridad en el trabajo, como el Convenio sobre Seguridad y Salud de los Trabajadores (C155) de 1981, y el Convenio sobre Seguridad y Salud en la Construcción (C167) de 1988.</w:t>
      </w:r>
    </w:p>
    <w:p w:rsidR="00542BD3" w:rsidRPr="009772A2" w:rsidRDefault="00FE7B84" w:rsidP="00FE7B84">
      <w:pPr>
        <w:pStyle w:val="H1G"/>
      </w:pPr>
      <w:r w:rsidRPr="009772A2">
        <w:tab/>
        <w:t>E.</w:t>
      </w:r>
      <w:r w:rsidRPr="009772A2">
        <w:tab/>
      </w:r>
      <w:r w:rsidR="00542BD3" w:rsidRPr="009772A2">
        <w:t>Mecanismos para la preparación de informes de los Estados partes</w:t>
      </w:r>
    </w:p>
    <w:p w:rsidR="00542BD3" w:rsidRPr="009772A2" w:rsidRDefault="00542BD3" w:rsidP="00430326">
      <w:pPr>
        <w:pStyle w:val="SingleTxtG"/>
      </w:pPr>
      <w:r w:rsidRPr="009772A2">
        <w:t>10</w:t>
      </w:r>
      <w:r w:rsidR="00430326" w:rsidRPr="009772A2">
        <w:t>7.</w:t>
      </w:r>
      <w:r w:rsidR="00430326" w:rsidRPr="009772A2">
        <w:tab/>
      </w:r>
      <w:r w:rsidRPr="009772A2">
        <w:t xml:space="preserve">La Dependencia de Derechos Humanos estableció el Comité Intersectorial de Derechos Humanos para supervisar este proceso, pero el órgano no pudo mantenerse porque los miembros capacitados para preparar informes sobre los tratados de derechos humanos tuvieron que partir por diversas razones en distintos momentos. Desde 2008, Lesotho utiliza un método </w:t>
      </w:r>
      <w:r w:rsidRPr="009772A2">
        <w:rPr>
          <w:i/>
        </w:rPr>
        <w:t>ad hoc</w:t>
      </w:r>
      <w:r w:rsidRPr="009772A2">
        <w:t xml:space="preserve"> para la preparación de informes, es decir, los comités de redacción que preparan los informes sobre derechos humanos, derecho humanitario y los convenios de la OIT se establecen exclusivamente con el fin de compilar y ultimar un informe determinado, se disuelven cuando entregan el informe, y no tienen un mandato de seguimiento, ya sea en relación con los órganos de supervisión del tratado o con la aplicación de las recomendaciones de dichos órganos.</w:t>
      </w:r>
    </w:p>
    <w:p w:rsidR="00542BD3" w:rsidRPr="009772A2" w:rsidRDefault="00FE7B84" w:rsidP="00FE7B84">
      <w:pPr>
        <w:pStyle w:val="H1G"/>
      </w:pPr>
      <w:r w:rsidRPr="009772A2">
        <w:tab/>
        <w:t>F.</w:t>
      </w:r>
      <w:r w:rsidRPr="009772A2">
        <w:tab/>
      </w:r>
      <w:r w:rsidR="00542BD3" w:rsidRPr="009772A2">
        <w:t>Mecanismos de examen entre pares</w:t>
      </w:r>
    </w:p>
    <w:p w:rsidR="00542BD3" w:rsidRPr="009772A2" w:rsidRDefault="00542BD3" w:rsidP="00430326">
      <w:pPr>
        <w:pStyle w:val="SingleTxtG"/>
      </w:pPr>
      <w:r w:rsidRPr="009772A2">
        <w:t>10</w:t>
      </w:r>
      <w:r w:rsidR="00430326" w:rsidRPr="009772A2">
        <w:t>8.</w:t>
      </w:r>
      <w:r w:rsidR="00430326" w:rsidRPr="009772A2">
        <w:tab/>
      </w:r>
      <w:r w:rsidRPr="009772A2">
        <w:t>Lesotho ha participado en los mecanismos de examen entre pares, a saber, el Mecanismo de Examen entre los Propios Países Africanos y el Mecanismo de Examen Periódico Universal.</w:t>
      </w:r>
    </w:p>
    <w:p w:rsidR="00542BD3" w:rsidRPr="009772A2" w:rsidRDefault="00FE7B84" w:rsidP="00FE7B84">
      <w:pPr>
        <w:pStyle w:val="H23G"/>
      </w:pPr>
      <w:r w:rsidRPr="009772A2">
        <w:tab/>
        <w:t>1.</w:t>
      </w:r>
      <w:r w:rsidRPr="009772A2">
        <w:tab/>
      </w:r>
      <w:r w:rsidR="00542BD3" w:rsidRPr="009772A2">
        <w:t>Mecanismo de Examen entre los Propios Países Africanos</w:t>
      </w:r>
    </w:p>
    <w:p w:rsidR="00542BD3" w:rsidRPr="009772A2" w:rsidRDefault="00542BD3" w:rsidP="00430326">
      <w:pPr>
        <w:pStyle w:val="SingleTxtG"/>
      </w:pPr>
      <w:r w:rsidRPr="009772A2">
        <w:t>10</w:t>
      </w:r>
      <w:r w:rsidR="00430326" w:rsidRPr="009772A2">
        <w:t>9.</w:t>
      </w:r>
      <w:r w:rsidR="00430326" w:rsidRPr="009772A2">
        <w:tab/>
      </w:r>
      <w:r w:rsidRPr="009772A2">
        <w:t>Lesotho se incorporó al Mecanismo de Examen entre los Propios Países Africanos</w:t>
      </w:r>
      <w:r w:rsidR="009846B1" w:rsidRPr="009772A2">
        <w:t xml:space="preserve"> el </w:t>
      </w:r>
      <w:r w:rsidRPr="009772A2">
        <w:t>4 de julio de 2004, poniendo así de manifiesto su compromiso inquebrantable con la gobernanza democrática. El proceso de examen comenzó con un taller de consulta nacional celebrado en Maseru en 2005. Se estableció el Subcomité Ministerial y se designó un país coordinador del examen. También se estableció el Consejo de Administración Nacional para gestionar el proceso del Mecanismo de Examen en el país.</w:t>
      </w:r>
    </w:p>
    <w:p w:rsidR="00542BD3" w:rsidRPr="009772A2" w:rsidRDefault="00FE7B84" w:rsidP="00FE7B84">
      <w:pPr>
        <w:pStyle w:val="H23G"/>
      </w:pPr>
      <w:r w:rsidRPr="009772A2">
        <w:tab/>
        <w:t>2.</w:t>
      </w:r>
      <w:r w:rsidRPr="009772A2">
        <w:tab/>
      </w:r>
      <w:r w:rsidR="00542BD3" w:rsidRPr="009772A2">
        <w:t>Examen Periódico Universal</w:t>
      </w:r>
    </w:p>
    <w:p w:rsidR="00542BD3" w:rsidRPr="009772A2" w:rsidRDefault="00542BD3" w:rsidP="00430326">
      <w:pPr>
        <w:pStyle w:val="SingleTxtG"/>
      </w:pPr>
      <w:r w:rsidRPr="009772A2">
        <w:t>11</w:t>
      </w:r>
      <w:r w:rsidR="00430326" w:rsidRPr="009772A2">
        <w:t>0.</w:t>
      </w:r>
      <w:r w:rsidR="00430326" w:rsidRPr="009772A2">
        <w:tab/>
      </w:r>
      <w:r w:rsidRPr="009772A2">
        <w:t xml:space="preserve">Lesotho fue por primera vez objeto de examen en el marco de este mecanismo en mayo de 2010. El objetivo del examen periódico de la efectividad de los derechos humanos en el país es mejorar la situación al respecto y hacer frente a las violaciones, dondequiera que ocurran. Un examen del seguimiento en el segundo ciclo se </w:t>
      </w:r>
      <w:r w:rsidR="009846B1" w:rsidRPr="009772A2">
        <w:t>llevó a cabo en enero de </w:t>
      </w:r>
      <w:r w:rsidRPr="009772A2">
        <w:t>2015, cuando el país presentó el informe sobre la aplicación de las recomendaciones del primer ciclo.</w:t>
      </w:r>
    </w:p>
    <w:p w:rsidR="00542BD3" w:rsidRPr="009772A2" w:rsidRDefault="00FE7B84" w:rsidP="00FE7B84">
      <w:pPr>
        <w:pStyle w:val="HChG"/>
      </w:pPr>
      <w:r w:rsidRPr="009772A2">
        <w:tab/>
      </w:r>
      <w:r w:rsidR="00542BD3" w:rsidRPr="009772A2">
        <w:t>VII.</w:t>
      </w:r>
      <w:r w:rsidRPr="009772A2">
        <w:tab/>
      </w:r>
      <w:r w:rsidR="00542BD3" w:rsidRPr="009772A2">
        <w:t>Información y divulgación</w:t>
      </w:r>
    </w:p>
    <w:p w:rsidR="00542BD3" w:rsidRPr="009772A2" w:rsidRDefault="00FE7B84" w:rsidP="00FE7B84">
      <w:pPr>
        <w:pStyle w:val="H1G"/>
      </w:pPr>
      <w:r w:rsidRPr="009772A2">
        <w:tab/>
        <w:t>A.</w:t>
      </w:r>
      <w:r w:rsidRPr="009772A2">
        <w:tab/>
      </w:r>
      <w:r w:rsidR="00542BD3" w:rsidRPr="009772A2">
        <w:t>Medidas adoptadas por el Gobierno para la promoción y difusión de los derechos humanos</w:t>
      </w:r>
    </w:p>
    <w:p w:rsidR="00542BD3" w:rsidRPr="009772A2" w:rsidRDefault="00542BD3" w:rsidP="00430326">
      <w:pPr>
        <w:pStyle w:val="SingleTxtG"/>
      </w:pPr>
      <w:r w:rsidRPr="009772A2">
        <w:t>11</w:t>
      </w:r>
      <w:r w:rsidR="00430326" w:rsidRPr="009772A2">
        <w:t>1.</w:t>
      </w:r>
      <w:r w:rsidR="00430326" w:rsidRPr="009772A2">
        <w:tab/>
      </w:r>
      <w:r w:rsidRPr="009772A2">
        <w:t>El Gobierno, a través de la Dependencia de Derechos Humanos, que tiene un triple mandato de promoción, protección y presentación de informes, difunde información sobre los derechos humanos en todo el país.</w:t>
      </w:r>
    </w:p>
    <w:p w:rsidR="00542BD3" w:rsidRPr="009772A2" w:rsidRDefault="00542BD3" w:rsidP="00430326">
      <w:pPr>
        <w:pStyle w:val="SingleTxtG"/>
      </w:pPr>
      <w:r w:rsidRPr="009772A2">
        <w:t>11</w:t>
      </w:r>
      <w:r w:rsidR="00430326" w:rsidRPr="009772A2">
        <w:t>2.</w:t>
      </w:r>
      <w:r w:rsidR="00430326" w:rsidRPr="009772A2">
        <w:tab/>
      </w:r>
      <w:r w:rsidRPr="009772A2">
        <w:t>Entre 2008 y 2013, la Dependencia pudo llevar a cabo campañas de sensibilización y sesiones de capacitación sobre los derechos humanos con el apoyo del PNUD e Irish Aid, en el marco del Programa de Consolidación de la Democracia y Buen Gobierno. Se contó con la colaboración de organizaciones de la sociedad civil, como el Consejo de Organizaciones no Gubernamentales de Lesotho, el Centro de Transformación de Recursos y Women in Law in Southern Africa.</w:t>
      </w:r>
    </w:p>
    <w:p w:rsidR="00542BD3" w:rsidRPr="009772A2" w:rsidRDefault="00FE7B84" w:rsidP="00FE7B84">
      <w:pPr>
        <w:pStyle w:val="H1G"/>
      </w:pPr>
      <w:r w:rsidRPr="009772A2">
        <w:tab/>
        <w:t>B.</w:t>
      </w:r>
      <w:r w:rsidRPr="009772A2">
        <w:tab/>
      </w:r>
      <w:r w:rsidR="00542BD3" w:rsidRPr="009772A2">
        <w:t>Presentación de informes a diversos órganos de derechos humanos</w:t>
      </w:r>
    </w:p>
    <w:p w:rsidR="00542BD3" w:rsidRPr="009772A2" w:rsidRDefault="00542BD3" w:rsidP="00430326">
      <w:pPr>
        <w:pStyle w:val="SingleTxtG"/>
      </w:pPr>
      <w:r w:rsidRPr="009772A2">
        <w:t>11</w:t>
      </w:r>
      <w:r w:rsidR="00430326" w:rsidRPr="009772A2">
        <w:t>3.</w:t>
      </w:r>
      <w:r w:rsidR="00430326" w:rsidRPr="009772A2">
        <w:tab/>
      </w:r>
      <w:r w:rsidRPr="009772A2">
        <w:t>Desde 1995 hasta la fecha la Dependencia de Derechos Humanos ha tenido una plantilla integrada por tres funcionarios de derechos humanos que trabajan a tiempo completo. Dado que la Dependencia se encarga de las funciones de promoción, protección y presentación de informes, su dotación de personal es insuficiente para el cumplimiento eficaz de su mandato. La presentación de informes requiere que los encargados de la función tengan un sólido conocimiento, al menos de los principales y más pertinentes instrumentos de derechos humanos.</w:t>
      </w:r>
    </w:p>
    <w:p w:rsidR="00542BD3" w:rsidRPr="009772A2" w:rsidRDefault="00542BD3" w:rsidP="00430326">
      <w:pPr>
        <w:pStyle w:val="SingleTxtG"/>
      </w:pPr>
      <w:r w:rsidRPr="009772A2">
        <w:t>11</w:t>
      </w:r>
      <w:r w:rsidR="00430326" w:rsidRPr="009772A2">
        <w:t>4.</w:t>
      </w:r>
      <w:r w:rsidR="00430326" w:rsidRPr="009772A2">
        <w:tab/>
      </w:r>
      <w:r w:rsidRPr="009772A2">
        <w:t>A pesar de que el Ministerio ha tratado de transmitir la información necesaria impartiendo capacitación, la Dependencia tiene dificultades para mantenerse al día con las obligaciones de presentación de informes, porque es un órgano general y no un órgano especializado. Para que no se produzca un gran atraso en el cumplimiento de las obligaciones de presentación de informes a los órganos de tratados de las Naciones Unidas y los organismos regionales, Lesotho necesita una dependencia especializada. El rápido establecimiento de la Comisión de Derechos Humanos contribuirá a ello, ya que las funciones de promoción y protección formarán parte de su mandato.</w:t>
      </w:r>
    </w:p>
    <w:p w:rsidR="00542BD3" w:rsidRPr="009772A2" w:rsidRDefault="00542BD3" w:rsidP="00430326">
      <w:pPr>
        <w:pStyle w:val="SingleTxtG"/>
      </w:pPr>
      <w:r w:rsidRPr="009772A2">
        <w:t>11</w:t>
      </w:r>
      <w:r w:rsidR="00430326" w:rsidRPr="009772A2">
        <w:t>5.</w:t>
      </w:r>
      <w:r w:rsidR="00430326" w:rsidRPr="009772A2">
        <w:tab/>
      </w:r>
      <w:r w:rsidRPr="009772A2">
        <w:t>Es también necesario contar con una base de datos centralizada, además de la Oficina de Estadística, donde pueda encontrarse toda la información legislativa, judicial, administrativa, normativa y operacional necesaria durante la preparación de los informes que deben presentar los Estados partes.</w:t>
      </w:r>
    </w:p>
    <w:p w:rsidR="00381C24" w:rsidRPr="009772A2" w:rsidRDefault="00FE7B84" w:rsidP="00FE7B84">
      <w:pPr>
        <w:spacing w:before="240"/>
        <w:jc w:val="center"/>
        <w:rPr>
          <w:u w:val="single"/>
        </w:rPr>
      </w:pPr>
      <w:r w:rsidRPr="009772A2">
        <w:rPr>
          <w:u w:val="single"/>
        </w:rPr>
        <w:tab/>
      </w:r>
      <w:r w:rsidRPr="009772A2">
        <w:rPr>
          <w:u w:val="single"/>
        </w:rPr>
        <w:tab/>
      </w:r>
      <w:r w:rsidRPr="009772A2">
        <w:rPr>
          <w:u w:val="single"/>
        </w:rPr>
        <w:tab/>
      </w:r>
    </w:p>
    <w:sectPr w:rsidR="00381C24" w:rsidRPr="009772A2" w:rsidSect="00CE184D">
      <w:headerReference w:type="even" r:id="rId11"/>
      <w:headerReference w:type="default" r:id="rId12"/>
      <w:footerReference w:type="even" r:id="rId13"/>
      <w:footerReference w:type="default" r:id="rId14"/>
      <w:footerReference w:type="first" r:id="rId15"/>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08A" w:rsidRDefault="005D308A">
      <w:r>
        <w:separator/>
      </w:r>
    </w:p>
  </w:endnote>
  <w:endnote w:type="continuationSeparator" w:id="0">
    <w:p w:rsidR="005D308A" w:rsidRDefault="005D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26" w:rsidRPr="00CE184D" w:rsidRDefault="00430326" w:rsidP="00CE184D">
    <w:pPr>
      <w:pStyle w:val="Footer"/>
      <w:tabs>
        <w:tab w:val="right" w:pos="9638"/>
      </w:tabs>
      <w:rPr>
        <w:szCs w:val="16"/>
      </w:rPr>
    </w:pPr>
    <w:r w:rsidRPr="00CE184D">
      <w:rPr>
        <w:b/>
        <w:sz w:val="18"/>
      </w:rPr>
      <w:fldChar w:fldCharType="begin"/>
    </w:r>
    <w:r w:rsidRPr="00CE184D">
      <w:rPr>
        <w:b/>
        <w:sz w:val="18"/>
      </w:rPr>
      <w:instrText xml:space="preserve"> PAGE  \* MERGEFORMAT </w:instrText>
    </w:r>
    <w:r w:rsidRPr="00CE184D">
      <w:rPr>
        <w:b/>
        <w:sz w:val="18"/>
      </w:rPr>
      <w:fldChar w:fldCharType="separate"/>
    </w:r>
    <w:r w:rsidR="00F42DD4">
      <w:rPr>
        <w:b/>
        <w:noProof/>
        <w:sz w:val="18"/>
      </w:rPr>
      <w:t>2</w:t>
    </w:r>
    <w:r w:rsidRPr="00CE184D">
      <w:rPr>
        <w:b/>
        <w:sz w:val="18"/>
      </w:rPr>
      <w:fldChar w:fldCharType="end"/>
    </w:r>
    <w:r>
      <w:rPr>
        <w:sz w:val="18"/>
      </w:rPr>
      <w:tab/>
    </w:r>
    <w:r>
      <w:rPr>
        <w:szCs w:val="16"/>
      </w:rPr>
      <w:t>GE.16-13573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26" w:rsidRPr="00CE184D" w:rsidRDefault="00430326" w:rsidP="00CE184D">
    <w:pPr>
      <w:pStyle w:val="Footer"/>
      <w:tabs>
        <w:tab w:val="right" w:pos="9638"/>
      </w:tabs>
      <w:rPr>
        <w:b/>
        <w:sz w:val="18"/>
      </w:rPr>
    </w:pPr>
    <w:r>
      <w:rPr>
        <w:szCs w:val="16"/>
      </w:rPr>
      <w:t>GE.16-13573  (EXT)</w:t>
    </w:r>
    <w:r>
      <w:tab/>
    </w:r>
    <w:r w:rsidRPr="00CE184D">
      <w:rPr>
        <w:b/>
        <w:sz w:val="18"/>
      </w:rPr>
      <w:fldChar w:fldCharType="begin"/>
    </w:r>
    <w:r w:rsidRPr="00CE184D">
      <w:rPr>
        <w:b/>
        <w:sz w:val="18"/>
      </w:rPr>
      <w:instrText xml:space="preserve"> PAGE  \* MERGEFORMAT </w:instrText>
    </w:r>
    <w:r w:rsidRPr="00CE184D">
      <w:rPr>
        <w:b/>
        <w:sz w:val="18"/>
      </w:rPr>
      <w:fldChar w:fldCharType="separate"/>
    </w:r>
    <w:r w:rsidR="00F42DD4">
      <w:rPr>
        <w:b/>
        <w:noProof/>
        <w:sz w:val="18"/>
      </w:rPr>
      <w:t>27</w:t>
    </w:r>
    <w:r w:rsidRPr="00CE184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26" w:rsidRDefault="00430326" w:rsidP="009772A2">
    <w:pPr>
      <w:pStyle w:val="Footer"/>
      <w:spacing w:before="24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GE.16-13573  (EXT)</w:t>
    </w:r>
  </w:p>
  <w:p w:rsidR="009772A2" w:rsidRPr="009772A2" w:rsidRDefault="009772A2" w:rsidP="009772A2">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0" type="#_x0000_t75" style="position:absolute;margin-left:432.25pt;margin-top:632.1pt;width:50.25pt;height:50.25pt;z-index:2;mso-position-horizontal-relative:margin;mso-position-vertical-relative:margin">
          <v:imagedata r:id="rId2" o:title="2016&amp;Size=2&amp;Lang=S"/>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08A" w:rsidRPr="001075E9" w:rsidRDefault="005D308A" w:rsidP="001075E9">
      <w:pPr>
        <w:tabs>
          <w:tab w:val="right" w:pos="2155"/>
        </w:tabs>
        <w:spacing w:after="80" w:line="240" w:lineRule="auto"/>
        <w:ind w:left="680"/>
        <w:rPr>
          <w:u w:val="single"/>
        </w:rPr>
      </w:pPr>
      <w:r>
        <w:rPr>
          <w:u w:val="single"/>
        </w:rPr>
        <w:tab/>
      </w:r>
    </w:p>
  </w:footnote>
  <w:footnote w:type="continuationSeparator" w:id="0">
    <w:p w:rsidR="005D308A" w:rsidRDefault="005D308A" w:rsidP="00407B78">
      <w:pPr>
        <w:tabs>
          <w:tab w:val="right" w:pos="2155"/>
        </w:tabs>
        <w:spacing w:after="80"/>
        <w:ind w:left="680"/>
        <w:rPr>
          <w:u w:val="single"/>
        </w:rPr>
      </w:pPr>
      <w:r>
        <w:rPr>
          <w:u w:val="single"/>
        </w:rPr>
        <w:tab/>
      </w:r>
    </w:p>
  </w:footnote>
  <w:footnote w:id="1">
    <w:p w:rsidR="00430326" w:rsidRPr="00CE184D" w:rsidRDefault="00430326" w:rsidP="00364A76">
      <w:pPr>
        <w:pStyle w:val="FootnoteText"/>
      </w:pPr>
      <w:r>
        <w:tab/>
      </w:r>
      <w:r w:rsidRPr="00CE184D">
        <w:rPr>
          <w:rStyle w:val="FootnoteReference"/>
          <w:sz w:val="20"/>
          <w:vertAlign w:val="baseline"/>
        </w:rPr>
        <w:t>*</w:t>
      </w:r>
      <w:r>
        <w:rPr>
          <w:sz w:val="20"/>
        </w:rPr>
        <w:tab/>
      </w:r>
      <w:r w:rsidRPr="00AE1F83">
        <w:t>El presente documento se publica sin haber sido objeto de revisión editorial oficial.</w:t>
      </w:r>
    </w:p>
  </w:footnote>
  <w:footnote w:id="2">
    <w:p w:rsidR="00430326" w:rsidRDefault="00364A76" w:rsidP="00364A76">
      <w:pPr>
        <w:pStyle w:val="FootnoteText"/>
      </w:pPr>
      <w:r>
        <w:tab/>
      </w:r>
      <w:r w:rsidR="00430326" w:rsidRPr="00364A76">
        <w:rPr>
          <w:rStyle w:val="FootnoteReference"/>
        </w:rPr>
        <w:footnoteRef/>
      </w:r>
      <w:r>
        <w:tab/>
      </w:r>
      <w:r w:rsidR="00430326" w:rsidRPr="00E148BC">
        <w:t xml:space="preserve">Censo </w:t>
      </w:r>
      <w:r w:rsidR="00430326">
        <w:t>N</w:t>
      </w:r>
      <w:r w:rsidR="00430326" w:rsidRPr="00E148BC">
        <w:t xml:space="preserve">acional de </w:t>
      </w:r>
      <w:r w:rsidR="00430326">
        <w:t>P</w:t>
      </w:r>
      <w:r w:rsidR="00430326" w:rsidRPr="00E148BC">
        <w:t xml:space="preserve">oblación y </w:t>
      </w:r>
      <w:r w:rsidR="00430326">
        <w:t>V</w:t>
      </w:r>
      <w:r w:rsidR="00430326" w:rsidRPr="00E148BC">
        <w:t>ivienda</w:t>
      </w:r>
      <w:r w:rsidR="00430326">
        <w:t xml:space="preserve"> de 2006.</w:t>
      </w:r>
    </w:p>
  </w:footnote>
  <w:footnote w:id="3">
    <w:p w:rsidR="00430326" w:rsidRDefault="00A061E7" w:rsidP="00364A76">
      <w:pPr>
        <w:pStyle w:val="FootnoteText"/>
      </w:pPr>
      <w:r>
        <w:tab/>
      </w:r>
      <w:r w:rsidR="00430326" w:rsidRPr="00364A76">
        <w:rPr>
          <w:rStyle w:val="FootnoteReference"/>
        </w:rPr>
        <w:footnoteRef/>
      </w:r>
      <w:r>
        <w:tab/>
      </w:r>
      <w:r w:rsidR="00430326" w:rsidRPr="00575AF8">
        <w:rPr>
          <w:i/>
        </w:rPr>
        <w:t>Fuente:</w:t>
      </w:r>
      <w:r w:rsidR="00430326">
        <w:t xml:space="preserve"> Comisionado de Minería.</w:t>
      </w:r>
    </w:p>
  </w:footnote>
  <w:footnote w:id="4">
    <w:p w:rsidR="00430326" w:rsidRDefault="00A061E7" w:rsidP="00364A76">
      <w:pPr>
        <w:pStyle w:val="FootnoteText"/>
      </w:pPr>
      <w:r>
        <w:tab/>
      </w:r>
      <w:r w:rsidR="00430326" w:rsidRPr="00364A76">
        <w:rPr>
          <w:rStyle w:val="FootnoteReference"/>
        </w:rPr>
        <w:footnoteRef/>
      </w:r>
      <w:r>
        <w:tab/>
      </w:r>
      <w:r w:rsidR="00430326">
        <w:t xml:space="preserve">Informe sobre </w:t>
      </w:r>
      <w:r w:rsidR="00430326" w:rsidRPr="00D73DB8">
        <w:t>los Objetivos de Desarrollo del</w:t>
      </w:r>
      <w:r w:rsidR="00430326" w:rsidRPr="00F62F46">
        <w:rPr>
          <w:i/>
        </w:rPr>
        <w:t xml:space="preserve"> </w:t>
      </w:r>
      <w:r w:rsidR="00430326" w:rsidRPr="00D73DB8">
        <w:t>Milenio,</w:t>
      </w:r>
      <w:r w:rsidR="00430326">
        <w:t xml:space="preserve"> 2008</w:t>
      </w:r>
      <w:r w:rsidR="00575AF8">
        <w:t>.</w:t>
      </w:r>
    </w:p>
  </w:footnote>
  <w:footnote w:id="5">
    <w:p w:rsidR="00430326" w:rsidRDefault="00A061E7" w:rsidP="00364A76">
      <w:pPr>
        <w:pStyle w:val="FootnoteText"/>
      </w:pPr>
      <w:r>
        <w:tab/>
      </w:r>
      <w:r w:rsidR="00430326" w:rsidRPr="00364A76">
        <w:rPr>
          <w:rStyle w:val="FootnoteReference"/>
        </w:rPr>
        <w:footnoteRef/>
      </w:r>
      <w:r>
        <w:tab/>
      </w:r>
      <w:r w:rsidR="00430326" w:rsidRPr="00575AF8">
        <w:rPr>
          <w:i/>
        </w:rPr>
        <w:t>Fuente:</w:t>
      </w:r>
      <w:r w:rsidR="00430326">
        <w:t xml:space="preserve"> Comisionado de Minería.</w:t>
      </w:r>
    </w:p>
  </w:footnote>
  <w:footnote w:id="6">
    <w:p w:rsidR="00430326" w:rsidRDefault="00A061E7" w:rsidP="00364A76">
      <w:pPr>
        <w:pStyle w:val="FootnoteText"/>
      </w:pPr>
      <w:r>
        <w:tab/>
      </w:r>
      <w:r w:rsidR="00430326" w:rsidRPr="00364A76">
        <w:rPr>
          <w:rStyle w:val="FootnoteReference"/>
        </w:rPr>
        <w:footnoteRef/>
      </w:r>
      <w:r>
        <w:tab/>
      </w:r>
      <w:r w:rsidR="00430326" w:rsidRPr="00BD028F">
        <w:t xml:space="preserve">Información extraída del </w:t>
      </w:r>
      <w:r w:rsidR="00430326" w:rsidRPr="00BD028F">
        <w:rPr>
          <w:i/>
        </w:rPr>
        <w:t>Estudio económico del Banco Central de Lesotho</w:t>
      </w:r>
      <w:r w:rsidR="00430326" w:rsidRPr="00BD028F">
        <w:t>, noviembre de 2009.</w:t>
      </w:r>
    </w:p>
  </w:footnote>
  <w:footnote w:id="7">
    <w:p w:rsidR="00430326" w:rsidRDefault="00A061E7" w:rsidP="00364A76">
      <w:pPr>
        <w:pStyle w:val="FootnoteText"/>
      </w:pPr>
      <w:r>
        <w:tab/>
      </w:r>
      <w:r w:rsidR="00430326" w:rsidRPr="00364A76">
        <w:rPr>
          <w:rStyle w:val="FootnoteReference"/>
        </w:rPr>
        <w:footnoteRef/>
      </w:r>
      <w:r>
        <w:tab/>
      </w:r>
      <w:r>
        <w:rPr>
          <w:i/>
        </w:rPr>
        <w:t>Ibid</w:t>
      </w:r>
      <w:r w:rsidR="00430326">
        <w:t>.</w:t>
      </w:r>
    </w:p>
  </w:footnote>
  <w:footnote w:id="8">
    <w:p w:rsidR="002C55C4" w:rsidRDefault="00A061E7" w:rsidP="00364A76">
      <w:pPr>
        <w:pStyle w:val="FootnoteText"/>
      </w:pPr>
      <w:r>
        <w:tab/>
      </w:r>
      <w:r w:rsidR="002C55C4" w:rsidRPr="00364A76">
        <w:rPr>
          <w:rStyle w:val="FootnoteReference"/>
        </w:rPr>
        <w:footnoteRef/>
      </w:r>
      <w:r>
        <w:tab/>
      </w:r>
      <w:r w:rsidR="002C55C4">
        <w:t xml:space="preserve">Esta categoría incluye fabricación de paraguas, actividades comerciales, fabricación de cigarrillos, horticultura ecológica. </w:t>
      </w:r>
    </w:p>
  </w:footnote>
  <w:footnote w:id="9">
    <w:p w:rsidR="00430326" w:rsidRDefault="00A061E7" w:rsidP="00364A76">
      <w:pPr>
        <w:pStyle w:val="FootnoteText"/>
      </w:pPr>
      <w:r>
        <w:tab/>
      </w:r>
      <w:r w:rsidR="00430326" w:rsidRPr="00364A76">
        <w:rPr>
          <w:rStyle w:val="FootnoteReference"/>
        </w:rPr>
        <w:footnoteRef/>
      </w:r>
      <w:r>
        <w:tab/>
      </w:r>
      <w:r w:rsidR="00430326">
        <w:t>ONUSIDA, The Gap Report, 2014.</w:t>
      </w:r>
    </w:p>
  </w:footnote>
  <w:footnote w:id="10">
    <w:p w:rsidR="00430326" w:rsidRDefault="00A061E7" w:rsidP="00364A76">
      <w:pPr>
        <w:pStyle w:val="FootnoteText"/>
      </w:pPr>
      <w:r>
        <w:tab/>
      </w:r>
      <w:r w:rsidR="00430326" w:rsidRPr="00364A76">
        <w:rPr>
          <w:rStyle w:val="FootnoteReference"/>
        </w:rPr>
        <w:footnoteRef/>
      </w:r>
      <w:r>
        <w:tab/>
      </w:r>
      <w:r w:rsidR="00430326">
        <w:t xml:space="preserve">La información sobre la situación de la ratificación de los Convenios de la OIT proviene del </w:t>
      </w:r>
      <w:r w:rsidR="009846B1">
        <w:t>"</w:t>
      </w:r>
      <w:r w:rsidR="00430326" w:rsidRPr="009846B1">
        <w:t>Informe del Mecanismo de Examen entre los Propios Países Africanos</w:t>
      </w:r>
      <w:r w:rsidR="009846B1">
        <w:t>"</w:t>
      </w:r>
      <w:r w:rsidR="0043032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26" w:rsidRPr="00CE184D" w:rsidRDefault="00430326">
    <w:pPr>
      <w:pStyle w:val="Header"/>
    </w:pPr>
    <w:r>
      <w:t>HRI/CORE/LSO/2016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26" w:rsidRPr="00CE184D" w:rsidRDefault="00430326" w:rsidP="00CE184D">
    <w:pPr>
      <w:pStyle w:val="Header"/>
      <w:jc w:val="right"/>
    </w:pPr>
    <w:r>
      <w:t>HRI/CORE/LSO/2016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3F72DE"/>
    <w:multiLevelType w:val="hybridMultilevel"/>
    <w:tmpl w:val="B21C6426"/>
    <w:lvl w:ilvl="0" w:tplc="6D387B82">
      <w:start w:val="1"/>
      <w:numFmt w:val="upperRoman"/>
      <w:lvlText w:val="%1."/>
      <w:lvlJc w:val="left"/>
      <w:pPr>
        <w:ind w:left="1140" w:hanging="72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2">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A60EBA"/>
    <w:multiLevelType w:val="hybridMultilevel"/>
    <w:tmpl w:val="A0544D14"/>
    <w:lvl w:ilvl="0" w:tplc="D83AA88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AA6549"/>
    <w:multiLevelType w:val="hybridMultilevel"/>
    <w:tmpl w:val="A53EC8E8"/>
    <w:lvl w:ilvl="0" w:tplc="97BA2A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19877B4"/>
    <w:multiLevelType w:val="hybridMultilevel"/>
    <w:tmpl w:val="24F42346"/>
    <w:lvl w:ilvl="0" w:tplc="AA3C716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C5F6B72"/>
    <w:multiLevelType w:val="hybridMultilevel"/>
    <w:tmpl w:val="C99614A0"/>
    <w:lvl w:ilvl="0" w:tplc="34B6AB1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4C35B1C"/>
    <w:multiLevelType w:val="hybridMultilevel"/>
    <w:tmpl w:val="9534661C"/>
    <w:lvl w:ilvl="0" w:tplc="1316A9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6A7743B"/>
    <w:multiLevelType w:val="hybridMultilevel"/>
    <w:tmpl w:val="165289D8"/>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276C38"/>
    <w:multiLevelType w:val="hybridMultilevel"/>
    <w:tmpl w:val="88DA82E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8E60895"/>
    <w:multiLevelType w:val="hybridMultilevel"/>
    <w:tmpl w:val="79B8215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AFD3DE4"/>
    <w:multiLevelType w:val="hybridMultilevel"/>
    <w:tmpl w:val="569E52D4"/>
    <w:lvl w:ilvl="0" w:tplc="14C64E84">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09837FB"/>
    <w:multiLevelType w:val="hybridMultilevel"/>
    <w:tmpl w:val="3DB2317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1ED5D27"/>
    <w:multiLevelType w:val="hybridMultilevel"/>
    <w:tmpl w:val="D1A0749E"/>
    <w:lvl w:ilvl="0" w:tplc="DCAE8452">
      <w:start w:val="1"/>
      <w:numFmt w:val="upperRoman"/>
      <w:lvlText w:val="%1."/>
      <w:lvlJc w:val="left"/>
      <w:pPr>
        <w:ind w:left="1140" w:hanging="72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7A433C4D"/>
    <w:multiLevelType w:val="hybridMultilevel"/>
    <w:tmpl w:val="FE70D940"/>
    <w:lvl w:ilvl="0" w:tplc="AE8E030A">
      <w:start w:val="3"/>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6"/>
  </w:num>
  <w:num w:numId="2">
    <w:abstractNumId w:val="21"/>
  </w:num>
  <w:num w:numId="3">
    <w:abstractNumId w:val="30"/>
  </w:num>
  <w:num w:numId="4">
    <w:abstractNumId w:val="28"/>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3"/>
  </w:num>
  <w:num w:numId="18">
    <w:abstractNumId w:val="20"/>
  </w:num>
  <w:num w:numId="19">
    <w:abstractNumId w:val="15"/>
  </w:num>
  <w:num w:numId="20">
    <w:abstractNumId w:val="12"/>
  </w:num>
  <w:num w:numId="21">
    <w:abstractNumId w:val="24"/>
  </w:num>
  <w:num w:numId="22">
    <w:abstractNumId w:val="27"/>
  </w:num>
  <w:num w:numId="23">
    <w:abstractNumId w:val="16"/>
  </w:num>
  <w:num w:numId="24">
    <w:abstractNumId w:val="25"/>
  </w:num>
  <w:num w:numId="25">
    <w:abstractNumId w:val="22"/>
  </w:num>
  <w:num w:numId="26">
    <w:abstractNumId w:val="19"/>
  </w:num>
  <w:num w:numId="27">
    <w:abstractNumId w:val="31"/>
  </w:num>
  <w:num w:numId="28">
    <w:abstractNumId w:val="18"/>
  </w:num>
  <w:num w:numId="29">
    <w:abstractNumId w:val="11"/>
  </w:num>
  <w:num w:numId="30">
    <w:abstractNumId w:val="14"/>
  </w:num>
  <w:num w:numId="31">
    <w:abstractNumId w:val="29"/>
  </w:num>
  <w:num w:numId="3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2BD3"/>
    <w:rsid w:val="00006678"/>
    <w:rsid w:val="00033EE1"/>
    <w:rsid w:val="00037A8B"/>
    <w:rsid w:val="00042B72"/>
    <w:rsid w:val="000558BD"/>
    <w:rsid w:val="000B57E7"/>
    <w:rsid w:val="000F09DF"/>
    <w:rsid w:val="000F61B2"/>
    <w:rsid w:val="001075E9"/>
    <w:rsid w:val="00143653"/>
    <w:rsid w:val="00180183"/>
    <w:rsid w:val="0018649F"/>
    <w:rsid w:val="00196389"/>
    <w:rsid w:val="001B3EF6"/>
    <w:rsid w:val="001C7A89"/>
    <w:rsid w:val="00285AF7"/>
    <w:rsid w:val="002A2EFC"/>
    <w:rsid w:val="002C0E18"/>
    <w:rsid w:val="002C55C4"/>
    <w:rsid w:val="002D5AAC"/>
    <w:rsid w:val="00301299"/>
    <w:rsid w:val="00307FB6"/>
    <w:rsid w:val="00312339"/>
    <w:rsid w:val="00317339"/>
    <w:rsid w:val="00322004"/>
    <w:rsid w:val="003402C2"/>
    <w:rsid w:val="00364A76"/>
    <w:rsid w:val="00381C24"/>
    <w:rsid w:val="003958D0"/>
    <w:rsid w:val="003B00E5"/>
    <w:rsid w:val="003D5C2C"/>
    <w:rsid w:val="00407B78"/>
    <w:rsid w:val="00424203"/>
    <w:rsid w:val="00430326"/>
    <w:rsid w:val="00454E07"/>
    <w:rsid w:val="00460C8B"/>
    <w:rsid w:val="004839AC"/>
    <w:rsid w:val="0050108D"/>
    <w:rsid w:val="00513081"/>
    <w:rsid w:val="00517901"/>
    <w:rsid w:val="00526683"/>
    <w:rsid w:val="00542BD3"/>
    <w:rsid w:val="005709E0"/>
    <w:rsid w:val="00572E19"/>
    <w:rsid w:val="00575AF8"/>
    <w:rsid w:val="005961C8"/>
    <w:rsid w:val="005A5957"/>
    <w:rsid w:val="005D308A"/>
    <w:rsid w:val="005D7914"/>
    <w:rsid w:val="005E6E02"/>
    <w:rsid w:val="005F0B42"/>
    <w:rsid w:val="00635CB4"/>
    <w:rsid w:val="00681A10"/>
    <w:rsid w:val="006A24FB"/>
    <w:rsid w:val="006C0309"/>
    <w:rsid w:val="006C2031"/>
    <w:rsid w:val="006D461A"/>
    <w:rsid w:val="006F35EE"/>
    <w:rsid w:val="007021FF"/>
    <w:rsid w:val="00757357"/>
    <w:rsid w:val="007944FC"/>
    <w:rsid w:val="00825F8D"/>
    <w:rsid w:val="00834B71"/>
    <w:rsid w:val="00842D8F"/>
    <w:rsid w:val="0086445C"/>
    <w:rsid w:val="00894693"/>
    <w:rsid w:val="008A08D7"/>
    <w:rsid w:val="008A68A0"/>
    <w:rsid w:val="008B6909"/>
    <w:rsid w:val="008F6FAD"/>
    <w:rsid w:val="00906890"/>
    <w:rsid w:val="00911BE4"/>
    <w:rsid w:val="00951972"/>
    <w:rsid w:val="009772A2"/>
    <w:rsid w:val="009846B1"/>
    <w:rsid w:val="00A061E7"/>
    <w:rsid w:val="00A84021"/>
    <w:rsid w:val="00A917B3"/>
    <w:rsid w:val="00AB4B51"/>
    <w:rsid w:val="00AD29B7"/>
    <w:rsid w:val="00AE6414"/>
    <w:rsid w:val="00B10CC7"/>
    <w:rsid w:val="00B539E7"/>
    <w:rsid w:val="00B62458"/>
    <w:rsid w:val="00BD33EE"/>
    <w:rsid w:val="00C60F0C"/>
    <w:rsid w:val="00C74CF8"/>
    <w:rsid w:val="00C805C9"/>
    <w:rsid w:val="00C92939"/>
    <w:rsid w:val="00C97894"/>
    <w:rsid w:val="00CA1679"/>
    <w:rsid w:val="00CB045B"/>
    <w:rsid w:val="00CE184D"/>
    <w:rsid w:val="00CE5A1A"/>
    <w:rsid w:val="00CF55F6"/>
    <w:rsid w:val="00D26910"/>
    <w:rsid w:val="00D33D63"/>
    <w:rsid w:val="00D90138"/>
    <w:rsid w:val="00DE0047"/>
    <w:rsid w:val="00E60112"/>
    <w:rsid w:val="00E73F76"/>
    <w:rsid w:val="00ED3EEE"/>
    <w:rsid w:val="00EF1360"/>
    <w:rsid w:val="00EF3220"/>
    <w:rsid w:val="00F42DD4"/>
    <w:rsid w:val="00F53E62"/>
    <w:rsid w:val="00F94155"/>
    <w:rsid w:val="00FA5076"/>
    <w:rsid w:val="00FD2EF7"/>
    <w:rsid w:val="00FE447E"/>
    <w:rsid w:val="00FE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link w:val="FootnoteText"/>
    <w:locked/>
    <w:rsid w:val="006A24FB"/>
    <w:rPr>
      <w:sz w:val="18"/>
      <w:lang w:val="es-ES" w:eastAsia="es-ES" w:bidi="ar-SA"/>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681A10"/>
    <w:pPr>
      <w:tabs>
        <w:tab w:val="right" w:pos="1021"/>
      </w:tabs>
      <w:spacing w:line="220" w:lineRule="exact"/>
      <w:ind w:left="1134" w:right="1134" w:hanging="1134"/>
    </w:pPr>
    <w:rPr>
      <w:sz w:val="18"/>
    </w:rPr>
  </w:style>
  <w:style w:type="table" w:styleId="TableGrid">
    <w:name w:val="Table Grid"/>
    <w:basedOn w:val="TableNormal"/>
    <w:semiHidden/>
    <w:rsid w:val="00C74CF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C74CF8"/>
    <w:rPr>
      <w:color w:val="auto"/>
      <w:u w:val="none"/>
    </w:rPr>
  </w:style>
  <w:style w:type="character" w:styleId="FollowedHyperlink">
    <w:name w:val="FollowedHyperlink"/>
    <w:semiHidden/>
    <w:rsid w:val="00C74CF8"/>
    <w:rPr>
      <w:color w:val="auto"/>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oleObject" Target="embeddings/Microsoft_Excel_Chart1.xls"/><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CAT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CAT_S.dot</Template>
  <TotalTime>19</TotalTime>
  <Pages>28</Pages>
  <Words>12620</Words>
  <Characters>71937</Characters>
  <Application>Microsoft Office Word</Application>
  <DocSecurity>4</DocSecurity>
  <Lines>599</Lines>
  <Paragraphs>168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Naciones Unidas</vt:lpstr>
      <vt:lpstr>Naciones Unidas</vt:lpstr>
    </vt:vector>
  </TitlesOfParts>
  <Company>DCM</Company>
  <LinksUpToDate>false</LinksUpToDate>
  <CharactersWithSpaces>84389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Pablo Miños</dc:creator>
  <cp:keywords/>
  <cp:lastModifiedBy>AdayMartin</cp:lastModifiedBy>
  <cp:revision>4</cp:revision>
  <cp:lastPrinted>2016-11-10T08:08:00Z</cp:lastPrinted>
  <dcterms:created xsi:type="dcterms:W3CDTF">2016-11-10T08:08:00Z</dcterms:created>
  <dcterms:modified xsi:type="dcterms:W3CDTF">2016-11-10T08:27:00Z</dcterms:modified>
</cp:coreProperties>
</file>