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4C2FEB" w:rsidP="00944A3C">
            <w:pPr>
              <w:bidi w:val="0"/>
              <w:spacing w:after="20"/>
              <w:jc w:val="left"/>
              <w:rPr>
                <w:szCs w:val="20"/>
              </w:rPr>
            </w:pPr>
            <w:r w:rsidRPr="004C2FEB">
              <w:rPr>
                <w:sz w:val="40"/>
                <w:szCs w:val="20"/>
              </w:rPr>
              <w:t>HRI</w:t>
            </w:r>
            <w:r>
              <w:rPr>
                <w:szCs w:val="20"/>
              </w:rPr>
              <w:t>/CORE/FRA/2017</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lang w:eastAsia="zh-CN"/>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lang w:bidi="ar-DZ"/>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944A3C" w:rsidP="00944A3C">
            <w:pPr>
              <w:bidi w:val="0"/>
              <w:spacing w:before="240"/>
              <w:jc w:val="left"/>
            </w:pPr>
            <w:r>
              <w:t>Distr.: General</w:t>
            </w:r>
          </w:p>
          <w:p w:rsidR="00944A3C" w:rsidRDefault="00944A3C" w:rsidP="00944A3C">
            <w:pPr>
              <w:bidi w:val="0"/>
              <w:jc w:val="left"/>
            </w:pPr>
            <w:r>
              <w:t>23 November 2017</w:t>
            </w:r>
          </w:p>
          <w:p w:rsidR="00944A3C" w:rsidRDefault="00944A3C" w:rsidP="00944A3C">
            <w:pPr>
              <w:bidi w:val="0"/>
              <w:jc w:val="left"/>
            </w:pPr>
            <w:r>
              <w:t>Arabic</w:t>
            </w:r>
          </w:p>
          <w:p w:rsidR="00944A3C" w:rsidRPr="008B4BC6" w:rsidRDefault="00944A3C" w:rsidP="00944A3C">
            <w:pPr>
              <w:bidi w:val="0"/>
              <w:jc w:val="left"/>
            </w:pPr>
            <w:r>
              <w:t>Original: French</w:t>
            </w:r>
          </w:p>
        </w:tc>
      </w:tr>
    </w:tbl>
    <w:p w:rsidR="00944A3C" w:rsidRPr="005D0C50" w:rsidRDefault="00944A3C" w:rsidP="00944A3C">
      <w:pPr>
        <w:pStyle w:val="HMGA"/>
        <w:rPr>
          <w:rtl/>
        </w:rPr>
      </w:pPr>
      <w:r w:rsidRPr="005D0C50">
        <w:rPr>
          <w:rFonts w:hint="cs"/>
          <w:rtl/>
        </w:rPr>
        <w:tab/>
      </w:r>
      <w:r w:rsidRPr="005D0C50">
        <w:rPr>
          <w:rFonts w:hint="cs"/>
          <w:rtl/>
        </w:rPr>
        <w:tab/>
      </w:r>
      <w:r w:rsidRPr="005D0C50">
        <w:rPr>
          <w:rtl/>
        </w:rPr>
        <w:t xml:space="preserve">وثيقة أساسية </w:t>
      </w:r>
      <w:r w:rsidRPr="005D0C50">
        <w:rPr>
          <w:rFonts w:hint="cs"/>
          <w:rtl/>
        </w:rPr>
        <w:t xml:space="preserve">موحدة </w:t>
      </w:r>
      <w:r w:rsidRPr="005D0C50">
        <w:rPr>
          <w:rtl/>
        </w:rPr>
        <w:t>تشكِّل جزءاً من تقارير الدول الأطراف</w:t>
      </w:r>
    </w:p>
    <w:p w:rsidR="00944A3C" w:rsidRPr="005D0C50" w:rsidRDefault="00944A3C" w:rsidP="00725CEF">
      <w:pPr>
        <w:pStyle w:val="HMGA"/>
        <w:rPr>
          <w:rtl/>
        </w:rPr>
      </w:pPr>
      <w:r w:rsidRPr="005D0C50">
        <w:rPr>
          <w:rFonts w:hint="cs"/>
          <w:rtl/>
        </w:rPr>
        <w:tab/>
      </w:r>
      <w:r w:rsidRPr="005D0C50">
        <w:rPr>
          <w:rtl/>
        </w:rPr>
        <w:tab/>
      </w:r>
      <w:r w:rsidRPr="005D0C50">
        <w:rPr>
          <w:rFonts w:hint="cs"/>
          <w:rtl/>
        </w:rPr>
        <w:t>فرنسا</w:t>
      </w:r>
      <w:r w:rsidR="0082773D" w:rsidRPr="0082773D">
        <w:rPr>
          <w:rStyle w:val="FootnoteReference"/>
          <w:vertAlign w:val="baseline"/>
          <w:rtl/>
        </w:rPr>
        <w:footnoteReference w:customMarkFollows="1" w:id="2"/>
        <w:t>*</w:t>
      </w:r>
      <w:r w:rsidR="0082773D" w:rsidRPr="0082773D">
        <w:rPr>
          <w:rFonts w:hint="cs"/>
          <w:rtl/>
        </w:rPr>
        <w:t xml:space="preserve"> </w:t>
      </w:r>
      <w:r w:rsidR="0082773D" w:rsidRPr="0082773D">
        <w:rPr>
          <w:rStyle w:val="FootnoteReference"/>
          <w:vertAlign w:val="baseline"/>
          <w:rtl/>
        </w:rPr>
        <w:footnoteReference w:customMarkFollows="1" w:id="3"/>
        <w:t>**</w:t>
      </w:r>
    </w:p>
    <w:p w:rsidR="00944A3C" w:rsidRDefault="00944A3C" w:rsidP="00944A3C">
      <w:pPr>
        <w:pStyle w:val="SingleTxtGA"/>
        <w:jc w:val="right"/>
        <w:rPr>
          <w:rtl/>
        </w:rPr>
      </w:pPr>
      <w:r w:rsidRPr="005D0C50">
        <w:rPr>
          <w:rtl/>
        </w:rPr>
        <w:t>[</w:t>
      </w:r>
      <w:r w:rsidRPr="005D0C50">
        <w:rPr>
          <w:rFonts w:hint="cs"/>
          <w:rtl/>
        </w:rPr>
        <w:t>تاريخ الاستلام: 3 تشرين الثاني/نوفمبر 2017</w:t>
      </w:r>
      <w:r w:rsidRPr="005D0C50">
        <w:rPr>
          <w:rtl/>
        </w:rPr>
        <w:t>]</w:t>
      </w:r>
    </w:p>
    <w:p w:rsidR="00944A3C" w:rsidRPr="00982D8B" w:rsidRDefault="00944A3C" w:rsidP="00944A3C">
      <w:pPr>
        <w:pageBreakBefore/>
        <w:spacing w:line="360" w:lineRule="exact"/>
        <w:rPr>
          <w:sz w:val="36"/>
          <w:szCs w:val="36"/>
          <w:rtl/>
        </w:rPr>
      </w:pPr>
      <w:r>
        <w:rPr>
          <w:rFonts w:hint="cs"/>
          <w:sz w:val="36"/>
          <w:szCs w:val="36"/>
          <w:rtl/>
        </w:rPr>
        <w:lastRenderedPageBreak/>
        <w:t>المحتويات</w:t>
      </w:r>
    </w:p>
    <w:p w:rsidR="00944A3C" w:rsidRPr="000A0C78" w:rsidRDefault="00944A3C">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szCs w:val="28"/>
          <w:rtl/>
          <w:lang w:val="fr-CH"/>
        </w:rPr>
        <w:tab/>
      </w:r>
      <w:r w:rsidRPr="0082773D">
        <w:rPr>
          <w:szCs w:val="28"/>
          <w:rtl/>
          <w:lang w:val="fr-CH"/>
        </w:rPr>
        <w:fldChar w:fldCharType="begin"/>
      </w:r>
      <w:r w:rsidRPr="0082773D">
        <w:rPr>
          <w:szCs w:val="28"/>
          <w:rtl/>
          <w:lang w:val="fr-CH"/>
        </w:rPr>
        <w:instrText xml:space="preserve"> </w:instrText>
      </w:r>
      <w:r w:rsidRPr="0082773D">
        <w:rPr>
          <w:szCs w:val="28"/>
          <w:lang w:val="fr-CH"/>
        </w:rPr>
        <w:instrText>TOC</w:instrText>
      </w:r>
      <w:r w:rsidRPr="0082773D">
        <w:rPr>
          <w:szCs w:val="28"/>
          <w:rtl/>
          <w:lang w:val="fr-CH"/>
        </w:rPr>
        <w:instrText xml:space="preserve"> \</w:instrText>
      </w:r>
      <w:r w:rsidRPr="0082773D">
        <w:rPr>
          <w:szCs w:val="28"/>
          <w:lang w:val="fr-CH"/>
        </w:rPr>
        <w:instrText>o "2-3" \h \z \t "Heading 1,1,_ H _Ch_GA,1,_ H_1_GA,1</w:instrText>
      </w:r>
      <w:r w:rsidRPr="0082773D">
        <w:rPr>
          <w:szCs w:val="28"/>
          <w:rtl/>
          <w:lang w:val="fr-CH"/>
        </w:rPr>
        <w:instrText xml:space="preserve">" </w:instrText>
      </w:r>
      <w:r w:rsidRPr="0082773D">
        <w:rPr>
          <w:szCs w:val="28"/>
          <w:rtl/>
          <w:lang w:val="fr-CH"/>
        </w:rPr>
        <w:fldChar w:fldCharType="separate"/>
      </w:r>
      <w:hyperlink w:anchor="_Toc508623273" w:history="1">
        <w:r w:rsidRPr="0082773D">
          <w:rPr>
            <w:noProof/>
            <w:szCs w:val="28"/>
            <w:rtl/>
            <w:lang w:val="fr-CH"/>
          </w:rPr>
          <w:t>أولاً</w:t>
        </w:r>
        <w:r>
          <w:rPr>
            <w:noProof/>
            <w:szCs w:val="28"/>
            <w:rtl/>
            <w:lang w:val="fr-CH"/>
          </w:rPr>
          <w:tab/>
        </w:r>
        <w:r w:rsidRPr="0082773D">
          <w:rPr>
            <w:noProof/>
            <w:szCs w:val="28"/>
            <w:rtl/>
            <w:lang w:val="fr-CH"/>
          </w:rPr>
          <w:t>-</w:t>
        </w:r>
        <w:r w:rsidRPr="0082773D">
          <w:rPr>
            <w:noProof/>
            <w:szCs w:val="28"/>
            <w:rtl/>
            <w:lang w:val="fr-CH"/>
          </w:rPr>
          <w:tab/>
          <w:t>الإقليم والسكان</w:t>
        </w:r>
        <w:r w:rsidRPr="0082773D">
          <w:rPr>
            <w:noProof/>
            <w:webHidden/>
            <w:szCs w:val="28"/>
            <w:rtl/>
            <w:lang w:val="fr-CH"/>
          </w:rPr>
          <w:tab/>
        </w:r>
        <w:r>
          <w:rPr>
            <w:noProof/>
            <w:szCs w:val="28"/>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Toc508623273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3</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508623274" w:history="1">
        <w:r w:rsidRPr="0082773D">
          <w:rPr>
            <w:noProof/>
            <w:szCs w:val="28"/>
            <w:rtl/>
            <w:lang w:val="fr-CH"/>
          </w:rPr>
          <w:t>ألف</w:t>
        </w:r>
        <w:r>
          <w:rPr>
            <w:noProof/>
            <w:szCs w:val="28"/>
            <w:rtl/>
            <w:lang w:val="fr-CH"/>
          </w:rPr>
          <w:tab/>
        </w:r>
        <w:r w:rsidRPr="0082773D">
          <w:rPr>
            <w:noProof/>
            <w:szCs w:val="28"/>
            <w:rtl/>
            <w:lang w:val="fr-CH"/>
          </w:rPr>
          <w:t>-</w:t>
        </w:r>
        <w:r w:rsidRPr="0082773D">
          <w:rPr>
            <w:noProof/>
            <w:szCs w:val="28"/>
            <w:rtl/>
            <w:lang w:val="fr-CH"/>
          </w:rPr>
          <w:tab/>
          <w:t>الإقليم</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Toc508623274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3</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508623275" w:history="1">
        <w:r w:rsidRPr="0082773D">
          <w:rPr>
            <w:noProof/>
            <w:szCs w:val="28"/>
            <w:rtl/>
            <w:lang w:val="fr-CH"/>
          </w:rPr>
          <w:t>باء</w:t>
        </w:r>
        <w:r>
          <w:rPr>
            <w:noProof/>
            <w:szCs w:val="28"/>
            <w:rtl/>
            <w:lang w:val="fr-CH"/>
          </w:rPr>
          <w:tab/>
        </w:r>
        <w:r w:rsidRPr="0082773D">
          <w:rPr>
            <w:noProof/>
            <w:szCs w:val="28"/>
            <w:rtl/>
            <w:lang w:val="fr-CH"/>
          </w:rPr>
          <w:t>-</w:t>
        </w:r>
        <w:r w:rsidRPr="0082773D">
          <w:rPr>
            <w:noProof/>
            <w:szCs w:val="28"/>
            <w:rtl/>
            <w:lang w:val="fr-CH"/>
          </w:rPr>
          <w:tab/>
          <w:t>السكان</w:t>
        </w:r>
        <w:r w:rsidRPr="0082773D">
          <w:rPr>
            <w:noProof/>
            <w:webHidden/>
            <w:szCs w:val="28"/>
            <w:rtl/>
            <w:lang w:val="fr-CH"/>
          </w:rPr>
          <w:tab/>
        </w:r>
        <w:r>
          <w:rPr>
            <w:noProof/>
            <w:szCs w:val="28"/>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Toc508623275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3</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hyperlink w:anchor="_Toc508623276" w:history="1">
        <w:r w:rsidRPr="0082773D">
          <w:rPr>
            <w:noProof/>
            <w:szCs w:val="28"/>
            <w:rtl/>
            <w:lang w:val="fr-CH"/>
          </w:rPr>
          <w:t>ثانياً</w:t>
        </w:r>
        <w:r>
          <w:rPr>
            <w:noProof/>
            <w:szCs w:val="28"/>
            <w:rtl/>
            <w:lang w:val="fr-CH"/>
          </w:rPr>
          <w:tab/>
        </w:r>
        <w:r w:rsidRPr="0082773D">
          <w:rPr>
            <w:noProof/>
            <w:szCs w:val="28"/>
            <w:rtl/>
            <w:lang w:val="fr-CH"/>
          </w:rPr>
          <w:t>-</w:t>
        </w:r>
        <w:r w:rsidRPr="0082773D">
          <w:rPr>
            <w:noProof/>
            <w:szCs w:val="28"/>
            <w:rtl/>
            <w:lang w:val="fr-CH"/>
          </w:rPr>
          <w:tab/>
          <w:t>الهيكل السياسي العام</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Toc508623276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19</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508623277" w:history="1">
        <w:r w:rsidRPr="0082773D">
          <w:rPr>
            <w:noProof/>
            <w:szCs w:val="28"/>
            <w:rtl/>
            <w:lang w:val="fr-CH"/>
          </w:rPr>
          <w:t>ألف</w:t>
        </w:r>
        <w:r>
          <w:rPr>
            <w:noProof/>
            <w:szCs w:val="28"/>
            <w:rtl/>
            <w:lang w:val="fr-CH"/>
          </w:rPr>
          <w:tab/>
        </w:r>
        <w:r w:rsidRPr="0082773D">
          <w:rPr>
            <w:noProof/>
            <w:szCs w:val="28"/>
            <w:rtl/>
            <w:lang w:val="fr-CH"/>
          </w:rPr>
          <w:t>-</w:t>
        </w:r>
        <w:r w:rsidRPr="0082773D">
          <w:rPr>
            <w:noProof/>
            <w:szCs w:val="28"/>
            <w:rtl/>
            <w:lang w:val="fr-CH"/>
          </w:rPr>
          <w:tab/>
          <w:t>الإطار الدستوري الفرنسي</w:t>
        </w:r>
        <w:r w:rsidRPr="0082773D">
          <w:rPr>
            <w:noProof/>
            <w:webHidden/>
            <w:szCs w:val="28"/>
            <w:rtl/>
            <w:lang w:val="fr-CH"/>
          </w:rPr>
          <w:tab/>
        </w:r>
        <w:r>
          <w:rPr>
            <w:noProof/>
            <w:szCs w:val="28"/>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Toc508623277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20</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bidi="ar-DZ"/>
        </w:rPr>
      </w:pPr>
      <w:r>
        <w:rPr>
          <w:noProof/>
          <w:szCs w:val="28"/>
          <w:rtl/>
          <w:lang w:val="fr-CH"/>
        </w:rPr>
        <w:tab/>
      </w:r>
      <w:r>
        <w:rPr>
          <w:noProof/>
          <w:szCs w:val="28"/>
          <w:rtl/>
          <w:lang w:val="fr-CH"/>
        </w:rPr>
        <w:tab/>
      </w:r>
      <w:r>
        <w:rPr>
          <w:noProof/>
          <w:szCs w:val="28"/>
          <w:rtl/>
          <w:lang w:val="fr-CH"/>
        </w:rPr>
        <w:tab/>
      </w:r>
      <w:hyperlink w:anchor="_Toc508623278" w:history="1">
        <w:r w:rsidRPr="0082773D">
          <w:rPr>
            <w:noProof/>
            <w:szCs w:val="28"/>
            <w:rtl/>
            <w:lang w:val="fr-CH"/>
          </w:rPr>
          <w:t>باء</w:t>
        </w:r>
        <w:r>
          <w:rPr>
            <w:noProof/>
            <w:szCs w:val="28"/>
            <w:rtl/>
            <w:lang w:val="fr-CH"/>
          </w:rPr>
          <w:tab/>
        </w:r>
        <w:r w:rsidRPr="0082773D">
          <w:rPr>
            <w:noProof/>
            <w:szCs w:val="28"/>
            <w:rtl/>
            <w:lang w:val="fr-CH"/>
          </w:rPr>
          <w:t>-</w:t>
        </w:r>
        <w:r w:rsidRPr="0082773D">
          <w:rPr>
            <w:noProof/>
            <w:szCs w:val="28"/>
            <w:rtl/>
            <w:lang w:val="fr-CH"/>
          </w:rPr>
          <w:tab/>
          <w:t>الإطار المؤسسي: الفصل بين السلطات</w:t>
        </w:r>
        <w:r w:rsidRPr="0082773D">
          <w:rPr>
            <w:noProof/>
            <w:webHidden/>
            <w:szCs w:val="28"/>
            <w:rtl/>
            <w:lang w:val="fr-CH"/>
          </w:rPr>
          <w:tab/>
        </w:r>
        <w:r>
          <w:rPr>
            <w:noProof/>
            <w:webHidden/>
            <w:szCs w:val="28"/>
            <w:rtl/>
            <w:lang w:val="fr-CH" w:bidi="ar-DZ"/>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Toc508623278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25</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508623279" w:history="1">
        <w:r w:rsidRPr="0082773D">
          <w:rPr>
            <w:noProof/>
            <w:szCs w:val="28"/>
            <w:rtl/>
            <w:lang w:val="fr-CH"/>
          </w:rPr>
          <w:t>جيم</w:t>
        </w:r>
        <w:r>
          <w:rPr>
            <w:noProof/>
            <w:szCs w:val="28"/>
            <w:rtl/>
            <w:lang w:val="fr-CH"/>
          </w:rPr>
          <w:tab/>
        </w:r>
        <w:r w:rsidRPr="0082773D">
          <w:rPr>
            <w:noProof/>
            <w:szCs w:val="28"/>
            <w:rtl/>
            <w:lang w:val="fr-CH"/>
          </w:rPr>
          <w:t>-</w:t>
        </w:r>
        <w:r w:rsidRPr="0082773D">
          <w:rPr>
            <w:noProof/>
            <w:szCs w:val="28"/>
            <w:rtl/>
            <w:lang w:val="fr-CH"/>
          </w:rPr>
          <w:tab/>
          <w:t>الهيئات القضائية</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Toc508623279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30</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hyperlink w:anchor="_Toc508623280" w:history="1">
        <w:r w:rsidRPr="0082773D">
          <w:rPr>
            <w:noProof/>
            <w:szCs w:val="28"/>
            <w:rtl/>
            <w:lang w:val="fr-CH"/>
          </w:rPr>
          <w:t>ثالثاً</w:t>
        </w:r>
        <w:r>
          <w:rPr>
            <w:noProof/>
            <w:szCs w:val="28"/>
            <w:rtl/>
            <w:lang w:val="fr-CH"/>
          </w:rPr>
          <w:tab/>
        </w:r>
        <w:r w:rsidRPr="0082773D">
          <w:rPr>
            <w:noProof/>
            <w:szCs w:val="28"/>
            <w:rtl/>
            <w:lang w:val="fr-CH"/>
          </w:rPr>
          <w:t>-</w:t>
        </w:r>
        <w:r w:rsidRPr="0082773D">
          <w:rPr>
            <w:noProof/>
            <w:szCs w:val="28"/>
            <w:rtl/>
            <w:lang w:val="fr-CH"/>
          </w:rPr>
          <w:tab/>
          <w:t>قبول المعايير الدولية لحقوق الإنسان</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Toc508623280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40</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508623281" w:history="1">
        <w:r w:rsidRPr="0082773D">
          <w:rPr>
            <w:noProof/>
            <w:szCs w:val="28"/>
            <w:rtl/>
            <w:lang w:val="fr-CH"/>
          </w:rPr>
          <w:t>ألف</w:t>
        </w:r>
        <w:r>
          <w:rPr>
            <w:noProof/>
            <w:szCs w:val="28"/>
            <w:rtl/>
            <w:lang w:val="fr-CH"/>
          </w:rPr>
          <w:tab/>
        </w:r>
        <w:r w:rsidRPr="0082773D">
          <w:rPr>
            <w:noProof/>
            <w:szCs w:val="28"/>
            <w:rtl/>
            <w:lang w:val="fr-CH"/>
          </w:rPr>
          <w:t>-</w:t>
        </w:r>
        <w:r w:rsidRPr="0082773D">
          <w:rPr>
            <w:noProof/>
            <w:szCs w:val="28"/>
            <w:rtl/>
            <w:lang w:val="fr-CH"/>
          </w:rPr>
          <w:tab/>
          <w:t>قبول المعايير الدولية الرئيسية لحقوق الإنسان</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Toc508623281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40</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508623282" w:history="1">
        <w:r w:rsidRPr="0082773D">
          <w:rPr>
            <w:noProof/>
            <w:szCs w:val="28"/>
            <w:rtl/>
            <w:lang w:val="fr-CH"/>
          </w:rPr>
          <w:t>باء</w:t>
        </w:r>
        <w:r>
          <w:rPr>
            <w:noProof/>
            <w:szCs w:val="28"/>
            <w:rtl/>
            <w:lang w:val="fr-CH"/>
          </w:rPr>
          <w:tab/>
        </w:r>
        <w:r w:rsidRPr="0082773D">
          <w:rPr>
            <w:noProof/>
            <w:szCs w:val="28"/>
            <w:rtl/>
            <w:lang w:val="fr-CH"/>
          </w:rPr>
          <w:t>-</w:t>
        </w:r>
        <w:r w:rsidRPr="0082773D">
          <w:rPr>
            <w:noProof/>
            <w:szCs w:val="28"/>
            <w:rtl/>
            <w:lang w:val="fr-CH"/>
          </w:rPr>
          <w:tab/>
          <w:t>قبول المعايير الدولية الأخرى لحقوق الإنسان</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Toc508623282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43</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508623283" w:history="1">
        <w:r w:rsidRPr="0082773D">
          <w:rPr>
            <w:noProof/>
            <w:szCs w:val="28"/>
            <w:rtl/>
            <w:lang w:val="fr-CH"/>
          </w:rPr>
          <w:t>جيم</w:t>
        </w:r>
        <w:r>
          <w:rPr>
            <w:noProof/>
            <w:szCs w:val="28"/>
            <w:rtl/>
            <w:lang w:val="fr-CH"/>
          </w:rPr>
          <w:tab/>
        </w:r>
        <w:r w:rsidRPr="0082773D">
          <w:rPr>
            <w:noProof/>
            <w:szCs w:val="28"/>
            <w:rtl/>
            <w:lang w:val="fr-CH"/>
          </w:rPr>
          <w:t>-</w:t>
        </w:r>
        <w:r w:rsidRPr="0082773D">
          <w:rPr>
            <w:noProof/>
            <w:szCs w:val="28"/>
            <w:rtl/>
            <w:lang w:val="fr-CH"/>
          </w:rPr>
          <w:tab/>
          <w:t>قبول الصكوك الإقليمية لحقوق الإنسان</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Toc508623283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49</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hyperlink w:anchor="_Toc508623284" w:history="1">
        <w:r w:rsidRPr="0082773D">
          <w:rPr>
            <w:noProof/>
            <w:szCs w:val="28"/>
            <w:rtl/>
            <w:lang w:val="fr-CH"/>
          </w:rPr>
          <w:t>رابعاً</w:t>
        </w:r>
        <w:r>
          <w:rPr>
            <w:noProof/>
            <w:szCs w:val="28"/>
            <w:rtl/>
            <w:lang w:val="fr-CH"/>
          </w:rPr>
          <w:tab/>
        </w:r>
        <w:r w:rsidRPr="0082773D">
          <w:rPr>
            <w:noProof/>
            <w:szCs w:val="28"/>
            <w:rtl/>
            <w:lang w:val="fr-CH"/>
          </w:rPr>
          <w:t>-</w:t>
        </w:r>
        <w:r w:rsidRPr="0082773D">
          <w:rPr>
            <w:noProof/>
            <w:szCs w:val="28"/>
            <w:rtl/>
            <w:lang w:val="fr-CH"/>
          </w:rPr>
          <w:tab/>
          <w:t>الإطار القانوني لحماية حقوق الإنسان على الصعيد الوطني</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Toc508623284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50</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508623285" w:history="1">
        <w:r w:rsidRPr="0082773D">
          <w:rPr>
            <w:noProof/>
            <w:szCs w:val="28"/>
            <w:rtl/>
            <w:lang w:val="fr-CH"/>
          </w:rPr>
          <w:t>ألف</w:t>
        </w:r>
        <w:r>
          <w:rPr>
            <w:noProof/>
            <w:szCs w:val="28"/>
            <w:rtl/>
            <w:lang w:val="fr-CH"/>
          </w:rPr>
          <w:tab/>
        </w:r>
        <w:r w:rsidRPr="0082773D">
          <w:rPr>
            <w:noProof/>
            <w:szCs w:val="28"/>
            <w:rtl/>
            <w:lang w:val="fr-CH"/>
          </w:rPr>
          <w:t>-</w:t>
        </w:r>
        <w:r w:rsidRPr="0082773D">
          <w:rPr>
            <w:noProof/>
            <w:szCs w:val="28"/>
            <w:rtl/>
            <w:lang w:val="fr-CH"/>
          </w:rPr>
          <w:tab/>
          <w:t>حماية القانون المحلي للحقوق المنصوص عليها في الصكوك الدولية</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Toc508623285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50</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ind w:left="2211" w:right="896" w:hanging="2211"/>
        <w:rPr>
          <w:noProof/>
          <w:szCs w:val="28"/>
          <w:rtl/>
          <w:lang w:val="fr-CH"/>
        </w:rPr>
      </w:pPr>
      <w:r>
        <w:rPr>
          <w:noProof/>
          <w:szCs w:val="28"/>
          <w:rtl/>
          <w:lang w:val="fr-CH"/>
        </w:rPr>
        <w:tab/>
      </w:r>
      <w:r>
        <w:rPr>
          <w:noProof/>
          <w:szCs w:val="28"/>
          <w:rtl/>
          <w:lang w:val="fr-CH"/>
        </w:rPr>
        <w:tab/>
      </w:r>
      <w:r>
        <w:rPr>
          <w:noProof/>
          <w:szCs w:val="28"/>
          <w:rtl/>
          <w:lang w:val="fr-CH"/>
        </w:rPr>
        <w:tab/>
      </w:r>
      <w:hyperlink w:anchor="_Toc508623286" w:history="1">
        <w:r w:rsidRPr="0082773D">
          <w:rPr>
            <w:noProof/>
            <w:szCs w:val="28"/>
            <w:rtl/>
            <w:lang w:val="fr-CH"/>
          </w:rPr>
          <w:t>باء</w:t>
        </w:r>
        <w:r>
          <w:rPr>
            <w:noProof/>
            <w:szCs w:val="28"/>
            <w:rtl/>
            <w:lang w:val="fr-CH"/>
          </w:rPr>
          <w:tab/>
        </w:r>
        <w:r w:rsidRPr="0082773D">
          <w:rPr>
            <w:noProof/>
            <w:szCs w:val="28"/>
            <w:rtl/>
            <w:lang w:val="fr-CH"/>
          </w:rPr>
          <w:t>-</w:t>
        </w:r>
        <w:r w:rsidRPr="0082773D">
          <w:rPr>
            <w:noProof/>
            <w:szCs w:val="28"/>
            <w:rtl/>
            <w:lang w:val="fr-CH"/>
          </w:rPr>
          <w:tab/>
          <w:t>إدراج أحكام الصكوك الدولية لحقوق الإنسان في القانون المحلي والاحتجاج بها أمام المحاكم</w:t>
        </w:r>
        <w:r>
          <w:rPr>
            <w:rFonts w:hint="cs"/>
            <w:noProof/>
            <w:szCs w:val="28"/>
            <w:rtl/>
            <w:lang w:val="fr-CH"/>
          </w:rPr>
          <w:t> </w:t>
        </w:r>
        <w:r w:rsidRPr="0082773D">
          <w:rPr>
            <w:noProof/>
            <w:szCs w:val="28"/>
            <w:rtl/>
            <w:lang w:val="fr-CH"/>
          </w:rPr>
          <w:t>الوطنية</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Toc508623286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60</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ind w:left="2211" w:right="896" w:hanging="2211"/>
        <w:rPr>
          <w:noProof/>
          <w:szCs w:val="28"/>
          <w:rtl/>
          <w:lang w:val="fr-CH"/>
        </w:rPr>
      </w:pPr>
      <w:r>
        <w:rPr>
          <w:noProof/>
          <w:szCs w:val="28"/>
          <w:rtl/>
          <w:lang w:val="fr-CH"/>
        </w:rPr>
        <w:tab/>
      </w:r>
      <w:r>
        <w:rPr>
          <w:noProof/>
          <w:szCs w:val="28"/>
          <w:rtl/>
          <w:lang w:val="fr-CH"/>
        </w:rPr>
        <w:tab/>
      </w:r>
      <w:r>
        <w:rPr>
          <w:noProof/>
          <w:szCs w:val="28"/>
          <w:rtl/>
          <w:lang w:val="fr-CH"/>
        </w:rPr>
        <w:tab/>
      </w:r>
      <w:hyperlink w:anchor="_Toc508623287" w:history="1">
        <w:r w:rsidRPr="0082773D">
          <w:rPr>
            <w:noProof/>
            <w:szCs w:val="28"/>
            <w:rtl/>
            <w:lang w:val="fr-CH"/>
          </w:rPr>
          <w:t>جيم</w:t>
        </w:r>
        <w:r>
          <w:rPr>
            <w:noProof/>
            <w:szCs w:val="28"/>
            <w:rtl/>
            <w:lang w:val="fr-CH"/>
          </w:rPr>
          <w:tab/>
        </w:r>
        <w:r w:rsidRPr="0082773D">
          <w:rPr>
            <w:noProof/>
            <w:szCs w:val="28"/>
            <w:rtl/>
            <w:lang w:val="fr-CH"/>
          </w:rPr>
          <w:t>-</w:t>
        </w:r>
        <w:r w:rsidRPr="0082773D">
          <w:rPr>
            <w:noProof/>
            <w:szCs w:val="28"/>
            <w:rtl/>
            <w:lang w:val="fr-CH"/>
          </w:rPr>
          <w:tab/>
          <w:t>سبل الانتصاف المتاحة في حالة انتهاك الحقوق الأساسية ونظم تقديم التعويض للضحايا وإعادة تأهيلهم</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Toc508623287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63</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508623288" w:history="1">
        <w:r w:rsidRPr="0082773D">
          <w:rPr>
            <w:noProof/>
            <w:szCs w:val="28"/>
            <w:rtl/>
            <w:lang w:val="fr-CH"/>
          </w:rPr>
          <w:t>دال</w:t>
        </w:r>
        <w:r>
          <w:rPr>
            <w:noProof/>
            <w:szCs w:val="28"/>
            <w:rtl/>
            <w:lang w:val="fr-CH"/>
          </w:rPr>
          <w:tab/>
        </w:r>
        <w:r w:rsidRPr="0082773D">
          <w:rPr>
            <w:noProof/>
            <w:szCs w:val="28"/>
            <w:rtl/>
            <w:lang w:val="fr-CH"/>
          </w:rPr>
          <w:t>-</w:t>
        </w:r>
        <w:r w:rsidRPr="0082773D">
          <w:rPr>
            <w:noProof/>
            <w:szCs w:val="28"/>
            <w:rtl/>
            <w:lang w:val="fr-CH"/>
          </w:rPr>
          <w:tab/>
          <w:t>الاعتراف باختصاص المحكمة الأوروبية لحقوق الإنسان</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Toc508623288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71</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hyperlink w:anchor="_Toc508623289" w:history="1">
        <w:r w:rsidRPr="0082773D">
          <w:rPr>
            <w:noProof/>
            <w:szCs w:val="28"/>
            <w:rtl/>
            <w:lang w:val="fr-CH"/>
          </w:rPr>
          <w:t>خامساً</w:t>
        </w:r>
        <w:r>
          <w:rPr>
            <w:noProof/>
            <w:szCs w:val="28"/>
            <w:rtl/>
            <w:lang w:val="fr-CH"/>
          </w:rPr>
          <w:tab/>
        </w:r>
        <w:r w:rsidRPr="0082773D">
          <w:rPr>
            <w:noProof/>
            <w:szCs w:val="28"/>
            <w:rtl/>
            <w:lang w:val="fr-CH"/>
          </w:rPr>
          <w:t>-</w:t>
        </w:r>
        <w:r w:rsidRPr="0082773D">
          <w:rPr>
            <w:noProof/>
            <w:szCs w:val="28"/>
            <w:rtl/>
            <w:lang w:val="fr-CH"/>
          </w:rPr>
          <w:tab/>
          <w:t>إطار تعزيز حقوق الإنسان على الصعيد الوطني</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Toc508623289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72</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508623290" w:history="1">
        <w:r w:rsidRPr="0082773D">
          <w:rPr>
            <w:noProof/>
            <w:szCs w:val="28"/>
            <w:rtl/>
            <w:lang w:val="fr-CH"/>
          </w:rPr>
          <w:t>ألف</w:t>
        </w:r>
        <w:r>
          <w:rPr>
            <w:noProof/>
            <w:szCs w:val="28"/>
            <w:rtl/>
            <w:lang w:val="fr-CH"/>
          </w:rPr>
          <w:tab/>
        </w:r>
        <w:r w:rsidRPr="0082773D">
          <w:rPr>
            <w:noProof/>
            <w:szCs w:val="28"/>
            <w:rtl/>
            <w:lang w:val="fr-CH"/>
          </w:rPr>
          <w:t>-</w:t>
        </w:r>
        <w:r w:rsidRPr="0082773D">
          <w:rPr>
            <w:noProof/>
            <w:szCs w:val="28"/>
            <w:rtl/>
            <w:lang w:val="fr-CH"/>
          </w:rPr>
          <w:tab/>
          <w:t>دور البرلمان والجماعات المحلية في تعزيز حقوق الإنسان وحمايتها</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Toc508623290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72</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508623291" w:history="1">
        <w:r w:rsidRPr="0082773D">
          <w:rPr>
            <w:noProof/>
            <w:szCs w:val="28"/>
            <w:rtl/>
            <w:lang w:val="fr-CH"/>
          </w:rPr>
          <w:t>باء</w:t>
        </w:r>
        <w:r>
          <w:rPr>
            <w:noProof/>
            <w:szCs w:val="28"/>
            <w:rtl/>
            <w:lang w:val="fr-CH"/>
          </w:rPr>
          <w:tab/>
        </w:r>
        <w:r w:rsidRPr="0082773D">
          <w:rPr>
            <w:noProof/>
            <w:szCs w:val="28"/>
            <w:rtl/>
            <w:lang w:val="fr-CH"/>
          </w:rPr>
          <w:t>-</w:t>
        </w:r>
        <w:r w:rsidRPr="0082773D">
          <w:rPr>
            <w:noProof/>
            <w:szCs w:val="28"/>
            <w:rtl/>
            <w:lang w:val="fr-CH"/>
          </w:rPr>
          <w:tab/>
          <w:t>دور المؤسسات الوطنية للدفاع عن حقوق الإنسان</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Toc508623291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72</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lang w:val="fr-CH"/>
        </w:rPr>
        <w:tab/>
      </w:r>
      <w:r>
        <w:rPr>
          <w:noProof/>
          <w:szCs w:val="28"/>
          <w:lang w:val="fr-CH"/>
        </w:rPr>
        <w:tab/>
      </w:r>
      <w:r>
        <w:rPr>
          <w:noProof/>
          <w:szCs w:val="28"/>
          <w:lang w:val="fr-CH"/>
        </w:rPr>
        <w:tab/>
      </w:r>
      <w:hyperlink w:anchor="_Toc508623293" w:history="1">
        <w:r w:rsidRPr="0082773D">
          <w:rPr>
            <w:noProof/>
            <w:szCs w:val="28"/>
            <w:rtl/>
            <w:lang w:val="fr-CH"/>
          </w:rPr>
          <w:t>جيم</w:t>
        </w:r>
        <w:r>
          <w:rPr>
            <w:noProof/>
            <w:szCs w:val="28"/>
            <w:rtl/>
            <w:lang w:val="fr-CH" w:bidi="ar-DZ"/>
          </w:rPr>
          <w:tab/>
        </w:r>
        <w:r w:rsidRPr="0082773D">
          <w:rPr>
            <w:noProof/>
            <w:szCs w:val="28"/>
            <w:rtl/>
            <w:lang w:val="fr-CH"/>
          </w:rPr>
          <w:t>-</w:t>
        </w:r>
        <w:r w:rsidRPr="0082773D">
          <w:rPr>
            <w:noProof/>
            <w:szCs w:val="28"/>
            <w:rtl/>
            <w:lang w:val="fr-CH"/>
          </w:rPr>
          <w:tab/>
          <w:t>نشر الصكوك المتعلقة بحقوق الإنسان</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Toc508623293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81</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508623294" w:history="1">
        <w:r w:rsidRPr="0082773D">
          <w:rPr>
            <w:noProof/>
            <w:szCs w:val="28"/>
            <w:rtl/>
            <w:lang w:val="fr-CH"/>
          </w:rPr>
          <w:t>دال</w:t>
        </w:r>
        <w:r>
          <w:rPr>
            <w:noProof/>
            <w:szCs w:val="28"/>
            <w:rtl/>
            <w:lang w:val="fr-CH"/>
          </w:rPr>
          <w:tab/>
        </w:r>
        <w:r w:rsidRPr="0082773D">
          <w:rPr>
            <w:noProof/>
            <w:szCs w:val="28"/>
            <w:rtl/>
            <w:lang w:val="fr-CH"/>
          </w:rPr>
          <w:t>-</w:t>
        </w:r>
        <w:r w:rsidRPr="0082773D">
          <w:rPr>
            <w:noProof/>
            <w:szCs w:val="28"/>
            <w:rtl/>
            <w:lang w:val="fr-CH"/>
          </w:rPr>
          <w:tab/>
          <w:t>تثقيف الشباب في مجال حقوق الإنسان</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Toc508623294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83</w:t>
        </w:r>
        <w:r w:rsidRPr="0082773D">
          <w:rPr>
            <w:noProof/>
            <w:szCs w:val="28"/>
            <w:lang w:val="fr-CH"/>
          </w:rPr>
          <w:fldChar w:fldCharType="end"/>
        </w:r>
      </w:hyperlink>
    </w:p>
    <w:p w:rsidR="0082773D" w:rsidRPr="0082773D" w:rsidRDefault="0082773D" w:rsidP="0082773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508623295" w:history="1">
        <w:r w:rsidRPr="0082773D">
          <w:rPr>
            <w:noProof/>
            <w:szCs w:val="28"/>
            <w:rtl/>
            <w:lang w:val="fr-CH"/>
          </w:rPr>
          <w:t>هاء</w:t>
        </w:r>
        <w:r>
          <w:rPr>
            <w:noProof/>
            <w:szCs w:val="28"/>
            <w:rtl/>
            <w:lang w:val="fr-CH"/>
          </w:rPr>
          <w:tab/>
        </w:r>
        <w:r w:rsidRPr="0082773D">
          <w:rPr>
            <w:noProof/>
            <w:szCs w:val="28"/>
            <w:rtl/>
            <w:lang w:val="fr-CH"/>
          </w:rPr>
          <w:t>-</w:t>
        </w:r>
        <w:r w:rsidRPr="0082773D">
          <w:rPr>
            <w:noProof/>
            <w:szCs w:val="28"/>
            <w:rtl/>
            <w:lang w:val="fr-CH"/>
          </w:rPr>
          <w:tab/>
          <w:t>توفير التدريب في مجال حقوق الإنسان للموظفين العامين وغيرهم من المهنيين</w:t>
        </w:r>
        <w:r w:rsidRPr="0082773D">
          <w:rPr>
            <w:noProof/>
            <w:webHidden/>
            <w:szCs w:val="28"/>
            <w:rtl/>
            <w:lang w:val="fr-CH"/>
          </w:rPr>
          <w:tab/>
        </w:r>
        <w:r>
          <w:rPr>
            <w:noProof/>
            <w:webHidden/>
            <w:szCs w:val="28"/>
            <w:rtl/>
            <w:lang w:val="fr-CH"/>
          </w:rPr>
          <w:tab/>
        </w:r>
        <w:r w:rsidRPr="0082773D">
          <w:rPr>
            <w:noProof/>
            <w:szCs w:val="28"/>
            <w:lang w:val="fr-CH"/>
          </w:rPr>
          <w:fldChar w:fldCharType="begin"/>
        </w:r>
        <w:r w:rsidRPr="0082773D">
          <w:rPr>
            <w:noProof/>
            <w:webHidden/>
            <w:szCs w:val="28"/>
            <w:rtl/>
            <w:lang w:val="fr-CH"/>
          </w:rPr>
          <w:instrText xml:space="preserve"> </w:instrText>
        </w:r>
        <w:r w:rsidRPr="0082773D">
          <w:rPr>
            <w:noProof/>
            <w:webHidden/>
            <w:szCs w:val="28"/>
            <w:lang w:val="fr-CH"/>
          </w:rPr>
          <w:instrText>PAGEREF</w:instrText>
        </w:r>
        <w:r w:rsidRPr="0082773D">
          <w:rPr>
            <w:noProof/>
            <w:webHidden/>
            <w:szCs w:val="28"/>
            <w:rtl/>
            <w:lang w:val="fr-CH"/>
          </w:rPr>
          <w:instrText xml:space="preserve"> _</w:instrText>
        </w:r>
        <w:r w:rsidRPr="0082773D">
          <w:rPr>
            <w:noProof/>
            <w:webHidden/>
            <w:szCs w:val="28"/>
            <w:lang w:val="fr-CH"/>
          </w:rPr>
          <w:instrText>Toc508623295 \h</w:instrText>
        </w:r>
        <w:r w:rsidRPr="0082773D">
          <w:rPr>
            <w:noProof/>
            <w:webHidden/>
            <w:szCs w:val="28"/>
            <w:rtl/>
            <w:lang w:val="fr-CH"/>
          </w:rPr>
          <w:instrText xml:space="preserve"> </w:instrText>
        </w:r>
        <w:r w:rsidRPr="0082773D">
          <w:rPr>
            <w:noProof/>
            <w:szCs w:val="28"/>
            <w:lang w:val="fr-CH"/>
          </w:rPr>
        </w:r>
        <w:r w:rsidRPr="0082773D">
          <w:rPr>
            <w:noProof/>
            <w:szCs w:val="28"/>
            <w:lang w:val="fr-CH"/>
          </w:rPr>
          <w:fldChar w:fldCharType="separate"/>
        </w:r>
        <w:r w:rsidR="005714DA">
          <w:rPr>
            <w:noProof/>
            <w:webHidden/>
            <w:szCs w:val="28"/>
            <w:rtl/>
            <w:lang w:val="fr-CH"/>
          </w:rPr>
          <w:t>83</w:t>
        </w:r>
        <w:r w:rsidRPr="0082773D">
          <w:rPr>
            <w:noProof/>
            <w:szCs w:val="28"/>
            <w:lang w:val="fr-CH"/>
          </w:rPr>
          <w:fldChar w:fldCharType="end"/>
        </w:r>
      </w:hyperlink>
    </w:p>
    <w:p w:rsidR="00944A3C" w:rsidRPr="005D0C50" w:rsidRDefault="0082773D" w:rsidP="0008714C">
      <w:pPr>
        <w:pStyle w:val="HChGA"/>
        <w:pageBreakBefore/>
        <w:spacing w:before="120"/>
        <w:rPr>
          <w:rtl/>
        </w:rPr>
      </w:pPr>
      <w:r w:rsidRPr="0082773D">
        <w:rPr>
          <w:szCs w:val="28"/>
          <w:rtl/>
          <w:lang w:val="fr-CH"/>
        </w:rPr>
        <w:lastRenderedPageBreak/>
        <w:fldChar w:fldCharType="end"/>
      </w:r>
      <w:r w:rsidR="00944A3C" w:rsidRPr="005D0C50">
        <w:rPr>
          <w:rtl/>
        </w:rPr>
        <w:tab/>
      </w:r>
      <w:bookmarkStart w:id="0" w:name="_Toc353357625"/>
      <w:bookmarkStart w:id="1" w:name="_Toc508623273"/>
      <w:r w:rsidR="00944A3C" w:rsidRPr="005D0C50">
        <w:rPr>
          <w:rtl/>
        </w:rPr>
        <w:t>أولاً-</w:t>
      </w:r>
      <w:r w:rsidR="00944A3C" w:rsidRPr="005D0C50">
        <w:rPr>
          <w:rtl/>
        </w:rPr>
        <w:tab/>
      </w:r>
      <w:bookmarkEnd w:id="0"/>
      <w:r w:rsidR="00944A3C" w:rsidRPr="005D0C50">
        <w:rPr>
          <w:rFonts w:hint="cs"/>
          <w:rtl/>
        </w:rPr>
        <w:t>الإقليم والسكان</w:t>
      </w:r>
      <w:bookmarkEnd w:id="1"/>
    </w:p>
    <w:p w:rsidR="00944A3C" w:rsidRPr="005D0C50" w:rsidRDefault="00944A3C" w:rsidP="00944A3C">
      <w:pPr>
        <w:pStyle w:val="H1GA"/>
        <w:rPr>
          <w:rtl/>
        </w:rPr>
      </w:pPr>
      <w:r w:rsidRPr="005D0C50">
        <w:rPr>
          <w:rtl/>
        </w:rPr>
        <w:tab/>
      </w:r>
      <w:bookmarkStart w:id="2" w:name="_Toc353357626"/>
      <w:bookmarkStart w:id="3" w:name="_Toc508623274"/>
      <w:r w:rsidRPr="005D0C50">
        <w:rPr>
          <w:rtl/>
        </w:rPr>
        <w:t>ألف-</w:t>
      </w:r>
      <w:r w:rsidRPr="005D0C50">
        <w:rPr>
          <w:rtl/>
        </w:rPr>
        <w:tab/>
      </w:r>
      <w:bookmarkEnd w:id="2"/>
      <w:r w:rsidRPr="005D0C50">
        <w:rPr>
          <w:rFonts w:hint="cs"/>
          <w:rtl/>
        </w:rPr>
        <w:t>الإقليم</w:t>
      </w:r>
      <w:bookmarkEnd w:id="3"/>
    </w:p>
    <w:p w:rsidR="00944A3C" w:rsidRPr="005D0C50" w:rsidRDefault="00944A3C" w:rsidP="00944A3C">
      <w:pPr>
        <w:pStyle w:val="SingleTxtGA"/>
        <w:rPr>
          <w:rtl/>
          <w:lang w:bidi="ar-DZ"/>
        </w:rPr>
      </w:pPr>
      <w:r w:rsidRPr="005D0C50">
        <w:rPr>
          <w:rtl/>
        </w:rPr>
        <w:t>1-</w:t>
      </w:r>
      <w:r w:rsidRPr="005D0C50">
        <w:rPr>
          <w:rtl/>
        </w:rPr>
        <w:tab/>
        <w:t xml:space="preserve">يمتد إقليم فرنسا على مساحة </w:t>
      </w:r>
      <w:r w:rsidRPr="005D0C50">
        <w:rPr>
          <w:rFonts w:hint="cs"/>
          <w:rtl/>
        </w:rPr>
        <w:t xml:space="preserve">تبلغ </w:t>
      </w:r>
      <w:r w:rsidRPr="005D0C50">
        <w:rPr>
          <w:rtl/>
        </w:rPr>
        <w:t xml:space="preserve">602 551 </w:t>
      </w:r>
      <w:r w:rsidRPr="005D0C50">
        <w:rPr>
          <w:rFonts w:hint="cs"/>
          <w:rtl/>
        </w:rPr>
        <w:t>من ال</w:t>
      </w:r>
      <w:r w:rsidRPr="005D0C50">
        <w:rPr>
          <w:rtl/>
        </w:rPr>
        <w:t>كيلومترا</w:t>
      </w:r>
      <w:r w:rsidRPr="005D0C50">
        <w:rPr>
          <w:rFonts w:hint="cs"/>
          <w:rtl/>
        </w:rPr>
        <w:t>ت</w:t>
      </w:r>
      <w:r w:rsidRPr="005D0C50">
        <w:rPr>
          <w:rtl/>
        </w:rPr>
        <w:t xml:space="preserve"> </w:t>
      </w:r>
      <w:r w:rsidRPr="005D0C50">
        <w:rPr>
          <w:rFonts w:hint="cs"/>
          <w:rtl/>
        </w:rPr>
        <w:t>ال</w:t>
      </w:r>
      <w:r w:rsidRPr="005D0C50">
        <w:rPr>
          <w:rtl/>
        </w:rPr>
        <w:t>مربع</w:t>
      </w:r>
      <w:r w:rsidRPr="005D0C50">
        <w:rPr>
          <w:rFonts w:hint="cs"/>
          <w:rtl/>
        </w:rPr>
        <w:t>ة</w:t>
      </w:r>
      <w:r w:rsidRPr="005D0C50">
        <w:rPr>
          <w:rtl/>
        </w:rPr>
        <w:t xml:space="preserve">، </w:t>
      </w:r>
      <w:r w:rsidRPr="005D0C50">
        <w:rPr>
          <w:rFonts w:hint="cs"/>
          <w:rtl/>
        </w:rPr>
        <w:t xml:space="preserve">بالإضافة إلى </w:t>
      </w:r>
      <w:r w:rsidRPr="005D0C50">
        <w:rPr>
          <w:rtl/>
        </w:rPr>
        <w:t>أقاليم ما وراء البحار (101 128 كيلومتر مربع) والأراضي الفرنسية الجنوبية والقطبية الجنوبية (000 432 كيلومتر مربع)</w:t>
      </w:r>
      <w:r w:rsidRPr="005D0C50">
        <w:rPr>
          <w:rFonts w:hint="cs"/>
          <w:rtl/>
        </w:rPr>
        <w:t>.</w:t>
      </w:r>
    </w:p>
    <w:p w:rsidR="00944A3C" w:rsidRPr="005D0C50" w:rsidRDefault="00944A3C" w:rsidP="00526CCD">
      <w:pPr>
        <w:pStyle w:val="SingleTxtGA"/>
        <w:rPr>
          <w:rtl/>
        </w:rPr>
      </w:pPr>
      <w:r w:rsidRPr="005D0C50">
        <w:rPr>
          <w:rtl/>
        </w:rPr>
        <w:t>2-</w:t>
      </w:r>
      <w:r w:rsidRPr="005D0C50">
        <w:rPr>
          <w:rtl/>
        </w:rPr>
        <w:tab/>
        <w:t xml:space="preserve">وفي الواقع، تتألف فرنسا من منطقة </w:t>
      </w:r>
      <w:r w:rsidRPr="005D0C50">
        <w:rPr>
          <w:rFonts w:hint="cs"/>
          <w:rtl/>
        </w:rPr>
        <w:t>متروبولي</w:t>
      </w:r>
      <w:r w:rsidRPr="005D0C50">
        <w:rPr>
          <w:rFonts w:hint="eastAsia"/>
          <w:rtl/>
        </w:rPr>
        <w:t>ة</w:t>
      </w:r>
      <w:r w:rsidRPr="005D0C50">
        <w:rPr>
          <w:rtl/>
        </w:rPr>
        <w:t xml:space="preserve"> (الأقاليم الواقعة في أوروبا) و</w:t>
      </w:r>
      <w:r w:rsidRPr="005D0C50">
        <w:rPr>
          <w:rFonts w:hint="cs"/>
          <w:rtl/>
        </w:rPr>
        <w:t xml:space="preserve">من </w:t>
      </w:r>
      <w:r w:rsidRPr="005D0C50">
        <w:rPr>
          <w:rtl/>
        </w:rPr>
        <w:t>أقاليم ما</w:t>
      </w:r>
      <w:r w:rsidR="00526CCD">
        <w:rPr>
          <w:rFonts w:hint="cs"/>
          <w:rtl/>
        </w:rPr>
        <w:t> </w:t>
      </w:r>
      <w:r w:rsidRPr="005D0C50">
        <w:rPr>
          <w:rtl/>
        </w:rPr>
        <w:t>وراء البحار</w:t>
      </w:r>
      <w:r w:rsidRPr="005D0C50">
        <w:rPr>
          <w:rFonts w:hint="cs"/>
          <w:rtl/>
        </w:rPr>
        <w:t xml:space="preserve">. </w:t>
      </w:r>
      <w:r w:rsidRPr="005D0C50">
        <w:rPr>
          <w:rtl/>
        </w:rPr>
        <w:t>و</w:t>
      </w:r>
      <w:r w:rsidRPr="005D0C50">
        <w:rPr>
          <w:rFonts w:hint="cs"/>
          <w:rtl/>
        </w:rPr>
        <w:t xml:space="preserve">تنقسم </w:t>
      </w:r>
      <w:r w:rsidRPr="005D0C50">
        <w:rPr>
          <w:rtl/>
        </w:rPr>
        <w:t>أقاليم ما وراء البحار إلى فئتين:</w:t>
      </w:r>
    </w:p>
    <w:p w:rsidR="00944A3C" w:rsidRPr="005D0C50" w:rsidRDefault="00944A3C" w:rsidP="000579DA">
      <w:pPr>
        <w:pStyle w:val="Bullet1GA"/>
        <w:bidi/>
      </w:pPr>
      <w:r w:rsidRPr="005D0C50">
        <w:rPr>
          <w:rtl/>
        </w:rPr>
        <w:t>مقاطعات وأقاليم ما وراء البحار، وهي: غواديلوب، وغيانا، والمارتينيك، وجزيرة مايوت القمرية، ولا ريونيون (</w:t>
      </w:r>
      <w:r w:rsidRPr="005D0C50">
        <w:rPr>
          <w:rFonts w:hint="cs"/>
          <w:rtl/>
        </w:rPr>
        <w:t xml:space="preserve">تحل عبارة </w:t>
      </w:r>
      <w:r w:rsidRPr="005D0C50">
        <w:rPr>
          <w:rtl/>
        </w:rPr>
        <w:t xml:space="preserve">مقاطعات وأقاليم ما وراء البحار محل </w:t>
      </w:r>
      <w:r w:rsidRPr="005D0C50">
        <w:rPr>
          <w:rFonts w:hint="cs"/>
          <w:rtl/>
        </w:rPr>
        <w:t xml:space="preserve">عبارة </w:t>
      </w:r>
      <w:r w:rsidRPr="005D0C50">
        <w:rPr>
          <w:rtl/>
        </w:rPr>
        <w:t>مقاطعات ما وراء البحار)؛</w:t>
      </w:r>
    </w:p>
    <w:p w:rsidR="00944A3C" w:rsidRPr="005D0C50" w:rsidRDefault="00944A3C" w:rsidP="00944A3C">
      <w:pPr>
        <w:pStyle w:val="Bullet1GA"/>
        <w:bidi/>
      </w:pPr>
      <w:r w:rsidRPr="005D0C50">
        <w:rPr>
          <w:rtl/>
        </w:rPr>
        <w:t>الجماعات الإقليمية لما</w:t>
      </w:r>
      <w:r w:rsidRPr="005D0C50">
        <w:rPr>
          <w:rFonts w:hint="cs"/>
          <w:rtl/>
        </w:rPr>
        <w:t xml:space="preserve"> </w:t>
      </w:r>
      <w:r w:rsidRPr="005D0C50">
        <w:rPr>
          <w:rtl/>
        </w:rPr>
        <w:t>وراء البحار، وهي: بولينيزيا الفرنسية، وسان بارتليمي، وسان مارتن، وسان بيير وميكلون، وواليس وفوتونا (تحل عبارة الجماعات الإقليمية لما وراء البحار محل عبارة أقاليم ما وراء البحار).</w:t>
      </w:r>
    </w:p>
    <w:p w:rsidR="00944A3C" w:rsidRPr="005D0C50" w:rsidRDefault="00944A3C" w:rsidP="00944A3C">
      <w:pPr>
        <w:pStyle w:val="SingleTxtGA"/>
        <w:rPr>
          <w:rtl/>
        </w:rPr>
      </w:pPr>
      <w:r w:rsidRPr="005D0C50">
        <w:rPr>
          <w:rFonts w:hint="cs"/>
          <w:rtl/>
        </w:rPr>
        <w:t>3-</w:t>
      </w:r>
      <w:r w:rsidRPr="005D0C50">
        <w:rPr>
          <w:rFonts w:hint="cs"/>
          <w:rtl/>
        </w:rPr>
        <w:tab/>
        <w:t xml:space="preserve">وبغض النظر عن </w:t>
      </w:r>
      <w:r w:rsidRPr="005D0C50">
        <w:rPr>
          <w:rtl/>
        </w:rPr>
        <w:t>الجماعات الإقليمية لما</w:t>
      </w:r>
      <w:r w:rsidRPr="005D0C50">
        <w:rPr>
          <w:rFonts w:hint="cs"/>
          <w:rtl/>
        </w:rPr>
        <w:t xml:space="preserve"> </w:t>
      </w:r>
      <w:r w:rsidRPr="005D0C50">
        <w:rPr>
          <w:rtl/>
        </w:rPr>
        <w:t>وراء البحار، تنقسم فرنسا إداري</w:t>
      </w:r>
      <w:r w:rsidRPr="005D0C50">
        <w:rPr>
          <w:rFonts w:hint="cs"/>
          <w:rtl/>
        </w:rPr>
        <w:t>اً</w:t>
      </w:r>
      <w:r w:rsidRPr="005D0C50">
        <w:rPr>
          <w:rtl/>
        </w:rPr>
        <w:t xml:space="preserve"> إلى 18 </w:t>
      </w:r>
      <w:r w:rsidRPr="005D0C50">
        <w:rPr>
          <w:rFonts w:hint="cs"/>
          <w:rtl/>
        </w:rPr>
        <w:t>إقليم</w:t>
      </w:r>
      <w:r w:rsidR="00526CCD">
        <w:rPr>
          <w:rFonts w:hint="cs"/>
          <w:rtl/>
        </w:rPr>
        <w:t xml:space="preserve">اً </w:t>
      </w:r>
      <w:r w:rsidRPr="005D0C50">
        <w:rPr>
          <w:rtl/>
        </w:rPr>
        <w:t>(13</w:t>
      </w:r>
      <w:r>
        <w:rPr>
          <w:rStyle w:val="EndnoteReference"/>
          <w:rtl/>
        </w:rPr>
        <w:t>(</w:t>
      </w:r>
      <w:r w:rsidRPr="005D0C50">
        <w:rPr>
          <w:rStyle w:val="EndnoteReference"/>
          <w:rtl/>
        </w:rPr>
        <w:endnoteReference w:id="2"/>
      </w:r>
      <w:r>
        <w:rPr>
          <w:rStyle w:val="EndnoteReference"/>
          <w:rtl/>
        </w:rPr>
        <w:t>)</w:t>
      </w:r>
      <w:r w:rsidRPr="005D0C50">
        <w:rPr>
          <w:rtl/>
        </w:rPr>
        <w:t xml:space="preserve"> في المنطقة المتروبولية و5 فيما وراء البحار)، و101 مقاطعة (96 في المنطقة المتروبولية و5 فيما وراء البحار) و658 36 بلدية (129 منها فيما وراء البحار)</w:t>
      </w:r>
      <w:r>
        <w:rPr>
          <w:rStyle w:val="EndnoteReference"/>
          <w:rtl/>
        </w:rPr>
        <w:t>(</w:t>
      </w:r>
      <w:r w:rsidRPr="005D0C50">
        <w:rPr>
          <w:rStyle w:val="EndnoteReference"/>
          <w:rtl/>
        </w:rPr>
        <w:endnoteReference w:id="3"/>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4-</w:t>
      </w:r>
      <w:r w:rsidRPr="005D0C50">
        <w:rPr>
          <w:rFonts w:hint="cs"/>
          <w:rtl/>
        </w:rPr>
        <w:tab/>
      </w:r>
      <w:r w:rsidRPr="005D0C50">
        <w:rPr>
          <w:rtl/>
        </w:rPr>
        <w:t>و</w:t>
      </w:r>
      <w:r w:rsidRPr="005D0C50">
        <w:rPr>
          <w:rFonts w:hint="cs"/>
          <w:rtl/>
        </w:rPr>
        <w:t xml:space="preserve">لكل من </w:t>
      </w:r>
      <w:r w:rsidRPr="005D0C50">
        <w:rPr>
          <w:rtl/>
        </w:rPr>
        <w:t>كاليدونيا الجديدة وجزيرة كليبرتون والأراضي الفرنسية الجنوبية والقطبية الجنوبية أنظمة خاصة</w:t>
      </w:r>
      <w:r w:rsidRPr="005D0C50">
        <w:rPr>
          <w:rFonts w:hint="cs"/>
          <w:rtl/>
        </w:rPr>
        <w:t>.</w:t>
      </w:r>
    </w:p>
    <w:p w:rsidR="00944A3C" w:rsidRPr="005D0C50" w:rsidRDefault="00944A3C" w:rsidP="00944A3C">
      <w:pPr>
        <w:pStyle w:val="H1GA"/>
        <w:rPr>
          <w:rtl/>
        </w:rPr>
      </w:pPr>
      <w:r w:rsidRPr="005D0C50">
        <w:rPr>
          <w:rFonts w:hint="cs"/>
          <w:rtl/>
        </w:rPr>
        <w:tab/>
      </w:r>
      <w:bookmarkStart w:id="4" w:name="_Toc508623275"/>
      <w:r w:rsidRPr="005D0C50">
        <w:rPr>
          <w:rFonts w:hint="cs"/>
          <w:rtl/>
        </w:rPr>
        <w:t>باء</w:t>
      </w:r>
      <w:r w:rsidRPr="005D0C50">
        <w:rPr>
          <w:rtl/>
        </w:rPr>
        <w:t>-</w:t>
      </w:r>
      <w:r w:rsidRPr="005D0C50">
        <w:rPr>
          <w:rtl/>
        </w:rPr>
        <w:tab/>
      </w:r>
      <w:r w:rsidRPr="005D0C50">
        <w:rPr>
          <w:rFonts w:hint="cs"/>
          <w:rtl/>
        </w:rPr>
        <w:t>السكان</w:t>
      </w:r>
      <w:r w:rsidRPr="00944A3C">
        <w:rPr>
          <w:rStyle w:val="EndnoteReference"/>
          <w:b w:val="0"/>
          <w:bCs w:val="0"/>
          <w:rtl/>
        </w:rPr>
        <w:t>(</w:t>
      </w:r>
      <w:r w:rsidRPr="00944A3C">
        <w:rPr>
          <w:rStyle w:val="EndnoteReference"/>
          <w:b w:val="0"/>
          <w:bCs w:val="0"/>
          <w:rtl/>
        </w:rPr>
        <w:endnoteReference w:id="4"/>
      </w:r>
      <w:r w:rsidRPr="00944A3C">
        <w:rPr>
          <w:rStyle w:val="EndnoteReference"/>
          <w:b w:val="0"/>
          <w:bCs w:val="0"/>
          <w:rtl/>
        </w:rPr>
        <w:t>)</w:t>
      </w:r>
      <w:bookmarkEnd w:id="4"/>
    </w:p>
    <w:p w:rsidR="00944A3C" w:rsidRPr="00944A3C" w:rsidRDefault="00944A3C" w:rsidP="00B7139C">
      <w:pPr>
        <w:pStyle w:val="SingleTxtGA"/>
        <w:rPr>
          <w:spacing w:val="-2"/>
          <w:rtl/>
        </w:rPr>
      </w:pPr>
      <w:r w:rsidRPr="00944A3C">
        <w:rPr>
          <w:rFonts w:hint="cs"/>
          <w:spacing w:val="-2"/>
          <w:rtl/>
        </w:rPr>
        <w:t>5</w:t>
      </w:r>
      <w:r w:rsidRPr="00944A3C">
        <w:rPr>
          <w:spacing w:val="-2"/>
          <w:rtl/>
        </w:rPr>
        <w:t>-</w:t>
      </w:r>
      <w:r w:rsidRPr="00944A3C">
        <w:rPr>
          <w:spacing w:val="-2"/>
          <w:rtl/>
        </w:rPr>
        <w:tab/>
        <w:t>حتى</w:t>
      </w:r>
      <w:r w:rsidRPr="00944A3C">
        <w:rPr>
          <w:rFonts w:hint="cs"/>
          <w:spacing w:val="-2"/>
          <w:rtl/>
        </w:rPr>
        <w:t xml:space="preserve"> 1</w:t>
      </w:r>
      <w:r w:rsidRPr="00944A3C">
        <w:rPr>
          <w:spacing w:val="-2"/>
          <w:rtl/>
        </w:rPr>
        <w:t xml:space="preserve"> كانون الثاني/يناير 2015، </w:t>
      </w:r>
      <w:r w:rsidRPr="00944A3C">
        <w:rPr>
          <w:rFonts w:hint="cs"/>
          <w:spacing w:val="-2"/>
          <w:rtl/>
        </w:rPr>
        <w:t xml:space="preserve">كان </w:t>
      </w:r>
      <w:r w:rsidRPr="00944A3C">
        <w:rPr>
          <w:spacing w:val="-2"/>
          <w:rtl/>
        </w:rPr>
        <w:t>عدد سكان فرنسا 66,4 مليون نسمة، يوجد</w:t>
      </w:r>
      <w:r w:rsidR="00B7139C">
        <w:rPr>
          <w:rFonts w:hint="cs"/>
          <w:spacing w:val="-2"/>
          <w:rtl/>
        </w:rPr>
        <w:t> </w:t>
      </w:r>
      <w:r w:rsidRPr="00944A3C">
        <w:rPr>
          <w:spacing w:val="-2"/>
          <w:rtl/>
        </w:rPr>
        <w:t xml:space="preserve">64,2 مليون نسمة منهم في فرنسا </w:t>
      </w:r>
      <w:r w:rsidRPr="00944A3C">
        <w:rPr>
          <w:rFonts w:hint="cs"/>
          <w:spacing w:val="-2"/>
          <w:rtl/>
        </w:rPr>
        <w:t>المتروبولي</w:t>
      </w:r>
      <w:r w:rsidRPr="00944A3C">
        <w:rPr>
          <w:rFonts w:hint="eastAsia"/>
          <w:spacing w:val="-2"/>
          <w:rtl/>
        </w:rPr>
        <w:t>ة</w:t>
      </w:r>
      <w:r w:rsidRPr="00944A3C">
        <w:rPr>
          <w:spacing w:val="-2"/>
          <w:rtl/>
        </w:rPr>
        <w:t xml:space="preserve"> و2,2 في مقاطعات وأقاليم ما وراء البحار</w:t>
      </w:r>
      <w:r w:rsidRPr="00944A3C">
        <w:rPr>
          <w:rFonts w:hint="cs"/>
          <w:spacing w:val="-2"/>
          <w:rtl/>
        </w:rPr>
        <w:t xml:space="preserve">. </w:t>
      </w:r>
      <w:r w:rsidRPr="00944A3C">
        <w:rPr>
          <w:spacing w:val="-2"/>
          <w:rtl/>
        </w:rPr>
        <w:t>وبالتالي، كانت تتركز بها نسبة 13 في المائة من سكان الاتحاد الأوروبي (508,2 ملايين نسمة).</w:t>
      </w:r>
    </w:p>
    <w:p w:rsidR="00944A3C" w:rsidRPr="005D0C50" w:rsidRDefault="00944A3C" w:rsidP="00944A3C">
      <w:pPr>
        <w:pStyle w:val="SingleTxtGA"/>
        <w:rPr>
          <w:rtl/>
        </w:rPr>
      </w:pPr>
      <w:r w:rsidRPr="005D0C50">
        <w:rPr>
          <w:rFonts w:hint="cs"/>
          <w:rtl/>
        </w:rPr>
        <w:t>6</w:t>
      </w:r>
      <w:r w:rsidRPr="005D0C50">
        <w:rPr>
          <w:rtl/>
        </w:rPr>
        <w:t>-</w:t>
      </w:r>
      <w:r w:rsidRPr="005D0C50">
        <w:rPr>
          <w:rtl/>
        </w:rPr>
        <w:tab/>
        <w:t>وحتى</w:t>
      </w:r>
      <w:r w:rsidRPr="005D0C50">
        <w:rPr>
          <w:rFonts w:hint="cs"/>
          <w:rtl/>
        </w:rPr>
        <w:t xml:space="preserve"> 1</w:t>
      </w:r>
      <w:r w:rsidRPr="005D0C50">
        <w:rPr>
          <w:rtl/>
        </w:rPr>
        <w:t xml:space="preserve"> كانون الثاني/يناير 2016، كان </w:t>
      </w:r>
      <w:r w:rsidRPr="005D0C50">
        <w:rPr>
          <w:rFonts w:hint="cs"/>
          <w:rtl/>
        </w:rPr>
        <w:t xml:space="preserve">يقيم في </w:t>
      </w:r>
      <w:r w:rsidRPr="005D0C50">
        <w:rPr>
          <w:rtl/>
        </w:rPr>
        <w:t>فرنسا 66,6 مليون نسمة</w:t>
      </w:r>
      <w:r>
        <w:rPr>
          <w:rStyle w:val="EndnoteReference"/>
          <w:rtl/>
        </w:rPr>
        <w:t>(</w:t>
      </w:r>
      <w:r w:rsidRPr="005D0C50">
        <w:rPr>
          <w:rStyle w:val="EndnoteReference"/>
          <w:rtl/>
        </w:rPr>
        <w:endnoteReference w:id="5"/>
      </w:r>
      <w:r>
        <w:rPr>
          <w:rStyle w:val="EndnoteReference"/>
          <w:rtl/>
        </w:rPr>
        <w:t>)</w:t>
      </w:r>
      <w:r w:rsidRPr="005D0C50">
        <w:rPr>
          <w:rtl/>
        </w:rPr>
        <w:t>، 64,5 مليون نسمة منهم في فرنسا ال</w:t>
      </w:r>
      <w:r w:rsidRPr="005D0C50">
        <w:rPr>
          <w:rFonts w:hint="cs"/>
          <w:rtl/>
        </w:rPr>
        <w:t>متروبولي</w:t>
      </w:r>
      <w:r w:rsidRPr="005D0C50">
        <w:rPr>
          <w:rFonts w:hint="eastAsia"/>
          <w:rtl/>
        </w:rPr>
        <w:t>ة</w:t>
      </w:r>
      <w:r>
        <w:rPr>
          <w:rStyle w:val="EndnoteReference"/>
          <w:rtl/>
        </w:rPr>
        <w:t>(</w:t>
      </w:r>
      <w:r w:rsidRPr="005D0C50">
        <w:rPr>
          <w:rStyle w:val="EndnoteReference"/>
          <w:rtl/>
        </w:rPr>
        <w:endnoteReference w:id="6"/>
      </w:r>
      <w:r>
        <w:rPr>
          <w:rStyle w:val="EndnoteReference"/>
          <w:rtl/>
        </w:rPr>
        <w:t>)</w:t>
      </w:r>
      <w:r w:rsidRPr="005D0C50">
        <w:rPr>
          <w:rtl/>
        </w:rPr>
        <w:t xml:space="preserve"> و2,1 في مقاطعات وأقاليم ما وراء البحار</w:t>
      </w:r>
      <w:r w:rsidRPr="005D0C50">
        <w:rPr>
          <w:rFonts w:hint="cs"/>
          <w:rtl/>
        </w:rPr>
        <w:t xml:space="preserve">. </w:t>
      </w:r>
      <w:r w:rsidRPr="005D0C50">
        <w:rPr>
          <w:rtl/>
        </w:rPr>
        <w:t>وتبلغ الكثافة السكانية في فرنسا المتروبولية 118 نسمة في الكيلومتر المربع</w:t>
      </w:r>
      <w:r>
        <w:rPr>
          <w:rStyle w:val="EndnoteReference"/>
          <w:rtl/>
        </w:rPr>
        <w:t>(</w:t>
      </w:r>
      <w:r w:rsidRPr="005D0C50">
        <w:rPr>
          <w:rStyle w:val="EndnoteReference"/>
          <w:rtl/>
        </w:rPr>
        <w:endnoteReference w:id="7"/>
      </w:r>
      <w:r>
        <w:rPr>
          <w:rStyle w:val="EndnoteReference"/>
          <w:rtl/>
        </w:rPr>
        <w:t>)</w:t>
      </w:r>
      <w:r w:rsidRPr="005D0C50">
        <w:rPr>
          <w:rFonts w:hint="cs"/>
          <w:rtl/>
        </w:rPr>
        <w:t>.</w:t>
      </w:r>
    </w:p>
    <w:p w:rsidR="00654D86" w:rsidRDefault="00944A3C" w:rsidP="00B7139C">
      <w:pPr>
        <w:pStyle w:val="SingleTxtGA"/>
        <w:rPr>
          <w:spacing w:val="-4"/>
          <w:rtl/>
        </w:rPr>
      </w:pPr>
      <w:r w:rsidRPr="00944A3C">
        <w:rPr>
          <w:rFonts w:hint="cs"/>
          <w:spacing w:val="-4"/>
          <w:rtl/>
        </w:rPr>
        <w:t>7</w:t>
      </w:r>
      <w:r w:rsidRPr="00944A3C">
        <w:rPr>
          <w:spacing w:val="-4"/>
          <w:rtl/>
        </w:rPr>
        <w:t>-</w:t>
      </w:r>
      <w:r w:rsidRPr="00944A3C">
        <w:rPr>
          <w:spacing w:val="-4"/>
          <w:rtl/>
        </w:rPr>
        <w:tab/>
        <w:t>ولم يشمل الإحصاء الديمغرافي</w:t>
      </w:r>
      <w:r w:rsidRPr="00944A3C">
        <w:rPr>
          <w:rFonts w:hint="cs"/>
          <w:spacing w:val="-4"/>
          <w:rtl/>
        </w:rPr>
        <w:t xml:space="preserve">، </w:t>
      </w:r>
      <w:r w:rsidRPr="00944A3C">
        <w:rPr>
          <w:spacing w:val="-4"/>
          <w:rtl/>
        </w:rPr>
        <w:t>إلا اعتبار</w:t>
      </w:r>
      <w:r w:rsidR="00526CCD">
        <w:rPr>
          <w:spacing w:val="-4"/>
          <w:rtl/>
        </w:rPr>
        <w:t xml:space="preserve">اً </w:t>
      </w:r>
      <w:r w:rsidRPr="00944A3C">
        <w:rPr>
          <w:spacing w:val="-4"/>
          <w:rtl/>
        </w:rPr>
        <w:t>من عام 2014</w:t>
      </w:r>
      <w:r w:rsidRPr="00944A3C">
        <w:rPr>
          <w:rFonts w:hint="cs"/>
          <w:spacing w:val="-4"/>
          <w:rtl/>
        </w:rPr>
        <w:t>،</w:t>
      </w:r>
      <w:r w:rsidRPr="00944A3C">
        <w:rPr>
          <w:spacing w:val="-4"/>
          <w:rtl/>
        </w:rPr>
        <w:t xml:space="preserve"> جزيرةَ مايوت القمرية التي أُدرجت ضمن فئة مقاطعات وأقاليم ما وراء البحار في 31 آذار/مارس 2011</w:t>
      </w:r>
      <w:r w:rsidRPr="00944A3C">
        <w:rPr>
          <w:rFonts w:hint="cs"/>
          <w:spacing w:val="-4"/>
          <w:rtl/>
        </w:rPr>
        <w:t xml:space="preserve">. </w:t>
      </w:r>
      <w:r w:rsidRPr="00944A3C">
        <w:rPr>
          <w:spacing w:val="-4"/>
          <w:rtl/>
        </w:rPr>
        <w:t>ولا تراعى حتى الآن في البيانات الإحصائية الجماعات الإقليم</w:t>
      </w:r>
      <w:r w:rsidRPr="00944A3C">
        <w:rPr>
          <w:rFonts w:hint="cs"/>
          <w:spacing w:val="-4"/>
          <w:rtl/>
        </w:rPr>
        <w:t>ية</w:t>
      </w:r>
      <w:r w:rsidRPr="00944A3C">
        <w:rPr>
          <w:spacing w:val="-4"/>
          <w:rtl/>
        </w:rPr>
        <w:t xml:space="preserve"> لما وراء البحار والجماعات التي لديها نظام خاص.</w:t>
      </w:r>
      <w:r w:rsidR="00B7139C">
        <w:rPr>
          <w:rFonts w:hint="cs"/>
          <w:spacing w:val="-4"/>
          <w:rtl/>
        </w:rPr>
        <w:t xml:space="preserve"> </w:t>
      </w:r>
    </w:p>
    <w:p w:rsidR="00944A3C" w:rsidRPr="005D0C50" w:rsidRDefault="00654D86" w:rsidP="00654D86">
      <w:pPr>
        <w:pStyle w:val="H23GA"/>
        <w:rPr>
          <w:rtl/>
        </w:rPr>
      </w:pPr>
      <w:r>
        <w:rPr>
          <w:rtl/>
        </w:rPr>
        <w:lastRenderedPageBreak/>
        <w:tab/>
      </w:r>
      <w:r w:rsidR="00944A3C" w:rsidRPr="005D0C50">
        <w:rPr>
          <w:rtl/>
        </w:rPr>
        <w:t>1-</w:t>
      </w:r>
      <w:r w:rsidR="00944A3C" w:rsidRPr="005D0C50">
        <w:rPr>
          <w:rtl/>
        </w:rPr>
        <w:tab/>
        <w:t>البيانات الديمغرافية</w:t>
      </w:r>
    </w:p>
    <w:p w:rsidR="00944A3C" w:rsidRPr="005D0C50" w:rsidRDefault="00944A3C" w:rsidP="00654D86">
      <w:pPr>
        <w:pStyle w:val="H23GA"/>
        <w:rPr>
          <w:rtl/>
        </w:rPr>
      </w:pPr>
      <w:r w:rsidRPr="005D0C50">
        <w:rPr>
          <w:spacing w:val="-4"/>
        </w:rPr>
        <w:tab/>
      </w:r>
      <w:r w:rsidRPr="005D0C50">
        <w:rPr>
          <w:spacing w:val="-4"/>
          <w:rtl/>
        </w:rPr>
        <w:t>(أ)</w:t>
      </w:r>
      <w:r w:rsidRPr="005D0C50">
        <w:rPr>
          <w:spacing w:val="-4"/>
          <w:rtl/>
        </w:rPr>
        <w:tab/>
      </w:r>
      <w:r w:rsidRPr="005D0C50">
        <w:rPr>
          <w:rtl/>
        </w:rPr>
        <w:t>النمو السكاني</w:t>
      </w:r>
    </w:p>
    <w:p w:rsidR="00944A3C" w:rsidRPr="00654D86" w:rsidRDefault="00944A3C" w:rsidP="00F85901">
      <w:pPr>
        <w:pStyle w:val="SingleTxtGA"/>
        <w:rPr>
          <w:spacing w:val="2"/>
          <w:rtl/>
        </w:rPr>
      </w:pPr>
      <w:r w:rsidRPr="00654D86">
        <w:rPr>
          <w:rFonts w:hint="cs"/>
          <w:spacing w:val="2"/>
          <w:rtl/>
        </w:rPr>
        <w:t>8-</w:t>
      </w:r>
      <w:r w:rsidRPr="00654D86">
        <w:rPr>
          <w:rFonts w:hint="cs"/>
          <w:spacing w:val="2"/>
          <w:rtl/>
        </w:rPr>
        <w:tab/>
      </w:r>
      <w:r w:rsidRPr="00654D86">
        <w:rPr>
          <w:spacing w:val="2"/>
          <w:rtl/>
        </w:rPr>
        <w:t>ارتفع عدد السكان المقيمين في فرنسا بنسبة 0,4 في المائة خلال عام 2015</w:t>
      </w:r>
      <w:r w:rsidR="00654D86">
        <w:rPr>
          <w:rFonts w:hint="cs"/>
          <w:spacing w:val="2"/>
          <w:rtl/>
        </w:rPr>
        <w:t xml:space="preserve">           </w:t>
      </w:r>
      <w:r w:rsidRPr="00654D86">
        <w:rPr>
          <w:spacing w:val="2"/>
          <w:rtl/>
        </w:rPr>
        <w:t xml:space="preserve"> (</w:t>
      </w:r>
      <w:r w:rsidR="00F85901">
        <w:rPr>
          <w:rFonts w:hint="cs"/>
          <w:spacing w:val="2"/>
          <w:rtl/>
        </w:rPr>
        <w:t>+</w:t>
      </w:r>
      <w:r w:rsidRPr="00654D86">
        <w:rPr>
          <w:spacing w:val="2"/>
          <w:rtl/>
        </w:rPr>
        <w:t>000</w:t>
      </w:r>
      <w:r w:rsidR="00654D86" w:rsidRPr="00654D86">
        <w:rPr>
          <w:rFonts w:hint="cs"/>
          <w:spacing w:val="2"/>
          <w:rtl/>
        </w:rPr>
        <w:t xml:space="preserve"> </w:t>
      </w:r>
      <w:r w:rsidRPr="00654D86">
        <w:rPr>
          <w:spacing w:val="2"/>
          <w:rtl/>
        </w:rPr>
        <w:t>247</w:t>
      </w:r>
      <w:r w:rsidRPr="00654D86">
        <w:rPr>
          <w:rFonts w:hint="cs"/>
          <w:spacing w:val="2"/>
          <w:rtl/>
        </w:rPr>
        <w:t xml:space="preserve">). </w:t>
      </w:r>
      <w:r w:rsidRPr="00654D86">
        <w:rPr>
          <w:spacing w:val="2"/>
          <w:rtl/>
        </w:rPr>
        <w:t xml:space="preserve">وعلى غرار الأعوام السابقة، يعزى النمو السكاني بشكل أساسي إلى التغير الطبيعي </w:t>
      </w:r>
      <w:r w:rsidRPr="00654D86">
        <w:rPr>
          <w:rFonts w:hint="cs"/>
          <w:spacing w:val="2"/>
          <w:rtl/>
        </w:rPr>
        <w:t xml:space="preserve">للسكان </w:t>
      </w:r>
      <w:r w:rsidRPr="00654D86">
        <w:rPr>
          <w:spacing w:val="2"/>
          <w:rtl/>
        </w:rPr>
        <w:t>(</w:t>
      </w:r>
      <w:r w:rsidR="00F85901">
        <w:rPr>
          <w:rFonts w:hint="cs"/>
          <w:spacing w:val="2"/>
          <w:rtl/>
        </w:rPr>
        <w:t>+</w:t>
      </w:r>
      <w:r w:rsidRPr="00654D86">
        <w:rPr>
          <w:spacing w:val="2"/>
          <w:rtl/>
        </w:rPr>
        <w:t>000 200 مولود)</w:t>
      </w:r>
      <w:r w:rsidRPr="00654D86">
        <w:rPr>
          <w:rFonts w:hint="cs"/>
          <w:spacing w:val="2"/>
          <w:rtl/>
        </w:rPr>
        <w:t xml:space="preserve">. </w:t>
      </w:r>
      <w:r w:rsidRPr="00654D86">
        <w:rPr>
          <w:spacing w:val="2"/>
          <w:rtl/>
        </w:rPr>
        <w:t xml:space="preserve">غير أن المعدل المسجل هو الأدنى منذ عام 1976 بالنظر إلى ارتفاع عدد الوفيات في عام 2015، وهو الأعلى منذ فترة ما بعد الحرب </w:t>
      </w:r>
      <w:r w:rsidR="00654D86">
        <w:rPr>
          <w:rFonts w:hint="cs"/>
          <w:spacing w:val="2"/>
          <w:rtl/>
        </w:rPr>
        <w:t xml:space="preserve">           </w:t>
      </w:r>
      <w:r w:rsidRPr="00654D86">
        <w:rPr>
          <w:spacing w:val="2"/>
          <w:rtl/>
        </w:rPr>
        <w:t>(000 600 حالة وفاة، أي بزيادة نسبتها 7,3 في المائة بالمقارنة مع عام 2014)</w:t>
      </w:r>
      <w:r w:rsidRPr="00654D86">
        <w:rPr>
          <w:rFonts w:hint="cs"/>
          <w:spacing w:val="2"/>
          <w:rtl/>
        </w:rPr>
        <w:t xml:space="preserve">. </w:t>
      </w:r>
      <w:r w:rsidRPr="00654D86">
        <w:rPr>
          <w:spacing w:val="2"/>
          <w:rtl/>
        </w:rPr>
        <w:t>ويظل صافي الهجرة منخفض</w:t>
      </w:r>
      <w:r w:rsidR="00526CCD" w:rsidRPr="00654D86">
        <w:rPr>
          <w:spacing w:val="2"/>
          <w:rtl/>
        </w:rPr>
        <w:t xml:space="preserve">اً </w:t>
      </w:r>
      <w:r w:rsidRPr="00654D86">
        <w:rPr>
          <w:spacing w:val="2"/>
          <w:rtl/>
        </w:rPr>
        <w:t>نسبي</w:t>
      </w:r>
      <w:r w:rsidR="00526CCD" w:rsidRPr="00654D86">
        <w:rPr>
          <w:spacing w:val="2"/>
          <w:rtl/>
        </w:rPr>
        <w:t xml:space="preserve">اً </w:t>
      </w:r>
      <w:r w:rsidRPr="00654D86">
        <w:rPr>
          <w:spacing w:val="2"/>
          <w:rtl/>
        </w:rPr>
        <w:t>(</w:t>
      </w:r>
      <w:r w:rsidR="00F85901">
        <w:rPr>
          <w:rFonts w:hint="cs"/>
          <w:spacing w:val="2"/>
          <w:rtl/>
        </w:rPr>
        <w:t>+</w:t>
      </w:r>
      <w:r w:rsidRPr="00654D86">
        <w:rPr>
          <w:spacing w:val="2"/>
          <w:rtl/>
        </w:rPr>
        <w:t>000 47)</w:t>
      </w:r>
      <w:r w:rsidRPr="00654D86">
        <w:rPr>
          <w:rStyle w:val="EndnoteReference"/>
          <w:spacing w:val="2"/>
          <w:rtl/>
        </w:rPr>
        <w:t>(</w:t>
      </w:r>
      <w:r w:rsidRPr="00654D86">
        <w:rPr>
          <w:rStyle w:val="EndnoteReference"/>
          <w:spacing w:val="2"/>
          <w:rtl/>
        </w:rPr>
        <w:endnoteReference w:id="8"/>
      </w:r>
      <w:r w:rsidRPr="00654D86">
        <w:rPr>
          <w:rStyle w:val="EndnoteReference"/>
          <w:spacing w:val="2"/>
          <w:rtl/>
        </w:rPr>
        <w:t>)</w:t>
      </w:r>
      <w:r w:rsidRPr="00654D86">
        <w:rPr>
          <w:rFonts w:hint="cs"/>
          <w:spacing w:val="2"/>
          <w:rtl/>
        </w:rPr>
        <w:t>.</w:t>
      </w:r>
    </w:p>
    <w:p w:rsidR="00944A3C" w:rsidRPr="005D0C50" w:rsidRDefault="00944A3C" w:rsidP="00725CEF">
      <w:pPr>
        <w:pStyle w:val="SingleTxtGA"/>
        <w:rPr>
          <w:rtl/>
        </w:rPr>
      </w:pPr>
      <w:r w:rsidRPr="005D0C50">
        <w:rPr>
          <w:rFonts w:hint="cs"/>
          <w:rtl/>
        </w:rPr>
        <w:t>9-</w:t>
      </w:r>
      <w:r w:rsidRPr="005D0C50">
        <w:rPr>
          <w:rFonts w:hint="cs"/>
          <w:rtl/>
        </w:rPr>
        <w:tab/>
      </w:r>
      <w:r w:rsidRPr="005D0C50">
        <w:rPr>
          <w:rFonts w:hint="cs"/>
          <w:b/>
          <w:bCs/>
          <w:rtl/>
        </w:rPr>
        <w:t>المناطق</w:t>
      </w:r>
      <w:r w:rsidRPr="005D0C50">
        <w:rPr>
          <w:rtl/>
        </w:rPr>
        <w:t xml:space="preserve">: خلال الفترة الممتدة بين عامي 2008 و2015، زاد عدد سكان جميع </w:t>
      </w:r>
      <w:r w:rsidRPr="005D0C50">
        <w:rPr>
          <w:rFonts w:hint="cs"/>
          <w:rtl/>
        </w:rPr>
        <w:t xml:space="preserve">مناطق فرنسا </w:t>
      </w:r>
      <w:r w:rsidRPr="005D0C50">
        <w:rPr>
          <w:rtl/>
        </w:rPr>
        <w:t>المتروبولية، وبشكل أكبر في كورسيكا ولانغدوك</w:t>
      </w:r>
      <w:r w:rsidR="00526CCD">
        <w:rPr>
          <w:rFonts w:hint="cs"/>
          <w:rtl/>
        </w:rPr>
        <w:t xml:space="preserve"> </w:t>
      </w:r>
      <w:r w:rsidRPr="005D0C50">
        <w:rPr>
          <w:rtl/>
        </w:rPr>
        <w:t>-</w:t>
      </w:r>
      <w:r w:rsidR="00526CCD">
        <w:rPr>
          <w:rFonts w:hint="cs"/>
          <w:rtl/>
        </w:rPr>
        <w:t xml:space="preserve"> </w:t>
      </w:r>
      <w:r w:rsidRPr="005D0C50">
        <w:rPr>
          <w:rtl/>
        </w:rPr>
        <w:t>روسيون</w:t>
      </w:r>
      <w:r w:rsidR="00526CCD">
        <w:rPr>
          <w:rFonts w:hint="cs"/>
          <w:rtl/>
        </w:rPr>
        <w:t xml:space="preserve"> </w:t>
      </w:r>
      <w:r w:rsidRPr="005D0C50">
        <w:rPr>
          <w:rtl/>
        </w:rPr>
        <w:t>-</w:t>
      </w:r>
      <w:r w:rsidR="00526CCD">
        <w:rPr>
          <w:rFonts w:hint="cs"/>
          <w:rtl/>
        </w:rPr>
        <w:t xml:space="preserve"> </w:t>
      </w:r>
      <w:r w:rsidRPr="005D0C50">
        <w:rPr>
          <w:rtl/>
        </w:rPr>
        <w:t>ميدي</w:t>
      </w:r>
      <w:r w:rsidR="00526CCD">
        <w:rPr>
          <w:rFonts w:hint="cs"/>
          <w:rtl/>
        </w:rPr>
        <w:t xml:space="preserve"> </w:t>
      </w:r>
      <w:r w:rsidRPr="005D0C50">
        <w:rPr>
          <w:rtl/>
        </w:rPr>
        <w:t>-</w:t>
      </w:r>
      <w:r w:rsidR="00526CCD">
        <w:rPr>
          <w:rFonts w:hint="cs"/>
          <w:rtl/>
        </w:rPr>
        <w:t xml:space="preserve"> </w:t>
      </w:r>
      <w:r w:rsidRPr="005D0C50">
        <w:rPr>
          <w:rtl/>
        </w:rPr>
        <w:t>بيرينيه</w:t>
      </w:r>
      <w:r w:rsidRPr="005D0C50">
        <w:rPr>
          <w:rFonts w:hint="cs"/>
          <w:rtl/>
        </w:rPr>
        <w:t xml:space="preserve">. </w:t>
      </w:r>
      <w:r w:rsidRPr="005D0C50">
        <w:rPr>
          <w:rtl/>
        </w:rPr>
        <w:t>و</w:t>
      </w:r>
      <w:r w:rsidRPr="005D0C50">
        <w:rPr>
          <w:rFonts w:hint="cs"/>
          <w:rtl/>
        </w:rPr>
        <w:t xml:space="preserve">يفوق </w:t>
      </w:r>
      <w:r w:rsidRPr="005D0C50">
        <w:rPr>
          <w:rtl/>
        </w:rPr>
        <w:t xml:space="preserve">عدد الأشخاص الذين </w:t>
      </w:r>
      <w:r w:rsidRPr="005D0C50">
        <w:rPr>
          <w:rFonts w:hint="cs"/>
          <w:rtl/>
        </w:rPr>
        <w:t>ت</w:t>
      </w:r>
      <w:r w:rsidRPr="005D0C50">
        <w:rPr>
          <w:rtl/>
        </w:rPr>
        <w:t xml:space="preserve">جذبهم </w:t>
      </w:r>
      <w:r w:rsidRPr="005D0C50">
        <w:rPr>
          <w:rFonts w:hint="cs"/>
          <w:rtl/>
        </w:rPr>
        <w:t xml:space="preserve">هاتان المنطقتان </w:t>
      </w:r>
      <w:r w:rsidRPr="005D0C50">
        <w:rPr>
          <w:rtl/>
        </w:rPr>
        <w:t>الجديد</w:t>
      </w:r>
      <w:r w:rsidRPr="005D0C50">
        <w:rPr>
          <w:rFonts w:hint="cs"/>
          <w:rtl/>
        </w:rPr>
        <w:t>ت</w:t>
      </w:r>
      <w:r w:rsidRPr="005D0C50">
        <w:rPr>
          <w:rtl/>
        </w:rPr>
        <w:t>ان</w:t>
      </w:r>
      <w:r>
        <w:rPr>
          <w:rStyle w:val="EndnoteReference"/>
          <w:rtl/>
        </w:rPr>
        <w:t>(</w:t>
      </w:r>
      <w:r w:rsidRPr="005D0C50">
        <w:rPr>
          <w:rStyle w:val="EndnoteReference"/>
          <w:rtl/>
        </w:rPr>
        <w:endnoteReference w:id="9"/>
      </w:r>
      <w:r>
        <w:rPr>
          <w:rStyle w:val="EndnoteReference"/>
          <w:rtl/>
        </w:rPr>
        <w:t>)</w:t>
      </w:r>
      <w:r w:rsidRPr="005D0C50">
        <w:rPr>
          <w:rtl/>
        </w:rPr>
        <w:t xml:space="preserve"> بكث</w:t>
      </w:r>
      <w:r w:rsidRPr="005D0C50">
        <w:rPr>
          <w:rFonts w:hint="cs"/>
          <w:rtl/>
        </w:rPr>
        <w:t>ي</w:t>
      </w:r>
      <w:r w:rsidRPr="005D0C50">
        <w:rPr>
          <w:rtl/>
        </w:rPr>
        <w:t>ر</w:t>
      </w:r>
      <w:r w:rsidRPr="005D0C50">
        <w:rPr>
          <w:rFonts w:hint="cs"/>
          <w:rtl/>
        </w:rPr>
        <w:t>ٍ</w:t>
      </w:r>
      <w:r w:rsidRPr="005D0C50">
        <w:rPr>
          <w:rtl/>
        </w:rPr>
        <w:t xml:space="preserve"> عدد من يغادرونه</w:t>
      </w:r>
      <w:r w:rsidRPr="005D0C50">
        <w:rPr>
          <w:rFonts w:hint="cs"/>
          <w:rtl/>
        </w:rPr>
        <w:t>م</w:t>
      </w:r>
      <w:r w:rsidRPr="005D0C50">
        <w:rPr>
          <w:rtl/>
        </w:rPr>
        <w:t xml:space="preserve">ا، في </w:t>
      </w:r>
      <w:r w:rsidRPr="005D0C50">
        <w:rPr>
          <w:rFonts w:hint="cs"/>
          <w:rtl/>
        </w:rPr>
        <w:t xml:space="preserve">حين </w:t>
      </w:r>
      <w:r w:rsidRPr="005D0C50">
        <w:rPr>
          <w:rtl/>
        </w:rPr>
        <w:t>تعوض الولادات</w:t>
      </w:r>
      <w:r w:rsidRPr="005D0C50">
        <w:rPr>
          <w:rFonts w:hint="cs"/>
          <w:rtl/>
        </w:rPr>
        <w:t>ُ</w:t>
      </w:r>
      <w:r w:rsidRPr="005D0C50">
        <w:rPr>
          <w:rtl/>
        </w:rPr>
        <w:t xml:space="preserve"> الوفيات</w:t>
      </w:r>
      <w:r w:rsidRPr="005D0C50">
        <w:rPr>
          <w:rFonts w:hint="cs"/>
          <w:rtl/>
        </w:rPr>
        <w:t xml:space="preserve">ِ بالضبط. </w:t>
      </w:r>
      <w:r w:rsidRPr="005D0C50">
        <w:rPr>
          <w:rtl/>
        </w:rPr>
        <w:t xml:space="preserve">ولا </w:t>
      </w:r>
      <w:r w:rsidRPr="005D0C50">
        <w:rPr>
          <w:rFonts w:hint="cs"/>
          <w:rtl/>
        </w:rPr>
        <w:t>ي</w:t>
      </w:r>
      <w:r w:rsidRPr="005D0C50">
        <w:rPr>
          <w:rtl/>
        </w:rPr>
        <w:t>جذب الشمال الشرقي سوى القليل من السكان</w:t>
      </w:r>
      <w:r w:rsidRPr="005D0C50">
        <w:rPr>
          <w:rFonts w:hint="cs"/>
          <w:rtl/>
        </w:rPr>
        <w:t xml:space="preserve">. </w:t>
      </w:r>
      <w:r w:rsidRPr="005D0C50">
        <w:rPr>
          <w:rtl/>
        </w:rPr>
        <w:t xml:space="preserve">وبالفعل، </w:t>
      </w:r>
      <w:r w:rsidRPr="005D0C50">
        <w:rPr>
          <w:rFonts w:hint="cs"/>
          <w:rtl/>
        </w:rPr>
        <w:t xml:space="preserve">فمنطقة </w:t>
      </w:r>
      <w:r w:rsidRPr="005D0C50">
        <w:rPr>
          <w:rtl/>
        </w:rPr>
        <w:t>ألزاس</w:t>
      </w:r>
      <w:r w:rsidR="00725CEF">
        <w:rPr>
          <w:rFonts w:hint="cs"/>
          <w:rtl/>
        </w:rPr>
        <w:t xml:space="preserve"> - </w:t>
      </w:r>
      <w:r w:rsidRPr="005D0C50">
        <w:rPr>
          <w:rtl/>
        </w:rPr>
        <w:t>لورين</w:t>
      </w:r>
      <w:r w:rsidR="00725CEF">
        <w:rPr>
          <w:rFonts w:hint="cs"/>
          <w:rtl/>
        </w:rPr>
        <w:t xml:space="preserve"> </w:t>
      </w:r>
      <w:r w:rsidRPr="005D0C50">
        <w:rPr>
          <w:rtl/>
        </w:rPr>
        <w:t>-</w:t>
      </w:r>
      <w:r w:rsidR="00725CEF">
        <w:rPr>
          <w:rFonts w:hint="cs"/>
          <w:rtl/>
        </w:rPr>
        <w:t xml:space="preserve"> </w:t>
      </w:r>
      <w:r w:rsidRPr="005D0C50">
        <w:rPr>
          <w:rtl/>
        </w:rPr>
        <w:t>شامبان</w:t>
      </w:r>
      <w:r w:rsidR="00725CEF">
        <w:rPr>
          <w:rFonts w:hint="cs"/>
          <w:rtl/>
        </w:rPr>
        <w:t xml:space="preserve"> </w:t>
      </w:r>
      <w:r w:rsidRPr="005D0C50">
        <w:rPr>
          <w:rtl/>
        </w:rPr>
        <w:t>-</w:t>
      </w:r>
      <w:r w:rsidR="00725CEF">
        <w:rPr>
          <w:rFonts w:hint="cs"/>
          <w:rtl/>
        </w:rPr>
        <w:t xml:space="preserve"> </w:t>
      </w:r>
      <w:r w:rsidRPr="005D0C50">
        <w:rPr>
          <w:rtl/>
        </w:rPr>
        <w:t xml:space="preserve">أردين </w:t>
      </w:r>
      <w:r w:rsidRPr="005D0C50">
        <w:rPr>
          <w:rFonts w:hint="cs"/>
          <w:rtl/>
        </w:rPr>
        <w:t xml:space="preserve">ومنطقة </w:t>
      </w:r>
      <w:r w:rsidRPr="005D0C50">
        <w:rPr>
          <w:rtl/>
        </w:rPr>
        <w:t>هو</w:t>
      </w:r>
      <w:r w:rsidRPr="005D0C50">
        <w:rPr>
          <w:rFonts w:hint="cs"/>
          <w:rtl/>
        </w:rPr>
        <w:t xml:space="preserve"> </w:t>
      </w:r>
      <w:r w:rsidRPr="005D0C50">
        <w:rPr>
          <w:rtl/>
        </w:rPr>
        <w:t>دو</w:t>
      </w:r>
      <w:r w:rsidRPr="005D0C50">
        <w:rPr>
          <w:rFonts w:hint="cs"/>
          <w:rtl/>
        </w:rPr>
        <w:t xml:space="preserve"> </w:t>
      </w:r>
      <w:r w:rsidRPr="005D0C50">
        <w:rPr>
          <w:rtl/>
        </w:rPr>
        <w:t xml:space="preserve">فرانس هما الأقل </w:t>
      </w:r>
      <w:r w:rsidRPr="005D0C50">
        <w:rPr>
          <w:rFonts w:hint="cs"/>
          <w:rtl/>
        </w:rPr>
        <w:t>نمو</w:t>
      </w:r>
      <w:r w:rsidR="00526CCD">
        <w:rPr>
          <w:rFonts w:hint="cs"/>
          <w:rtl/>
        </w:rPr>
        <w:t xml:space="preserve">اً </w:t>
      </w:r>
      <w:r w:rsidRPr="005D0C50">
        <w:rPr>
          <w:rtl/>
        </w:rPr>
        <w:t>بسبب صافي الهجرة السلبي الذي يعوضه بالكاد فائض الولادات بالمقارنة مع الوفيات</w:t>
      </w:r>
      <w:r w:rsidRPr="005D0C50">
        <w:rPr>
          <w:rFonts w:hint="cs"/>
          <w:rtl/>
        </w:rPr>
        <w:t xml:space="preserve">. </w:t>
      </w:r>
      <w:r w:rsidRPr="005D0C50">
        <w:rPr>
          <w:rtl/>
        </w:rPr>
        <w:t>وزاد عدد سكان منطقة إيل دو فرانس بنفس وتيرة المتوسط الوطني، غير أن هذا النمو ناتج عن تركيبة من نقيضين: فالتغير الطبيعي بها هو الأعلى في فرنسا المتروبولية وصافي الهجرة سلبي للغاية</w:t>
      </w:r>
      <w:r w:rsidRPr="005D0C50">
        <w:rPr>
          <w:rFonts w:hint="cs"/>
          <w:rtl/>
        </w:rPr>
        <w:t xml:space="preserve">. </w:t>
      </w:r>
      <w:r w:rsidRPr="005D0C50">
        <w:rPr>
          <w:rtl/>
        </w:rPr>
        <w:t>وفي الفترة الممتدة بين عامي 2008 و2015، شهدت غيانا أكبر زيادة في عدد السكان على صعيد مقاطعات وأقاليم ما وراء البحار (بمتوسط سنوي نسبته 2,2 في المائة)</w:t>
      </w:r>
      <w:r w:rsidRPr="005D0C50">
        <w:rPr>
          <w:rFonts w:hint="cs"/>
          <w:rtl/>
        </w:rPr>
        <w:t>،</w:t>
      </w:r>
      <w:r w:rsidRPr="005D0C50">
        <w:rPr>
          <w:rtl/>
        </w:rPr>
        <w:t xml:space="preserve"> وذلك بفضل تغير طبيعي مرتفع جدا</w:t>
      </w:r>
      <w:r w:rsidRPr="005D0C50">
        <w:rPr>
          <w:rFonts w:hint="cs"/>
          <w:rtl/>
        </w:rPr>
        <w:t xml:space="preserve">. </w:t>
      </w:r>
      <w:r w:rsidRPr="005D0C50">
        <w:rPr>
          <w:rtl/>
        </w:rPr>
        <w:t>وخلاف</w:t>
      </w:r>
      <w:r w:rsidR="00526CCD">
        <w:rPr>
          <w:rtl/>
        </w:rPr>
        <w:t xml:space="preserve">اً </w:t>
      </w:r>
      <w:r w:rsidRPr="005D0C50">
        <w:rPr>
          <w:rtl/>
        </w:rPr>
        <w:t>لذلك، انخفض عدد سكان مارتينيك بنسبة بلغ متوسطها السنوي 0,7 في المائة، وذلك بسبب نقصٍ في عدد الوافدين لم يُتح التغير الطبيعي الإيجابي للسكان تعويضه</w:t>
      </w:r>
      <w:r>
        <w:rPr>
          <w:rStyle w:val="EndnoteReference"/>
          <w:rtl/>
        </w:rPr>
        <w:t>(</w:t>
      </w:r>
      <w:r w:rsidRPr="005D0C50">
        <w:rPr>
          <w:rStyle w:val="EndnoteReference"/>
          <w:rtl/>
        </w:rPr>
        <w:endnoteReference w:id="10"/>
      </w:r>
      <w:r>
        <w:rPr>
          <w:rStyle w:val="EndnoteReference"/>
          <w:rtl/>
        </w:rPr>
        <w:t>)</w:t>
      </w:r>
      <w:r w:rsidRPr="005D0C50">
        <w:rPr>
          <w:rFonts w:hint="cs"/>
          <w:rtl/>
        </w:rPr>
        <w:t>.</w:t>
      </w:r>
    </w:p>
    <w:p w:rsidR="00944A3C" w:rsidRPr="005D0C50" w:rsidRDefault="00944A3C" w:rsidP="00725CEF">
      <w:pPr>
        <w:pStyle w:val="SingleTxtGA"/>
        <w:rPr>
          <w:rtl/>
        </w:rPr>
      </w:pPr>
      <w:r w:rsidRPr="005D0C50">
        <w:rPr>
          <w:rFonts w:hint="cs"/>
          <w:rtl/>
        </w:rPr>
        <w:t>10-</w:t>
      </w:r>
      <w:r w:rsidRPr="005D0C50">
        <w:rPr>
          <w:rFonts w:hint="cs"/>
          <w:rtl/>
        </w:rPr>
        <w:tab/>
      </w:r>
      <w:r w:rsidRPr="005D0C50">
        <w:rPr>
          <w:b/>
          <w:bCs/>
          <w:rtl/>
        </w:rPr>
        <w:t>المدن/البلديات</w:t>
      </w:r>
      <w:r w:rsidRPr="005D0C50">
        <w:rPr>
          <w:rtl/>
        </w:rPr>
        <w:t>: خلال الفترة الممتدة بين عامي 1982 و2012، شهدت فرنسا زيادة سكانية قدرها 9,7 ملايين نسمة، سُجلت نسبة 20 في المائة منها في منطقة باريس الحضرية و30 في المائة في المناطق الحضرية</w:t>
      </w:r>
      <w:r>
        <w:rPr>
          <w:rStyle w:val="EndnoteReference"/>
          <w:rtl/>
        </w:rPr>
        <w:t>(</w:t>
      </w:r>
      <w:r w:rsidRPr="005D0C50">
        <w:rPr>
          <w:rStyle w:val="EndnoteReference"/>
          <w:rtl/>
        </w:rPr>
        <w:endnoteReference w:id="11"/>
      </w:r>
      <w:r>
        <w:rPr>
          <w:rStyle w:val="EndnoteReference"/>
          <w:rtl/>
        </w:rPr>
        <w:t>)</w:t>
      </w:r>
      <w:r w:rsidRPr="005D0C50">
        <w:rPr>
          <w:rtl/>
        </w:rPr>
        <w:t xml:space="preserve"> الثلاث عشرة </w:t>
      </w:r>
      <w:r w:rsidRPr="005D0C50">
        <w:rPr>
          <w:rFonts w:hint="cs"/>
          <w:rtl/>
        </w:rPr>
        <w:t>ل</w:t>
      </w:r>
      <w:r w:rsidRPr="005D0C50">
        <w:rPr>
          <w:rtl/>
        </w:rPr>
        <w:t>لإقليم</w:t>
      </w:r>
      <w:r>
        <w:rPr>
          <w:rStyle w:val="EndnoteReference"/>
          <w:rtl/>
        </w:rPr>
        <w:t>(</w:t>
      </w:r>
      <w:r w:rsidRPr="005D0C50">
        <w:rPr>
          <w:rStyle w:val="EndnoteReference"/>
          <w:rtl/>
        </w:rPr>
        <w:endnoteReference w:id="12"/>
      </w:r>
      <w:r>
        <w:rPr>
          <w:rStyle w:val="EndnoteReference"/>
          <w:rtl/>
        </w:rPr>
        <w:t>)</w:t>
      </w:r>
      <w:r w:rsidRPr="005D0C50">
        <w:rPr>
          <w:rFonts w:hint="cs"/>
          <w:rtl/>
        </w:rPr>
        <w:t xml:space="preserve">. </w:t>
      </w:r>
      <w:r w:rsidRPr="005D0C50">
        <w:rPr>
          <w:rtl/>
        </w:rPr>
        <w:t>وحتى 1 كانون الثاني/يناير 2015، بلغ عدد بلديات فرنسا المتروبولية 529 36 بلدية</w:t>
      </w:r>
      <w:r w:rsidRPr="005D0C50">
        <w:rPr>
          <w:rFonts w:hint="cs"/>
          <w:rtl/>
        </w:rPr>
        <w:t xml:space="preserve">. </w:t>
      </w:r>
      <w:r w:rsidRPr="005D0C50">
        <w:rPr>
          <w:rtl/>
        </w:rPr>
        <w:t>وكان عدد سكان أكثر من نصف هذه البلديات (54 في المائة)</w:t>
      </w:r>
      <w:r w:rsidRPr="005D0C50">
        <w:rPr>
          <w:rFonts w:hint="cs"/>
          <w:rtl/>
        </w:rPr>
        <w:t xml:space="preserve">، </w:t>
      </w:r>
      <w:r w:rsidRPr="005D0C50">
        <w:rPr>
          <w:rtl/>
        </w:rPr>
        <w:t>حتى 1 كانون الثاني/يناير 2013</w:t>
      </w:r>
      <w:r w:rsidRPr="005D0C50">
        <w:rPr>
          <w:rFonts w:hint="cs"/>
          <w:rtl/>
        </w:rPr>
        <w:t>،</w:t>
      </w:r>
      <w:r w:rsidRPr="005D0C50">
        <w:rPr>
          <w:rtl/>
        </w:rPr>
        <w:t xml:space="preserve"> يقل عن</w:t>
      </w:r>
      <w:r w:rsidR="00725CEF">
        <w:rPr>
          <w:rFonts w:hint="cs"/>
          <w:rtl/>
        </w:rPr>
        <w:t> </w:t>
      </w:r>
      <w:r w:rsidRPr="005D0C50">
        <w:rPr>
          <w:rtl/>
        </w:rPr>
        <w:t xml:space="preserve">500 نسمة </w:t>
      </w:r>
      <w:r w:rsidRPr="005D0C50">
        <w:rPr>
          <w:rFonts w:hint="cs"/>
          <w:rtl/>
        </w:rPr>
        <w:t xml:space="preserve">لكل بلدية. </w:t>
      </w:r>
      <w:r w:rsidRPr="005D0C50">
        <w:rPr>
          <w:rtl/>
        </w:rPr>
        <w:t>ويقطن هذه البلديات الصغيرة البالغ عددها 800 19 بلدية 4,5 ملايين نسمة، أي 7 في المائة من سكان فرنسا المتروبولية: أي ما يقارب مجموع سكان البلديات الخمس الكبرى مجتمعة، وهي: باريس ومرسيليا وليون وتولوز ونيس</w:t>
      </w:r>
      <w:r w:rsidRPr="005D0C50">
        <w:rPr>
          <w:rFonts w:hint="cs"/>
          <w:rtl/>
        </w:rPr>
        <w:t xml:space="preserve">. </w:t>
      </w:r>
      <w:r w:rsidRPr="005D0C50">
        <w:rPr>
          <w:rtl/>
        </w:rPr>
        <w:t xml:space="preserve">وفي عام 1968، كان </w:t>
      </w:r>
      <w:r w:rsidRPr="005D0C50">
        <w:rPr>
          <w:rFonts w:hint="cs"/>
          <w:rtl/>
        </w:rPr>
        <w:t xml:space="preserve">عدد سكان </w:t>
      </w:r>
      <w:r w:rsidRPr="005D0C50">
        <w:rPr>
          <w:rtl/>
        </w:rPr>
        <w:t xml:space="preserve">البلديات التي </w:t>
      </w:r>
      <w:r w:rsidRPr="005D0C50">
        <w:rPr>
          <w:rFonts w:hint="cs"/>
          <w:rtl/>
        </w:rPr>
        <w:t xml:space="preserve">يقطنها أقل من </w:t>
      </w:r>
      <w:r w:rsidRPr="005D0C50">
        <w:rPr>
          <w:rtl/>
        </w:rPr>
        <w:t xml:space="preserve">500 نسمة </w:t>
      </w:r>
      <w:r w:rsidRPr="005D0C50">
        <w:rPr>
          <w:rFonts w:hint="cs"/>
          <w:rtl/>
        </w:rPr>
        <w:t>ي</w:t>
      </w:r>
      <w:r w:rsidRPr="005D0C50">
        <w:rPr>
          <w:rtl/>
        </w:rPr>
        <w:t>شكل 11 في المائة من سكان فرنسا المتروبولية</w:t>
      </w:r>
      <w:r w:rsidRPr="005D0C50">
        <w:rPr>
          <w:rFonts w:hint="cs"/>
          <w:rtl/>
        </w:rPr>
        <w:t>.</w:t>
      </w:r>
    </w:p>
    <w:p w:rsidR="00944A3C" w:rsidRPr="002F2536" w:rsidRDefault="00944A3C" w:rsidP="002F2536">
      <w:pPr>
        <w:pStyle w:val="SingleTxtGA"/>
        <w:rPr>
          <w:spacing w:val="-3"/>
          <w:rtl/>
        </w:rPr>
      </w:pPr>
      <w:r w:rsidRPr="002F2536">
        <w:rPr>
          <w:rFonts w:hint="cs"/>
          <w:spacing w:val="-3"/>
          <w:rtl/>
        </w:rPr>
        <w:t>11-</w:t>
      </w:r>
      <w:r w:rsidRPr="002F2536">
        <w:rPr>
          <w:rFonts w:hint="cs"/>
          <w:spacing w:val="-3"/>
          <w:rtl/>
        </w:rPr>
        <w:tab/>
      </w:r>
      <w:r w:rsidRPr="002F2536">
        <w:rPr>
          <w:spacing w:val="-3"/>
          <w:rtl/>
        </w:rPr>
        <w:t>و</w:t>
      </w:r>
      <w:r w:rsidRPr="002F2536">
        <w:rPr>
          <w:rFonts w:hint="cs"/>
          <w:spacing w:val="-3"/>
          <w:rtl/>
        </w:rPr>
        <w:t xml:space="preserve">تضافر في حدوث </w:t>
      </w:r>
      <w:r w:rsidRPr="002F2536">
        <w:rPr>
          <w:spacing w:val="-3"/>
          <w:rtl/>
        </w:rPr>
        <w:t>هذه الظاهرة توسع مساحة المدن وتزايد الاستيطان</w:t>
      </w:r>
      <w:r w:rsidRPr="002F2536">
        <w:rPr>
          <w:rFonts w:hint="cs"/>
          <w:spacing w:val="-3"/>
          <w:rtl/>
        </w:rPr>
        <w:t xml:space="preserve">. </w:t>
      </w:r>
      <w:r w:rsidRPr="002F2536">
        <w:rPr>
          <w:spacing w:val="-3"/>
          <w:rtl/>
        </w:rPr>
        <w:t>وبشكل أدق، سُجلت نسبة 80 في المائة تقريب</w:t>
      </w:r>
      <w:r w:rsidR="00526CCD" w:rsidRPr="002F2536">
        <w:rPr>
          <w:spacing w:val="-3"/>
          <w:rtl/>
        </w:rPr>
        <w:t xml:space="preserve">اً </w:t>
      </w:r>
      <w:r w:rsidRPr="002F2536">
        <w:rPr>
          <w:spacing w:val="-3"/>
          <w:rtl/>
        </w:rPr>
        <w:t>من تزايد سكان المناطق الحضرية، خلال الأعوام الثلاثين الماضية، في التجمعات السكانية التي تضم 000 400 نسمة أو أكثر</w:t>
      </w:r>
      <w:r w:rsidRPr="002F2536">
        <w:rPr>
          <w:rFonts w:hint="cs"/>
          <w:spacing w:val="-3"/>
          <w:rtl/>
        </w:rPr>
        <w:t xml:space="preserve">. </w:t>
      </w:r>
      <w:r w:rsidRPr="002F2536">
        <w:rPr>
          <w:spacing w:val="-3"/>
          <w:rtl/>
        </w:rPr>
        <w:t>وتدعم جاذبية المدن الكبرى نظام</w:t>
      </w:r>
      <w:r w:rsidR="00526CCD" w:rsidRPr="002F2536">
        <w:rPr>
          <w:spacing w:val="-3"/>
          <w:rtl/>
        </w:rPr>
        <w:t xml:space="preserve">اً </w:t>
      </w:r>
      <w:r w:rsidRPr="002F2536">
        <w:rPr>
          <w:spacing w:val="-3"/>
          <w:rtl/>
        </w:rPr>
        <w:t>حضري</w:t>
      </w:r>
      <w:r w:rsidR="00526CCD" w:rsidRPr="002F2536">
        <w:rPr>
          <w:spacing w:val="-3"/>
          <w:rtl/>
        </w:rPr>
        <w:t xml:space="preserve">اً </w:t>
      </w:r>
      <w:r w:rsidRPr="002F2536">
        <w:rPr>
          <w:spacing w:val="-3"/>
          <w:rtl/>
        </w:rPr>
        <w:t>تهيمن عليه</w:t>
      </w:r>
      <w:r w:rsidRPr="002F2536">
        <w:rPr>
          <w:rFonts w:hint="cs"/>
          <w:spacing w:val="-3"/>
          <w:rtl/>
        </w:rPr>
        <w:t>،</w:t>
      </w:r>
      <w:r w:rsidRPr="002F2536">
        <w:rPr>
          <w:spacing w:val="-3"/>
          <w:rtl/>
        </w:rPr>
        <w:t xml:space="preserve"> في المقام الأول</w:t>
      </w:r>
      <w:r w:rsidRPr="002F2536">
        <w:rPr>
          <w:rFonts w:hint="cs"/>
          <w:spacing w:val="-3"/>
          <w:rtl/>
        </w:rPr>
        <w:t>،</w:t>
      </w:r>
      <w:r w:rsidRPr="002F2536">
        <w:rPr>
          <w:spacing w:val="-3"/>
          <w:rtl/>
        </w:rPr>
        <w:t xml:space="preserve"> مدينة باريس، وفي المقام الثاني</w:t>
      </w:r>
      <w:r w:rsidRPr="002F2536">
        <w:rPr>
          <w:rFonts w:hint="cs"/>
          <w:spacing w:val="-3"/>
          <w:rtl/>
        </w:rPr>
        <w:t>،</w:t>
      </w:r>
      <w:r w:rsidRPr="002F2536">
        <w:rPr>
          <w:spacing w:val="-3"/>
          <w:rtl/>
        </w:rPr>
        <w:t xml:space="preserve"> مجموعة مكونة من 14 وحدة </w:t>
      </w:r>
      <w:r w:rsidRPr="002F2536">
        <w:rPr>
          <w:spacing w:val="-3"/>
          <w:rtl/>
        </w:rPr>
        <w:lastRenderedPageBreak/>
        <w:t>حضرية يبلغ عدد سكانها 000 400 نسمة أو أكثر، تقع على الساحل وعلى طول الأنهار وقرب الحدود</w:t>
      </w:r>
      <w:r w:rsidRPr="002F2536">
        <w:rPr>
          <w:rFonts w:hint="cs"/>
          <w:spacing w:val="-3"/>
          <w:rtl/>
        </w:rPr>
        <w:t xml:space="preserve">. </w:t>
      </w:r>
      <w:r w:rsidRPr="002F2536">
        <w:rPr>
          <w:spacing w:val="-3"/>
          <w:rtl/>
        </w:rPr>
        <w:t>وتضم الوحدة الحضرية لباريس في الوقت الراهن، كما في عام</w:t>
      </w:r>
      <w:r w:rsidR="002F2536" w:rsidRPr="002F2536">
        <w:rPr>
          <w:rFonts w:hint="cs"/>
          <w:spacing w:val="-3"/>
          <w:rtl/>
        </w:rPr>
        <w:t> </w:t>
      </w:r>
      <w:r w:rsidRPr="002F2536">
        <w:rPr>
          <w:spacing w:val="-3"/>
          <w:rtl/>
        </w:rPr>
        <w:t>1982، أكثر من ربع سكان المناطق الحضرية</w:t>
      </w:r>
      <w:r w:rsidRPr="002F2536">
        <w:rPr>
          <w:rFonts w:hint="cs"/>
          <w:spacing w:val="-3"/>
          <w:rtl/>
        </w:rPr>
        <w:t xml:space="preserve">. </w:t>
      </w:r>
      <w:r w:rsidRPr="002F2536">
        <w:rPr>
          <w:spacing w:val="-3"/>
          <w:rtl/>
        </w:rPr>
        <w:t>وفي عام 2010، كانت المدن تَشغل 22 في المائة من مساحة الإقليم وتضم 47,9 مليون نسمة، أي 77,5 في المائة من مجموع السكان</w:t>
      </w:r>
      <w:r w:rsidRPr="002F2536">
        <w:rPr>
          <w:rFonts w:hint="cs"/>
          <w:spacing w:val="-3"/>
          <w:rtl/>
        </w:rPr>
        <w:t xml:space="preserve">. </w:t>
      </w:r>
      <w:r w:rsidRPr="002F2536">
        <w:rPr>
          <w:spacing w:val="-3"/>
          <w:rtl/>
        </w:rPr>
        <w:t xml:space="preserve">وفي الفترة </w:t>
      </w:r>
      <w:r w:rsidRPr="002F2536">
        <w:rPr>
          <w:rFonts w:hint="cs"/>
          <w:spacing w:val="-3"/>
          <w:rtl/>
        </w:rPr>
        <w:t xml:space="preserve">الممتدة </w:t>
      </w:r>
      <w:r w:rsidRPr="002F2536">
        <w:rPr>
          <w:spacing w:val="-3"/>
          <w:rtl/>
        </w:rPr>
        <w:t>بين عامي</w:t>
      </w:r>
      <w:r w:rsidR="002F2536">
        <w:rPr>
          <w:rFonts w:hint="cs"/>
          <w:spacing w:val="-3"/>
          <w:rtl/>
        </w:rPr>
        <w:t> </w:t>
      </w:r>
      <w:r w:rsidRPr="002F2536">
        <w:rPr>
          <w:spacing w:val="-3"/>
          <w:rtl/>
        </w:rPr>
        <w:t>2000 و2010، زادت مساحة الحيز الحضري في فرنسا المتروبولية بنسبة 20 في المائة تقريبا</w:t>
      </w:r>
      <w:r w:rsidRPr="002F2536">
        <w:rPr>
          <w:rFonts w:hint="cs"/>
          <w:spacing w:val="-3"/>
          <w:rtl/>
        </w:rPr>
        <w:t xml:space="preserve">. </w:t>
      </w:r>
      <w:r w:rsidRPr="002F2536">
        <w:rPr>
          <w:spacing w:val="-3"/>
          <w:rtl/>
        </w:rPr>
        <w:t>ويشكل ابتلاع الحيز الحضري لبلديات ريفية قديمة السببَ الرئيسي لتوسعه</w:t>
      </w:r>
      <w:r w:rsidRPr="002F2536">
        <w:rPr>
          <w:rStyle w:val="EndnoteReference"/>
          <w:spacing w:val="-3"/>
          <w:rtl/>
        </w:rPr>
        <w:t>(</w:t>
      </w:r>
      <w:r w:rsidRPr="002F2536">
        <w:rPr>
          <w:rStyle w:val="EndnoteReference"/>
          <w:spacing w:val="-3"/>
          <w:rtl/>
        </w:rPr>
        <w:endnoteReference w:id="13"/>
      </w:r>
      <w:r w:rsidRPr="002F2536">
        <w:rPr>
          <w:rStyle w:val="EndnoteReference"/>
          <w:spacing w:val="-3"/>
          <w:rtl/>
        </w:rPr>
        <w:t>)</w:t>
      </w:r>
      <w:r w:rsidRPr="002F2536">
        <w:rPr>
          <w:rFonts w:hint="cs"/>
          <w:spacing w:val="-3"/>
          <w:rtl/>
        </w:rPr>
        <w:t xml:space="preserve">. </w:t>
      </w:r>
      <w:r w:rsidRPr="002F2536">
        <w:rPr>
          <w:spacing w:val="-3"/>
          <w:rtl/>
        </w:rPr>
        <w:t>ورغم هذه الظاهرة وظاهرة توسع مدار التجمعات السكانية، فقد كان ثلاثة أرباع البلديات يضم أقل من</w:t>
      </w:r>
      <w:r w:rsidR="002F2536">
        <w:rPr>
          <w:rFonts w:hint="cs"/>
          <w:spacing w:val="-3"/>
          <w:rtl/>
        </w:rPr>
        <w:t> </w:t>
      </w:r>
      <w:r w:rsidRPr="002F2536">
        <w:rPr>
          <w:spacing w:val="-3"/>
          <w:rtl/>
        </w:rPr>
        <w:t>000 1 نسمة</w:t>
      </w:r>
      <w:r w:rsidRPr="002F2536">
        <w:rPr>
          <w:rStyle w:val="EndnoteReference"/>
          <w:spacing w:val="-3"/>
          <w:rtl/>
        </w:rPr>
        <w:t>(</w:t>
      </w:r>
      <w:r w:rsidRPr="002F2536">
        <w:rPr>
          <w:rStyle w:val="EndnoteReference"/>
          <w:spacing w:val="-3"/>
          <w:rtl/>
        </w:rPr>
        <w:endnoteReference w:id="14"/>
      </w:r>
      <w:r w:rsidRPr="002F2536">
        <w:rPr>
          <w:rStyle w:val="EndnoteReference"/>
          <w:spacing w:val="-3"/>
          <w:rtl/>
        </w:rPr>
        <w:t>)</w:t>
      </w:r>
      <w:r w:rsidRPr="002F2536">
        <w:rPr>
          <w:spacing w:val="-3"/>
          <w:rtl/>
        </w:rPr>
        <w:t>، في عام 2008، وكان ثمة فقط 11 بلدية تضم أكثر من 000 200 نسمة، و30 بلدية تضم أكثر من 000 100 نسمة</w:t>
      </w:r>
      <w:r w:rsidRPr="002F2536">
        <w:rPr>
          <w:rStyle w:val="EndnoteReference"/>
          <w:spacing w:val="-3"/>
          <w:rtl/>
        </w:rPr>
        <w:t>(</w:t>
      </w:r>
      <w:r w:rsidRPr="002F2536">
        <w:rPr>
          <w:rStyle w:val="EndnoteReference"/>
          <w:spacing w:val="-3"/>
          <w:rtl/>
        </w:rPr>
        <w:endnoteReference w:id="15"/>
      </w:r>
      <w:r w:rsidRPr="002F2536">
        <w:rPr>
          <w:rStyle w:val="EndnoteReference"/>
          <w:spacing w:val="-3"/>
          <w:rtl/>
        </w:rPr>
        <w:t>)</w:t>
      </w:r>
      <w:r w:rsidRPr="002F2536">
        <w:rPr>
          <w:spacing w:val="-3"/>
          <w:rtl/>
        </w:rPr>
        <w:t>، في عام</w:t>
      </w:r>
      <w:r w:rsidR="002F2536" w:rsidRPr="002F2536">
        <w:rPr>
          <w:rFonts w:hint="cs"/>
          <w:spacing w:val="-3"/>
          <w:rtl/>
        </w:rPr>
        <w:t> </w:t>
      </w:r>
      <w:r w:rsidRPr="002F2536">
        <w:rPr>
          <w:spacing w:val="-3"/>
          <w:rtl/>
        </w:rPr>
        <w:t>2009</w:t>
      </w:r>
      <w:r w:rsidRPr="002F2536">
        <w:rPr>
          <w:rFonts w:hint="cs"/>
          <w:spacing w:val="-3"/>
          <w:rtl/>
        </w:rPr>
        <w:t xml:space="preserve">. </w:t>
      </w:r>
      <w:r w:rsidRPr="002F2536">
        <w:rPr>
          <w:spacing w:val="-3"/>
          <w:rtl/>
        </w:rPr>
        <w:t>والمنطقتان المتروبوليتان</w:t>
      </w:r>
      <w:r w:rsidR="002F2536">
        <w:rPr>
          <w:rFonts w:hint="cs"/>
          <w:spacing w:val="-3"/>
          <w:rtl/>
        </w:rPr>
        <w:t> </w:t>
      </w:r>
      <w:r w:rsidRPr="002F2536">
        <w:rPr>
          <w:spacing w:val="-3"/>
          <w:rtl/>
        </w:rPr>
        <w:t>اللتان يوجد في كل بلدية من بلدياتهما أكبر عدد من السكان هما إيل دو فرانس وبروفانس</w:t>
      </w:r>
      <w:r w:rsidR="00526CCD" w:rsidRPr="002F2536">
        <w:rPr>
          <w:rFonts w:hint="cs"/>
          <w:spacing w:val="-3"/>
          <w:rtl/>
        </w:rPr>
        <w:t xml:space="preserve"> </w:t>
      </w:r>
      <w:r w:rsidRPr="002F2536">
        <w:rPr>
          <w:spacing w:val="-3"/>
          <w:rtl/>
        </w:rPr>
        <w:t>-</w:t>
      </w:r>
      <w:r w:rsidR="00526CCD" w:rsidRPr="002F2536">
        <w:rPr>
          <w:rFonts w:hint="cs"/>
          <w:spacing w:val="-3"/>
          <w:rtl/>
        </w:rPr>
        <w:t xml:space="preserve"> </w:t>
      </w:r>
      <w:r w:rsidRPr="002F2536">
        <w:rPr>
          <w:spacing w:val="-3"/>
          <w:rtl/>
        </w:rPr>
        <w:t>ألب</w:t>
      </w:r>
      <w:r w:rsidR="00526CCD" w:rsidRPr="002F2536">
        <w:rPr>
          <w:rFonts w:hint="cs"/>
          <w:spacing w:val="-3"/>
          <w:rtl/>
        </w:rPr>
        <w:t xml:space="preserve"> </w:t>
      </w:r>
      <w:r w:rsidRPr="002F2536">
        <w:rPr>
          <w:spacing w:val="-3"/>
          <w:rtl/>
        </w:rPr>
        <w:t>-</w:t>
      </w:r>
      <w:r w:rsidR="00526CCD" w:rsidRPr="002F2536">
        <w:rPr>
          <w:rFonts w:hint="cs"/>
          <w:spacing w:val="-3"/>
          <w:rtl/>
        </w:rPr>
        <w:t xml:space="preserve"> </w:t>
      </w:r>
      <w:r w:rsidRPr="002F2536">
        <w:rPr>
          <w:spacing w:val="-3"/>
          <w:rtl/>
        </w:rPr>
        <w:t>كوت دازير، حيث يبلغ متوسط عدد السكان</w:t>
      </w:r>
      <w:r w:rsidR="002F2536" w:rsidRPr="002F2536">
        <w:rPr>
          <w:rFonts w:hint="cs"/>
          <w:spacing w:val="-3"/>
          <w:rtl/>
        </w:rPr>
        <w:t> </w:t>
      </w:r>
      <w:r w:rsidRPr="002F2536">
        <w:rPr>
          <w:spacing w:val="-3"/>
          <w:rtl/>
        </w:rPr>
        <w:t>000 9 و000 5 نسمة على التوالي، وتليهما من</w:t>
      </w:r>
      <w:r w:rsidRPr="002F2536">
        <w:rPr>
          <w:rFonts w:hint="cs"/>
          <w:spacing w:val="-3"/>
          <w:rtl/>
        </w:rPr>
        <w:t>ا</w:t>
      </w:r>
      <w:r w:rsidRPr="002F2536">
        <w:rPr>
          <w:spacing w:val="-3"/>
          <w:rtl/>
        </w:rPr>
        <w:t>طق هو دو فرانس وبريتاني وبايي دو لا لوار</w:t>
      </w:r>
      <w:r w:rsidRPr="002F2536">
        <w:rPr>
          <w:rFonts w:hint="cs"/>
          <w:spacing w:val="-3"/>
          <w:rtl/>
        </w:rPr>
        <w:t xml:space="preserve">. </w:t>
      </w:r>
      <w:r w:rsidRPr="002F2536">
        <w:rPr>
          <w:spacing w:val="-3"/>
          <w:rtl/>
        </w:rPr>
        <w:t>وفي</w:t>
      </w:r>
      <w:r w:rsidRPr="002F2536">
        <w:rPr>
          <w:rFonts w:hint="cs"/>
          <w:spacing w:val="-3"/>
          <w:rtl/>
        </w:rPr>
        <w:t xml:space="preserve"> أقاليم </w:t>
      </w:r>
      <w:r w:rsidRPr="002F2536">
        <w:rPr>
          <w:spacing w:val="-3"/>
          <w:rtl/>
        </w:rPr>
        <w:t>ما وراء البحار، يعيش معظم السكان في المدن</w:t>
      </w:r>
      <w:r w:rsidRPr="002F2536">
        <w:rPr>
          <w:rFonts w:hint="cs"/>
          <w:spacing w:val="-3"/>
          <w:rtl/>
        </w:rPr>
        <w:t xml:space="preserve">. </w:t>
      </w:r>
      <w:r w:rsidRPr="002F2536">
        <w:rPr>
          <w:spacing w:val="-3"/>
          <w:rtl/>
        </w:rPr>
        <w:t>وبالفعل، فالغالبية العظمى من البلديات في مقاطعات وأقاليم ما وراء البحار الخمس مناطق حضرية، ولا سيما لأنها كبيرة الحجم في كثير من الأحيان</w:t>
      </w:r>
      <w:r w:rsidRPr="002F2536">
        <w:rPr>
          <w:rStyle w:val="EndnoteReference"/>
          <w:spacing w:val="-3"/>
          <w:rtl/>
        </w:rPr>
        <w:t>(</w:t>
      </w:r>
      <w:r w:rsidRPr="002F2536">
        <w:rPr>
          <w:rStyle w:val="EndnoteReference"/>
          <w:spacing w:val="-3"/>
          <w:rtl/>
        </w:rPr>
        <w:endnoteReference w:id="16"/>
      </w:r>
      <w:r w:rsidRPr="002F2536">
        <w:rPr>
          <w:rStyle w:val="EndnoteReference"/>
          <w:spacing w:val="-3"/>
          <w:rtl/>
        </w:rPr>
        <w:t>)</w:t>
      </w:r>
      <w:r w:rsidRPr="002F2536">
        <w:rPr>
          <w:rFonts w:hint="cs"/>
          <w:spacing w:val="-3"/>
          <w:rtl/>
        </w:rPr>
        <w:t>.</w:t>
      </w:r>
    </w:p>
    <w:p w:rsidR="00944A3C" w:rsidRPr="005D0C50" w:rsidRDefault="00944A3C" w:rsidP="003C667A">
      <w:pPr>
        <w:pStyle w:val="H23GA"/>
        <w:rPr>
          <w:rtl/>
        </w:rPr>
      </w:pPr>
      <w:r w:rsidRPr="005D0C50">
        <w:rPr>
          <w:spacing w:val="-4"/>
          <w:rtl/>
        </w:rPr>
        <w:tab/>
        <w:t>(ب)</w:t>
      </w:r>
      <w:r w:rsidRPr="005D0C50">
        <w:rPr>
          <w:spacing w:val="-4"/>
          <w:rtl/>
        </w:rPr>
        <w:tab/>
      </w:r>
      <w:r w:rsidRPr="005D0C50">
        <w:rPr>
          <w:rtl/>
        </w:rPr>
        <w:t>توزيع السكان بحسب الانتماء الإثني</w:t>
      </w:r>
    </w:p>
    <w:p w:rsidR="00944A3C" w:rsidRPr="005D0C50" w:rsidRDefault="00944A3C" w:rsidP="00944A3C">
      <w:pPr>
        <w:pStyle w:val="SingleTxtGA"/>
        <w:rPr>
          <w:rtl/>
        </w:rPr>
      </w:pPr>
      <w:r w:rsidRPr="005D0C50">
        <w:rPr>
          <w:rFonts w:hint="cs"/>
          <w:rtl/>
        </w:rPr>
        <w:t>12-</w:t>
      </w:r>
      <w:r w:rsidRPr="005D0C50">
        <w:rPr>
          <w:rFonts w:hint="cs"/>
          <w:rtl/>
        </w:rPr>
        <w:tab/>
      </w:r>
      <w:r w:rsidRPr="005D0C50">
        <w:rPr>
          <w:rtl/>
        </w:rPr>
        <w:t>يستحيل معرفة توزيع السكان بحسب الانتماء الإثني، لأن جمع بياناتٍ من هذا القبيل يعتبر منافيا للدستور</w:t>
      </w:r>
      <w:r w:rsidRPr="005D0C50">
        <w:rPr>
          <w:rFonts w:hint="cs"/>
          <w:rtl/>
        </w:rPr>
        <w:t xml:space="preserve">. </w:t>
      </w:r>
      <w:r w:rsidRPr="005D0C50">
        <w:rPr>
          <w:rtl/>
        </w:rPr>
        <w:t>وبالفعل، فمن المبادئ الدستورية أن فرنسا "واحدة لا تتجزأ": فلا يجوز، في هذا الصدد، للسلطات أن تميز بين السكان بحسب الأصل الإثني</w:t>
      </w:r>
      <w:r w:rsidRPr="005D0C50">
        <w:rPr>
          <w:rFonts w:hint="cs"/>
          <w:rtl/>
        </w:rPr>
        <w:t>.</w:t>
      </w:r>
    </w:p>
    <w:p w:rsidR="00944A3C" w:rsidRPr="005D0C50" w:rsidRDefault="00944A3C" w:rsidP="00944A3C">
      <w:pPr>
        <w:pStyle w:val="SingleTxtGA"/>
        <w:rPr>
          <w:rtl/>
        </w:rPr>
      </w:pPr>
      <w:r w:rsidRPr="005D0C50">
        <w:rPr>
          <w:rFonts w:hint="cs"/>
          <w:rtl/>
        </w:rPr>
        <w:t>13-</w:t>
      </w:r>
      <w:r w:rsidRPr="005D0C50">
        <w:rPr>
          <w:rFonts w:hint="cs"/>
          <w:rtl/>
        </w:rPr>
        <w:tab/>
      </w:r>
      <w:r w:rsidRPr="005D0C50">
        <w:rPr>
          <w:rtl/>
        </w:rPr>
        <w:t xml:space="preserve">وبالتالي، </w:t>
      </w:r>
      <w:r w:rsidRPr="005D0C50">
        <w:rPr>
          <w:rFonts w:hint="cs"/>
          <w:rtl/>
        </w:rPr>
        <w:t xml:space="preserve">يحظر </w:t>
      </w:r>
      <w:r w:rsidRPr="005D0C50">
        <w:rPr>
          <w:rtl/>
        </w:rPr>
        <w:t>القانون المؤرخ 6 كانون الثاني/يناير 1978 المتعلق بتكنولوجيا المعلومات والملفات والحريات</w:t>
      </w:r>
      <w:r>
        <w:rPr>
          <w:rStyle w:val="EndnoteReference"/>
          <w:rtl/>
        </w:rPr>
        <w:t>(</w:t>
      </w:r>
      <w:r w:rsidRPr="005D0C50">
        <w:rPr>
          <w:rStyle w:val="EndnoteReference"/>
          <w:rtl/>
        </w:rPr>
        <w:endnoteReference w:id="17"/>
      </w:r>
      <w:r>
        <w:rPr>
          <w:rStyle w:val="EndnoteReference"/>
          <w:rtl/>
        </w:rPr>
        <w:t>)</w:t>
      </w:r>
      <w:r w:rsidRPr="005D0C50">
        <w:rPr>
          <w:rtl/>
        </w:rPr>
        <w:t xml:space="preserve"> "جمع أو معالجة البيانات ذات الطابع الشخصي التي تُبين، بشكل مباشر أو غير مباشر، الأصل العرقي أو الإثني للأشخاص، أو آراءهم السياسية أو الفلسفية أو الدينية، أو انتماءهم النقابي، أو تتعلق بصحتهم أو حياتهم الجنسية"</w:t>
      </w:r>
      <w:r w:rsidRPr="005D0C50">
        <w:rPr>
          <w:rFonts w:hint="cs"/>
          <w:rtl/>
        </w:rPr>
        <w:t>.</w:t>
      </w:r>
    </w:p>
    <w:p w:rsidR="00944A3C" w:rsidRPr="005D0C50" w:rsidRDefault="00944A3C" w:rsidP="003C667A">
      <w:pPr>
        <w:pStyle w:val="H23GA"/>
        <w:rPr>
          <w:rtl/>
        </w:rPr>
      </w:pPr>
      <w:r w:rsidRPr="005D0C50">
        <w:rPr>
          <w:rtl/>
        </w:rPr>
        <w:tab/>
        <w:t>(ج)</w:t>
      </w:r>
      <w:r w:rsidRPr="005D0C50">
        <w:rPr>
          <w:rtl/>
        </w:rPr>
        <w:tab/>
        <w:t>معدل الولادات</w:t>
      </w:r>
    </w:p>
    <w:p w:rsidR="00944A3C" w:rsidRPr="00944A3C" w:rsidRDefault="00944A3C" w:rsidP="00944A3C">
      <w:pPr>
        <w:pStyle w:val="SingleTxtGA"/>
        <w:rPr>
          <w:spacing w:val="-2"/>
          <w:rtl/>
        </w:rPr>
      </w:pPr>
      <w:r w:rsidRPr="00944A3C">
        <w:rPr>
          <w:rFonts w:hint="cs"/>
          <w:spacing w:val="-2"/>
          <w:rtl/>
        </w:rPr>
        <w:t>14-</w:t>
      </w:r>
      <w:r w:rsidRPr="00944A3C">
        <w:rPr>
          <w:rFonts w:hint="cs"/>
          <w:spacing w:val="-2"/>
          <w:rtl/>
        </w:rPr>
        <w:tab/>
      </w:r>
      <w:r w:rsidRPr="00944A3C">
        <w:rPr>
          <w:b/>
          <w:bCs/>
          <w:spacing w:val="-2"/>
          <w:rtl/>
        </w:rPr>
        <w:t>العدد</w:t>
      </w:r>
      <w:r w:rsidRPr="00944A3C">
        <w:rPr>
          <w:rStyle w:val="EndnoteReference"/>
          <w:spacing w:val="-2"/>
          <w:rtl/>
        </w:rPr>
        <w:t>(</w:t>
      </w:r>
      <w:r w:rsidRPr="00944A3C">
        <w:rPr>
          <w:rStyle w:val="EndnoteReference"/>
          <w:spacing w:val="-2"/>
          <w:rtl/>
        </w:rPr>
        <w:endnoteReference w:id="18"/>
      </w:r>
      <w:r w:rsidRPr="00944A3C">
        <w:rPr>
          <w:rStyle w:val="EndnoteReference"/>
          <w:spacing w:val="-2"/>
          <w:rtl/>
        </w:rPr>
        <w:t>)</w:t>
      </w:r>
      <w:r w:rsidRPr="00944A3C">
        <w:rPr>
          <w:spacing w:val="-2"/>
          <w:rtl/>
        </w:rPr>
        <w:t xml:space="preserve">: يتسم معدل الولادات في فرنسا على العموم بالاستقرار منذ نهاية فترة طفرة الإنجاب، حيث يتأرجح </w:t>
      </w:r>
      <w:r w:rsidRPr="00944A3C">
        <w:rPr>
          <w:rFonts w:hint="cs"/>
          <w:spacing w:val="-2"/>
          <w:rtl/>
        </w:rPr>
        <w:t>في حدود</w:t>
      </w:r>
      <w:r w:rsidRPr="00944A3C">
        <w:rPr>
          <w:spacing w:val="-2"/>
          <w:rtl/>
        </w:rPr>
        <w:t xml:space="preserve"> 000 800 مولود في السنة منذ ثماني</w:t>
      </w:r>
      <w:r w:rsidRPr="00944A3C">
        <w:rPr>
          <w:rFonts w:hint="cs"/>
          <w:spacing w:val="-2"/>
          <w:rtl/>
        </w:rPr>
        <w:t>ني</w:t>
      </w:r>
      <w:r w:rsidRPr="00944A3C">
        <w:rPr>
          <w:spacing w:val="-2"/>
          <w:rtl/>
        </w:rPr>
        <w:t>ات القرن الماضي</w:t>
      </w:r>
      <w:r w:rsidRPr="00944A3C">
        <w:rPr>
          <w:rFonts w:hint="cs"/>
          <w:spacing w:val="-2"/>
          <w:rtl/>
        </w:rPr>
        <w:t xml:space="preserve">. </w:t>
      </w:r>
      <w:r w:rsidRPr="00944A3C">
        <w:rPr>
          <w:spacing w:val="-2"/>
          <w:rtl/>
        </w:rPr>
        <w:t>وبلغ حد</w:t>
      </w:r>
      <w:r w:rsidRPr="00944A3C">
        <w:rPr>
          <w:rFonts w:hint="cs"/>
          <w:spacing w:val="-2"/>
          <w:rtl/>
        </w:rPr>
        <w:t>َّ</w:t>
      </w:r>
      <w:r w:rsidRPr="00944A3C">
        <w:rPr>
          <w:spacing w:val="-2"/>
          <w:rtl/>
        </w:rPr>
        <w:t>ه الأدنى في عام 1994 بتسجيل 000 741 مولود جديد وذروت</w:t>
      </w:r>
      <w:r w:rsidRPr="00944A3C">
        <w:rPr>
          <w:rFonts w:hint="cs"/>
          <w:spacing w:val="-2"/>
          <w:rtl/>
        </w:rPr>
        <w:t>َ</w:t>
      </w:r>
      <w:r w:rsidRPr="00944A3C">
        <w:rPr>
          <w:spacing w:val="-2"/>
          <w:rtl/>
        </w:rPr>
        <w:t>ه في عام 2010 بتسجيل</w:t>
      </w:r>
      <w:r>
        <w:rPr>
          <w:rFonts w:hint="cs"/>
          <w:spacing w:val="-2"/>
          <w:rtl/>
        </w:rPr>
        <w:t> </w:t>
      </w:r>
      <w:r w:rsidRPr="00944A3C">
        <w:rPr>
          <w:spacing w:val="-2"/>
          <w:rtl/>
        </w:rPr>
        <w:t>000 833 مولود</w:t>
      </w:r>
      <w:r w:rsidRPr="00944A3C">
        <w:rPr>
          <w:rFonts w:hint="cs"/>
          <w:spacing w:val="-2"/>
          <w:rtl/>
        </w:rPr>
        <w:t xml:space="preserve">. </w:t>
      </w:r>
      <w:r w:rsidRPr="00944A3C">
        <w:rPr>
          <w:spacing w:val="-2"/>
          <w:rtl/>
        </w:rPr>
        <w:t>وفي عام 2015، قُدر معدل الولادات في فرنسا بما نسبته 12,0 في الألف مقابل 12,4 في الألف في عام 2014 و12,3 في الألف في عام 2013 و12,6 في الألف في عام 2012</w:t>
      </w:r>
      <w:r w:rsidRPr="00944A3C">
        <w:rPr>
          <w:rFonts w:hint="cs"/>
          <w:spacing w:val="-2"/>
          <w:rtl/>
        </w:rPr>
        <w:t xml:space="preserve">. </w:t>
      </w:r>
      <w:r w:rsidRPr="00944A3C">
        <w:rPr>
          <w:spacing w:val="-2"/>
          <w:rtl/>
        </w:rPr>
        <w:t xml:space="preserve">وفي العام ذاته، وُلد 000 800 </w:t>
      </w:r>
      <w:r w:rsidRPr="00944A3C">
        <w:rPr>
          <w:rFonts w:hint="cs"/>
          <w:spacing w:val="-2"/>
          <w:rtl/>
        </w:rPr>
        <w:t xml:space="preserve">طفل. </w:t>
      </w:r>
      <w:r w:rsidRPr="00944A3C">
        <w:rPr>
          <w:spacing w:val="-2"/>
          <w:rtl/>
        </w:rPr>
        <w:t xml:space="preserve">وقد انخفض بالتالي عدد المواليد بنسبة 2,3 في المائة منذ عام 2014 (للعلم، بلغ </w:t>
      </w:r>
      <w:r w:rsidRPr="00944A3C">
        <w:rPr>
          <w:rFonts w:hint="cs"/>
          <w:spacing w:val="-2"/>
          <w:rtl/>
        </w:rPr>
        <w:t xml:space="preserve">عدد المواليد </w:t>
      </w:r>
      <w:r w:rsidRPr="00944A3C">
        <w:rPr>
          <w:spacing w:val="-2"/>
          <w:rtl/>
        </w:rPr>
        <w:t>600 818 في عام 2014، و500 811 في عام 2013، و000 821 في عام 2012)</w:t>
      </w:r>
      <w:r w:rsidRPr="00944A3C">
        <w:rPr>
          <w:rFonts w:hint="cs"/>
          <w:spacing w:val="-2"/>
          <w:rtl/>
        </w:rPr>
        <w:t xml:space="preserve">. </w:t>
      </w:r>
      <w:r w:rsidRPr="00944A3C">
        <w:rPr>
          <w:spacing w:val="-2"/>
          <w:rtl/>
        </w:rPr>
        <w:t>وتراجع مؤشر الخصوبة في فرنسا بشكل طفيف في عام 2015، حيث بلغ عدد الأطفال لكل امرأة 1,96، مقابل 2,00 في عام</w:t>
      </w:r>
      <w:r>
        <w:rPr>
          <w:rFonts w:hint="cs"/>
          <w:spacing w:val="-2"/>
          <w:rtl/>
        </w:rPr>
        <w:t> </w:t>
      </w:r>
      <w:r w:rsidRPr="00944A3C">
        <w:rPr>
          <w:spacing w:val="-2"/>
          <w:rtl/>
        </w:rPr>
        <w:t>2014</w:t>
      </w:r>
      <w:r w:rsidRPr="00944A3C">
        <w:rPr>
          <w:rFonts w:hint="cs"/>
          <w:spacing w:val="-2"/>
          <w:rtl/>
        </w:rPr>
        <w:t xml:space="preserve">. </w:t>
      </w:r>
      <w:r w:rsidRPr="00944A3C">
        <w:rPr>
          <w:spacing w:val="-2"/>
          <w:rtl/>
        </w:rPr>
        <w:t>وتحتل فرنسا</w:t>
      </w:r>
      <w:r w:rsidRPr="00944A3C">
        <w:rPr>
          <w:rFonts w:hint="cs"/>
          <w:spacing w:val="-2"/>
          <w:rtl/>
        </w:rPr>
        <w:t>، في هذا المجال،</w:t>
      </w:r>
      <w:r w:rsidRPr="00944A3C">
        <w:rPr>
          <w:spacing w:val="-2"/>
          <w:rtl/>
        </w:rPr>
        <w:t xml:space="preserve"> المرتبة الثانية بين بلدان الاتحاد الأوروبي</w:t>
      </w:r>
      <w:r w:rsidRPr="00944A3C">
        <w:rPr>
          <w:rFonts w:hint="cs"/>
          <w:spacing w:val="-2"/>
          <w:rtl/>
        </w:rPr>
        <w:t>.</w:t>
      </w:r>
    </w:p>
    <w:p w:rsidR="00944A3C" w:rsidRPr="00944A3C" w:rsidRDefault="00944A3C" w:rsidP="00944A3C">
      <w:pPr>
        <w:pStyle w:val="SingleTxtGA"/>
        <w:rPr>
          <w:rtl/>
        </w:rPr>
      </w:pPr>
      <w:r w:rsidRPr="00944A3C">
        <w:rPr>
          <w:rFonts w:hint="cs"/>
          <w:spacing w:val="-2"/>
          <w:rtl/>
        </w:rPr>
        <w:t>15-</w:t>
      </w:r>
      <w:r w:rsidRPr="00944A3C">
        <w:rPr>
          <w:rFonts w:hint="cs"/>
          <w:spacing w:val="-2"/>
          <w:rtl/>
        </w:rPr>
        <w:tab/>
      </w:r>
      <w:r w:rsidRPr="00944A3C">
        <w:rPr>
          <w:b/>
          <w:bCs/>
          <w:spacing w:val="-2"/>
          <w:rtl/>
        </w:rPr>
        <w:t>العمر</w:t>
      </w:r>
      <w:r w:rsidRPr="00944A3C">
        <w:rPr>
          <w:rStyle w:val="EndnoteReference"/>
          <w:spacing w:val="-2"/>
          <w:rtl/>
        </w:rPr>
        <w:t>(</w:t>
      </w:r>
      <w:r w:rsidRPr="00944A3C">
        <w:rPr>
          <w:rStyle w:val="EndnoteReference"/>
          <w:spacing w:val="-2"/>
          <w:rtl/>
        </w:rPr>
        <w:endnoteReference w:id="19"/>
      </w:r>
      <w:r w:rsidRPr="00944A3C">
        <w:rPr>
          <w:rStyle w:val="EndnoteReference"/>
          <w:spacing w:val="-2"/>
          <w:rtl/>
        </w:rPr>
        <w:t>)</w:t>
      </w:r>
      <w:r w:rsidRPr="00944A3C">
        <w:rPr>
          <w:spacing w:val="-2"/>
          <w:rtl/>
        </w:rPr>
        <w:t xml:space="preserve">: استمر انخفاض معدلات الخصوبة لدى النساء اللائي تقل أعمارهن عن 30 سنة، </w:t>
      </w:r>
      <w:r w:rsidRPr="00944A3C">
        <w:rPr>
          <w:rFonts w:hint="cs"/>
          <w:spacing w:val="-2"/>
          <w:rtl/>
        </w:rPr>
        <w:t>و</w:t>
      </w:r>
      <w:r w:rsidRPr="00944A3C">
        <w:rPr>
          <w:spacing w:val="-2"/>
          <w:rtl/>
        </w:rPr>
        <w:t>اشتدت حدته شيئ</w:t>
      </w:r>
      <w:r w:rsidR="00526CCD">
        <w:rPr>
          <w:spacing w:val="-2"/>
          <w:rtl/>
        </w:rPr>
        <w:t xml:space="preserve">اً </w:t>
      </w:r>
      <w:r w:rsidRPr="00944A3C">
        <w:rPr>
          <w:spacing w:val="-2"/>
          <w:rtl/>
        </w:rPr>
        <w:t>ما في عام 2015 بالمقارنة مع الأعوام السابقة</w:t>
      </w:r>
      <w:r w:rsidRPr="00944A3C">
        <w:rPr>
          <w:rFonts w:hint="cs"/>
          <w:spacing w:val="-2"/>
          <w:rtl/>
        </w:rPr>
        <w:t xml:space="preserve">. </w:t>
      </w:r>
      <w:r w:rsidRPr="00944A3C">
        <w:rPr>
          <w:spacing w:val="-2"/>
          <w:rtl/>
        </w:rPr>
        <w:t xml:space="preserve">وبالمقابل، اتسمت </w:t>
      </w:r>
      <w:r w:rsidRPr="00944A3C">
        <w:rPr>
          <w:rtl/>
        </w:rPr>
        <w:lastRenderedPageBreak/>
        <w:t>معدلات الخصوبة لدى النساء اللائي تتراوح أعمارهن بين 30 و34 سنة بالاستقرار خلال الفترة الممتدة بين عامي 2009 و2014، قبل أن تنخفض بدورها في عام 2015</w:t>
      </w:r>
      <w:r w:rsidRPr="00944A3C">
        <w:rPr>
          <w:rFonts w:hint="cs"/>
          <w:rtl/>
        </w:rPr>
        <w:t xml:space="preserve">. </w:t>
      </w:r>
      <w:r w:rsidRPr="00944A3C">
        <w:rPr>
          <w:rtl/>
        </w:rPr>
        <w:t>ويتواصل ارتفاع متوسط عمر الأمهات عند إنجاب أول طفل: فقد بلغ 30,4 سنة في عام 2015 مقابل</w:t>
      </w:r>
      <w:r>
        <w:rPr>
          <w:rFonts w:hint="cs"/>
          <w:rtl/>
        </w:rPr>
        <w:t> </w:t>
      </w:r>
      <w:r w:rsidRPr="00944A3C">
        <w:rPr>
          <w:rtl/>
        </w:rPr>
        <w:t>30,3 سنة في عام 2014</w:t>
      </w:r>
      <w:r w:rsidRPr="00944A3C">
        <w:rPr>
          <w:rFonts w:hint="cs"/>
          <w:rtl/>
        </w:rPr>
        <w:t xml:space="preserve">. </w:t>
      </w:r>
      <w:r w:rsidRPr="00944A3C">
        <w:rPr>
          <w:rtl/>
        </w:rPr>
        <w:t>وقد بلغ بالفعل 30,1 سنة في عام 2012، وهو ما شكل بالتالي زيادة قدرها 0,7 سنة خلال عشر سنوات. فقد كان العمر لدى إنجاب أول طفل حينئذ أدنى بحوالي سنتين</w:t>
      </w:r>
      <w:r w:rsidRPr="00944A3C">
        <w:rPr>
          <w:rStyle w:val="EndnoteReference"/>
          <w:rtl/>
        </w:rPr>
        <w:t>(</w:t>
      </w:r>
      <w:r w:rsidRPr="00944A3C">
        <w:rPr>
          <w:rStyle w:val="EndnoteReference"/>
          <w:rtl/>
        </w:rPr>
        <w:endnoteReference w:id="20"/>
      </w:r>
      <w:r w:rsidRPr="00944A3C">
        <w:rPr>
          <w:rStyle w:val="EndnoteReference"/>
          <w:rtl/>
        </w:rPr>
        <w:t>)</w:t>
      </w:r>
      <w:r w:rsidRPr="00944A3C">
        <w:rPr>
          <w:rFonts w:hint="cs"/>
          <w:rtl/>
        </w:rPr>
        <w:t>.</w:t>
      </w:r>
    </w:p>
    <w:p w:rsidR="00944A3C" w:rsidRPr="005D0C50" w:rsidRDefault="00944A3C" w:rsidP="00944A3C">
      <w:pPr>
        <w:pStyle w:val="H23GA"/>
        <w:rPr>
          <w:rtl/>
        </w:rPr>
      </w:pPr>
      <w:r w:rsidRPr="005D0C50">
        <w:rPr>
          <w:rtl/>
        </w:rPr>
        <w:tab/>
        <w:t>(د)</w:t>
      </w:r>
      <w:r w:rsidRPr="005D0C50">
        <w:rPr>
          <w:rtl/>
        </w:rPr>
        <w:tab/>
        <w:t>معدل الوفيات</w:t>
      </w:r>
      <w:r>
        <w:rPr>
          <w:rStyle w:val="EndnoteReference"/>
          <w:b w:val="0"/>
          <w:bCs w:val="0"/>
          <w:rtl/>
        </w:rPr>
        <w:t>(</w:t>
      </w:r>
      <w:r w:rsidRPr="005D0C50">
        <w:rPr>
          <w:rStyle w:val="EndnoteReference"/>
          <w:b w:val="0"/>
          <w:bCs w:val="0"/>
          <w:rtl/>
        </w:rPr>
        <w:endnoteReference w:id="21"/>
      </w:r>
      <w:r>
        <w:rPr>
          <w:rStyle w:val="EndnoteReference"/>
          <w:b w:val="0"/>
          <w:bCs w:val="0"/>
          <w:rtl/>
        </w:rPr>
        <w:t>)</w:t>
      </w:r>
    </w:p>
    <w:p w:rsidR="00944A3C" w:rsidRPr="00944A3C" w:rsidRDefault="00944A3C" w:rsidP="00944A3C">
      <w:pPr>
        <w:pStyle w:val="SingleTxtGA"/>
        <w:rPr>
          <w:spacing w:val="-2"/>
          <w:rtl/>
        </w:rPr>
      </w:pPr>
      <w:r w:rsidRPr="005D0C50">
        <w:rPr>
          <w:rFonts w:hint="cs"/>
          <w:rtl/>
        </w:rPr>
        <w:t>16-</w:t>
      </w:r>
      <w:r w:rsidRPr="005D0C50">
        <w:rPr>
          <w:rFonts w:hint="cs"/>
          <w:rtl/>
        </w:rPr>
        <w:tab/>
      </w:r>
      <w:r w:rsidRPr="005D0C50">
        <w:rPr>
          <w:rtl/>
        </w:rPr>
        <w:t xml:space="preserve">في عام 2015، </w:t>
      </w:r>
      <w:r w:rsidRPr="005D0C50">
        <w:rPr>
          <w:rFonts w:hint="cs"/>
          <w:rtl/>
        </w:rPr>
        <w:t xml:space="preserve">أشارت التقديرات إلى أن </w:t>
      </w:r>
      <w:r w:rsidRPr="005D0C50">
        <w:rPr>
          <w:rtl/>
        </w:rPr>
        <w:t xml:space="preserve">معدل الوفيات </w:t>
      </w:r>
      <w:r w:rsidRPr="005D0C50">
        <w:rPr>
          <w:rFonts w:hint="cs"/>
          <w:rtl/>
        </w:rPr>
        <w:t xml:space="preserve">بلغ </w:t>
      </w:r>
      <w:r w:rsidRPr="005D0C50">
        <w:rPr>
          <w:rtl/>
        </w:rPr>
        <w:t>9,0 لكل 000 1 نسمة، وسُجلت 000 600 حالة وفاة في فرنسا (بزيادة قدرها 000 41 حالة وفاة، أي</w:t>
      </w:r>
      <w:r>
        <w:rPr>
          <w:rFonts w:hint="cs"/>
          <w:rtl/>
        </w:rPr>
        <w:t> </w:t>
      </w:r>
      <w:r w:rsidRPr="005D0C50">
        <w:rPr>
          <w:rtl/>
        </w:rPr>
        <w:t>7,3 في المائة بالمقارنة مع عام 2014، بعد سنتين من الانخفاض)</w:t>
      </w:r>
      <w:r w:rsidRPr="005D0C50">
        <w:rPr>
          <w:rFonts w:hint="cs"/>
          <w:rtl/>
        </w:rPr>
        <w:t xml:space="preserve">. </w:t>
      </w:r>
      <w:r w:rsidRPr="005D0C50">
        <w:rPr>
          <w:rtl/>
        </w:rPr>
        <w:t>وهذه أعلى نسبة مسجلة منذ فترة ما بعد الحرب</w:t>
      </w:r>
      <w:r w:rsidRPr="005D0C50">
        <w:rPr>
          <w:rFonts w:hint="cs"/>
          <w:rtl/>
        </w:rPr>
        <w:t xml:space="preserve">. </w:t>
      </w:r>
      <w:r w:rsidRPr="005D0C50">
        <w:rPr>
          <w:rtl/>
        </w:rPr>
        <w:t xml:space="preserve">وما لم يقع تغير في معدل الوفيات لدى كل فئة عمرية، فإن ارتفاع عدد </w:t>
      </w:r>
      <w:r w:rsidRPr="00944A3C">
        <w:rPr>
          <w:spacing w:val="-2"/>
          <w:rtl/>
        </w:rPr>
        <w:t>الأشخاص البالغين من العمر 65 سنة أو أكثر سيجعل الوفيات تتخذ منحى تصاعديا</w:t>
      </w:r>
      <w:r w:rsidRPr="00944A3C">
        <w:rPr>
          <w:rFonts w:hint="cs"/>
          <w:spacing w:val="-2"/>
          <w:rtl/>
        </w:rPr>
        <w:t xml:space="preserve">. </w:t>
      </w:r>
      <w:r w:rsidRPr="00944A3C">
        <w:rPr>
          <w:spacing w:val="-2"/>
          <w:rtl/>
        </w:rPr>
        <w:t xml:space="preserve">وخلال السنوات الماضية، </w:t>
      </w:r>
      <w:r w:rsidRPr="00944A3C">
        <w:rPr>
          <w:rFonts w:hint="cs"/>
          <w:spacing w:val="-2"/>
          <w:rtl/>
        </w:rPr>
        <w:t xml:space="preserve">خفف </w:t>
      </w:r>
      <w:r w:rsidRPr="00944A3C">
        <w:rPr>
          <w:spacing w:val="-2"/>
          <w:rtl/>
        </w:rPr>
        <w:t xml:space="preserve">انخفاض </w:t>
      </w:r>
      <w:r w:rsidRPr="00944A3C">
        <w:rPr>
          <w:rFonts w:hint="cs"/>
          <w:spacing w:val="-2"/>
          <w:rtl/>
        </w:rPr>
        <w:t xml:space="preserve">معدل </w:t>
      </w:r>
      <w:r w:rsidRPr="00944A3C">
        <w:rPr>
          <w:spacing w:val="-2"/>
          <w:rtl/>
        </w:rPr>
        <w:t xml:space="preserve">الوفيات </w:t>
      </w:r>
      <w:r w:rsidRPr="00944A3C">
        <w:rPr>
          <w:rFonts w:hint="cs"/>
          <w:spacing w:val="-2"/>
          <w:rtl/>
        </w:rPr>
        <w:t xml:space="preserve">وتيرة هذا الارتفاع ووازنه في بعض الأحيان. </w:t>
      </w:r>
      <w:r w:rsidRPr="00944A3C">
        <w:rPr>
          <w:spacing w:val="-2"/>
          <w:rtl/>
        </w:rPr>
        <w:t>وخلاف</w:t>
      </w:r>
      <w:r w:rsidR="00526CCD">
        <w:rPr>
          <w:spacing w:val="-2"/>
          <w:rtl/>
        </w:rPr>
        <w:t xml:space="preserve">اً </w:t>
      </w:r>
      <w:r w:rsidRPr="00944A3C">
        <w:rPr>
          <w:spacing w:val="-2"/>
          <w:rtl/>
        </w:rPr>
        <w:t>لذلك، ارتفعت معدلات الوفيات في عام 2015، ولا سيما لدى الفئات العمرية المتقدمة، وذلك على وجه الخصوص بسبب الظروف الوبائية (وباء الإنفلونزا خلال الأشهر الثلاثة الأولى من عام 2015) والظروف الجوية غير المواتية (موجة الحر الشديد في تموز/يوليه)</w:t>
      </w:r>
      <w:r w:rsidRPr="00944A3C">
        <w:rPr>
          <w:rFonts w:hint="cs"/>
          <w:spacing w:val="-2"/>
          <w:rtl/>
        </w:rPr>
        <w:t>.</w:t>
      </w:r>
    </w:p>
    <w:p w:rsidR="00944A3C" w:rsidRPr="00944A3C" w:rsidRDefault="00944A3C" w:rsidP="00944A3C">
      <w:pPr>
        <w:pStyle w:val="SingleTxtGA"/>
        <w:rPr>
          <w:spacing w:val="-2"/>
          <w:rtl/>
        </w:rPr>
      </w:pPr>
      <w:r w:rsidRPr="00944A3C">
        <w:rPr>
          <w:rFonts w:hint="cs"/>
          <w:spacing w:val="-2"/>
          <w:rtl/>
        </w:rPr>
        <w:t>17-</w:t>
      </w:r>
      <w:r w:rsidRPr="00944A3C">
        <w:rPr>
          <w:rFonts w:hint="cs"/>
          <w:spacing w:val="-2"/>
          <w:rtl/>
        </w:rPr>
        <w:tab/>
      </w:r>
      <w:r w:rsidRPr="00944A3C">
        <w:rPr>
          <w:spacing w:val="-2"/>
          <w:rtl/>
        </w:rPr>
        <w:t>وفي عام 2015، قُدر معدل وفيات الرضع بـ 3,7 لكل 000 1 مولود حي</w:t>
      </w:r>
      <w:r w:rsidRPr="00944A3C">
        <w:rPr>
          <w:rFonts w:hint="cs"/>
          <w:spacing w:val="-2"/>
          <w:rtl/>
        </w:rPr>
        <w:t>. ف</w:t>
      </w:r>
      <w:r w:rsidRPr="00944A3C">
        <w:rPr>
          <w:spacing w:val="-2"/>
          <w:rtl/>
        </w:rPr>
        <w:t>قد شهد زيادة طفيفة (3,5 في عام 2014)، ولكنه يبقى في حدود التقلبات المعتادة لهذا المؤشر</w:t>
      </w:r>
      <w:r w:rsidRPr="00944A3C">
        <w:rPr>
          <w:rFonts w:hint="cs"/>
          <w:spacing w:val="-2"/>
          <w:rtl/>
        </w:rPr>
        <w:t xml:space="preserve">. </w:t>
      </w:r>
      <w:r w:rsidRPr="00944A3C">
        <w:rPr>
          <w:spacing w:val="-2"/>
          <w:rtl/>
        </w:rPr>
        <w:t>ووفيات الرضع، في الواقع، مستقرة نسبي</w:t>
      </w:r>
      <w:r w:rsidR="00526CCD">
        <w:rPr>
          <w:spacing w:val="-2"/>
          <w:rtl/>
        </w:rPr>
        <w:t xml:space="preserve">اً </w:t>
      </w:r>
      <w:r w:rsidRPr="00944A3C">
        <w:rPr>
          <w:spacing w:val="-2"/>
          <w:rtl/>
        </w:rPr>
        <w:t>منذ خمسة عشر عاما</w:t>
      </w:r>
      <w:r w:rsidRPr="00944A3C">
        <w:rPr>
          <w:rFonts w:hint="cs"/>
          <w:spacing w:val="-2"/>
          <w:rtl/>
        </w:rPr>
        <w:t xml:space="preserve">. </w:t>
      </w:r>
      <w:r w:rsidRPr="00944A3C">
        <w:rPr>
          <w:spacing w:val="-2"/>
          <w:rtl/>
        </w:rPr>
        <w:t>وبعد أن انخفضت إلى حد كبير خلال الفترة الممتدة بين عامي 1950 و2000، استقر معدلها في حدود 3,7 رضع يتوفون قبل بلوغهم سنة واحدة من العمر لكل 000 1 مولود حي</w:t>
      </w:r>
      <w:r w:rsidRPr="00944A3C">
        <w:rPr>
          <w:rStyle w:val="EndnoteReference"/>
          <w:spacing w:val="-2"/>
          <w:rtl/>
        </w:rPr>
        <w:t>(</w:t>
      </w:r>
      <w:r w:rsidRPr="00944A3C">
        <w:rPr>
          <w:rStyle w:val="EndnoteReference"/>
          <w:spacing w:val="-2"/>
          <w:rtl/>
        </w:rPr>
        <w:endnoteReference w:id="22"/>
      </w:r>
      <w:r w:rsidRPr="00944A3C">
        <w:rPr>
          <w:rStyle w:val="EndnoteReference"/>
          <w:spacing w:val="-2"/>
          <w:rtl/>
        </w:rPr>
        <w:t>)</w:t>
      </w:r>
      <w:r w:rsidRPr="00944A3C">
        <w:rPr>
          <w:rFonts w:hint="cs"/>
          <w:spacing w:val="-2"/>
          <w:rtl/>
        </w:rPr>
        <w:t xml:space="preserve">. </w:t>
      </w:r>
      <w:r w:rsidRPr="00944A3C">
        <w:rPr>
          <w:spacing w:val="-2"/>
          <w:rtl/>
        </w:rPr>
        <w:t xml:space="preserve">وخلال الفترة الممتدة بين عامي 2001 و2006، قُدر معدل وفيات الأمهات بما بين 8 و12 حالة وفاة لكل </w:t>
      </w:r>
      <w:r w:rsidRPr="00944A3C">
        <w:rPr>
          <w:rFonts w:hint="cs"/>
          <w:spacing w:val="-2"/>
          <w:rtl/>
        </w:rPr>
        <w:t xml:space="preserve">000 100 </w:t>
      </w:r>
      <w:r w:rsidRPr="00944A3C">
        <w:rPr>
          <w:spacing w:val="-2"/>
          <w:rtl/>
        </w:rPr>
        <w:t>مولود حي</w:t>
      </w:r>
      <w:r w:rsidRPr="00944A3C">
        <w:rPr>
          <w:rStyle w:val="EndnoteReference"/>
          <w:spacing w:val="-2"/>
          <w:rtl/>
        </w:rPr>
        <w:t>(</w:t>
      </w:r>
      <w:r w:rsidRPr="00944A3C">
        <w:rPr>
          <w:rStyle w:val="EndnoteReference"/>
          <w:spacing w:val="-2"/>
          <w:rtl/>
        </w:rPr>
        <w:endnoteReference w:id="23"/>
      </w:r>
      <w:r w:rsidRPr="00944A3C">
        <w:rPr>
          <w:rStyle w:val="EndnoteReference"/>
          <w:spacing w:val="-2"/>
          <w:rtl/>
        </w:rPr>
        <w:t>)</w:t>
      </w:r>
      <w:r w:rsidRPr="00944A3C">
        <w:rPr>
          <w:rFonts w:hint="cs"/>
          <w:spacing w:val="-2"/>
          <w:rtl/>
        </w:rPr>
        <w:t xml:space="preserve">. </w:t>
      </w:r>
      <w:r w:rsidRPr="00944A3C">
        <w:rPr>
          <w:spacing w:val="-2"/>
          <w:rtl/>
        </w:rPr>
        <w:t xml:space="preserve">وبلغ 10,3 </w:t>
      </w:r>
      <w:r w:rsidRPr="00944A3C">
        <w:rPr>
          <w:rFonts w:hint="cs"/>
          <w:spacing w:val="-2"/>
          <w:rtl/>
        </w:rPr>
        <w:t xml:space="preserve">خلال </w:t>
      </w:r>
      <w:r w:rsidRPr="00944A3C">
        <w:rPr>
          <w:spacing w:val="-2"/>
          <w:rtl/>
        </w:rPr>
        <w:t>الفترة الممتدة بين عامي 2007 و2009</w:t>
      </w:r>
      <w:r w:rsidRPr="00944A3C">
        <w:rPr>
          <w:rStyle w:val="EndnoteReference"/>
          <w:spacing w:val="-2"/>
          <w:rtl/>
        </w:rPr>
        <w:t>(</w:t>
      </w:r>
      <w:r w:rsidRPr="00944A3C">
        <w:rPr>
          <w:rStyle w:val="EndnoteReference"/>
          <w:spacing w:val="-2"/>
          <w:rtl/>
        </w:rPr>
        <w:endnoteReference w:id="24"/>
      </w:r>
      <w:r w:rsidRPr="00944A3C">
        <w:rPr>
          <w:rStyle w:val="EndnoteReference"/>
          <w:spacing w:val="-2"/>
          <w:rtl/>
        </w:rPr>
        <w:t>)</w:t>
      </w:r>
      <w:r w:rsidRPr="00944A3C">
        <w:rPr>
          <w:rFonts w:hint="cs"/>
          <w:spacing w:val="-2"/>
          <w:rtl/>
        </w:rPr>
        <w:t>.</w:t>
      </w:r>
    </w:p>
    <w:p w:rsidR="00944A3C" w:rsidRPr="005D0C50" w:rsidRDefault="00944A3C" w:rsidP="003C667A">
      <w:pPr>
        <w:pStyle w:val="H23GA"/>
        <w:rPr>
          <w:rtl/>
        </w:rPr>
      </w:pPr>
      <w:r w:rsidRPr="005D0C50">
        <w:rPr>
          <w:rtl/>
        </w:rPr>
        <w:tab/>
        <w:t>(ه)</w:t>
      </w:r>
      <w:r w:rsidRPr="005D0C50">
        <w:rPr>
          <w:rtl/>
        </w:rPr>
        <w:tab/>
        <w:t>التركيبة السكانية بحسب الفئة العمرية ومتوسط العمر المتوقع ونسبة الإعالة</w:t>
      </w:r>
    </w:p>
    <w:p w:rsidR="00944A3C" w:rsidRPr="005D0C50" w:rsidRDefault="00944A3C" w:rsidP="00944A3C">
      <w:pPr>
        <w:pStyle w:val="SingleTxtGA"/>
        <w:rPr>
          <w:rtl/>
        </w:rPr>
      </w:pPr>
      <w:r w:rsidRPr="005D0C50">
        <w:rPr>
          <w:rFonts w:hint="cs"/>
          <w:rtl/>
        </w:rPr>
        <w:t>18-</w:t>
      </w:r>
      <w:r w:rsidRPr="005D0C50">
        <w:rPr>
          <w:rFonts w:hint="cs"/>
          <w:rtl/>
        </w:rPr>
        <w:tab/>
      </w:r>
      <w:r w:rsidRPr="005D0C50">
        <w:rPr>
          <w:b/>
          <w:bCs/>
          <w:rtl/>
        </w:rPr>
        <w:t xml:space="preserve">التركيبة </w:t>
      </w:r>
      <w:r w:rsidRPr="005D0C50">
        <w:rPr>
          <w:rFonts w:hint="cs"/>
          <w:b/>
          <w:bCs/>
          <w:rtl/>
        </w:rPr>
        <w:t xml:space="preserve">السكانية </w:t>
      </w:r>
      <w:r w:rsidRPr="005D0C50">
        <w:rPr>
          <w:b/>
          <w:bCs/>
          <w:rtl/>
        </w:rPr>
        <w:t>بحسب الفئات العمرية</w:t>
      </w:r>
      <w:r w:rsidRPr="005D0C50">
        <w:rPr>
          <w:rtl/>
        </w:rPr>
        <w:t xml:space="preserve">: حتى 1 كانون الثاني/يناير 2016، </w:t>
      </w:r>
      <w:r w:rsidRPr="005D0C50">
        <w:rPr>
          <w:rFonts w:hint="cs"/>
          <w:rtl/>
        </w:rPr>
        <w:t xml:space="preserve">كانت </w:t>
      </w:r>
      <w:r w:rsidRPr="005D0C50">
        <w:rPr>
          <w:rtl/>
        </w:rPr>
        <w:t xml:space="preserve">التقديرات </w:t>
      </w:r>
      <w:r w:rsidRPr="005D0C50">
        <w:rPr>
          <w:rFonts w:hint="cs"/>
          <w:rtl/>
        </w:rPr>
        <w:t xml:space="preserve">تشير </w:t>
      </w:r>
      <w:r w:rsidRPr="005D0C50">
        <w:rPr>
          <w:rtl/>
        </w:rPr>
        <w:t xml:space="preserve">إلى أن 24,6 في المائة من السكان </w:t>
      </w:r>
      <w:r w:rsidRPr="005D0C50">
        <w:rPr>
          <w:rFonts w:hint="cs"/>
          <w:rtl/>
        </w:rPr>
        <w:t>تقل أعمارهم ع</w:t>
      </w:r>
      <w:r w:rsidRPr="005D0C50">
        <w:rPr>
          <w:rtl/>
        </w:rPr>
        <w:t xml:space="preserve">ن 20 سنة، و50,5 في المائة تتراوح أعمارهم بين 20 و59 سنة، و24,9 في المائة </w:t>
      </w:r>
      <w:r w:rsidRPr="005D0C50">
        <w:rPr>
          <w:rFonts w:hint="cs"/>
          <w:rtl/>
        </w:rPr>
        <w:t xml:space="preserve">تبلغ أعمارهم </w:t>
      </w:r>
      <w:r w:rsidRPr="005D0C50">
        <w:rPr>
          <w:rtl/>
        </w:rPr>
        <w:t>60 سنة أو أكثر</w:t>
      </w:r>
      <w:r>
        <w:rPr>
          <w:rStyle w:val="EndnoteReference"/>
          <w:rtl/>
        </w:rPr>
        <w:t>(</w:t>
      </w:r>
      <w:r w:rsidRPr="005D0C50">
        <w:rPr>
          <w:rStyle w:val="EndnoteReference"/>
          <w:rtl/>
        </w:rPr>
        <w:endnoteReference w:id="25"/>
      </w:r>
      <w:r>
        <w:rPr>
          <w:rStyle w:val="EndnoteReference"/>
          <w:rtl/>
        </w:rPr>
        <w:t>)</w:t>
      </w:r>
      <w:r w:rsidRPr="005D0C50">
        <w:rPr>
          <w:rFonts w:hint="cs"/>
          <w:rtl/>
        </w:rPr>
        <w:t xml:space="preserve">. </w:t>
      </w:r>
      <w:r w:rsidRPr="005D0C50">
        <w:rPr>
          <w:rtl/>
        </w:rPr>
        <w:t>غير أن سكان أقاليم ما وراء البحار أصغر سن</w:t>
      </w:r>
      <w:r w:rsidR="00526CCD">
        <w:rPr>
          <w:rtl/>
        </w:rPr>
        <w:t xml:space="preserve">اً </w:t>
      </w:r>
      <w:r w:rsidRPr="005D0C50">
        <w:rPr>
          <w:rtl/>
        </w:rPr>
        <w:t>بكثير من سكان فرنسا المتروبولية: ففي أواخر عام 2015، كانت أعمار حوالي 33 في المائة من سكان تلك الأقاليم تقل عن 20 سنة، مقابل 24,4 في المائة في المناطق المتروبولية</w:t>
      </w:r>
      <w:r>
        <w:rPr>
          <w:rStyle w:val="EndnoteReference"/>
          <w:rtl/>
        </w:rPr>
        <w:t>(</w:t>
      </w:r>
      <w:r w:rsidRPr="005D0C50">
        <w:rPr>
          <w:rStyle w:val="EndnoteReference"/>
          <w:rtl/>
        </w:rPr>
        <w:endnoteReference w:id="26"/>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19-</w:t>
      </w:r>
      <w:r w:rsidRPr="005D0C50">
        <w:rPr>
          <w:rFonts w:hint="cs"/>
          <w:rtl/>
        </w:rPr>
        <w:tab/>
      </w:r>
      <w:r w:rsidRPr="005D0C50">
        <w:rPr>
          <w:rFonts w:hint="cs"/>
          <w:b/>
          <w:bCs/>
          <w:rtl/>
        </w:rPr>
        <w:t>متوسط</w:t>
      </w:r>
      <w:r w:rsidRPr="005D0C50">
        <w:rPr>
          <w:rFonts w:hint="cs"/>
          <w:rtl/>
        </w:rPr>
        <w:t xml:space="preserve"> </w:t>
      </w:r>
      <w:r w:rsidRPr="005D0C50">
        <w:rPr>
          <w:b/>
          <w:bCs/>
          <w:rtl/>
        </w:rPr>
        <w:t>العمر المتوقع</w:t>
      </w:r>
      <w:r w:rsidRPr="005D0C50">
        <w:rPr>
          <w:rtl/>
        </w:rPr>
        <w:t xml:space="preserve">: في ظل ظروف الوفيات في فرنسا خلال عام 2015، يبلغ متوسط العمر المتوقع بالنسبة </w:t>
      </w:r>
      <w:r w:rsidRPr="005D0C50">
        <w:rPr>
          <w:rFonts w:hint="cs"/>
          <w:rtl/>
        </w:rPr>
        <w:t xml:space="preserve">للإناث </w:t>
      </w:r>
      <w:r w:rsidRPr="005D0C50">
        <w:rPr>
          <w:rtl/>
        </w:rPr>
        <w:t xml:space="preserve">85,0 سنة وبالنسبة </w:t>
      </w:r>
      <w:r w:rsidRPr="005D0C50">
        <w:rPr>
          <w:rFonts w:hint="cs"/>
          <w:rtl/>
        </w:rPr>
        <w:t xml:space="preserve">للذكور </w:t>
      </w:r>
      <w:r w:rsidRPr="005D0C50">
        <w:rPr>
          <w:rtl/>
        </w:rPr>
        <w:t>78,9 سنة</w:t>
      </w:r>
      <w:r w:rsidRPr="005D0C50">
        <w:rPr>
          <w:rFonts w:hint="cs"/>
          <w:rtl/>
        </w:rPr>
        <w:t xml:space="preserve">. </w:t>
      </w:r>
      <w:r w:rsidRPr="005D0C50">
        <w:rPr>
          <w:rtl/>
        </w:rPr>
        <w:t>فالفارق إذن هو</w:t>
      </w:r>
      <w:r>
        <w:rPr>
          <w:rFonts w:hint="cs"/>
          <w:rtl/>
        </w:rPr>
        <w:t> </w:t>
      </w:r>
      <w:r w:rsidRPr="005D0C50">
        <w:rPr>
          <w:rtl/>
        </w:rPr>
        <w:t xml:space="preserve">6,1 سنوات، وكان </w:t>
      </w:r>
      <w:r w:rsidRPr="005D0C50">
        <w:rPr>
          <w:rFonts w:hint="cs"/>
          <w:rtl/>
        </w:rPr>
        <w:t xml:space="preserve">يفوق </w:t>
      </w:r>
      <w:r w:rsidRPr="005D0C50">
        <w:rPr>
          <w:rtl/>
        </w:rPr>
        <w:t>5 سنوات في عام 1946</w:t>
      </w:r>
      <w:r w:rsidRPr="005D0C50">
        <w:rPr>
          <w:rFonts w:hint="cs"/>
          <w:rtl/>
        </w:rPr>
        <w:t xml:space="preserve">. </w:t>
      </w:r>
    </w:p>
    <w:p w:rsidR="00944A3C" w:rsidRPr="00610FD7" w:rsidRDefault="00460075" w:rsidP="00610FD7">
      <w:pPr>
        <w:pStyle w:val="SingleTxtGA"/>
        <w:spacing w:line="370" w:lineRule="exact"/>
        <w:rPr>
          <w:rtl/>
        </w:rPr>
      </w:pPr>
      <w:r w:rsidRPr="00610FD7">
        <w:rPr>
          <w:spacing w:val="-2"/>
          <w:rtl/>
        </w:rPr>
        <w:lastRenderedPageBreak/>
        <w:tab/>
      </w:r>
      <w:r w:rsidR="00944A3C" w:rsidRPr="00610FD7">
        <w:rPr>
          <w:rtl/>
        </w:rPr>
        <w:t xml:space="preserve">غير أن </w:t>
      </w:r>
      <w:r w:rsidR="00944A3C" w:rsidRPr="00610FD7">
        <w:rPr>
          <w:rFonts w:hint="cs"/>
          <w:rtl/>
        </w:rPr>
        <w:t xml:space="preserve">متوسط </w:t>
      </w:r>
      <w:r w:rsidR="00944A3C" w:rsidRPr="00610FD7">
        <w:rPr>
          <w:rtl/>
        </w:rPr>
        <w:t xml:space="preserve">العمر المتوقع عند الولادة آخذ في الانخفاض </w:t>
      </w:r>
      <w:r w:rsidR="00944A3C" w:rsidRPr="00610FD7">
        <w:rPr>
          <w:rFonts w:hint="cs"/>
          <w:rtl/>
        </w:rPr>
        <w:t xml:space="preserve">سواء </w:t>
      </w:r>
      <w:r w:rsidR="00944A3C" w:rsidRPr="00610FD7">
        <w:rPr>
          <w:rtl/>
        </w:rPr>
        <w:t xml:space="preserve">لدى </w:t>
      </w:r>
      <w:r w:rsidR="00944A3C" w:rsidRPr="00610FD7">
        <w:rPr>
          <w:rFonts w:hint="cs"/>
          <w:rtl/>
        </w:rPr>
        <w:t>الإناث</w:t>
      </w:r>
      <w:r w:rsidR="009872C2" w:rsidRPr="00610FD7">
        <w:rPr>
          <w:rFonts w:hint="cs"/>
          <w:rtl/>
        </w:rPr>
        <w:t xml:space="preserve"> (-0.4</w:t>
      </w:r>
      <w:r w:rsidR="00610FD7" w:rsidRPr="00610FD7">
        <w:rPr>
          <w:rFonts w:hint="cs"/>
          <w:rtl/>
        </w:rPr>
        <w:t xml:space="preserve"> </w:t>
      </w:r>
      <w:r w:rsidR="009872C2" w:rsidRPr="00610FD7">
        <w:rPr>
          <w:rFonts w:hint="cs"/>
          <w:rtl/>
        </w:rPr>
        <w:t>سنة)</w:t>
      </w:r>
      <w:r w:rsidR="00944A3C" w:rsidRPr="00610FD7">
        <w:rPr>
          <w:rtl/>
        </w:rPr>
        <w:t xml:space="preserve"> </w:t>
      </w:r>
      <w:r w:rsidR="00944A3C" w:rsidRPr="00610FD7">
        <w:rPr>
          <w:rFonts w:hint="cs"/>
          <w:rtl/>
        </w:rPr>
        <w:t xml:space="preserve">أو </w:t>
      </w:r>
      <w:r w:rsidR="00944A3C" w:rsidRPr="00610FD7">
        <w:rPr>
          <w:rtl/>
        </w:rPr>
        <w:t xml:space="preserve">لدى </w:t>
      </w:r>
      <w:r w:rsidR="00944A3C" w:rsidRPr="00610FD7">
        <w:rPr>
          <w:rFonts w:hint="cs"/>
          <w:rtl/>
        </w:rPr>
        <w:t xml:space="preserve">الذكور </w:t>
      </w:r>
      <w:r w:rsidR="00944A3C" w:rsidRPr="00610FD7">
        <w:rPr>
          <w:rtl/>
        </w:rPr>
        <w:t>(</w:t>
      </w:r>
      <w:r w:rsidR="009872C2" w:rsidRPr="00610FD7">
        <w:rPr>
          <w:rFonts w:hint="cs"/>
          <w:rtl/>
        </w:rPr>
        <w:t>-</w:t>
      </w:r>
      <w:r w:rsidR="00944A3C" w:rsidRPr="00610FD7">
        <w:rPr>
          <w:rtl/>
        </w:rPr>
        <w:t>0,3 سنة)</w:t>
      </w:r>
      <w:r w:rsidR="00944A3C" w:rsidRPr="00610FD7">
        <w:rPr>
          <w:rFonts w:hint="cs"/>
          <w:rtl/>
        </w:rPr>
        <w:t xml:space="preserve">. </w:t>
      </w:r>
      <w:r w:rsidR="00944A3C" w:rsidRPr="00610FD7">
        <w:rPr>
          <w:rtl/>
        </w:rPr>
        <w:t>ويعزى هذا الانخفاض بالأساس إلى ارتفاع معدل الوفيات</w:t>
      </w:r>
      <w:r w:rsidR="00944A3C" w:rsidRPr="00610FD7">
        <w:rPr>
          <w:spacing w:val="-2"/>
          <w:rtl/>
        </w:rPr>
        <w:t xml:space="preserve"> </w:t>
      </w:r>
      <w:r w:rsidR="00944A3C" w:rsidRPr="00610FD7">
        <w:rPr>
          <w:rtl/>
        </w:rPr>
        <w:t>بعد سن</w:t>
      </w:r>
      <w:r w:rsidR="00D4138D">
        <w:rPr>
          <w:rtl/>
        </w:rPr>
        <w:t xml:space="preserve"> الـ </w:t>
      </w:r>
      <w:r w:rsidR="00944A3C" w:rsidRPr="00610FD7">
        <w:rPr>
          <w:rtl/>
        </w:rPr>
        <w:t>65. غير أن متوسط العمر المتوقع في سن</w:t>
      </w:r>
      <w:r w:rsidR="00D4138D">
        <w:rPr>
          <w:rtl/>
        </w:rPr>
        <w:t xml:space="preserve"> الـ </w:t>
      </w:r>
      <w:r w:rsidR="00944A3C" w:rsidRPr="00610FD7">
        <w:rPr>
          <w:rtl/>
        </w:rPr>
        <w:t>60 ارتفع منذ عام 1990</w:t>
      </w:r>
      <w:r w:rsidR="00944A3C" w:rsidRPr="00610FD7">
        <w:rPr>
          <w:rFonts w:hint="cs"/>
          <w:rtl/>
        </w:rPr>
        <w:t>. ف</w:t>
      </w:r>
      <w:r w:rsidR="00944A3C" w:rsidRPr="00610FD7">
        <w:rPr>
          <w:rtl/>
        </w:rPr>
        <w:t>في عام</w:t>
      </w:r>
      <w:r w:rsidR="00944A3C" w:rsidRPr="00610FD7">
        <w:rPr>
          <w:rFonts w:hint="cs"/>
          <w:rtl/>
        </w:rPr>
        <w:t> </w:t>
      </w:r>
      <w:r w:rsidR="00944A3C" w:rsidRPr="00610FD7">
        <w:rPr>
          <w:rtl/>
        </w:rPr>
        <w:t>2015، كان من الممكن لامرأة في سن</w:t>
      </w:r>
      <w:r w:rsidR="00D4138D">
        <w:rPr>
          <w:rtl/>
        </w:rPr>
        <w:t xml:space="preserve"> الـ </w:t>
      </w:r>
      <w:r w:rsidR="00944A3C" w:rsidRPr="00610FD7">
        <w:rPr>
          <w:rtl/>
        </w:rPr>
        <w:t>60 أن تتوقع العيش 27,3 سنة أخرى (25,6 سنة في عام 2000) ولرجل في السن ذاته أن يتوقع العيش 22,9 سنة أخرى (20,4 سنة في عام 2000)</w:t>
      </w:r>
      <w:r w:rsidR="00944A3C" w:rsidRPr="00610FD7">
        <w:rPr>
          <w:rStyle w:val="EndnoteReference"/>
          <w:rtl/>
        </w:rPr>
        <w:t>(</w:t>
      </w:r>
      <w:r w:rsidR="00944A3C" w:rsidRPr="00610FD7">
        <w:rPr>
          <w:rStyle w:val="EndnoteReference"/>
          <w:rtl/>
        </w:rPr>
        <w:endnoteReference w:id="27"/>
      </w:r>
      <w:r w:rsidR="00944A3C" w:rsidRPr="00610FD7">
        <w:rPr>
          <w:rStyle w:val="EndnoteReference"/>
          <w:rtl/>
        </w:rPr>
        <w:t>)</w:t>
      </w:r>
      <w:r w:rsidR="00944A3C" w:rsidRPr="00610FD7">
        <w:rPr>
          <w:rFonts w:hint="cs"/>
          <w:rtl/>
        </w:rPr>
        <w:t>.</w:t>
      </w:r>
      <w:r w:rsidR="00D4138D">
        <w:rPr>
          <w:rFonts w:hint="cs"/>
          <w:rtl/>
        </w:rPr>
        <w:t xml:space="preserve"> </w:t>
      </w:r>
    </w:p>
    <w:p w:rsidR="00944A3C" w:rsidRPr="005D0C50" w:rsidRDefault="00944A3C" w:rsidP="0082773D">
      <w:pPr>
        <w:pStyle w:val="SingleTxtGA"/>
        <w:spacing w:line="370" w:lineRule="exact"/>
        <w:rPr>
          <w:rtl/>
        </w:rPr>
      </w:pPr>
      <w:r w:rsidRPr="005D0C50">
        <w:rPr>
          <w:rFonts w:hint="cs"/>
          <w:rtl/>
        </w:rPr>
        <w:t>20-</w:t>
      </w:r>
      <w:r w:rsidRPr="005D0C50">
        <w:rPr>
          <w:rFonts w:hint="cs"/>
          <w:rtl/>
        </w:rPr>
        <w:tab/>
      </w:r>
      <w:r w:rsidRPr="005D0C50">
        <w:rPr>
          <w:rtl/>
        </w:rPr>
        <w:t xml:space="preserve">ويشكل تقدم </w:t>
      </w:r>
      <w:r w:rsidRPr="005D0C50">
        <w:rPr>
          <w:rFonts w:hint="cs"/>
          <w:rtl/>
        </w:rPr>
        <w:t xml:space="preserve">سن </w:t>
      </w:r>
      <w:r w:rsidRPr="005D0C50">
        <w:rPr>
          <w:rtl/>
        </w:rPr>
        <w:t xml:space="preserve">أجيال </w:t>
      </w:r>
      <w:r w:rsidRPr="005D0C50">
        <w:rPr>
          <w:rFonts w:hint="cs"/>
          <w:rtl/>
        </w:rPr>
        <w:t xml:space="preserve">فترة </w:t>
      </w:r>
      <w:r w:rsidRPr="005D0C50">
        <w:rPr>
          <w:rtl/>
        </w:rPr>
        <w:t>طفرة الإنجاب وطول مدة الحياة العامل</w:t>
      </w:r>
      <w:r w:rsidRPr="005D0C50">
        <w:rPr>
          <w:rFonts w:hint="cs"/>
          <w:rtl/>
        </w:rPr>
        <w:t>َ</w:t>
      </w:r>
      <w:r w:rsidRPr="005D0C50">
        <w:rPr>
          <w:rtl/>
        </w:rPr>
        <w:t>ين الرئيسيين لشيخوخة السكان</w:t>
      </w:r>
      <w:r w:rsidRPr="005D0C50">
        <w:rPr>
          <w:rFonts w:hint="cs"/>
          <w:rtl/>
        </w:rPr>
        <w:t xml:space="preserve">. </w:t>
      </w:r>
      <w:r w:rsidRPr="005D0C50">
        <w:rPr>
          <w:rtl/>
        </w:rPr>
        <w:t>وبالفعل، فخلال الفترة الممتدة بين عامي 1981 و2011، ارتفع متوسط العمر المتوقع عند الولادة بما قدره 8 سنوات بالنسبة للذكور و6,5 سنوات بالنسبة للإناث</w:t>
      </w:r>
      <w:r w:rsidRPr="005D0C50">
        <w:rPr>
          <w:rFonts w:hint="cs"/>
          <w:rtl/>
        </w:rPr>
        <w:t xml:space="preserve">. </w:t>
      </w:r>
      <w:r w:rsidRPr="005D0C50">
        <w:rPr>
          <w:rtl/>
        </w:rPr>
        <w:t>غير أنه، بالنظر إلى العدد الكبير من الوفيات التي حدثت خلال عام 2012، انخفض بشكل طفيف لدى الإناث (84,8 سنة، أي 0,2- سنة بالمقارنة مع عام 2011) وبقي مستقر</w:t>
      </w:r>
      <w:r w:rsidR="00526CCD">
        <w:rPr>
          <w:rtl/>
        </w:rPr>
        <w:t xml:space="preserve">اً </w:t>
      </w:r>
      <w:r w:rsidRPr="005D0C50">
        <w:rPr>
          <w:rtl/>
        </w:rPr>
        <w:t>لدى الذكور (78,4 سنة)</w:t>
      </w:r>
      <w:r w:rsidRPr="005D0C50">
        <w:rPr>
          <w:rFonts w:hint="cs"/>
          <w:rtl/>
        </w:rPr>
        <w:t xml:space="preserve">. </w:t>
      </w:r>
    </w:p>
    <w:p w:rsidR="00944A3C" w:rsidRPr="005D0C50" w:rsidRDefault="00944A3C" w:rsidP="0082773D">
      <w:pPr>
        <w:pStyle w:val="SingleTxtGA"/>
        <w:spacing w:line="370" w:lineRule="exact"/>
        <w:rPr>
          <w:rtl/>
        </w:rPr>
      </w:pPr>
      <w:r w:rsidRPr="005D0C50">
        <w:rPr>
          <w:rFonts w:hint="cs"/>
          <w:rtl/>
        </w:rPr>
        <w:t>21-</w:t>
      </w:r>
      <w:r w:rsidRPr="005D0C50">
        <w:rPr>
          <w:rFonts w:hint="cs"/>
          <w:rtl/>
        </w:rPr>
        <w:tab/>
      </w:r>
      <w:r w:rsidRPr="005D0C50">
        <w:rPr>
          <w:rtl/>
        </w:rPr>
        <w:t>وخلال مدة عشرين عام</w:t>
      </w:r>
      <w:r w:rsidR="0031739C">
        <w:rPr>
          <w:rtl/>
        </w:rPr>
        <w:t>اً،</w:t>
      </w:r>
      <w:r w:rsidRPr="005D0C50">
        <w:rPr>
          <w:rtl/>
        </w:rPr>
        <w:t xml:space="preserve"> زاد متوسط العمر المتوقع لدى الإناث بـ 3,1 سنوات ولدى الذكور بـ 5,1 سنوات</w:t>
      </w:r>
      <w:r w:rsidRPr="005D0C50">
        <w:rPr>
          <w:rFonts w:hint="cs"/>
          <w:rtl/>
        </w:rPr>
        <w:t>.</w:t>
      </w:r>
    </w:p>
    <w:p w:rsidR="00944A3C" w:rsidRPr="005D0C50" w:rsidRDefault="00944A3C" w:rsidP="0082773D">
      <w:pPr>
        <w:pStyle w:val="SingleTxtGA"/>
        <w:spacing w:line="370" w:lineRule="exact"/>
        <w:rPr>
          <w:rtl/>
        </w:rPr>
      </w:pPr>
      <w:r w:rsidRPr="005D0C50">
        <w:rPr>
          <w:rFonts w:hint="cs"/>
          <w:rtl/>
        </w:rPr>
        <w:t>22-</w:t>
      </w:r>
      <w:r w:rsidRPr="005D0C50">
        <w:rPr>
          <w:rFonts w:hint="cs"/>
          <w:rtl/>
        </w:rPr>
        <w:tab/>
      </w:r>
      <w:r w:rsidRPr="005D0C50">
        <w:rPr>
          <w:b/>
          <w:bCs/>
          <w:rtl/>
        </w:rPr>
        <w:t>نسبة الإعالة</w:t>
      </w:r>
      <w:r w:rsidRPr="005D0C50">
        <w:rPr>
          <w:rtl/>
        </w:rPr>
        <w:t>: في عام 2009، بلغ</w:t>
      </w:r>
      <w:r w:rsidRPr="005D0C50">
        <w:rPr>
          <w:rFonts w:hint="cs"/>
          <w:rtl/>
        </w:rPr>
        <w:t xml:space="preserve"> متوسط</w:t>
      </w:r>
      <w:r w:rsidRPr="005D0C50">
        <w:rPr>
          <w:rtl/>
        </w:rPr>
        <w:t xml:space="preserve"> نسبة الإعالة 89 في المائة، حيث بلغ عدد الأحداث 16 مليون</w:t>
      </w:r>
      <w:r w:rsidR="00526CCD">
        <w:rPr>
          <w:rtl/>
        </w:rPr>
        <w:t xml:space="preserve">اً </w:t>
      </w:r>
      <w:r w:rsidRPr="005D0C50">
        <w:rPr>
          <w:rtl/>
        </w:rPr>
        <w:t>وعدد الأشخاص البالغين من العمر 60 سنة أو أكثر 14 مليون</w:t>
      </w:r>
      <w:r w:rsidR="00526CCD">
        <w:rPr>
          <w:rtl/>
        </w:rPr>
        <w:t xml:space="preserve">اً </w:t>
      </w:r>
      <w:r w:rsidRPr="005D0C50">
        <w:rPr>
          <w:rtl/>
        </w:rPr>
        <w:t>مقابل 34 مليون شخص في سن العمل</w:t>
      </w:r>
      <w:r>
        <w:rPr>
          <w:rStyle w:val="EndnoteReference"/>
          <w:rtl/>
        </w:rPr>
        <w:t>(</w:t>
      </w:r>
      <w:r w:rsidRPr="005D0C50">
        <w:rPr>
          <w:rStyle w:val="EndnoteReference"/>
          <w:rtl/>
        </w:rPr>
        <w:endnoteReference w:id="28"/>
      </w:r>
      <w:r>
        <w:rPr>
          <w:rStyle w:val="EndnoteReference"/>
          <w:rtl/>
        </w:rPr>
        <w:t>)</w:t>
      </w:r>
      <w:r w:rsidRPr="005D0C50">
        <w:rPr>
          <w:rFonts w:hint="cs"/>
          <w:rtl/>
        </w:rPr>
        <w:t xml:space="preserve">. </w:t>
      </w:r>
      <w:r w:rsidRPr="005D0C50">
        <w:rPr>
          <w:rtl/>
        </w:rPr>
        <w:t>وهو أدنى في المناطق الموفرة لفرص العمل التي تضم تجمعات سكانية كبرى، حيث يتركز السكان الناشطون اقتصاديا</w:t>
      </w:r>
      <w:r w:rsidRPr="005D0C50">
        <w:rPr>
          <w:rFonts w:hint="cs"/>
          <w:rtl/>
        </w:rPr>
        <w:t>.</w:t>
      </w:r>
    </w:p>
    <w:p w:rsidR="00944A3C" w:rsidRPr="005D0C50" w:rsidRDefault="00944A3C" w:rsidP="00944A3C">
      <w:pPr>
        <w:pStyle w:val="H23GA"/>
        <w:rPr>
          <w:rtl/>
        </w:rPr>
      </w:pPr>
      <w:r w:rsidRPr="005D0C50">
        <w:rPr>
          <w:rtl/>
        </w:rPr>
        <w:tab/>
        <w:t>(و)</w:t>
      </w:r>
      <w:r w:rsidRPr="005D0C50">
        <w:rPr>
          <w:rtl/>
        </w:rPr>
        <w:tab/>
        <w:t>الأجانب والمهاجرون</w:t>
      </w:r>
    </w:p>
    <w:p w:rsidR="00944A3C" w:rsidRPr="005D0C50" w:rsidRDefault="00944A3C" w:rsidP="0082773D">
      <w:pPr>
        <w:pStyle w:val="SingleTxtGA"/>
        <w:spacing w:line="360" w:lineRule="exact"/>
        <w:rPr>
          <w:rtl/>
        </w:rPr>
      </w:pPr>
      <w:r w:rsidRPr="005D0C50">
        <w:rPr>
          <w:rFonts w:hint="cs"/>
          <w:rtl/>
        </w:rPr>
        <w:t>23-</w:t>
      </w:r>
      <w:r w:rsidRPr="005D0C50">
        <w:rPr>
          <w:rFonts w:hint="cs"/>
          <w:rtl/>
        </w:rPr>
        <w:tab/>
      </w:r>
      <w:r w:rsidRPr="005D0C50">
        <w:rPr>
          <w:rtl/>
        </w:rPr>
        <w:t xml:space="preserve">يتألف السكان الأجانب من أشخاص مولودين خارج فرنسا، أي مهاجرين بالمعنى الحقيقي، ومن أشخاص قاصرين وُلد معظمهم في فرنسا </w:t>
      </w:r>
      <w:r w:rsidRPr="005D0C50">
        <w:rPr>
          <w:rFonts w:hint="cs"/>
          <w:rtl/>
        </w:rPr>
        <w:t>ل</w:t>
      </w:r>
      <w:r w:rsidRPr="005D0C50">
        <w:rPr>
          <w:rtl/>
        </w:rPr>
        <w:t>أبوين أجنبيين</w:t>
      </w:r>
      <w:r w:rsidRPr="005D0C50">
        <w:rPr>
          <w:rFonts w:hint="cs"/>
          <w:rtl/>
        </w:rPr>
        <w:t>.</w:t>
      </w:r>
    </w:p>
    <w:p w:rsidR="00944A3C" w:rsidRPr="005D0C50" w:rsidRDefault="00944A3C" w:rsidP="00046546">
      <w:pPr>
        <w:pStyle w:val="SingleTxtGA"/>
        <w:spacing w:line="360" w:lineRule="exact"/>
        <w:rPr>
          <w:rtl/>
        </w:rPr>
      </w:pPr>
      <w:r w:rsidRPr="005D0C50">
        <w:rPr>
          <w:rFonts w:hint="cs"/>
          <w:rtl/>
        </w:rPr>
        <w:t>24-</w:t>
      </w:r>
      <w:r w:rsidRPr="005D0C50">
        <w:rPr>
          <w:rFonts w:hint="cs"/>
          <w:rtl/>
        </w:rPr>
        <w:tab/>
      </w:r>
      <w:r w:rsidRPr="005D0C50">
        <w:rPr>
          <w:rtl/>
        </w:rPr>
        <w:t>وحتى 1 كانون الثاني/يناير 2014، بلغ عدد سكان فرنسا، باستثناء جزيرة مايوت القمرية، 65,8 مليون نسمة</w:t>
      </w:r>
      <w:r w:rsidRPr="005D0C50">
        <w:rPr>
          <w:rFonts w:hint="cs"/>
          <w:rtl/>
        </w:rPr>
        <w:t xml:space="preserve">. </w:t>
      </w:r>
      <w:r w:rsidRPr="005D0C50">
        <w:rPr>
          <w:rtl/>
        </w:rPr>
        <w:t>وقد وُلد 58,2 مليون نسمة منهم في فرنسا و7,6 ملايين في الخارج، أي 11,6 في المائة من السكان</w:t>
      </w:r>
      <w:r w:rsidRPr="005D0C50">
        <w:rPr>
          <w:rFonts w:hint="cs"/>
          <w:rtl/>
        </w:rPr>
        <w:t xml:space="preserve">. </w:t>
      </w:r>
      <w:r w:rsidRPr="005D0C50">
        <w:rPr>
          <w:rtl/>
        </w:rPr>
        <w:t>وضمن السكان المولودين في فرنسا البالغ عددهم</w:t>
      </w:r>
      <w:r>
        <w:rPr>
          <w:rFonts w:hint="cs"/>
          <w:rtl/>
        </w:rPr>
        <w:t xml:space="preserve"> 58.2 </w:t>
      </w:r>
      <w:r w:rsidRPr="005D0C50">
        <w:rPr>
          <w:rtl/>
        </w:rPr>
        <w:t xml:space="preserve">مليون نسمة، يحمل 57,6 مليون شخص الجنسية الفرنسية، </w:t>
      </w:r>
      <w:r w:rsidRPr="005D0C50">
        <w:rPr>
          <w:rFonts w:hint="cs"/>
          <w:rtl/>
        </w:rPr>
        <w:t xml:space="preserve">ولدى </w:t>
      </w:r>
      <w:r w:rsidRPr="005D0C50">
        <w:rPr>
          <w:rtl/>
        </w:rPr>
        <w:t>بعضهم</w:t>
      </w:r>
      <w:r w:rsidRPr="005D0C50">
        <w:rPr>
          <w:rFonts w:hint="cs"/>
          <w:rtl/>
        </w:rPr>
        <w:t xml:space="preserve"> </w:t>
      </w:r>
      <w:r w:rsidRPr="005D0C50">
        <w:rPr>
          <w:rtl/>
        </w:rPr>
        <w:t xml:space="preserve">جنسية مزدوجة، </w:t>
      </w:r>
      <w:r>
        <w:rPr>
          <w:rFonts w:hint="cs"/>
          <w:rtl/>
        </w:rPr>
        <w:t>ويبلغ عدد</w:t>
      </w:r>
      <w:r w:rsidRPr="005D0C50">
        <w:rPr>
          <w:rtl/>
        </w:rPr>
        <w:t xml:space="preserve"> </w:t>
      </w:r>
      <w:r>
        <w:rPr>
          <w:rFonts w:hint="cs"/>
          <w:rtl/>
        </w:rPr>
        <w:t>ال</w:t>
      </w:r>
      <w:r w:rsidRPr="005D0C50">
        <w:rPr>
          <w:rtl/>
        </w:rPr>
        <w:t>أجانب</w:t>
      </w:r>
      <w:r>
        <w:rPr>
          <w:rFonts w:hint="cs"/>
          <w:rtl/>
        </w:rPr>
        <w:t xml:space="preserve"> بينهم</w:t>
      </w:r>
      <w:r w:rsidR="00046546">
        <w:rPr>
          <w:rFonts w:hint="cs"/>
          <w:rtl/>
        </w:rPr>
        <w:t xml:space="preserve"> 0.6 </w:t>
      </w:r>
      <w:r>
        <w:rPr>
          <w:rFonts w:hint="cs"/>
          <w:rtl/>
        </w:rPr>
        <w:t>مليون شخص</w:t>
      </w:r>
      <w:r w:rsidRPr="005D0C50">
        <w:rPr>
          <w:rFonts w:hint="cs"/>
          <w:rtl/>
        </w:rPr>
        <w:t>. و</w:t>
      </w:r>
      <w:r w:rsidRPr="005D0C50">
        <w:rPr>
          <w:rtl/>
        </w:rPr>
        <w:t xml:space="preserve">أربعة من أصل </w:t>
      </w:r>
      <w:r w:rsidRPr="005D0C50">
        <w:rPr>
          <w:rFonts w:hint="cs"/>
          <w:rtl/>
        </w:rPr>
        <w:t xml:space="preserve">كل </w:t>
      </w:r>
      <w:r w:rsidRPr="005D0C50">
        <w:rPr>
          <w:rtl/>
        </w:rPr>
        <w:t>خمسة</w:t>
      </w:r>
      <w:r w:rsidRPr="005D0C50">
        <w:rPr>
          <w:rFonts w:hint="cs"/>
          <w:rtl/>
        </w:rPr>
        <w:t>ٍ</w:t>
      </w:r>
      <w:r w:rsidRPr="005D0C50">
        <w:rPr>
          <w:rtl/>
        </w:rPr>
        <w:t xml:space="preserve"> من هؤلاء الأشخاص الأجانب المولودين في فرنسا أطفال</w:t>
      </w:r>
      <w:r w:rsidRPr="005D0C50">
        <w:rPr>
          <w:rFonts w:hint="cs"/>
          <w:rtl/>
        </w:rPr>
        <w:t>ٌ</w:t>
      </w:r>
      <w:r w:rsidRPr="005D0C50">
        <w:rPr>
          <w:rtl/>
        </w:rPr>
        <w:t xml:space="preserve"> تقل أعمارهم عن 14 سنة وآباؤهم أجانب</w:t>
      </w:r>
      <w:r>
        <w:rPr>
          <w:rStyle w:val="EndnoteReference"/>
          <w:rtl/>
        </w:rPr>
        <w:t>(</w:t>
      </w:r>
      <w:r w:rsidRPr="005D0C50">
        <w:rPr>
          <w:rStyle w:val="EndnoteReference"/>
          <w:rtl/>
        </w:rPr>
        <w:endnoteReference w:id="29"/>
      </w:r>
      <w:r>
        <w:rPr>
          <w:rStyle w:val="EndnoteReference"/>
          <w:rtl/>
        </w:rPr>
        <w:t>)</w:t>
      </w:r>
      <w:r w:rsidRPr="005D0C50">
        <w:rPr>
          <w:rFonts w:hint="cs"/>
          <w:rtl/>
        </w:rPr>
        <w:t xml:space="preserve">. </w:t>
      </w:r>
      <w:r w:rsidRPr="005D0C50">
        <w:rPr>
          <w:rtl/>
        </w:rPr>
        <w:t>وسيكتسبون الجنسية الفرنسية بحكم القانون لدى بلوغهم سن الرشد على أكثر تقدير، شريطة أن يكونوا قد أقاموا مدة خمس سنوات على الأقل في فرنسا منذ سن ا</w:t>
      </w:r>
      <w:r>
        <w:rPr>
          <w:rFonts w:hint="cs"/>
          <w:rtl/>
        </w:rPr>
        <w:t>لـ</w:t>
      </w:r>
      <w:r w:rsidRPr="005D0C50">
        <w:rPr>
          <w:rtl/>
        </w:rPr>
        <w:t xml:space="preserve"> 11</w:t>
      </w:r>
      <w:r>
        <w:rPr>
          <w:rStyle w:val="EndnoteReference"/>
          <w:rtl/>
        </w:rPr>
        <w:t>(</w:t>
      </w:r>
      <w:r w:rsidRPr="005D0C50">
        <w:rPr>
          <w:rStyle w:val="EndnoteReference"/>
          <w:rtl/>
        </w:rPr>
        <w:endnoteReference w:id="30"/>
      </w:r>
      <w:r>
        <w:rPr>
          <w:rStyle w:val="EndnoteReference"/>
          <w:rtl/>
        </w:rPr>
        <w:t>)</w:t>
      </w:r>
      <w:r w:rsidRPr="005D0C50">
        <w:rPr>
          <w:rFonts w:hint="cs"/>
          <w:rtl/>
        </w:rPr>
        <w:t>.</w:t>
      </w:r>
    </w:p>
    <w:p w:rsidR="00944A3C" w:rsidRPr="0082773D" w:rsidRDefault="00944A3C" w:rsidP="00F85901">
      <w:pPr>
        <w:pStyle w:val="SingleTxtGA"/>
        <w:spacing w:line="360" w:lineRule="exact"/>
        <w:rPr>
          <w:spacing w:val="-4"/>
          <w:rtl/>
        </w:rPr>
      </w:pPr>
      <w:r w:rsidRPr="0082773D">
        <w:rPr>
          <w:rFonts w:hint="cs"/>
          <w:spacing w:val="-4"/>
          <w:rtl/>
        </w:rPr>
        <w:t>25-</w:t>
      </w:r>
      <w:r w:rsidRPr="0082773D">
        <w:rPr>
          <w:rFonts w:hint="cs"/>
          <w:spacing w:val="-4"/>
          <w:rtl/>
        </w:rPr>
        <w:tab/>
      </w:r>
      <w:r w:rsidRPr="0082773D">
        <w:rPr>
          <w:spacing w:val="-4"/>
          <w:rtl/>
        </w:rPr>
        <w:t xml:space="preserve">وفي عام 2014، </w:t>
      </w:r>
      <w:r w:rsidRPr="0082773D">
        <w:rPr>
          <w:rFonts w:hint="cs"/>
          <w:spacing w:val="-4"/>
          <w:rtl/>
        </w:rPr>
        <w:t xml:space="preserve">ارتفع </w:t>
      </w:r>
      <w:r w:rsidRPr="0082773D">
        <w:rPr>
          <w:spacing w:val="-4"/>
          <w:rtl/>
        </w:rPr>
        <w:t>المستوى السنوي لحالات اكتساب الجنسية الفرنسية بالمقارنة مع عام 2013، بتسجيل 613 105 فرنسي</w:t>
      </w:r>
      <w:r w:rsidR="00526CCD" w:rsidRPr="0082773D">
        <w:rPr>
          <w:spacing w:val="-4"/>
          <w:rtl/>
        </w:rPr>
        <w:t xml:space="preserve">اً </w:t>
      </w:r>
      <w:r w:rsidRPr="0082773D">
        <w:rPr>
          <w:spacing w:val="-4"/>
          <w:rtl/>
        </w:rPr>
        <w:t>جديد</w:t>
      </w:r>
      <w:r w:rsidR="0031739C" w:rsidRPr="0082773D">
        <w:rPr>
          <w:spacing w:val="-4"/>
          <w:rtl/>
        </w:rPr>
        <w:t>اً،</w:t>
      </w:r>
      <w:r w:rsidRPr="0082773D">
        <w:rPr>
          <w:spacing w:val="-4"/>
          <w:rtl/>
        </w:rPr>
        <w:t xml:space="preserve"> ويعزى ذلك بالأساس إلى زيادة حالات اكتساب الجنسية بموجب مرسوم (+10,4 في المائة) وبحكم إعلان الزواج (+12,6 في المائة)</w:t>
      </w:r>
      <w:r w:rsidRPr="0082773D">
        <w:rPr>
          <w:rFonts w:hint="cs"/>
          <w:spacing w:val="-4"/>
          <w:rtl/>
        </w:rPr>
        <w:t xml:space="preserve">. </w:t>
      </w:r>
      <w:r w:rsidRPr="0082773D">
        <w:rPr>
          <w:spacing w:val="-4"/>
          <w:rtl/>
        </w:rPr>
        <w:t>كما ارتفعت نسبة إعلانات اكتسابها مبكر</w:t>
      </w:r>
      <w:r w:rsidR="00526CCD" w:rsidRPr="0082773D">
        <w:rPr>
          <w:spacing w:val="-4"/>
          <w:rtl/>
        </w:rPr>
        <w:t xml:space="preserve">اً </w:t>
      </w:r>
      <w:r w:rsidRPr="0082773D">
        <w:rPr>
          <w:spacing w:val="-4"/>
          <w:rtl/>
        </w:rPr>
        <w:t>(القاصرون المولودون في فرنسا لأبوين أجنبيين) (+3,9 في المائة)</w:t>
      </w:r>
      <w:r w:rsidRPr="0082773D">
        <w:rPr>
          <w:rFonts w:hint="cs"/>
          <w:spacing w:val="-4"/>
          <w:rtl/>
        </w:rPr>
        <w:t xml:space="preserve">. </w:t>
      </w:r>
      <w:r w:rsidRPr="0082773D">
        <w:rPr>
          <w:spacing w:val="-4"/>
          <w:rtl/>
        </w:rPr>
        <w:t>ولا يعني اكتساب الشخص للجنسية الفرنسية بالضرورة تخليه عن جنسيته الأصلية</w:t>
      </w:r>
      <w:r w:rsidRPr="0082773D">
        <w:rPr>
          <w:rFonts w:hint="cs"/>
          <w:spacing w:val="-4"/>
          <w:rtl/>
        </w:rPr>
        <w:t xml:space="preserve">. </w:t>
      </w:r>
      <w:r w:rsidRPr="0082773D">
        <w:rPr>
          <w:spacing w:val="-4"/>
          <w:rtl/>
        </w:rPr>
        <w:t>وتشير تقديرات عام 2008 إلى أن كل مهاجرٍ من أصل اثنين ممن تراوحت أعمارهم بين</w:t>
      </w:r>
      <w:r w:rsidRPr="0082773D">
        <w:rPr>
          <w:rFonts w:hint="cs"/>
          <w:spacing w:val="-4"/>
          <w:rtl/>
        </w:rPr>
        <w:t> </w:t>
      </w:r>
      <w:r w:rsidRPr="0082773D">
        <w:rPr>
          <w:spacing w:val="-4"/>
          <w:rtl/>
        </w:rPr>
        <w:t>18 و50 سنة واكتسبوا الجنسية الفرنسية، احتفظ بجنسيته الأصلية، ولديه بالتالي جنسية</w:t>
      </w:r>
      <w:r w:rsidRPr="0082773D">
        <w:rPr>
          <w:rFonts w:hint="cs"/>
          <w:spacing w:val="-4"/>
          <w:rtl/>
        </w:rPr>
        <w:t> </w:t>
      </w:r>
      <w:r w:rsidRPr="0082773D">
        <w:rPr>
          <w:spacing w:val="-4"/>
          <w:rtl/>
        </w:rPr>
        <w:t>مزدوجة</w:t>
      </w:r>
      <w:r w:rsidRPr="0082773D">
        <w:rPr>
          <w:rFonts w:hint="cs"/>
          <w:spacing w:val="-4"/>
          <w:rtl/>
        </w:rPr>
        <w:t>.</w:t>
      </w:r>
    </w:p>
    <w:p w:rsidR="00944A3C" w:rsidRPr="005D0C50" w:rsidRDefault="00944A3C" w:rsidP="0082773D">
      <w:pPr>
        <w:pStyle w:val="SingleTxtGA"/>
        <w:spacing w:line="360" w:lineRule="exact"/>
        <w:rPr>
          <w:rtl/>
        </w:rPr>
      </w:pPr>
      <w:r w:rsidRPr="005D0C50">
        <w:rPr>
          <w:rFonts w:hint="cs"/>
          <w:rtl/>
        </w:rPr>
        <w:lastRenderedPageBreak/>
        <w:t>26-</w:t>
      </w:r>
      <w:r w:rsidRPr="005D0C50">
        <w:rPr>
          <w:rFonts w:hint="cs"/>
          <w:rtl/>
        </w:rPr>
        <w:tab/>
      </w:r>
      <w:r w:rsidRPr="005D0C50">
        <w:rPr>
          <w:rtl/>
        </w:rPr>
        <w:t>وانتقلت نسبة السكان المهاجرين ضمن مجموع السكان من 8,1 في المائة في بداية عام</w:t>
      </w:r>
      <w:r>
        <w:rPr>
          <w:rFonts w:hint="cs"/>
          <w:rtl/>
        </w:rPr>
        <w:t> </w:t>
      </w:r>
      <w:r w:rsidRPr="005D0C50">
        <w:rPr>
          <w:rtl/>
        </w:rPr>
        <w:t>2006 إلى 8,9 في المائة في بداية عام 2014</w:t>
      </w:r>
      <w:r w:rsidRPr="005D0C50">
        <w:rPr>
          <w:rFonts w:hint="cs"/>
          <w:rtl/>
        </w:rPr>
        <w:t xml:space="preserve">. </w:t>
      </w:r>
      <w:r w:rsidRPr="005D0C50">
        <w:rPr>
          <w:rtl/>
        </w:rPr>
        <w:t>وتعزى هذه الزيادة بالأساس إلى تدفقات</w:t>
      </w:r>
      <w:r>
        <w:rPr>
          <w:rFonts w:hint="cs"/>
          <w:rtl/>
        </w:rPr>
        <w:t> </w:t>
      </w:r>
      <w:r w:rsidRPr="005D0C50">
        <w:rPr>
          <w:rtl/>
        </w:rPr>
        <w:t>الهجرة: ففي حين وصل إلى فرنسا، خلال هذه الفترة، 1,6 مليون مهاجر، فقد غادرها 000 500 شخص وتوفي 000 400 شخص</w:t>
      </w:r>
      <w:r>
        <w:rPr>
          <w:rStyle w:val="EndnoteReference"/>
          <w:rtl/>
        </w:rPr>
        <w:t>(</w:t>
      </w:r>
      <w:r w:rsidRPr="005D0C50">
        <w:rPr>
          <w:rStyle w:val="EndnoteReference"/>
          <w:rtl/>
        </w:rPr>
        <w:endnoteReference w:id="31"/>
      </w:r>
      <w:r>
        <w:rPr>
          <w:rStyle w:val="EndnoteReference"/>
          <w:rtl/>
        </w:rPr>
        <w:t>)</w:t>
      </w:r>
      <w:r w:rsidRPr="005D0C50">
        <w:rPr>
          <w:rFonts w:hint="cs"/>
          <w:rtl/>
        </w:rPr>
        <w:t>.</w:t>
      </w:r>
    </w:p>
    <w:p w:rsidR="00944A3C" w:rsidRPr="00460075" w:rsidRDefault="00944A3C" w:rsidP="0082773D">
      <w:pPr>
        <w:pStyle w:val="SingleTxtGA"/>
        <w:spacing w:line="360" w:lineRule="exact"/>
        <w:rPr>
          <w:spacing w:val="-6"/>
          <w:rtl/>
        </w:rPr>
      </w:pPr>
      <w:r w:rsidRPr="00460075">
        <w:rPr>
          <w:rFonts w:hint="cs"/>
          <w:spacing w:val="-6"/>
          <w:rtl/>
        </w:rPr>
        <w:t>27-</w:t>
      </w:r>
      <w:r w:rsidRPr="00460075">
        <w:rPr>
          <w:rFonts w:hint="cs"/>
          <w:spacing w:val="-6"/>
          <w:rtl/>
        </w:rPr>
        <w:tab/>
      </w:r>
      <w:r w:rsidRPr="00460075">
        <w:rPr>
          <w:spacing w:val="-6"/>
          <w:rtl/>
        </w:rPr>
        <w:t>وفي عام 2012، كان تصنيف المهاجرين بحسب قارات المولد كالتالي: 43,2 في المائة من أفريقيا (2,4 مليون شخص)، و36,8 في المائة من أوروبا (2,1 مليون شخص)، و21,6 في المائة من آسيا (1,2 مليون شخص)، و5,6 في المائة من أمريكا وأوقيانوسيا</w:t>
      </w:r>
      <w:r w:rsidR="00460075" w:rsidRPr="00460075">
        <w:rPr>
          <w:rFonts w:hint="cs"/>
          <w:spacing w:val="-6"/>
          <w:rtl/>
        </w:rPr>
        <w:t xml:space="preserve"> </w:t>
      </w:r>
      <w:r w:rsidRPr="00460075">
        <w:rPr>
          <w:spacing w:val="-6"/>
          <w:rtl/>
        </w:rPr>
        <w:t>(أي 000 319 شخص)</w:t>
      </w:r>
      <w:r w:rsidRPr="00460075">
        <w:rPr>
          <w:rStyle w:val="EndnoteReference"/>
          <w:spacing w:val="-6"/>
          <w:rtl/>
        </w:rPr>
        <w:t>(</w:t>
      </w:r>
      <w:r w:rsidRPr="00460075">
        <w:rPr>
          <w:rStyle w:val="EndnoteReference"/>
          <w:spacing w:val="-6"/>
          <w:rtl/>
        </w:rPr>
        <w:endnoteReference w:id="32"/>
      </w:r>
      <w:r w:rsidRPr="00460075">
        <w:rPr>
          <w:rStyle w:val="EndnoteReference"/>
          <w:spacing w:val="-6"/>
          <w:rtl/>
        </w:rPr>
        <w:t>)</w:t>
      </w:r>
      <w:r w:rsidRPr="00460075">
        <w:rPr>
          <w:rFonts w:hint="cs"/>
          <w:spacing w:val="-6"/>
          <w:rtl/>
        </w:rPr>
        <w:t>.</w:t>
      </w:r>
    </w:p>
    <w:p w:rsidR="00944A3C" w:rsidRPr="005D0C50" w:rsidRDefault="00944A3C" w:rsidP="0082773D">
      <w:pPr>
        <w:pStyle w:val="SingleTxtGA"/>
        <w:spacing w:line="360" w:lineRule="exact"/>
        <w:rPr>
          <w:rtl/>
        </w:rPr>
      </w:pPr>
      <w:r w:rsidRPr="00CD26A2">
        <w:rPr>
          <w:rFonts w:hint="cs"/>
          <w:rtl/>
        </w:rPr>
        <w:t>28-</w:t>
      </w:r>
      <w:r w:rsidRPr="00CD26A2">
        <w:rPr>
          <w:rFonts w:hint="cs"/>
          <w:rtl/>
        </w:rPr>
        <w:tab/>
        <w:t>و</w:t>
      </w:r>
      <w:r w:rsidRPr="00CD26A2">
        <w:rPr>
          <w:rtl/>
        </w:rPr>
        <w:t xml:space="preserve">استقبلت فرنسا </w:t>
      </w:r>
      <w:r w:rsidRPr="00CD26A2">
        <w:rPr>
          <w:rFonts w:hint="cs"/>
          <w:rtl/>
        </w:rPr>
        <w:t xml:space="preserve">من الطلاب الأجانب </w:t>
      </w:r>
      <w:r w:rsidRPr="00CD26A2">
        <w:rPr>
          <w:rtl/>
        </w:rPr>
        <w:t xml:space="preserve">902 298 خلال الموسم </w:t>
      </w:r>
      <w:r w:rsidR="00CD26A2">
        <w:rPr>
          <w:rFonts w:hint="cs"/>
          <w:rtl/>
        </w:rPr>
        <w:t xml:space="preserve">           </w:t>
      </w:r>
      <w:r w:rsidRPr="00CD26A2">
        <w:rPr>
          <w:rtl/>
        </w:rPr>
        <w:t>الدراسي</w:t>
      </w:r>
      <w:r w:rsidR="00526CCD" w:rsidRPr="00CD26A2">
        <w:rPr>
          <w:rFonts w:hint="cs"/>
          <w:rtl/>
        </w:rPr>
        <w:t> </w:t>
      </w:r>
      <w:r w:rsidRPr="00CD26A2">
        <w:rPr>
          <w:rtl/>
        </w:rPr>
        <w:t>2014-2015</w:t>
      </w:r>
      <w:r w:rsidRPr="00CD26A2">
        <w:rPr>
          <w:rStyle w:val="EndnoteReference"/>
          <w:rtl/>
        </w:rPr>
        <w:t>(</w:t>
      </w:r>
      <w:r w:rsidRPr="00CD26A2">
        <w:rPr>
          <w:rStyle w:val="EndnoteReference"/>
          <w:rtl/>
        </w:rPr>
        <w:endnoteReference w:id="33"/>
      </w:r>
      <w:r w:rsidRPr="00CD26A2">
        <w:rPr>
          <w:rStyle w:val="EndnoteReference"/>
          <w:rtl/>
        </w:rPr>
        <w:t>)</w:t>
      </w:r>
      <w:r w:rsidRPr="00CD26A2">
        <w:rPr>
          <w:rtl/>
        </w:rPr>
        <w:t>،</w:t>
      </w:r>
      <w:r w:rsidRPr="00526CCD">
        <w:rPr>
          <w:rtl/>
        </w:rPr>
        <w:t xml:space="preserve"> </w:t>
      </w:r>
      <w:r w:rsidRPr="005D0C50">
        <w:rPr>
          <w:rtl/>
        </w:rPr>
        <w:t xml:space="preserve">و084 295 خلال الموسم </w:t>
      </w:r>
      <w:r w:rsidRPr="005D0C50">
        <w:rPr>
          <w:rFonts w:hint="cs"/>
          <w:rtl/>
        </w:rPr>
        <w:t xml:space="preserve">الدراسي </w:t>
      </w:r>
      <w:r w:rsidRPr="005D0C50">
        <w:rPr>
          <w:rtl/>
        </w:rPr>
        <w:t>2013-2014</w:t>
      </w:r>
      <w:r>
        <w:rPr>
          <w:rStyle w:val="EndnoteReference"/>
          <w:rtl/>
        </w:rPr>
        <w:t>(</w:t>
      </w:r>
      <w:r w:rsidRPr="005D0C50">
        <w:rPr>
          <w:rStyle w:val="EndnoteReference"/>
          <w:rtl/>
        </w:rPr>
        <w:endnoteReference w:id="34"/>
      </w:r>
      <w:r>
        <w:rPr>
          <w:rStyle w:val="EndnoteReference"/>
          <w:rtl/>
        </w:rPr>
        <w:t>)</w:t>
      </w:r>
      <w:r w:rsidRPr="005D0C50">
        <w:rPr>
          <w:rFonts w:hint="cs"/>
          <w:rtl/>
        </w:rPr>
        <w:t xml:space="preserve">. </w:t>
      </w:r>
      <w:r w:rsidRPr="005D0C50">
        <w:rPr>
          <w:rtl/>
        </w:rPr>
        <w:t>وبلغ عددهم 100 161 طالب في عام 1990</w:t>
      </w:r>
      <w:r>
        <w:rPr>
          <w:rStyle w:val="EndnoteReference"/>
          <w:rtl/>
        </w:rPr>
        <w:t>(</w:t>
      </w:r>
      <w:r w:rsidRPr="005D0C50">
        <w:rPr>
          <w:rStyle w:val="EndnoteReference"/>
          <w:rtl/>
        </w:rPr>
        <w:endnoteReference w:id="35"/>
      </w:r>
      <w:r>
        <w:rPr>
          <w:rStyle w:val="EndnoteReference"/>
          <w:rtl/>
        </w:rPr>
        <w:t>)</w:t>
      </w:r>
      <w:r w:rsidRPr="005D0C50">
        <w:rPr>
          <w:rFonts w:hint="cs"/>
          <w:rtl/>
        </w:rPr>
        <w:t>.</w:t>
      </w:r>
    </w:p>
    <w:p w:rsidR="00944A3C" w:rsidRPr="005D0C50" w:rsidRDefault="00944A3C" w:rsidP="0082773D">
      <w:pPr>
        <w:pStyle w:val="SingleTxtGA"/>
        <w:spacing w:line="360" w:lineRule="exact"/>
        <w:rPr>
          <w:rtl/>
        </w:rPr>
      </w:pPr>
      <w:r w:rsidRPr="005D0C50">
        <w:rPr>
          <w:rFonts w:hint="cs"/>
          <w:rtl/>
        </w:rPr>
        <w:t>29-</w:t>
      </w:r>
      <w:r w:rsidRPr="005D0C50">
        <w:rPr>
          <w:rFonts w:hint="cs"/>
          <w:rtl/>
        </w:rPr>
        <w:tab/>
      </w:r>
      <w:r w:rsidRPr="005D0C50">
        <w:rPr>
          <w:rtl/>
        </w:rPr>
        <w:t>ووفقا</w:t>
      </w:r>
      <w:r>
        <w:rPr>
          <w:rFonts w:hint="cs"/>
          <w:rtl/>
        </w:rPr>
        <w:t>ً</w:t>
      </w:r>
      <w:r w:rsidRPr="005D0C50">
        <w:rPr>
          <w:rtl/>
        </w:rPr>
        <w:t xml:space="preserve"> </w:t>
      </w:r>
      <w:r w:rsidRPr="005D0C50">
        <w:rPr>
          <w:rFonts w:hint="cs"/>
          <w:rtl/>
        </w:rPr>
        <w:t>ل</w:t>
      </w:r>
      <w:r w:rsidRPr="005D0C50">
        <w:rPr>
          <w:rtl/>
        </w:rPr>
        <w:t xml:space="preserve">لبيانات </w:t>
      </w:r>
      <w:r w:rsidRPr="005D0C50">
        <w:rPr>
          <w:rFonts w:hint="cs"/>
          <w:rtl/>
        </w:rPr>
        <w:t xml:space="preserve">الواردة في </w:t>
      </w:r>
      <w:r w:rsidRPr="005D0C50">
        <w:rPr>
          <w:rtl/>
        </w:rPr>
        <w:t xml:space="preserve">الموقع الشبكي للحكومة الفرنسية، استفاد من المساعدة الطبية التي </w:t>
      </w:r>
      <w:r w:rsidRPr="005D0C50">
        <w:rPr>
          <w:rFonts w:hint="cs"/>
          <w:rtl/>
        </w:rPr>
        <w:t xml:space="preserve">تخصصها </w:t>
      </w:r>
      <w:r w:rsidRPr="005D0C50">
        <w:rPr>
          <w:rtl/>
        </w:rPr>
        <w:t>الدولة للمهاجرين غير القانونيين المقيمين في فرنسا فترةً لا تقل عن 3 أشهر</w:t>
      </w:r>
      <w:r>
        <w:rPr>
          <w:rFonts w:hint="cs"/>
          <w:rtl/>
        </w:rPr>
        <w:t> </w:t>
      </w:r>
      <w:r w:rsidRPr="005D0C50">
        <w:rPr>
          <w:rtl/>
        </w:rPr>
        <w:t>425 282 شخصا</w:t>
      </w:r>
      <w:r w:rsidR="00CD290E">
        <w:rPr>
          <w:rFonts w:hint="cs"/>
          <w:rtl/>
        </w:rPr>
        <w:t>ً</w:t>
      </w:r>
      <w:r>
        <w:rPr>
          <w:rStyle w:val="EndnoteReference"/>
          <w:rtl/>
        </w:rPr>
        <w:t>(</w:t>
      </w:r>
      <w:r w:rsidRPr="005D0C50">
        <w:rPr>
          <w:rStyle w:val="EndnoteReference"/>
          <w:rtl/>
        </w:rPr>
        <w:endnoteReference w:id="36"/>
      </w:r>
      <w:r>
        <w:rPr>
          <w:rStyle w:val="EndnoteReference"/>
          <w:rtl/>
        </w:rPr>
        <w:t>)</w:t>
      </w:r>
      <w:r w:rsidRPr="005D0C50">
        <w:rPr>
          <w:rtl/>
        </w:rPr>
        <w:t xml:space="preserve"> في عام 2013، من دون خصم</w:t>
      </w:r>
      <w:r>
        <w:rPr>
          <w:rStyle w:val="EndnoteReference"/>
          <w:rtl/>
        </w:rPr>
        <w:t>(</w:t>
      </w:r>
      <w:r w:rsidRPr="005D0C50">
        <w:rPr>
          <w:rStyle w:val="EndnoteReference"/>
          <w:rtl/>
        </w:rPr>
        <w:endnoteReference w:id="37"/>
      </w:r>
      <w:r>
        <w:rPr>
          <w:rStyle w:val="EndnoteReference"/>
          <w:rtl/>
        </w:rPr>
        <w:t>)</w:t>
      </w:r>
      <w:r w:rsidRPr="005D0C50">
        <w:rPr>
          <w:rFonts w:hint="cs"/>
          <w:rtl/>
        </w:rPr>
        <w:t>.</w:t>
      </w:r>
    </w:p>
    <w:p w:rsidR="00944A3C" w:rsidRPr="005D0C50" w:rsidRDefault="00944A3C" w:rsidP="00944A3C">
      <w:pPr>
        <w:pStyle w:val="H23GA"/>
        <w:rPr>
          <w:rtl/>
        </w:rPr>
      </w:pPr>
      <w:r w:rsidRPr="005D0C50">
        <w:rPr>
          <w:rtl/>
        </w:rPr>
        <w:tab/>
        <w:t>(ز)</w:t>
      </w:r>
      <w:r w:rsidRPr="005D0C50">
        <w:rPr>
          <w:rtl/>
        </w:rPr>
        <w:tab/>
        <w:t>اللجوء</w:t>
      </w:r>
    </w:p>
    <w:p w:rsidR="00944A3C" w:rsidRPr="005D0C50" w:rsidRDefault="00944A3C" w:rsidP="0082773D">
      <w:pPr>
        <w:pStyle w:val="SingleTxtGA"/>
        <w:spacing w:line="360" w:lineRule="exact"/>
        <w:rPr>
          <w:rtl/>
        </w:rPr>
      </w:pPr>
      <w:r w:rsidRPr="005D0C50">
        <w:rPr>
          <w:rFonts w:hint="cs"/>
          <w:rtl/>
        </w:rPr>
        <w:t>30-</w:t>
      </w:r>
      <w:r w:rsidRPr="005D0C50">
        <w:rPr>
          <w:rFonts w:hint="cs"/>
          <w:rtl/>
        </w:rPr>
        <w:tab/>
      </w:r>
      <w:r w:rsidRPr="005D0C50">
        <w:rPr>
          <w:rtl/>
        </w:rPr>
        <w:t>في عام 2015، اتخذ المكتب الفرنسي لحماية اللاجئين وعديمي الجنسية ما</w:t>
      </w:r>
      <w:r w:rsidR="00526CCD">
        <w:rPr>
          <w:rFonts w:hint="cs"/>
          <w:rtl/>
        </w:rPr>
        <w:t> </w:t>
      </w:r>
      <w:r w:rsidRPr="005D0C50">
        <w:rPr>
          <w:rtl/>
        </w:rPr>
        <w:t>مجموعه</w:t>
      </w:r>
      <w:r>
        <w:rPr>
          <w:rFonts w:hint="cs"/>
          <w:rtl/>
        </w:rPr>
        <w:t> </w:t>
      </w:r>
      <w:r w:rsidRPr="005D0C50">
        <w:rPr>
          <w:rtl/>
        </w:rPr>
        <w:t xml:space="preserve">903 61 قرارات بشأن هذه الفئة باستثناء القاصرين المصاحِبين، وهو ما يشكل زيادة </w:t>
      </w:r>
      <w:r w:rsidRPr="005D0C50">
        <w:rPr>
          <w:rFonts w:hint="cs"/>
          <w:rtl/>
        </w:rPr>
        <w:t xml:space="preserve">في عدد القرارات </w:t>
      </w:r>
      <w:r w:rsidRPr="005D0C50">
        <w:rPr>
          <w:rtl/>
        </w:rPr>
        <w:t>نسبتها 18,9 في المائة بالمقارنة مع عام 2014</w:t>
      </w:r>
      <w:r w:rsidRPr="005D0C50">
        <w:rPr>
          <w:rFonts w:hint="cs"/>
          <w:rtl/>
        </w:rPr>
        <w:t xml:space="preserve">. </w:t>
      </w:r>
      <w:r w:rsidRPr="005D0C50">
        <w:rPr>
          <w:rtl/>
        </w:rPr>
        <w:t>واتخذ هذا المكتب</w:t>
      </w:r>
      <w:r w:rsidR="00CD26A2">
        <w:rPr>
          <w:rFonts w:hint="cs"/>
          <w:rtl/>
        </w:rPr>
        <w:t> </w:t>
      </w:r>
      <w:r w:rsidRPr="005D0C50">
        <w:rPr>
          <w:rtl/>
        </w:rPr>
        <w:t>060 14 قرار</w:t>
      </w:r>
      <w:r w:rsidR="00526CCD">
        <w:rPr>
          <w:rtl/>
        </w:rPr>
        <w:t xml:space="preserve">اً </w:t>
      </w:r>
      <w:r w:rsidRPr="005D0C50">
        <w:rPr>
          <w:rtl/>
        </w:rPr>
        <w:t>بالموافقة مقابل 763 8 قرار</w:t>
      </w:r>
      <w:r w:rsidR="00526CCD">
        <w:rPr>
          <w:rtl/>
        </w:rPr>
        <w:t xml:space="preserve">اً </w:t>
      </w:r>
      <w:r w:rsidRPr="005D0C50">
        <w:rPr>
          <w:rtl/>
        </w:rPr>
        <w:t>في عام 2014</w:t>
      </w:r>
      <w:r w:rsidRPr="005D0C50">
        <w:rPr>
          <w:rFonts w:hint="cs"/>
          <w:rtl/>
        </w:rPr>
        <w:t>.</w:t>
      </w:r>
    </w:p>
    <w:p w:rsidR="00944A3C" w:rsidRPr="005D0C50" w:rsidRDefault="00944A3C" w:rsidP="0082773D">
      <w:pPr>
        <w:pStyle w:val="SingleTxtGA"/>
        <w:spacing w:line="360" w:lineRule="exact"/>
        <w:rPr>
          <w:rtl/>
        </w:rPr>
      </w:pPr>
      <w:r w:rsidRPr="005D0C50">
        <w:rPr>
          <w:rFonts w:hint="cs"/>
          <w:rtl/>
        </w:rPr>
        <w:t>31-</w:t>
      </w:r>
      <w:r w:rsidRPr="005D0C50">
        <w:rPr>
          <w:rFonts w:hint="cs"/>
          <w:rtl/>
        </w:rPr>
        <w:tab/>
      </w:r>
      <w:r w:rsidRPr="005D0C50">
        <w:rPr>
          <w:rtl/>
        </w:rPr>
        <w:t>وفي عام 2015، أصدرت المحكمة الوطنية المعنية بالحق في اللجوء 162 35 قرارا</w:t>
      </w:r>
      <w:r w:rsidR="00CD26A2">
        <w:rPr>
          <w:rFonts w:hint="cs"/>
          <w:rtl/>
        </w:rPr>
        <w:t>ً</w:t>
      </w:r>
      <w:r w:rsidRPr="005D0C50">
        <w:rPr>
          <w:rtl/>
        </w:rPr>
        <w:t>، وهو ما يعني انخفاض</w:t>
      </w:r>
      <w:r w:rsidR="00526CCD">
        <w:rPr>
          <w:rtl/>
        </w:rPr>
        <w:t xml:space="preserve">اً </w:t>
      </w:r>
      <w:r w:rsidRPr="005D0C50">
        <w:rPr>
          <w:rtl/>
        </w:rPr>
        <w:t>في عدد القرارات بنسبة 8,2 في المائة بالمقارنة مع عام 2014</w:t>
      </w:r>
      <w:r w:rsidRPr="005D0C50">
        <w:rPr>
          <w:rFonts w:hint="cs"/>
          <w:rtl/>
        </w:rPr>
        <w:t>.</w:t>
      </w:r>
    </w:p>
    <w:p w:rsidR="00944A3C" w:rsidRPr="00944A3C" w:rsidRDefault="00944A3C" w:rsidP="0082773D">
      <w:pPr>
        <w:pStyle w:val="SingleTxtGA"/>
        <w:spacing w:line="360" w:lineRule="exact"/>
        <w:rPr>
          <w:spacing w:val="-2"/>
          <w:rtl/>
        </w:rPr>
      </w:pPr>
      <w:r w:rsidRPr="005D0C50">
        <w:rPr>
          <w:rFonts w:hint="cs"/>
          <w:rtl/>
        </w:rPr>
        <w:t>32-</w:t>
      </w:r>
      <w:r w:rsidRPr="005D0C50">
        <w:rPr>
          <w:rFonts w:hint="cs"/>
          <w:rtl/>
        </w:rPr>
        <w:tab/>
      </w:r>
      <w:r w:rsidRPr="005D0C50">
        <w:rPr>
          <w:rtl/>
        </w:rPr>
        <w:t>وبلغ مجموع عدد قرارات منح الحماية (اللجوء والحماية الثانوية) التي اتخذها في عام</w:t>
      </w:r>
      <w:r>
        <w:rPr>
          <w:rFonts w:hint="cs"/>
          <w:rtl/>
        </w:rPr>
        <w:t> </w:t>
      </w:r>
      <w:r w:rsidRPr="005D0C50">
        <w:rPr>
          <w:rtl/>
        </w:rPr>
        <w:t>2015 كل من المكتب الفرنسي لحماية اللاجئين وعديمي الجنسية والمحكمة الوطنية المعنية بالحق في اللجوء 447 19 قرار</w:t>
      </w:r>
      <w:r w:rsidR="0031739C">
        <w:rPr>
          <w:rtl/>
        </w:rPr>
        <w:t>اً،</w:t>
      </w:r>
      <w:r w:rsidRPr="005D0C50">
        <w:rPr>
          <w:rtl/>
        </w:rPr>
        <w:t xml:space="preserve"> وهو ما يشكل زيادة نسبتها 33,3 في المائة بالمقارنة مع </w:t>
      </w:r>
      <w:r w:rsidRPr="00944A3C">
        <w:rPr>
          <w:spacing w:val="-2"/>
          <w:rtl/>
        </w:rPr>
        <w:t>مجموع القرارات الإيجابية المتخذة في عام 2014</w:t>
      </w:r>
      <w:r w:rsidRPr="00944A3C">
        <w:rPr>
          <w:rStyle w:val="EndnoteReference"/>
          <w:spacing w:val="-2"/>
          <w:rtl/>
        </w:rPr>
        <w:t>(</w:t>
      </w:r>
      <w:r w:rsidRPr="00944A3C">
        <w:rPr>
          <w:rStyle w:val="EndnoteReference"/>
          <w:spacing w:val="-2"/>
          <w:rtl/>
        </w:rPr>
        <w:endnoteReference w:id="38"/>
      </w:r>
      <w:r w:rsidRPr="00944A3C">
        <w:rPr>
          <w:rStyle w:val="EndnoteReference"/>
          <w:spacing w:val="-2"/>
          <w:rtl/>
        </w:rPr>
        <w:t>)</w:t>
      </w:r>
      <w:r w:rsidRPr="00944A3C">
        <w:rPr>
          <w:rFonts w:hint="cs"/>
          <w:spacing w:val="-2"/>
          <w:rtl/>
        </w:rPr>
        <w:t xml:space="preserve">. </w:t>
      </w:r>
      <w:r w:rsidRPr="00944A3C">
        <w:rPr>
          <w:spacing w:val="-2"/>
          <w:rtl/>
        </w:rPr>
        <w:t>وبينما كانت جمهورية الكونغو الديمقراطية تتصدر قائمة البلدان الأصلية لمقدمي الطلبات في عام 2015، فقد أصبحت في المرتبة الرابعة بعد السودان وسوريا وكوسوفو وهايتي</w:t>
      </w:r>
      <w:r w:rsidRPr="00944A3C">
        <w:rPr>
          <w:rFonts w:hint="cs"/>
          <w:spacing w:val="-2"/>
          <w:rtl/>
        </w:rPr>
        <w:t xml:space="preserve">. </w:t>
      </w:r>
      <w:r w:rsidRPr="00944A3C">
        <w:rPr>
          <w:spacing w:val="-2"/>
          <w:rtl/>
        </w:rPr>
        <w:t>ويرمي القانون رقم 2015-925 المؤرخ 29 تموز/يوليه 2015 بشأن إصلاح قانون اللجوء إلى تقليص مدة النظر في طلبات اللجوء وإلى تحسين ظروف استقبال وإيواء ملتمسي اللجوء وإدماج اللاجئين</w:t>
      </w:r>
      <w:r w:rsidRPr="00944A3C">
        <w:rPr>
          <w:rStyle w:val="EndnoteReference"/>
          <w:spacing w:val="-2"/>
          <w:rtl/>
        </w:rPr>
        <w:t>(</w:t>
      </w:r>
      <w:r w:rsidRPr="00944A3C">
        <w:rPr>
          <w:rStyle w:val="EndnoteReference"/>
          <w:spacing w:val="-2"/>
          <w:rtl/>
        </w:rPr>
        <w:endnoteReference w:id="39"/>
      </w:r>
      <w:r w:rsidRPr="00944A3C">
        <w:rPr>
          <w:rStyle w:val="EndnoteReference"/>
          <w:spacing w:val="-2"/>
          <w:rtl/>
        </w:rPr>
        <w:t>)</w:t>
      </w:r>
      <w:r w:rsidRPr="00944A3C">
        <w:rPr>
          <w:rFonts w:hint="cs"/>
          <w:spacing w:val="-2"/>
          <w:rtl/>
        </w:rPr>
        <w:t>.</w:t>
      </w:r>
    </w:p>
    <w:p w:rsidR="00944A3C" w:rsidRPr="005D0C50" w:rsidRDefault="00944A3C" w:rsidP="0082773D">
      <w:pPr>
        <w:pStyle w:val="H23GA"/>
        <w:rPr>
          <w:spacing w:val="-4"/>
          <w:rtl/>
        </w:rPr>
      </w:pPr>
      <w:r w:rsidRPr="005D0C50">
        <w:rPr>
          <w:spacing w:val="-4"/>
          <w:rtl/>
        </w:rPr>
        <w:tab/>
        <w:t>2-</w:t>
      </w:r>
      <w:r w:rsidRPr="005D0C50">
        <w:rPr>
          <w:spacing w:val="-4"/>
          <w:rtl/>
        </w:rPr>
        <w:tab/>
      </w:r>
      <w:r w:rsidRPr="005D0C50">
        <w:rPr>
          <w:rtl/>
        </w:rPr>
        <w:t>البيانات الاجتماعية</w:t>
      </w:r>
    </w:p>
    <w:p w:rsidR="00944A3C" w:rsidRPr="005D0C50" w:rsidRDefault="00944A3C" w:rsidP="0082773D">
      <w:pPr>
        <w:pStyle w:val="H23GA"/>
        <w:rPr>
          <w:rtl/>
        </w:rPr>
      </w:pPr>
      <w:r w:rsidRPr="005D0C50">
        <w:rPr>
          <w:spacing w:val="-4"/>
        </w:rPr>
        <w:tab/>
      </w:r>
      <w:r w:rsidRPr="005D0C50">
        <w:rPr>
          <w:spacing w:val="-4"/>
          <w:rtl/>
        </w:rPr>
        <w:t>(أ)</w:t>
      </w:r>
      <w:r w:rsidRPr="005D0C50">
        <w:rPr>
          <w:spacing w:val="-4"/>
          <w:rtl/>
        </w:rPr>
        <w:tab/>
      </w:r>
      <w:r w:rsidRPr="005D0C50">
        <w:rPr>
          <w:rtl/>
        </w:rPr>
        <w:t>الأسر المعيشية والأسر</w:t>
      </w:r>
    </w:p>
    <w:p w:rsidR="00944A3C" w:rsidRPr="00944A3C" w:rsidRDefault="00944A3C" w:rsidP="00944A3C">
      <w:pPr>
        <w:pStyle w:val="SingleTxtGA"/>
        <w:rPr>
          <w:spacing w:val="-2"/>
          <w:rtl/>
        </w:rPr>
      </w:pPr>
      <w:r w:rsidRPr="00944A3C">
        <w:rPr>
          <w:rFonts w:hint="cs"/>
          <w:spacing w:val="-2"/>
          <w:rtl/>
        </w:rPr>
        <w:t>33-</w:t>
      </w:r>
      <w:r w:rsidRPr="00944A3C">
        <w:rPr>
          <w:rFonts w:hint="cs"/>
          <w:spacing w:val="-2"/>
          <w:rtl/>
        </w:rPr>
        <w:tab/>
      </w:r>
      <w:r w:rsidRPr="00944A3C">
        <w:rPr>
          <w:spacing w:val="-2"/>
          <w:rtl/>
        </w:rPr>
        <w:t>ما فتئ عدد الأسر المعيشية يتزايد</w:t>
      </w:r>
      <w:r w:rsidRPr="00944A3C">
        <w:rPr>
          <w:rFonts w:hint="cs"/>
          <w:spacing w:val="-2"/>
          <w:rtl/>
        </w:rPr>
        <w:t>،</w:t>
      </w:r>
      <w:r w:rsidRPr="00944A3C">
        <w:rPr>
          <w:spacing w:val="-2"/>
          <w:rtl/>
        </w:rPr>
        <w:t xml:space="preserve"> في حين انخفض حجمها تدريجيا</w:t>
      </w:r>
      <w:r w:rsidRPr="00944A3C">
        <w:rPr>
          <w:rFonts w:hint="cs"/>
          <w:spacing w:val="-2"/>
          <w:rtl/>
        </w:rPr>
        <w:t xml:space="preserve">. </w:t>
      </w:r>
      <w:r w:rsidRPr="00944A3C">
        <w:rPr>
          <w:spacing w:val="-2"/>
          <w:rtl/>
        </w:rPr>
        <w:t>ففي الفترة الممتدة بين عامي 1975 و2012، انتقل عدد الأسر المعيشية من 17,74 مليون</w:t>
      </w:r>
      <w:r w:rsidRPr="00944A3C">
        <w:rPr>
          <w:rFonts w:hint="cs"/>
          <w:spacing w:val="-2"/>
          <w:rtl/>
        </w:rPr>
        <w:t xml:space="preserve"> أسرة معيشية</w:t>
      </w:r>
      <w:r w:rsidRPr="00944A3C">
        <w:rPr>
          <w:rStyle w:val="EndnoteReference"/>
          <w:spacing w:val="-2"/>
          <w:rtl/>
        </w:rPr>
        <w:t>(</w:t>
      </w:r>
      <w:r w:rsidRPr="00944A3C">
        <w:rPr>
          <w:rStyle w:val="EndnoteReference"/>
          <w:spacing w:val="-2"/>
          <w:rtl/>
        </w:rPr>
        <w:endnoteReference w:id="40"/>
      </w:r>
      <w:r w:rsidRPr="00944A3C">
        <w:rPr>
          <w:rStyle w:val="EndnoteReference"/>
          <w:spacing w:val="-2"/>
          <w:rtl/>
        </w:rPr>
        <w:t>)</w:t>
      </w:r>
      <w:r w:rsidRPr="00944A3C">
        <w:rPr>
          <w:spacing w:val="-2"/>
          <w:rtl/>
        </w:rPr>
        <w:t xml:space="preserve"> إلى</w:t>
      </w:r>
      <w:r>
        <w:rPr>
          <w:rFonts w:hint="cs"/>
          <w:spacing w:val="-2"/>
          <w:rtl/>
        </w:rPr>
        <w:t> </w:t>
      </w:r>
      <w:r w:rsidRPr="00944A3C">
        <w:rPr>
          <w:spacing w:val="-2"/>
          <w:rtl/>
        </w:rPr>
        <w:t>28,3 مليون</w:t>
      </w:r>
      <w:r w:rsidRPr="00944A3C">
        <w:rPr>
          <w:rFonts w:hint="cs"/>
          <w:spacing w:val="-2"/>
          <w:rtl/>
        </w:rPr>
        <w:t xml:space="preserve"> أسرة</w:t>
      </w:r>
      <w:r w:rsidRPr="00944A3C">
        <w:rPr>
          <w:rStyle w:val="EndnoteReference"/>
          <w:spacing w:val="-2"/>
          <w:rtl/>
        </w:rPr>
        <w:t>(</w:t>
      </w:r>
      <w:r w:rsidRPr="00944A3C">
        <w:rPr>
          <w:rStyle w:val="EndnoteReference"/>
          <w:spacing w:val="-2"/>
          <w:rtl/>
        </w:rPr>
        <w:endnoteReference w:id="41"/>
      </w:r>
      <w:r w:rsidRPr="00944A3C">
        <w:rPr>
          <w:rStyle w:val="EndnoteReference"/>
          <w:spacing w:val="-2"/>
          <w:rtl/>
        </w:rPr>
        <w:t>)</w:t>
      </w:r>
      <w:r w:rsidRPr="00944A3C">
        <w:rPr>
          <w:spacing w:val="-2"/>
          <w:rtl/>
        </w:rPr>
        <w:t>، وعدد أفرادها من 2,9 إلى 2,26</w:t>
      </w:r>
      <w:r w:rsidRPr="00944A3C">
        <w:rPr>
          <w:rStyle w:val="EndnoteReference"/>
          <w:spacing w:val="-2"/>
          <w:rtl/>
        </w:rPr>
        <w:t>(</w:t>
      </w:r>
      <w:r w:rsidRPr="00944A3C">
        <w:rPr>
          <w:rStyle w:val="EndnoteReference"/>
          <w:spacing w:val="-2"/>
          <w:rtl/>
        </w:rPr>
        <w:endnoteReference w:id="42"/>
      </w:r>
      <w:r w:rsidRPr="00944A3C">
        <w:rPr>
          <w:rStyle w:val="EndnoteReference"/>
          <w:spacing w:val="-2"/>
          <w:rtl/>
        </w:rPr>
        <w:t>)</w:t>
      </w:r>
      <w:r w:rsidRPr="00944A3C">
        <w:rPr>
          <w:rFonts w:hint="cs"/>
          <w:spacing w:val="-2"/>
          <w:rtl/>
        </w:rPr>
        <w:t xml:space="preserve">. </w:t>
      </w:r>
      <w:r w:rsidRPr="00944A3C">
        <w:rPr>
          <w:spacing w:val="-2"/>
          <w:rtl/>
        </w:rPr>
        <w:t>وفي عام 2010، كانت المرأة هي الشخص المعيل في 7,64 ملايين أسرة معيشية</w:t>
      </w:r>
      <w:r w:rsidRPr="00944A3C">
        <w:rPr>
          <w:rStyle w:val="EndnoteReference"/>
          <w:spacing w:val="-2"/>
          <w:rtl/>
        </w:rPr>
        <w:t>(</w:t>
      </w:r>
      <w:r w:rsidRPr="00944A3C">
        <w:rPr>
          <w:rStyle w:val="EndnoteReference"/>
          <w:spacing w:val="-2"/>
          <w:rtl/>
        </w:rPr>
        <w:endnoteReference w:id="43"/>
      </w:r>
      <w:r w:rsidRPr="00944A3C">
        <w:rPr>
          <w:rStyle w:val="EndnoteReference"/>
          <w:spacing w:val="-2"/>
          <w:rtl/>
        </w:rPr>
        <w:t>)</w:t>
      </w:r>
      <w:r w:rsidRPr="00944A3C">
        <w:rPr>
          <w:rFonts w:hint="cs"/>
          <w:spacing w:val="-2"/>
          <w:rtl/>
        </w:rPr>
        <w:t>.</w:t>
      </w:r>
    </w:p>
    <w:p w:rsidR="00944A3C" w:rsidRPr="005D0C50" w:rsidRDefault="00944A3C" w:rsidP="00944A3C">
      <w:pPr>
        <w:pStyle w:val="SingleTxtGA"/>
        <w:rPr>
          <w:rtl/>
        </w:rPr>
      </w:pPr>
      <w:r w:rsidRPr="005D0C50">
        <w:rPr>
          <w:rFonts w:hint="cs"/>
          <w:rtl/>
        </w:rPr>
        <w:lastRenderedPageBreak/>
        <w:t>34-</w:t>
      </w:r>
      <w:r w:rsidRPr="005D0C50">
        <w:rPr>
          <w:rFonts w:hint="cs"/>
          <w:rtl/>
        </w:rPr>
        <w:tab/>
      </w:r>
      <w:r w:rsidRPr="005D0C50">
        <w:rPr>
          <w:rtl/>
        </w:rPr>
        <w:t xml:space="preserve">وفي عام 2012، كانت نسبة 22 في المائة من الأسر وحيدةَ الوالد، تتألف 18,6 في المائة منها من امرأة واحدة </w:t>
      </w:r>
      <w:r w:rsidRPr="005D0C50">
        <w:rPr>
          <w:rFonts w:hint="cs"/>
          <w:rtl/>
        </w:rPr>
        <w:t>و</w:t>
      </w:r>
      <w:r w:rsidRPr="005D0C50">
        <w:rPr>
          <w:rtl/>
        </w:rPr>
        <w:t>طفل</w:t>
      </w:r>
      <w:r w:rsidRPr="005D0C50">
        <w:rPr>
          <w:rFonts w:hint="cs"/>
          <w:rtl/>
        </w:rPr>
        <w:t>ٍ</w:t>
      </w:r>
      <w:r w:rsidRPr="005D0C50">
        <w:rPr>
          <w:rtl/>
        </w:rPr>
        <w:t xml:space="preserve"> أو عدة أطفال</w:t>
      </w:r>
      <w:r>
        <w:rPr>
          <w:rStyle w:val="EndnoteReference"/>
          <w:rtl/>
        </w:rPr>
        <w:t>(</w:t>
      </w:r>
      <w:r w:rsidRPr="005D0C50">
        <w:rPr>
          <w:rStyle w:val="EndnoteReference"/>
          <w:rtl/>
        </w:rPr>
        <w:endnoteReference w:id="44"/>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35-</w:t>
      </w:r>
      <w:r w:rsidRPr="005D0C50">
        <w:rPr>
          <w:rFonts w:hint="cs"/>
          <w:rtl/>
        </w:rPr>
        <w:tab/>
      </w:r>
      <w:r w:rsidRPr="005D0C50">
        <w:rPr>
          <w:rtl/>
        </w:rPr>
        <w:t>وفي عام 2015، أُبرم في فرنسا 000 239 عقد زواج، 000 231 منها بين أشخاص مختلفي الجنس و000 8 بين أشخاص مثليي الجنس</w:t>
      </w:r>
      <w:r w:rsidRPr="005D0C50">
        <w:rPr>
          <w:rFonts w:hint="cs"/>
          <w:rtl/>
        </w:rPr>
        <w:t>. و</w:t>
      </w:r>
      <w:r w:rsidRPr="005D0C50">
        <w:rPr>
          <w:rtl/>
        </w:rPr>
        <w:t>انخفض العدد الإجمالي للزيجات نتيجة</w:t>
      </w:r>
      <w:r w:rsidRPr="005D0C50">
        <w:rPr>
          <w:rFonts w:hint="cs"/>
          <w:rtl/>
        </w:rPr>
        <w:t>ً</w:t>
      </w:r>
      <w:r w:rsidRPr="005D0C50">
        <w:rPr>
          <w:rtl/>
        </w:rPr>
        <w:t xml:space="preserve"> لانخفاض عدد حالات الزواج بين أشخاص مثليي الجنس في عام 2015</w:t>
      </w:r>
      <w:r w:rsidRPr="005D0C50">
        <w:rPr>
          <w:rFonts w:hint="cs"/>
          <w:rtl/>
        </w:rPr>
        <w:t xml:space="preserve">. </w:t>
      </w:r>
      <w:r w:rsidRPr="005D0C50">
        <w:rPr>
          <w:rtl/>
        </w:rPr>
        <w:t>وخلاف</w:t>
      </w:r>
      <w:r w:rsidR="00526CCD">
        <w:rPr>
          <w:rtl/>
        </w:rPr>
        <w:t xml:space="preserve">اً </w:t>
      </w:r>
      <w:r w:rsidRPr="005D0C50">
        <w:rPr>
          <w:rtl/>
        </w:rPr>
        <w:t>لذلك، عوض عدد الزيجات بين أشخاص مثليي الجنس في عام 2014 الانخفاض الحاصل في عدد الزيجات بين أشخاص مختلفي الجنس</w:t>
      </w:r>
      <w:r w:rsidRPr="005D0C50">
        <w:rPr>
          <w:rFonts w:hint="cs"/>
          <w:rtl/>
        </w:rPr>
        <w:t xml:space="preserve"> وزاد عنه</w:t>
      </w:r>
      <w:r>
        <w:rPr>
          <w:rStyle w:val="EndnoteReference"/>
          <w:rtl/>
        </w:rPr>
        <w:t>(</w:t>
      </w:r>
      <w:r w:rsidRPr="005D0C50">
        <w:rPr>
          <w:rStyle w:val="EndnoteReference"/>
          <w:rtl/>
        </w:rPr>
        <w:endnoteReference w:id="45"/>
      </w:r>
      <w:r>
        <w:rPr>
          <w:rStyle w:val="EndnoteReference"/>
          <w:rtl/>
        </w:rPr>
        <w:t>)</w:t>
      </w:r>
      <w:r w:rsidRPr="005D0C50">
        <w:rPr>
          <w:rFonts w:hint="cs"/>
          <w:rtl/>
        </w:rPr>
        <w:t xml:space="preserve">. </w:t>
      </w:r>
      <w:r w:rsidRPr="005D0C50">
        <w:rPr>
          <w:rtl/>
        </w:rPr>
        <w:t>وما فتئ سن الزواج يتأخر: فمنذ عام</w:t>
      </w:r>
      <w:r>
        <w:rPr>
          <w:rFonts w:hint="cs"/>
          <w:rtl/>
        </w:rPr>
        <w:t> </w:t>
      </w:r>
      <w:r w:rsidRPr="005D0C50">
        <w:rPr>
          <w:rtl/>
        </w:rPr>
        <w:t>2000، زاد متوسط العمر لدى الزواج لأول مرة بمعدل 2,4 من السنوات بالنسبة للذكور و2,9 بالنسبة للإناث، حيث بلغ 32,6 سنة لدى الذكور و30,9 سنة لدى الإناث، في عام</w:t>
      </w:r>
      <w:r>
        <w:rPr>
          <w:rFonts w:hint="cs"/>
          <w:rtl/>
        </w:rPr>
        <w:t> </w:t>
      </w:r>
      <w:r w:rsidRPr="005D0C50">
        <w:rPr>
          <w:rtl/>
        </w:rPr>
        <w:t>2014</w:t>
      </w:r>
      <w:r>
        <w:rPr>
          <w:rStyle w:val="EndnoteReference"/>
          <w:rtl/>
        </w:rPr>
        <w:t>(</w:t>
      </w:r>
      <w:r w:rsidRPr="005D0C50">
        <w:rPr>
          <w:rStyle w:val="EndnoteReference"/>
          <w:rtl/>
        </w:rPr>
        <w:endnoteReference w:id="46"/>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36-</w:t>
      </w:r>
      <w:r w:rsidRPr="005D0C50">
        <w:rPr>
          <w:rFonts w:hint="cs"/>
          <w:rtl/>
        </w:rPr>
        <w:tab/>
      </w:r>
      <w:r w:rsidRPr="005D0C50">
        <w:rPr>
          <w:rtl/>
        </w:rPr>
        <w:t xml:space="preserve">وفي عام 2013، </w:t>
      </w:r>
      <w:r w:rsidRPr="005D0C50">
        <w:rPr>
          <w:rFonts w:hint="cs"/>
          <w:rtl/>
        </w:rPr>
        <w:t xml:space="preserve">أي </w:t>
      </w:r>
      <w:r w:rsidRPr="005D0C50">
        <w:rPr>
          <w:rtl/>
        </w:rPr>
        <w:t>العام الذي سُن فيه القانون رقم 2013-404 المؤرخ 17 أيار/مايو 2013 الذي يجيز زواج المثليين، شكلت الزيجات بين الإناث 41 في المائة من زيجات المثليين</w:t>
      </w:r>
      <w:r w:rsidRPr="005D0C50">
        <w:rPr>
          <w:rFonts w:hint="cs"/>
          <w:rtl/>
        </w:rPr>
        <w:t xml:space="preserve">. </w:t>
      </w:r>
      <w:r w:rsidRPr="005D0C50">
        <w:rPr>
          <w:rtl/>
        </w:rPr>
        <w:t>وفي عام 2015، بلغت نسبة هذه الزيجات 48 في المائة</w:t>
      </w:r>
      <w:r w:rsidRPr="005D0C50">
        <w:rPr>
          <w:rFonts w:hint="cs"/>
          <w:rtl/>
        </w:rPr>
        <w:t xml:space="preserve">. </w:t>
      </w:r>
      <w:r w:rsidRPr="005D0C50">
        <w:rPr>
          <w:rtl/>
        </w:rPr>
        <w:t>وعلاوة على ذلك، انخفض سن الأزواج المثليين</w:t>
      </w:r>
      <w:r w:rsidRPr="005D0C50">
        <w:rPr>
          <w:rFonts w:hint="cs"/>
          <w:rtl/>
        </w:rPr>
        <w:t xml:space="preserve">. </w:t>
      </w:r>
      <w:r w:rsidRPr="005D0C50">
        <w:rPr>
          <w:rtl/>
        </w:rPr>
        <w:t xml:space="preserve">فقد </w:t>
      </w:r>
      <w:r w:rsidRPr="005D0C50">
        <w:rPr>
          <w:rFonts w:hint="cs"/>
          <w:rtl/>
        </w:rPr>
        <w:t xml:space="preserve">بلغ </w:t>
      </w:r>
      <w:r w:rsidRPr="005D0C50">
        <w:rPr>
          <w:rtl/>
        </w:rPr>
        <w:t xml:space="preserve">عمر الرجال الذين تزوجوا في عام 2013 </w:t>
      </w:r>
      <w:r w:rsidRPr="005D0C50">
        <w:rPr>
          <w:rFonts w:hint="cs"/>
          <w:rtl/>
        </w:rPr>
        <w:t xml:space="preserve">ما متوسطه </w:t>
      </w:r>
      <w:r w:rsidRPr="005D0C50">
        <w:rPr>
          <w:rtl/>
        </w:rPr>
        <w:t>50 سنة</w:t>
      </w:r>
      <w:r w:rsidRPr="005D0C50">
        <w:rPr>
          <w:rFonts w:hint="cs"/>
          <w:rtl/>
        </w:rPr>
        <w:t xml:space="preserve"> تقريب</w:t>
      </w:r>
      <w:r w:rsidR="00CD290E">
        <w:rPr>
          <w:rFonts w:hint="cs"/>
          <w:rtl/>
        </w:rPr>
        <w:t>اً؛</w:t>
      </w:r>
      <w:r w:rsidRPr="005D0C50">
        <w:rPr>
          <w:rFonts w:hint="cs"/>
          <w:rtl/>
        </w:rPr>
        <w:t xml:space="preserve"> </w:t>
      </w:r>
      <w:r w:rsidRPr="005D0C50">
        <w:rPr>
          <w:rtl/>
        </w:rPr>
        <w:t>وتشير التقديرات إلى أنه بلغ 45 سنة في عام 2015</w:t>
      </w:r>
      <w:r w:rsidRPr="005D0C50">
        <w:rPr>
          <w:rFonts w:hint="cs"/>
          <w:rtl/>
        </w:rPr>
        <w:t xml:space="preserve">. </w:t>
      </w:r>
      <w:r w:rsidRPr="005D0C50">
        <w:rPr>
          <w:rtl/>
        </w:rPr>
        <w:t>وعلى غرار ذلك، بلغ متوسط عمر النساء 43 سنة في عام 2013 و40 سنة في عام 2015</w:t>
      </w:r>
      <w:r w:rsidRPr="005D0C50">
        <w:rPr>
          <w:rFonts w:hint="cs"/>
          <w:rtl/>
        </w:rPr>
        <w:t xml:space="preserve">. </w:t>
      </w:r>
      <w:r w:rsidRPr="005D0C50">
        <w:rPr>
          <w:rtl/>
        </w:rPr>
        <w:t xml:space="preserve">وفي عام 2015، شكلت الزيجات بين المثليين 3,3 في المائة من مجموع الزيجات مقابل 4,4 </w:t>
      </w:r>
      <w:r w:rsidRPr="005D0C50">
        <w:rPr>
          <w:rFonts w:ascii="Traditional Arabic" w:hAnsi="Traditional Arabic"/>
          <w:shd w:val="clear" w:color="auto" w:fill="FFFFFF"/>
          <w:rtl/>
        </w:rPr>
        <w:t xml:space="preserve">في المائة </w:t>
      </w:r>
      <w:r w:rsidRPr="005D0C50">
        <w:rPr>
          <w:rtl/>
        </w:rPr>
        <w:t>في عام</w:t>
      </w:r>
      <w:r w:rsidRPr="005D0C50">
        <w:rPr>
          <w:rFonts w:hint="cs"/>
          <w:rtl/>
        </w:rPr>
        <w:t xml:space="preserve"> 2014</w:t>
      </w:r>
      <w:r>
        <w:rPr>
          <w:rStyle w:val="EndnoteReference"/>
          <w:rtl/>
        </w:rPr>
        <w:t>(</w:t>
      </w:r>
      <w:r w:rsidRPr="005D0C50">
        <w:rPr>
          <w:rStyle w:val="EndnoteReference"/>
          <w:rtl/>
        </w:rPr>
        <w:endnoteReference w:id="47"/>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37-</w:t>
      </w:r>
      <w:r w:rsidRPr="005D0C50">
        <w:rPr>
          <w:rFonts w:hint="cs"/>
          <w:rtl/>
        </w:rPr>
        <w:tab/>
      </w:r>
      <w:r w:rsidRPr="005D0C50">
        <w:rPr>
          <w:rtl/>
        </w:rPr>
        <w:t>وفي عام 2014، صدر 537 123 حكم</w:t>
      </w:r>
      <w:r w:rsidR="00526CCD">
        <w:rPr>
          <w:rtl/>
        </w:rPr>
        <w:t xml:space="preserve">اً </w:t>
      </w:r>
      <w:r w:rsidRPr="005D0C50">
        <w:rPr>
          <w:rtl/>
        </w:rPr>
        <w:t>بالطلاق في فرنسا</w:t>
      </w:r>
      <w:r w:rsidRPr="005D0C50">
        <w:rPr>
          <w:rFonts w:hint="cs"/>
          <w:rtl/>
        </w:rPr>
        <w:t xml:space="preserve">؛ </w:t>
      </w:r>
      <w:r w:rsidRPr="005D0C50">
        <w:rPr>
          <w:rtl/>
        </w:rPr>
        <w:t xml:space="preserve">شكل منها الطلاق </w:t>
      </w:r>
      <w:r w:rsidRPr="005D0C50">
        <w:rPr>
          <w:rFonts w:hint="cs"/>
          <w:rtl/>
        </w:rPr>
        <w:t xml:space="preserve">بالتراضي </w:t>
      </w:r>
      <w:r w:rsidRPr="005D0C50">
        <w:rPr>
          <w:rtl/>
        </w:rPr>
        <w:t>أكثر من النصف</w:t>
      </w:r>
      <w:r w:rsidRPr="005D0C50">
        <w:rPr>
          <w:rFonts w:hint="cs"/>
          <w:rtl/>
        </w:rPr>
        <w:t xml:space="preserve">. وباستثناء </w:t>
      </w:r>
      <w:r w:rsidRPr="005D0C50">
        <w:rPr>
          <w:rtl/>
        </w:rPr>
        <w:t>جزيرة مايوت القمرية، انخفضت حالات الطلاق في عام</w:t>
      </w:r>
      <w:r>
        <w:rPr>
          <w:rFonts w:hint="cs"/>
          <w:rtl/>
        </w:rPr>
        <w:t> </w:t>
      </w:r>
      <w:r w:rsidRPr="005D0C50">
        <w:rPr>
          <w:rtl/>
        </w:rPr>
        <w:t>2013 بما عدده 400 1 حالة</w:t>
      </w:r>
      <w:r w:rsidRPr="005D0C50">
        <w:rPr>
          <w:rFonts w:hint="cs"/>
          <w:rtl/>
        </w:rPr>
        <w:t xml:space="preserve">. </w:t>
      </w:r>
      <w:r w:rsidRPr="005D0C50">
        <w:rPr>
          <w:rtl/>
        </w:rPr>
        <w:t>ومنذ عام 2005، يجري إبرام أقل من عقدي زواج مقابل طلاق واحد</w:t>
      </w:r>
      <w:r>
        <w:rPr>
          <w:rStyle w:val="EndnoteReference"/>
          <w:rtl/>
        </w:rPr>
        <w:t>(</w:t>
      </w:r>
      <w:r w:rsidRPr="005D0C50">
        <w:rPr>
          <w:rStyle w:val="EndnoteReference"/>
          <w:rtl/>
        </w:rPr>
        <w:endnoteReference w:id="48"/>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38-</w:t>
      </w:r>
      <w:r w:rsidRPr="005D0C50">
        <w:rPr>
          <w:rFonts w:hint="cs"/>
          <w:rtl/>
        </w:rPr>
        <w:tab/>
      </w:r>
      <w:r w:rsidRPr="005D0C50">
        <w:rPr>
          <w:rtl/>
        </w:rPr>
        <w:t>وتتخذ نسبة الأطفال المولودين خارج رباط الزوجية منحى تصاعدي</w:t>
      </w:r>
      <w:r w:rsidR="0031739C">
        <w:rPr>
          <w:rtl/>
        </w:rPr>
        <w:t>اً،</w:t>
      </w:r>
      <w:r w:rsidRPr="005D0C50">
        <w:rPr>
          <w:rtl/>
        </w:rPr>
        <w:t xml:space="preserve"> بالنظر إلى أن عدد حالات الزواج في انخفاض ومعدل الولادات في ارتفاع منذ فترة طويلة</w:t>
      </w:r>
      <w:r w:rsidRPr="005D0C50">
        <w:rPr>
          <w:rFonts w:hint="cs"/>
          <w:rtl/>
        </w:rPr>
        <w:t xml:space="preserve">. </w:t>
      </w:r>
      <w:r w:rsidRPr="005D0C50">
        <w:rPr>
          <w:rtl/>
        </w:rPr>
        <w:t>ففي عام 2015، بلغت نسبة الأطفال المولودين خارج رباط الزوجية 59,6 في المائة مقابل 47,4 في المائة في عام</w:t>
      </w:r>
      <w:r>
        <w:rPr>
          <w:rFonts w:hint="cs"/>
          <w:rtl/>
        </w:rPr>
        <w:t> </w:t>
      </w:r>
      <w:r w:rsidRPr="005D0C50">
        <w:rPr>
          <w:rtl/>
        </w:rPr>
        <w:t>2004</w:t>
      </w:r>
      <w:r>
        <w:rPr>
          <w:rStyle w:val="EndnoteReference"/>
          <w:rtl/>
        </w:rPr>
        <w:t>(</w:t>
      </w:r>
      <w:r w:rsidRPr="005D0C50">
        <w:rPr>
          <w:rStyle w:val="EndnoteReference"/>
          <w:rtl/>
        </w:rPr>
        <w:endnoteReference w:id="49"/>
      </w:r>
      <w:r>
        <w:rPr>
          <w:rStyle w:val="EndnoteReference"/>
          <w:rtl/>
        </w:rPr>
        <w:t>)</w:t>
      </w:r>
      <w:r w:rsidRPr="005D0C50">
        <w:rPr>
          <w:rtl/>
        </w:rPr>
        <w:t xml:space="preserve"> و37 في المائة في عام 1994</w:t>
      </w:r>
      <w:r>
        <w:rPr>
          <w:rStyle w:val="EndnoteReference"/>
          <w:rtl/>
        </w:rPr>
        <w:t>(</w:t>
      </w:r>
      <w:r w:rsidRPr="005D0C50">
        <w:rPr>
          <w:rStyle w:val="EndnoteReference"/>
          <w:rtl/>
        </w:rPr>
        <w:endnoteReference w:id="50"/>
      </w:r>
      <w:r>
        <w:rPr>
          <w:rStyle w:val="EndnoteReference"/>
          <w:rtl/>
        </w:rPr>
        <w:t>)</w:t>
      </w:r>
      <w:r w:rsidRPr="005D0C50">
        <w:rPr>
          <w:rFonts w:hint="cs"/>
          <w:rtl/>
        </w:rPr>
        <w:t>.</w:t>
      </w:r>
    </w:p>
    <w:p w:rsidR="00944A3C" w:rsidRPr="005D0C50" w:rsidRDefault="00944A3C" w:rsidP="0082773D">
      <w:pPr>
        <w:pStyle w:val="H23GA"/>
        <w:rPr>
          <w:rtl/>
        </w:rPr>
      </w:pPr>
      <w:r w:rsidRPr="005D0C50">
        <w:rPr>
          <w:spacing w:val="-4"/>
        </w:rPr>
        <w:tab/>
      </w:r>
      <w:r w:rsidRPr="005D0C50">
        <w:rPr>
          <w:spacing w:val="-4"/>
          <w:rtl/>
        </w:rPr>
        <w:t>(ب)</w:t>
      </w:r>
      <w:r w:rsidRPr="005D0C50">
        <w:rPr>
          <w:spacing w:val="-4"/>
          <w:rtl/>
        </w:rPr>
        <w:tab/>
      </w:r>
      <w:r w:rsidRPr="005D0C50">
        <w:rPr>
          <w:rtl/>
        </w:rPr>
        <w:t>منع الحمل والإجهاض الطوعي</w:t>
      </w:r>
    </w:p>
    <w:p w:rsidR="00944A3C" w:rsidRPr="005D0C50" w:rsidRDefault="00944A3C" w:rsidP="00944A3C">
      <w:pPr>
        <w:pStyle w:val="SingleTxtGA"/>
        <w:rPr>
          <w:rtl/>
        </w:rPr>
      </w:pPr>
      <w:r w:rsidRPr="005D0C50">
        <w:rPr>
          <w:rFonts w:hint="cs"/>
          <w:rtl/>
        </w:rPr>
        <w:t>39-</w:t>
      </w:r>
      <w:r w:rsidRPr="005D0C50">
        <w:rPr>
          <w:rFonts w:hint="cs"/>
          <w:rtl/>
        </w:rPr>
        <w:tab/>
      </w:r>
      <w:r w:rsidRPr="005D0C50">
        <w:rPr>
          <w:rtl/>
        </w:rPr>
        <w:t xml:space="preserve">تدل المؤشرات المتصلة ببداية الحياة الجنسية وبمنع الحمل في فرنسا على </w:t>
      </w:r>
      <w:r w:rsidRPr="005D0C50">
        <w:rPr>
          <w:rFonts w:hint="cs"/>
          <w:rtl/>
        </w:rPr>
        <w:t xml:space="preserve">ارتفاع </w:t>
      </w:r>
      <w:r w:rsidRPr="005D0C50">
        <w:rPr>
          <w:rtl/>
        </w:rPr>
        <w:t>نسبة استخدام الواقي الذكري خلال أول ممارسة للجنس وعلى مستوى جيد من توفير وسائل منع الحمل للمراهقات والفتيات</w:t>
      </w:r>
      <w:r>
        <w:rPr>
          <w:rStyle w:val="EndnoteReference"/>
          <w:rtl/>
        </w:rPr>
        <w:t>(</w:t>
      </w:r>
      <w:r w:rsidRPr="005D0C50">
        <w:rPr>
          <w:rStyle w:val="EndnoteReference"/>
          <w:rtl/>
        </w:rPr>
        <w:endnoteReference w:id="51"/>
      </w:r>
      <w:r>
        <w:rPr>
          <w:rStyle w:val="EndnoteReference"/>
          <w:rtl/>
        </w:rPr>
        <w:t>)</w:t>
      </w:r>
      <w:r w:rsidRPr="005D0C50">
        <w:rPr>
          <w:rFonts w:hint="cs"/>
          <w:rtl/>
        </w:rPr>
        <w:t xml:space="preserve">. </w:t>
      </w:r>
      <w:r w:rsidRPr="005D0C50">
        <w:rPr>
          <w:rtl/>
        </w:rPr>
        <w:t xml:space="preserve">وبالفعل، </w:t>
      </w:r>
      <w:r w:rsidRPr="005D0C50">
        <w:rPr>
          <w:rFonts w:hint="cs"/>
          <w:rtl/>
        </w:rPr>
        <w:t xml:space="preserve">فقد </w:t>
      </w:r>
      <w:r w:rsidRPr="005D0C50">
        <w:rPr>
          <w:rtl/>
        </w:rPr>
        <w:t>أفادت</w:t>
      </w:r>
      <w:r w:rsidRPr="005D0C50">
        <w:rPr>
          <w:rFonts w:hint="cs"/>
          <w:rtl/>
        </w:rPr>
        <w:t xml:space="preserve">، </w:t>
      </w:r>
      <w:r w:rsidRPr="005D0C50">
        <w:rPr>
          <w:rtl/>
        </w:rPr>
        <w:t>في عام 2010</w:t>
      </w:r>
      <w:r w:rsidRPr="005D0C50">
        <w:rPr>
          <w:rFonts w:hint="cs"/>
          <w:rtl/>
        </w:rPr>
        <w:t>،</w:t>
      </w:r>
      <w:r w:rsidRPr="005D0C50">
        <w:rPr>
          <w:rtl/>
        </w:rPr>
        <w:t xml:space="preserve">  </w:t>
      </w:r>
      <w:r w:rsidRPr="005D0C50">
        <w:rPr>
          <w:rFonts w:hint="cs"/>
          <w:rtl/>
        </w:rPr>
        <w:t xml:space="preserve">نسبة </w:t>
      </w:r>
      <w:r w:rsidRPr="005D0C50">
        <w:rPr>
          <w:rtl/>
        </w:rPr>
        <w:t xml:space="preserve">7,7 في المائة فقط من النساء المتراوحة أعمارهن بين 15 و49 سنة والمعرضات لخطر الحمل غير المتوقع </w:t>
      </w:r>
      <w:r w:rsidRPr="005D0C50">
        <w:rPr>
          <w:rFonts w:hint="cs"/>
          <w:rtl/>
        </w:rPr>
        <w:t xml:space="preserve">بأنهن لا يستعملن </w:t>
      </w:r>
      <w:r w:rsidRPr="005D0C50">
        <w:rPr>
          <w:rtl/>
        </w:rPr>
        <w:t>وسائل منع الحمل</w:t>
      </w:r>
      <w:r>
        <w:rPr>
          <w:rStyle w:val="EndnoteReference"/>
          <w:rtl/>
        </w:rPr>
        <w:t>(</w:t>
      </w:r>
      <w:r w:rsidRPr="005D0C50">
        <w:rPr>
          <w:rStyle w:val="EndnoteReference"/>
          <w:rtl/>
        </w:rPr>
        <w:endnoteReference w:id="52"/>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40-</w:t>
      </w:r>
      <w:r w:rsidRPr="005D0C50">
        <w:rPr>
          <w:rFonts w:hint="cs"/>
          <w:rtl/>
        </w:rPr>
        <w:tab/>
      </w:r>
      <w:r w:rsidRPr="005D0C50">
        <w:rPr>
          <w:rtl/>
        </w:rPr>
        <w:t>ووفق</w:t>
      </w:r>
      <w:r w:rsidR="00526CCD">
        <w:rPr>
          <w:rtl/>
        </w:rPr>
        <w:t xml:space="preserve">اً </w:t>
      </w:r>
      <w:r w:rsidRPr="005D0C50">
        <w:rPr>
          <w:rtl/>
        </w:rPr>
        <w:t>لبيانات المعهد الوطني للدراسات الديمغرافية، بقي عدد حالات الإجهاض الطوعي مستقر</w:t>
      </w:r>
      <w:r w:rsidR="00526CCD">
        <w:rPr>
          <w:rtl/>
        </w:rPr>
        <w:t xml:space="preserve">اً </w:t>
      </w:r>
      <w:r w:rsidRPr="005D0C50">
        <w:rPr>
          <w:rtl/>
        </w:rPr>
        <w:t>منذ عام 1975</w:t>
      </w:r>
      <w:r>
        <w:rPr>
          <w:rStyle w:val="EndnoteReference"/>
          <w:rtl/>
        </w:rPr>
        <w:t>(</w:t>
      </w:r>
      <w:r w:rsidRPr="005D0C50">
        <w:rPr>
          <w:rStyle w:val="EndnoteReference"/>
          <w:rtl/>
        </w:rPr>
        <w:endnoteReference w:id="53"/>
      </w:r>
      <w:r>
        <w:rPr>
          <w:rStyle w:val="EndnoteReference"/>
          <w:rtl/>
        </w:rPr>
        <w:t>)</w:t>
      </w:r>
      <w:r w:rsidRPr="005D0C50">
        <w:rPr>
          <w:rFonts w:hint="cs"/>
          <w:rtl/>
        </w:rPr>
        <w:t xml:space="preserve">. </w:t>
      </w:r>
      <w:r w:rsidRPr="005D0C50">
        <w:rPr>
          <w:rtl/>
        </w:rPr>
        <w:t>ووفق</w:t>
      </w:r>
      <w:r w:rsidR="00526CCD">
        <w:rPr>
          <w:rtl/>
        </w:rPr>
        <w:t xml:space="preserve">اً </w:t>
      </w:r>
      <w:r w:rsidRPr="005D0C50">
        <w:rPr>
          <w:rtl/>
        </w:rPr>
        <w:t>للموقع الشبكي الحكومي للإعلام المنشأ في أواخر عام 2013، تجرى سنوي</w:t>
      </w:r>
      <w:r w:rsidR="00526CCD">
        <w:rPr>
          <w:rtl/>
        </w:rPr>
        <w:t xml:space="preserve">اً </w:t>
      </w:r>
      <w:r w:rsidRPr="005D0C50">
        <w:rPr>
          <w:rtl/>
        </w:rPr>
        <w:t xml:space="preserve">في فرنسا 500 222 عملية إجهاض طوعي، </w:t>
      </w:r>
      <w:r w:rsidRPr="005D0C50">
        <w:rPr>
          <w:rFonts w:hint="cs"/>
          <w:rtl/>
        </w:rPr>
        <w:t xml:space="preserve">لما نسبته </w:t>
      </w:r>
      <w:r w:rsidRPr="005D0C50">
        <w:rPr>
          <w:rtl/>
        </w:rPr>
        <w:t>1,5 في المائة من النساء المتراوحة أعمارهن بين 15 و49 سنة</w:t>
      </w:r>
      <w:r>
        <w:rPr>
          <w:rStyle w:val="EndnoteReference"/>
          <w:rtl/>
        </w:rPr>
        <w:t>(</w:t>
      </w:r>
      <w:r w:rsidRPr="005D0C50">
        <w:rPr>
          <w:rStyle w:val="EndnoteReference"/>
          <w:rtl/>
        </w:rPr>
        <w:endnoteReference w:id="54"/>
      </w:r>
      <w:r>
        <w:rPr>
          <w:rStyle w:val="EndnoteReference"/>
          <w:rtl/>
        </w:rPr>
        <w:t>)</w:t>
      </w:r>
      <w:r w:rsidRPr="005D0C50">
        <w:rPr>
          <w:rFonts w:hint="cs"/>
          <w:rtl/>
        </w:rPr>
        <w:t xml:space="preserve">. </w:t>
      </w:r>
      <w:r w:rsidRPr="005D0C50">
        <w:rPr>
          <w:rtl/>
        </w:rPr>
        <w:t xml:space="preserve">ومنذ عام 2000، يجوز إجراء الإجهاض </w:t>
      </w:r>
      <w:r w:rsidRPr="005D0C50">
        <w:rPr>
          <w:rtl/>
        </w:rPr>
        <w:lastRenderedPageBreak/>
        <w:t>الطوعي حتى الأسبوع</w:t>
      </w:r>
      <w:r w:rsidR="00D4138D">
        <w:rPr>
          <w:rtl/>
        </w:rPr>
        <w:t xml:space="preserve"> الـ </w:t>
      </w:r>
      <w:r w:rsidRPr="005D0C50">
        <w:rPr>
          <w:rtl/>
        </w:rPr>
        <w:t>12 من الحمل</w:t>
      </w:r>
      <w:r w:rsidRPr="005D0C50">
        <w:rPr>
          <w:rFonts w:hint="cs"/>
          <w:rtl/>
        </w:rPr>
        <w:t xml:space="preserve">. </w:t>
      </w:r>
      <w:r w:rsidRPr="005D0C50">
        <w:rPr>
          <w:rtl/>
        </w:rPr>
        <w:t xml:space="preserve">ومنذ عام 2013، تتاح </w:t>
      </w:r>
      <w:r w:rsidRPr="005D0C50">
        <w:rPr>
          <w:rFonts w:hint="cs"/>
          <w:rtl/>
        </w:rPr>
        <w:t xml:space="preserve">بالمجان </w:t>
      </w:r>
      <w:r w:rsidRPr="005D0C50">
        <w:rPr>
          <w:rtl/>
        </w:rPr>
        <w:t xml:space="preserve">وسائل منع الحمل للفتيات اللائي تتراوح أعمارهن بين 15 و18 سنة، وكذلك </w:t>
      </w:r>
      <w:r w:rsidRPr="005D0C50">
        <w:rPr>
          <w:rFonts w:hint="cs"/>
          <w:rtl/>
        </w:rPr>
        <w:t xml:space="preserve">عمليات </w:t>
      </w:r>
      <w:r w:rsidRPr="005D0C50">
        <w:rPr>
          <w:rtl/>
        </w:rPr>
        <w:t>الإجهاض الطوعي لجميع النساء</w:t>
      </w:r>
      <w:r w:rsidRPr="005D0C50">
        <w:rPr>
          <w:rFonts w:hint="cs"/>
          <w:rtl/>
        </w:rPr>
        <w:t xml:space="preserve">. </w:t>
      </w:r>
      <w:r w:rsidRPr="005D0C50">
        <w:rPr>
          <w:rtl/>
        </w:rPr>
        <w:t>وفي عام 2009، لاحظ المعهد الوطني للإحصاء والبحوث الاقتصادية أن الشابات اللواتي تتراوح أعمارهن بين 20 و24 سنة هن بالأساس من يلجأن إلى الإجهاض الطوعي</w:t>
      </w:r>
      <w:r>
        <w:rPr>
          <w:rStyle w:val="EndnoteReference"/>
          <w:rtl/>
        </w:rPr>
        <w:t>(</w:t>
      </w:r>
      <w:r w:rsidRPr="005D0C50">
        <w:rPr>
          <w:rStyle w:val="EndnoteReference"/>
          <w:rtl/>
        </w:rPr>
        <w:endnoteReference w:id="55"/>
      </w:r>
      <w:r>
        <w:rPr>
          <w:rStyle w:val="EndnoteReference"/>
          <w:rtl/>
        </w:rPr>
        <w:t>)</w:t>
      </w:r>
      <w:r w:rsidRPr="005D0C50">
        <w:rPr>
          <w:rFonts w:hint="cs"/>
          <w:rtl/>
        </w:rPr>
        <w:t xml:space="preserve">. </w:t>
      </w:r>
      <w:r w:rsidRPr="005D0C50">
        <w:rPr>
          <w:rtl/>
        </w:rPr>
        <w:t>وتواصل السلطات العامة تعزيز الجهود المبذولة في مجال التثقيف الجنسي والمعلومات المتعلقة بوسائل منع الحمل، ولا سيما من خلال إنشاء الموقع الشبكي الحكومي</w:t>
      </w:r>
      <w:r w:rsidRPr="005D0C50">
        <w:rPr>
          <w:rFonts w:hint="cs"/>
          <w:rtl/>
        </w:rPr>
        <w:t xml:space="preserve">. </w:t>
      </w:r>
      <w:r w:rsidRPr="005D0C50">
        <w:rPr>
          <w:rtl/>
        </w:rPr>
        <w:t>وفي نهاية عام</w:t>
      </w:r>
      <w:r>
        <w:rPr>
          <w:rFonts w:hint="cs"/>
          <w:rtl/>
        </w:rPr>
        <w:t> </w:t>
      </w:r>
      <w:r w:rsidRPr="005D0C50">
        <w:rPr>
          <w:rtl/>
        </w:rPr>
        <w:t>2013، وبناء على طلب</w:t>
      </w:r>
      <w:r w:rsidRPr="005D0C50">
        <w:rPr>
          <w:rFonts w:hint="cs"/>
          <w:rtl/>
        </w:rPr>
        <w:t>ٍ</w:t>
      </w:r>
      <w:r w:rsidRPr="005D0C50">
        <w:rPr>
          <w:rtl/>
        </w:rPr>
        <w:t xml:space="preserve"> مقدم من وزيرة حقوق المرأة، أحال المجلس الأعلى للمساواة بين المرأة والرجل إلى الحكومة 40 توصية لتحسين الاستفادة من الإجهاض الطوعي</w:t>
      </w:r>
      <w:r>
        <w:rPr>
          <w:rStyle w:val="EndnoteReference"/>
          <w:rtl/>
        </w:rPr>
        <w:t>(</w:t>
      </w:r>
      <w:r w:rsidRPr="005D0C50">
        <w:rPr>
          <w:rStyle w:val="EndnoteReference"/>
          <w:rtl/>
        </w:rPr>
        <w:endnoteReference w:id="56"/>
      </w:r>
      <w:r>
        <w:rPr>
          <w:rStyle w:val="EndnoteReference"/>
          <w:rtl/>
        </w:rPr>
        <w:t>)</w:t>
      </w:r>
      <w:r w:rsidRPr="005D0C50">
        <w:rPr>
          <w:rFonts w:hint="cs"/>
          <w:rtl/>
        </w:rPr>
        <w:t>.</w:t>
      </w:r>
    </w:p>
    <w:p w:rsidR="00944A3C" w:rsidRPr="005D0C50" w:rsidRDefault="00944A3C" w:rsidP="00944A3C">
      <w:pPr>
        <w:pStyle w:val="H23GA"/>
        <w:rPr>
          <w:rtl/>
        </w:rPr>
      </w:pPr>
      <w:r w:rsidRPr="005D0C50">
        <w:rPr>
          <w:spacing w:val="-4"/>
        </w:rPr>
        <w:tab/>
      </w:r>
      <w:r w:rsidRPr="005D0C50">
        <w:rPr>
          <w:spacing w:val="-4"/>
          <w:rtl/>
        </w:rPr>
        <w:t>(ج)</w:t>
      </w:r>
      <w:r w:rsidRPr="005D0C50">
        <w:rPr>
          <w:spacing w:val="-4"/>
          <w:rtl/>
        </w:rPr>
        <w:tab/>
      </w:r>
      <w:r w:rsidRPr="005D0C50">
        <w:rPr>
          <w:rtl/>
        </w:rPr>
        <w:t>الأمراض والوفيات</w:t>
      </w:r>
    </w:p>
    <w:p w:rsidR="00944A3C" w:rsidRPr="005D0C50" w:rsidRDefault="00944A3C" w:rsidP="00944A3C">
      <w:pPr>
        <w:pStyle w:val="SingleTxtGA"/>
        <w:rPr>
          <w:rtl/>
        </w:rPr>
      </w:pPr>
      <w:r w:rsidRPr="005D0C50">
        <w:rPr>
          <w:rFonts w:hint="cs"/>
          <w:rtl/>
        </w:rPr>
        <w:t>41-</w:t>
      </w:r>
      <w:r w:rsidRPr="005D0C50">
        <w:rPr>
          <w:rFonts w:hint="cs"/>
          <w:rtl/>
        </w:rPr>
        <w:tab/>
      </w:r>
      <w:r w:rsidRPr="005D0C50">
        <w:rPr>
          <w:rtl/>
        </w:rPr>
        <w:t>في عام 2013، تمثلت الأسباب الرئيسية للوفيات في السرطان (28,7 في المائة)، وأمراض الدورة الدموية (25 في المائة)، وأمراض الجهاز التنفسي (6,6 في المائة)، وأمراض الجهاز الهضمي (4 في المائة)، والاضطرابات العقلية والسلوكية (4 في المائة)، والأمراض المعدية أو الطفيلية (1,9 في المائة)، والانتحار (1,7 في المائة)، وحوادث السير (0,5 في المائة)، وأسباب أخرى تناهز نسبتها 13 في المائة</w:t>
      </w:r>
      <w:r>
        <w:rPr>
          <w:rStyle w:val="EndnoteReference"/>
          <w:rtl/>
        </w:rPr>
        <w:t>(</w:t>
      </w:r>
      <w:r w:rsidRPr="005D0C50">
        <w:rPr>
          <w:rStyle w:val="EndnoteReference"/>
          <w:rtl/>
        </w:rPr>
        <w:endnoteReference w:id="57"/>
      </w:r>
      <w:r>
        <w:rPr>
          <w:rStyle w:val="EndnoteReference"/>
          <w:rtl/>
        </w:rPr>
        <w:t>)</w:t>
      </w:r>
      <w:r w:rsidRPr="005D0C50">
        <w:rPr>
          <w:rFonts w:hint="cs"/>
          <w:rtl/>
        </w:rPr>
        <w:t xml:space="preserve">. </w:t>
      </w:r>
      <w:r w:rsidRPr="005D0C50">
        <w:rPr>
          <w:rtl/>
        </w:rPr>
        <w:t>والسببان الرئيسيان لوفيات الأطفال الذين تتراوح أعمارهم بين 0 و15 سنة هما العدوى المحيطة بالولادة، والتشوهات الخلقية وشذوذ الكروموسومات</w:t>
      </w:r>
      <w:r>
        <w:rPr>
          <w:rStyle w:val="EndnoteReference"/>
          <w:rtl/>
        </w:rPr>
        <w:t>(</w:t>
      </w:r>
      <w:r w:rsidRPr="005D0C50">
        <w:rPr>
          <w:rStyle w:val="EndnoteReference"/>
          <w:rtl/>
        </w:rPr>
        <w:endnoteReference w:id="58"/>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42-</w:t>
      </w:r>
      <w:r w:rsidRPr="005D0C50">
        <w:rPr>
          <w:rFonts w:hint="cs"/>
          <w:rtl/>
        </w:rPr>
        <w:tab/>
      </w:r>
      <w:r w:rsidRPr="005D0C50">
        <w:rPr>
          <w:rtl/>
        </w:rPr>
        <w:t>وفي فرنسا، تصيب الأمراض المزمنة زهاء 20 في المائة من السكان، ولا تزال تشكل إلى حد الآن أحد الأسباب الرئيسية للوفاة والإعاقة</w:t>
      </w:r>
      <w:r w:rsidRPr="005D0C50">
        <w:rPr>
          <w:rFonts w:hint="cs"/>
          <w:rtl/>
        </w:rPr>
        <w:t xml:space="preserve">. </w:t>
      </w:r>
      <w:r w:rsidRPr="005D0C50">
        <w:rPr>
          <w:rtl/>
        </w:rPr>
        <w:t>وكنتيجة لارتفاع متوسط العمر، فإن معظم هذه الأمراض في تزايد مطرد</w:t>
      </w:r>
      <w:r>
        <w:rPr>
          <w:rStyle w:val="EndnoteReference"/>
          <w:rtl/>
        </w:rPr>
        <w:t>(</w:t>
      </w:r>
      <w:r w:rsidRPr="005D0C50">
        <w:rPr>
          <w:rStyle w:val="EndnoteReference"/>
          <w:rtl/>
        </w:rPr>
        <w:endnoteReference w:id="59"/>
      </w:r>
      <w:r>
        <w:rPr>
          <w:rStyle w:val="EndnoteReference"/>
          <w:rtl/>
        </w:rPr>
        <w:t>)</w:t>
      </w:r>
      <w:r w:rsidRPr="005D0C50">
        <w:rPr>
          <w:rFonts w:hint="cs"/>
          <w:rtl/>
        </w:rPr>
        <w:t xml:space="preserve">. </w:t>
      </w:r>
      <w:r w:rsidRPr="005D0C50">
        <w:rPr>
          <w:rtl/>
        </w:rPr>
        <w:t>ومن بين هذه الأمراض، يمكن ذكر السرطان، وداء السكري، وارتفاع ضغط الدم الذي يصيب 66 في المائة من الأشخاص الذين تفوق أعمارهم 50 سنة، والسمنة التي تصيب 17 في المائة من الأشخاص المتراوحة أعمارهم بين 18 و74</w:t>
      </w:r>
      <w:r w:rsidRPr="005D0C50">
        <w:rPr>
          <w:rFonts w:hint="cs"/>
          <w:rtl/>
        </w:rPr>
        <w:t xml:space="preserve"> </w:t>
      </w:r>
      <w:r w:rsidRPr="005D0C50">
        <w:rPr>
          <w:rtl/>
        </w:rPr>
        <w:t>سنة، وأمراض القلب والشرايين والأمراض التنفسية</w:t>
      </w:r>
      <w:r>
        <w:rPr>
          <w:rStyle w:val="EndnoteReference"/>
          <w:rtl/>
        </w:rPr>
        <w:t>(</w:t>
      </w:r>
      <w:r w:rsidRPr="005D0C50">
        <w:rPr>
          <w:rStyle w:val="EndnoteReference"/>
          <w:rtl/>
        </w:rPr>
        <w:endnoteReference w:id="60"/>
      </w:r>
      <w:r>
        <w:rPr>
          <w:rStyle w:val="EndnoteReference"/>
          <w:rtl/>
        </w:rPr>
        <w:t>)</w:t>
      </w:r>
      <w:r w:rsidRPr="005D0C50">
        <w:rPr>
          <w:rFonts w:hint="cs"/>
          <w:rtl/>
        </w:rPr>
        <w:t>.</w:t>
      </w:r>
    </w:p>
    <w:p w:rsidR="00944A3C" w:rsidRPr="00CD26A2" w:rsidRDefault="00944A3C" w:rsidP="00944A3C">
      <w:pPr>
        <w:pStyle w:val="SingleTxtGA"/>
        <w:rPr>
          <w:rtl/>
        </w:rPr>
      </w:pPr>
      <w:r w:rsidRPr="00CD26A2">
        <w:rPr>
          <w:rFonts w:hint="cs"/>
          <w:rtl/>
        </w:rPr>
        <w:t>43-</w:t>
      </w:r>
      <w:r w:rsidRPr="00CD26A2">
        <w:rPr>
          <w:rFonts w:hint="cs"/>
          <w:rtl/>
        </w:rPr>
        <w:tab/>
      </w:r>
      <w:r w:rsidRPr="00CD26A2">
        <w:rPr>
          <w:rtl/>
        </w:rPr>
        <w:t>واثنان من أخطر الأمراض المعدية وغير المعدية هما السل الذي يصيب 8,2 من كل</w:t>
      </w:r>
      <w:r w:rsidRPr="00CD26A2">
        <w:rPr>
          <w:rFonts w:hint="cs"/>
          <w:rtl/>
        </w:rPr>
        <w:t> </w:t>
      </w:r>
      <w:r w:rsidRPr="00CD26A2">
        <w:rPr>
          <w:rtl/>
        </w:rPr>
        <w:t>000 100 نسمة (2009) وداء الفيلقيات الذي يصيب 1,9 من كل 000 100 نسمة (2009)</w:t>
      </w:r>
      <w:r w:rsidRPr="00CD26A2">
        <w:rPr>
          <w:rFonts w:hint="cs"/>
          <w:rtl/>
        </w:rPr>
        <w:t>.</w:t>
      </w:r>
    </w:p>
    <w:p w:rsidR="00944A3C" w:rsidRPr="005D0C50" w:rsidRDefault="00944A3C" w:rsidP="00944A3C">
      <w:pPr>
        <w:pStyle w:val="SingleTxtGA"/>
        <w:rPr>
          <w:rtl/>
        </w:rPr>
      </w:pPr>
      <w:r w:rsidRPr="00944A3C">
        <w:rPr>
          <w:rFonts w:hint="cs"/>
          <w:spacing w:val="-4"/>
          <w:rtl/>
        </w:rPr>
        <w:t>44-</w:t>
      </w:r>
      <w:r w:rsidRPr="00944A3C">
        <w:rPr>
          <w:rFonts w:hint="cs"/>
          <w:spacing w:val="-4"/>
          <w:rtl/>
        </w:rPr>
        <w:tab/>
      </w:r>
      <w:r w:rsidRPr="00944A3C">
        <w:rPr>
          <w:spacing w:val="-4"/>
          <w:rtl/>
        </w:rPr>
        <w:t>وفي عام 2009، بلغ معدل الإصابة بالإيدز 2,2 لكل 000 100 نسمة</w:t>
      </w:r>
      <w:r w:rsidRPr="00944A3C">
        <w:rPr>
          <w:rFonts w:hint="cs"/>
          <w:spacing w:val="-4"/>
          <w:rtl/>
        </w:rPr>
        <w:t xml:space="preserve">. </w:t>
      </w:r>
      <w:r w:rsidRPr="00944A3C">
        <w:rPr>
          <w:spacing w:val="-4"/>
          <w:rtl/>
        </w:rPr>
        <w:t>وأشارت التقديرات إلى أن عدد المصابين بفيروس نقص المناعة البشرية أو الإيدز بلغ 000 152 (000 50</w:t>
      </w:r>
      <w:r w:rsidRPr="005D0C50">
        <w:rPr>
          <w:rtl/>
        </w:rPr>
        <w:t xml:space="preserve"> منهم لم يكونوا على علم بإصابتهم)، وعدد الإصابات الجديدة المشخصة  700 6، وعدد حالات الإيدز الجديدة 450 1، وعدد الوفيات 000 46 منذ عام 1995</w:t>
      </w:r>
      <w:r>
        <w:rPr>
          <w:rStyle w:val="EndnoteReference"/>
          <w:rtl/>
        </w:rPr>
        <w:t>(</w:t>
      </w:r>
      <w:r w:rsidRPr="005D0C50">
        <w:rPr>
          <w:rStyle w:val="EndnoteReference"/>
          <w:rtl/>
        </w:rPr>
        <w:endnoteReference w:id="61"/>
      </w:r>
      <w:r>
        <w:rPr>
          <w:rStyle w:val="EndnoteReference"/>
          <w:rtl/>
        </w:rPr>
        <w:t>)</w:t>
      </w:r>
      <w:r w:rsidRPr="005D0C50">
        <w:rPr>
          <w:rFonts w:hint="cs"/>
          <w:rtl/>
        </w:rPr>
        <w:t xml:space="preserve">. </w:t>
      </w:r>
      <w:r w:rsidRPr="005D0C50">
        <w:rPr>
          <w:rtl/>
        </w:rPr>
        <w:t>ولا يزال الرجال الذين يمارسون الجنس مع الرجال والأشخاصُ المصابون عن طريق العلاقات الجنسية مع الجنس المغاير والمولودون في الخارج (ثلاثة أرباع منهم في بلدان أفريقيا جنوب الصحراء الكبرى) يشكلون الفئتين الأكثر تأثر</w:t>
      </w:r>
      <w:r w:rsidR="0031739C">
        <w:rPr>
          <w:rtl/>
        </w:rPr>
        <w:t>اً،</w:t>
      </w:r>
      <w:r w:rsidRPr="005D0C50">
        <w:rPr>
          <w:rtl/>
        </w:rPr>
        <w:t xml:space="preserve"> وتمثل كل فئة منهما 40 في المائة من حالات الإصابة المكتشفة في عام 2011</w:t>
      </w:r>
      <w:r w:rsidRPr="005D0C50">
        <w:rPr>
          <w:rFonts w:hint="cs"/>
          <w:rtl/>
        </w:rPr>
        <w:t xml:space="preserve">. </w:t>
      </w:r>
      <w:r w:rsidRPr="005D0C50">
        <w:rPr>
          <w:rtl/>
        </w:rPr>
        <w:t>وفي الفترة المتراوحة بين عامي 2010 و2011، ارتفع عدد اختبارات الإصابة بالفيروس التي أُجريت بنسبة 4 في المائة، مما يدل على أن الأخصائيين الصحيين نفذوا التوصيات الصادرة في نهاية عام 2010 بشأن توسيع نطاق اختبارات الكشف</w:t>
      </w:r>
      <w:r>
        <w:rPr>
          <w:rStyle w:val="EndnoteReference"/>
          <w:rtl/>
        </w:rPr>
        <w:t>(</w:t>
      </w:r>
      <w:r w:rsidRPr="005D0C50">
        <w:rPr>
          <w:rStyle w:val="EndnoteReference"/>
          <w:rtl/>
        </w:rPr>
        <w:endnoteReference w:id="62"/>
      </w:r>
      <w:r>
        <w:rPr>
          <w:rStyle w:val="EndnoteReference"/>
          <w:rtl/>
        </w:rPr>
        <w:t>)</w:t>
      </w:r>
      <w:r w:rsidRPr="005D0C50">
        <w:rPr>
          <w:rFonts w:hint="cs"/>
          <w:rtl/>
        </w:rPr>
        <w:t>.</w:t>
      </w:r>
    </w:p>
    <w:p w:rsidR="00944A3C" w:rsidRPr="005D0C50" w:rsidRDefault="00944A3C" w:rsidP="00944A3C">
      <w:pPr>
        <w:pStyle w:val="H23GA"/>
        <w:rPr>
          <w:rtl/>
        </w:rPr>
      </w:pPr>
      <w:r w:rsidRPr="005D0C50">
        <w:rPr>
          <w:spacing w:val="-4"/>
        </w:rPr>
        <w:lastRenderedPageBreak/>
        <w:tab/>
      </w:r>
      <w:r w:rsidRPr="005D0C50">
        <w:rPr>
          <w:spacing w:val="-4"/>
          <w:rtl/>
        </w:rPr>
        <w:t>(د)</w:t>
      </w:r>
      <w:r w:rsidRPr="005D0C50">
        <w:rPr>
          <w:spacing w:val="-4"/>
          <w:rtl/>
        </w:rPr>
        <w:tab/>
      </w:r>
      <w:r w:rsidRPr="005D0C50">
        <w:rPr>
          <w:rtl/>
        </w:rPr>
        <w:t>الالتحاق بالمدارس ومحو الأمية</w:t>
      </w:r>
    </w:p>
    <w:p w:rsidR="00944A3C" w:rsidRPr="005D0C50" w:rsidRDefault="00944A3C" w:rsidP="00F403AE">
      <w:pPr>
        <w:pStyle w:val="SingleTxtGA"/>
        <w:spacing w:line="370" w:lineRule="exact"/>
        <w:rPr>
          <w:rtl/>
        </w:rPr>
      </w:pPr>
      <w:r w:rsidRPr="005D0C50">
        <w:rPr>
          <w:rFonts w:hint="cs"/>
          <w:rtl/>
        </w:rPr>
        <w:t>45-</w:t>
      </w:r>
      <w:r w:rsidRPr="005D0C50">
        <w:rPr>
          <w:rFonts w:hint="cs"/>
          <w:rtl/>
        </w:rPr>
        <w:tab/>
      </w:r>
      <w:r w:rsidRPr="005D0C50">
        <w:rPr>
          <w:rtl/>
        </w:rPr>
        <w:t>خلال الدخول المدرسي لعام 2014، سجلت مدارس التعليم الابتدائي 6,8 ملايين تلميذ (أطفال تتراوح أعمارهم بين سنتين و10 سنوات)، وهو ما يشكل زيادة نسبتها 0,4 في المائة بالمقارنة مع العام السابق</w:t>
      </w:r>
      <w:r w:rsidRPr="005D0C50">
        <w:rPr>
          <w:rFonts w:hint="cs"/>
          <w:rtl/>
        </w:rPr>
        <w:t xml:space="preserve">. </w:t>
      </w:r>
      <w:r w:rsidRPr="005D0C50">
        <w:rPr>
          <w:rtl/>
        </w:rPr>
        <w:t xml:space="preserve">واستقبلت مؤسسات التعليم الثانوي العامة والخاصة، التي تشرف عليها وزارة </w:t>
      </w:r>
      <w:r w:rsidRPr="005D0C50">
        <w:rPr>
          <w:rFonts w:hint="cs"/>
          <w:rtl/>
        </w:rPr>
        <w:t>التعليم</w:t>
      </w:r>
      <w:r w:rsidRPr="005D0C50">
        <w:rPr>
          <w:rtl/>
        </w:rPr>
        <w:t xml:space="preserve"> الوطني، 5,5 ملايين تلميذ خلال الدخول المدرسي لعام 2014، وهو ما</w:t>
      </w:r>
      <w:r w:rsidR="00526CCD">
        <w:rPr>
          <w:rFonts w:hint="cs"/>
          <w:rtl/>
        </w:rPr>
        <w:t> </w:t>
      </w:r>
      <w:r w:rsidRPr="005D0C50">
        <w:rPr>
          <w:rtl/>
        </w:rPr>
        <w:t xml:space="preserve">يعني زيادة نسبتها 0,4 في المائة بالمقارنة </w:t>
      </w:r>
      <w:r w:rsidRPr="005D0C50">
        <w:rPr>
          <w:rFonts w:hint="cs"/>
          <w:rtl/>
        </w:rPr>
        <w:t>أيض</w:t>
      </w:r>
      <w:r w:rsidR="00526CCD">
        <w:rPr>
          <w:rFonts w:hint="cs"/>
          <w:rtl/>
        </w:rPr>
        <w:t xml:space="preserve">اً </w:t>
      </w:r>
      <w:r w:rsidRPr="005D0C50">
        <w:rPr>
          <w:rtl/>
        </w:rPr>
        <w:t xml:space="preserve">مع الدخول المدرسي </w:t>
      </w:r>
      <w:r w:rsidRPr="005D0C50">
        <w:rPr>
          <w:rFonts w:hint="cs"/>
          <w:rtl/>
        </w:rPr>
        <w:t xml:space="preserve">للعام </w:t>
      </w:r>
      <w:r w:rsidRPr="005D0C50">
        <w:rPr>
          <w:rtl/>
        </w:rPr>
        <w:t>السابق</w:t>
      </w:r>
      <w:r>
        <w:rPr>
          <w:rStyle w:val="EndnoteReference"/>
          <w:rtl/>
        </w:rPr>
        <w:t>(</w:t>
      </w:r>
      <w:r w:rsidRPr="005D0C50">
        <w:rPr>
          <w:rStyle w:val="EndnoteReference"/>
          <w:rtl/>
        </w:rPr>
        <w:endnoteReference w:id="63"/>
      </w:r>
      <w:r>
        <w:rPr>
          <w:rStyle w:val="EndnoteReference"/>
          <w:rtl/>
        </w:rPr>
        <w:t>)</w:t>
      </w:r>
      <w:r w:rsidRPr="005D0C50">
        <w:rPr>
          <w:rFonts w:hint="cs"/>
          <w:rtl/>
        </w:rPr>
        <w:t xml:space="preserve">. </w:t>
      </w:r>
      <w:r w:rsidRPr="005D0C50">
        <w:rPr>
          <w:rtl/>
        </w:rPr>
        <w:t>وخلال الدخول المدرسي لعام 2014، بلغ عدد الطلاب المسجلين في التعليم العالي 700 470 2، وهو ما يشكل زيادة نسبتها 1,7 في المائة بالمقارنة مع عام 2013</w:t>
      </w:r>
      <w:r w:rsidRPr="005D0C50">
        <w:rPr>
          <w:rFonts w:hint="cs"/>
          <w:rtl/>
        </w:rPr>
        <w:t xml:space="preserve">. </w:t>
      </w:r>
      <w:r w:rsidRPr="005D0C50">
        <w:rPr>
          <w:rtl/>
        </w:rPr>
        <w:t xml:space="preserve">وقد ارتفع بالتالي عدد المسجلين في التعليم العالي للسنة السادسة على التوالي، وبلغ مستوى لم </w:t>
      </w:r>
      <w:r w:rsidRPr="005D0C50">
        <w:rPr>
          <w:rFonts w:hint="cs"/>
          <w:rtl/>
        </w:rPr>
        <w:t xml:space="preserve">يسبق له مثيل </w:t>
      </w:r>
      <w:r w:rsidRPr="005D0C50">
        <w:rPr>
          <w:rtl/>
        </w:rPr>
        <w:t>على الإطلاق</w:t>
      </w:r>
      <w:r w:rsidRPr="005D0C50">
        <w:rPr>
          <w:rFonts w:hint="cs"/>
          <w:rtl/>
        </w:rPr>
        <w:t xml:space="preserve">. </w:t>
      </w:r>
      <w:r w:rsidRPr="005D0C50">
        <w:rPr>
          <w:rtl/>
        </w:rPr>
        <w:t xml:space="preserve">وفي </w:t>
      </w:r>
      <w:r w:rsidRPr="005D0C50">
        <w:rPr>
          <w:rFonts w:hint="cs"/>
          <w:rtl/>
        </w:rPr>
        <w:t xml:space="preserve">ذلك </w:t>
      </w:r>
      <w:r w:rsidRPr="005D0C50">
        <w:rPr>
          <w:rtl/>
        </w:rPr>
        <w:t>العام، زاد عدد الطلاب الأجانب بنسبة ضعيفة شيئ</w:t>
      </w:r>
      <w:r w:rsidR="00526CCD">
        <w:rPr>
          <w:rtl/>
        </w:rPr>
        <w:t xml:space="preserve">اً </w:t>
      </w:r>
      <w:r w:rsidRPr="005D0C50">
        <w:rPr>
          <w:rtl/>
        </w:rPr>
        <w:t>ما (</w:t>
      </w:r>
      <w:r w:rsidR="00F85901">
        <w:rPr>
          <w:rFonts w:hint="cs"/>
          <w:rtl/>
        </w:rPr>
        <w:t>+</w:t>
      </w:r>
      <w:r w:rsidRPr="005D0C50">
        <w:rPr>
          <w:rtl/>
        </w:rPr>
        <w:t>1,3 في المائة)</w:t>
      </w:r>
      <w:r w:rsidRPr="005D0C50">
        <w:rPr>
          <w:rFonts w:hint="cs"/>
          <w:rtl/>
        </w:rPr>
        <w:t>.</w:t>
      </w:r>
    </w:p>
    <w:p w:rsidR="00944A3C" w:rsidRPr="005D0C50" w:rsidRDefault="00944A3C" w:rsidP="00F403AE">
      <w:pPr>
        <w:pStyle w:val="SingleTxtGA"/>
        <w:spacing w:line="370" w:lineRule="exact"/>
        <w:rPr>
          <w:rtl/>
        </w:rPr>
      </w:pPr>
      <w:r w:rsidRPr="005D0C50">
        <w:rPr>
          <w:rFonts w:hint="cs"/>
          <w:rtl/>
        </w:rPr>
        <w:t>46-</w:t>
      </w:r>
      <w:r w:rsidRPr="005D0C50">
        <w:rPr>
          <w:rFonts w:hint="cs"/>
          <w:rtl/>
        </w:rPr>
        <w:tab/>
      </w:r>
      <w:r w:rsidRPr="005D0C50">
        <w:rPr>
          <w:rtl/>
        </w:rPr>
        <w:t>معدل الالتحاق بالمدارس</w:t>
      </w:r>
      <w:r w:rsidRPr="005D0C50">
        <w:rPr>
          <w:rFonts w:hint="cs"/>
          <w:rtl/>
        </w:rPr>
        <w:t xml:space="preserve">. </w:t>
      </w:r>
      <w:r w:rsidRPr="005D0C50">
        <w:rPr>
          <w:rtl/>
        </w:rPr>
        <w:t xml:space="preserve">تراوح معدل التحاق </w:t>
      </w:r>
      <w:r w:rsidRPr="005D0C50">
        <w:rPr>
          <w:rFonts w:hint="cs"/>
          <w:rtl/>
        </w:rPr>
        <w:t>ا</w:t>
      </w:r>
      <w:r w:rsidRPr="005D0C50">
        <w:rPr>
          <w:rtl/>
        </w:rPr>
        <w:t xml:space="preserve">لأطفال المتراوحة أعمارهم بين سنتين و10 سنوات </w:t>
      </w:r>
      <w:r w:rsidRPr="005D0C50">
        <w:rPr>
          <w:rFonts w:hint="cs"/>
          <w:rtl/>
        </w:rPr>
        <w:t xml:space="preserve">بالمدارس </w:t>
      </w:r>
      <w:r w:rsidRPr="005D0C50">
        <w:rPr>
          <w:rtl/>
        </w:rPr>
        <w:t xml:space="preserve">خلال عام 2013 بين 11,9 في المائة بالنسبة للبالغين سنتين و98,6 في المائة بالنسبة للبالغين 10 سنوات (وبلغ هذا المعدل 100 في المائة بالنسبة </w:t>
      </w:r>
      <w:r w:rsidRPr="005D0C50">
        <w:rPr>
          <w:rFonts w:hint="cs"/>
          <w:rtl/>
        </w:rPr>
        <w:t>ل</w:t>
      </w:r>
      <w:r w:rsidRPr="005D0C50">
        <w:rPr>
          <w:rtl/>
        </w:rPr>
        <w:t>لأطفال المتراوحة أعمارهم بين 4 و7 سنوات)</w:t>
      </w:r>
      <w:r w:rsidRPr="005D0C50">
        <w:rPr>
          <w:rFonts w:hint="cs"/>
          <w:rtl/>
        </w:rPr>
        <w:t xml:space="preserve">. </w:t>
      </w:r>
      <w:r w:rsidRPr="005D0C50">
        <w:rPr>
          <w:rtl/>
        </w:rPr>
        <w:t>وتراوح هذا المعدل بالنسبة للأطفال المتراوحة أعمارهم بين 11 و17 سنة بين 98,9 في المائة بالنسبة للبالغين 11 سنة و90,3 في المائة بالنسبة للبالغين 17 سنة. وفيما يتعلق بالطلاب المتراوحة أعمارهم بين 18 و25 سنة، تراوح هذا المعدل بين 77,4 في المائة بالنسبة للبالغين 18 سنة و11,1 في المائة بالنسبة للبالغين 25 سنة</w:t>
      </w:r>
      <w:r>
        <w:rPr>
          <w:rStyle w:val="EndnoteReference"/>
          <w:rtl/>
        </w:rPr>
        <w:t>(</w:t>
      </w:r>
      <w:r w:rsidRPr="005D0C50">
        <w:rPr>
          <w:rStyle w:val="EndnoteReference"/>
          <w:rtl/>
        </w:rPr>
        <w:endnoteReference w:id="64"/>
      </w:r>
      <w:r>
        <w:rPr>
          <w:rStyle w:val="EndnoteReference"/>
          <w:rtl/>
        </w:rPr>
        <w:t>)</w:t>
      </w:r>
      <w:r w:rsidRPr="005D0C50">
        <w:rPr>
          <w:rFonts w:hint="cs"/>
          <w:rtl/>
        </w:rPr>
        <w:t>.</w:t>
      </w:r>
    </w:p>
    <w:p w:rsidR="00944A3C" w:rsidRPr="005D0C50" w:rsidRDefault="00944A3C" w:rsidP="00F403AE">
      <w:pPr>
        <w:pStyle w:val="SingleTxtGA"/>
        <w:spacing w:line="370" w:lineRule="exact"/>
        <w:rPr>
          <w:rtl/>
        </w:rPr>
      </w:pPr>
      <w:r w:rsidRPr="005D0C50">
        <w:rPr>
          <w:rFonts w:hint="cs"/>
          <w:rtl/>
        </w:rPr>
        <w:t>47-</w:t>
      </w:r>
      <w:r w:rsidRPr="005D0C50">
        <w:rPr>
          <w:rFonts w:hint="cs"/>
          <w:rtl/>
        </w:rPr>
        <w:tab/>
      </w:r>
      <w:r w:rsidRPr="005D0C50">
        <w:rPr>
          <w:rtl/>
        </w:rPr>
        <w:t>وفي عام 2010، اعتُبِر أن 12,8 في المائة من الشباب المتراوحة أعمارهم بين 18 و24 سنة والذين لم يتجاوزوا في مستواهم الدراسي المرحلة الأولى من التعليم الثانوي قد تركوا الدراسة قبل الأوان (10,3 في المائة منهم إناث و15,4 في المائة ذكور)</w:t>
      </w:r>
      <w:r w:rsidRPr="005D0C50">
        <w:rPr>
          <w:rFonts w:hint="cs"/>
          <w:rtl/>
        </w:rPr>
        <w:t xml:space="preserve">. </w:t>
      </w:r>
      <w:r w:rsidRPr="005D0C50">
        <w:rPr>
          <w:rtl/>
        </w:rPr>
        <w:t>وبلغ هذا المعدل 8,5 في المائة في عام 2014 (7,4 في المائة بالنسبة للإناث و9,5 في المائة بالنسبة للذكور)</w:t>
      </w:r>
      <w:r w:rsidRPr="005D0C50">
        <w:rPr>
          <w:rFonts w:hint="cs"/>
          <w:rtl/>
        </w:rPr>
        <w:t xml:space="preserve">. </w:t>
      </w:r>
      <w:r w:rsidRPr="005D0C50">
        <w:rPr>
          <w:rtl/>
        </w:rPr>
        <w:t>وأتم</w:t>
      </w:r>
      <w:r w:rsidR="0082773D">
        <w:rPr>
          <w:rFonts w:hint="cs"/>
          <w:rtl/>
        </w:rPr>
        <w:t> </w:t>
      </w:r>
      <w:r w:rsidRPr="005D0C50">
        <w:rPr>
          <w:rtl/>
        </w:rPr>
        <w:t>77,4 في المائة من الأشخاص المتراوحة أعمارهم بين 25 و64 سنة على الأقل المرحلة الثانية من التعليم الثانوي</w:t>
      </w:r>
      <w:r w:rsidRPr="005D0C50">
        <w:rPr>
          <w:rFonts w:hint="cs"/>
          <w:rtl/>
        </w:rPr>
        <w:t>.</w:t>
      </w:r>
    </w:p>
    <w:p w:rsidR="00944A3C" w:rsidRPr="005D0C50" w:rsidRDefault="00944A3C" w:rsidP="00F403AE">
      <w:pPr>
        <w:pStyle w:val="SingleTxtGA"/>
        <w:spacing w:line="370" w:lineRule="exact"/>
        <w:rPr>
          <w:rtl/>
        </w:rPr>
      </w:pPr>
      <w:r w:rsidRPr="005D0C50">
        <w:rPr>
          <w:rFonts w:hint="cs"/>
          <w:rtl/>
        </w:rPr>
        <w:t>48-</w:t>
      </w:r>
      <w:r w:rsidRPr="005D0C50">
        <w:rPr>
          <w:rFonts w:hint="cs"/>
          <w:rtl/>
        </w:rPr>
        <w:tab/>
      </w:r>
      <w:r w:rsidRPr="005D0C50">
        <w:rPr>
          <w:rtl/>
        </w:rPr>
        <w:t>عدد التلاميذ في كل فصل</w:t>
      </w:r>
      <w:r w:rsidRPr="005D0C50">
        <w:rPr>
          <w:rFonts w:hint="cs"/>
          <w:rtl/>
        </w:rPr>
        <w:t xml:space="preserve">. </w:t>
      </w:r>
      <w:r w:rsidRPr="005D0C50">
        <w:rPr>
          <w:rtl/>
        </w:rPr>
        <w:t>في عام 2012، بلغ متوسط عدد التلاميذ في كل فصل</w:t>
      </w:r>
      <w:r>
        <w:rPr>
          <w:rFonts w:hint="cs"/>
          <w:rtl/>
        </w:rPr>
        <w:t> </w:t>
      </w:r>
      <w:r w:rsidRPr="005D0C50">
        <w:rPr>
          <w:rtl/>
        </w:rPr>
        <w:t>22,7 في مرحلة التعليم الابتدائي، و25,1 في المرحلة الأولى من التعليم الثانوي (الإعدادي)، و9,9 في المرحلة الثانية من التعليم الثانوي (الثانوي)</w:t>
      </w:r>
      <w:r>
        <w:rPr>
          <w:rStyle w:val="EndnoteReference"/>
          <w:rtl/>
        </w:rPr>
        <w:t>(</w:t>
      </w:r>
      <w:r w:rsidRPr="005D0C50">
        <w:rPr>
          <w:rStyle w:val="EndnoteReference"/>
          <w:rtl/>
        </w:rPr>
        <w:endnoteReference w:id="65"/>
      </w:r>
      <w:r>
        <w:rPr>
          <w:rStyle w:val="EndnoteReference"/>
          <w:rtl/>
        </w:rPr>
        <w:t>)</w:t>
      </w:r>
      <w:r w:rsidRPr="005D0C50">
        <w:rPr>
          <w:rFonts w:hint="cs"/>
          <w:rtl/>
        </w:rPr>
        <w:t>.</w:t>
      </w:r>
    </w:p>
    <w:p w:rsidR="00944A3C" w:rsidRPr="005D0C50" w:rsidRDefault="00944A3C" w:rsidP="00F403AE">
      <w:pPr>
        <w:pStyle w:val="SingleTxtGA"/>
        <w:spacing w:line="370" w:lineRule="exact"/>
        <w:rPr>
          <w:rtl/>
        </w:rPr>
      </w:pPr>
      <w:r w:rsidRPr="005D0C50">
        <w:rPr>
          <w:rFonts w:hint="cs"/>
          <w:rtl/>
        </w:rPr>
        <w:t>49-</w:t>
      </w:r>
      <w:r w:rsidRPr="005D0C50">
        <w:rPr>
          <w:rFonts w:hint="cs"/>
          <w:rtl/>
        </w:rPr>
        <w:tab/>
      </w:r>
      <w:r w:rsidRPr="005D0C50">
        <w:rPr>
          <w:rtl/>
        </w:rPr>
        <w:t>ووفقا</w:t>
      </w:r>
      <w:r>
        <w:rPr>
          <w:rFonts w:hint="cs"/>
          <w:rtl/>
        </w:rPr>
        <w:t>ً</w:t>
      </w:r>
      <w:r w:rsidRPr="005D0C50">
        <w:rPr>
          <w:rtl/>
        </w:rPr>
        <w:t xml:space="preserve"> للوكالة الوطنية لمحاربة الأمية، بلغ عدد الأميين في فرنسا المتروبولية 2,5 مليون شخص في عام 2013، </w:t>
      </w:r>
      <w:r w:rsidRPr="005D0C50">
        <w:rPr>
          <w:rFonts w:hint="cs"/>
          <w:rtl/>
        </w:rPr>
        <w:t xml:space="preserve">ويمثل ذلك </w:t>
      </w:r>
      <w:r w:rsidRPr="005D0C50">
        <w:rPr>
          <w:rtl/>
        </w:rPr>
        <w:t>7 في المائة من الأشخاص المتراوحة أعمارهم بين 18 و65 سنة الذين التحقوا بالمدارس في فرنسا</w:t>
      </w:r>
      <w:r>
        <w:rPr>
          <w:rStyle w:val="EndnoteReference"/>
          <w:rtl/>
        </w:rPr>
        <w:t>(</w:t>
      </w:r>
      <w:r w:rsidRPr="005D0C50">
        <w:rPr>
          <w:rStyle w:val="EndnoteReference"/>
          <w:rtl/>
        </w:rPr>
        <w:endnoteReference w:id="66"/>
      </w:r>
      <w:r>
        <w:rPr>
          <w:rStyle w:val="EndnoteReference"/>
          <w:rtl/>
        </w:rPr>
        <w:t>)</w:t>
      </w:r>
      <w:r w:rsidRPr="005D0C50">
        <w:rPr>
          <w:rtl/>
        </w:rPr>
        <w:t xml:space="preserve">، مقابل 9 في المائة في عام </w:t>
      </w:r>
      <w:r w:rsidRPr="005D0C50">
        <w:rPr>
          <w:rFonts w:hint="cs"/>
          <w:rtl/>
        </w:rPr>
        <w:t>2004</w:t>
      </w:r>
      <w:r>
        <w:rPr>
          <w:rStyle w:val="EndnoteReference"/>
          <w:rtl/>
        </w:rPr>
        <w:t>(</w:t>
      </w:r>
      <w:r w:rsidRPr="005D0C50">
        <w:rPr>
          <w:rStyle w:val="EndnoteReference"/>
          <w:rtl/>
        </w:rPr>
        <w:endnoteReference w:id="67"/>
      </w:r>
      <w:r>
        <w:rPr>
          <w:rStyle w:val="EndnoteReference"/>
          <w:rtl/>
        </w:rPr>
        <w:t>)</w:t>
      </w:r>
      <w:r w:rsidRPr="005D0C50">
        <w:rPr>
          <w:rFonts w:hint="cs"/>
          <w:rtl/>
        </w:rPr>
        <w:t xml:space="preserve">. </w:t>
      </w:r>
      <w:r w:rsidRPr="005D0C50">
        <w:rPr>
          <w:rtl/>
        </w:rPr>
        <w:t>واعتُبرت مكافحة الأمية قضية وطنية كبرى في عام 2013</w:t>
      </w:r>
      <w:r w:rsidRPr="005D0C50">
        <w:rPr>
          <w:rFonts w:hint="cs"/>
          <w:rtl/>
        </w:rPr>
        <w:t xml:space="preserve">. </w:t>
      </w:r>
    </w:p>
    <w:p w:rsidR="00944A3C" w:rsidRPr="005D0C50" w:rsidRDefault="00944A3C" w:rsidP="00F403AE">
      <w:pPr>
        <w:pStyle w:val="H23GA"/>
        <w:rPr>
          <w:spacing w:val="-4"/>
          <w:rtl/>
        </w:rPr>
      </w:pPr>
      <w:r w:rsidRPr="005D0C50">
        <w:rPr>
          <w:spacing w:val="-4"/>
          <w:rtl/>
        </w:rPr>
        <w:tab/>
        <w:t>3-</w:t>
      </w:r>
      <w:r w:rsidRPr="005D0C50">
        <w:rPr>
          <w:spacing w:val="-4"/>
          <w:rtl/>
        </w:rPr>
        <w:tab/>
      </w:r>
      <w:r w:rsidRPr="005D0C50">
        <w:rPr>
          <w:rtl/>
        </w:rPr>
        <w:t>البيانات الاقتصادية</w:t>
      </w:r>
    </w:p>
    <w:p w:rsidR="00944A3C" w:rsidRPr="005D0C50" w:rsidRDefault="00944A3C" w:rsidP="00F403AE">
      <w:pPr>
        <w:pStyle w:val="H23GA"/>
        <w:rPr>
          <w:rtl/>
        </w:rPr>
      </w:pPr>
      <w:r w:rsidRPr="005D0C50">
        <w:rPr>
          <w:spacing w:val="-4"/>
        </w:rPr>
        <w:tab/>
      </w:r>
      <w:r w:rsidRPr="005D0C50">
        <w:rPr>
          <w:spacing w:val="-4"/>
          <w:rtl/>
        </w:rPr>
        <w:t>(أ)</w:t>
      </w:r>
      <w:r w:rsidRPr="005D0C50">
        <w:rPr>
          <w:spacing w:val="-4"/>
          <w:rtl/>
        </w:rPr>
        <w:tab/>
      </w:r>
      <w:r w:rsidRPr="005D0C50">
        <w:rPr>
          <w:rtl/>
        </w:rPr>
        <w:t>الناتج المحلي الإجمالي والناتج القومي الإجمالي ومعدل النمو الاقتصادي ومؤشر أسعار الاستهلاك</w:t>
      </w:r>
    </w:p>
    <w:p w:rsidR="00944A3C" w:rsidRPr="005D0C50" w:rsidRDefault="00944A3C" w:rsidP="00944A3C">
      <w:pPr>
        <w:pStyle w:val="SingleTxtGA"/>
        <w:rPr>
          <w:rtl/>
        </w:rPr>
      </w:pPr>
      <w:r w:rsidRPr="005D0C50">
        <w:rPr>
          <w:rFonts w:hint="cs"/>
          <w:rtl/>
        </w:rPr>
        <w:t>50-</w:t>
      </w:r>
      <w:r w:rsidRPr="005D0C50">
        <w:rPr>
          <w:rFonts w:hint="cs"/>
          <w:rtl/>
        </w:rPr>
        <w:tab/>
      </w:r>
      <w:r w:rsidRPr="005D0C50">
        <w:rPr>
          <w:rtl/>
        </w:rPr>
        <w:t>في عام 2015، بلغ الناتج المحلي الإجمالي لفرنسا 183,6 2 بليون يورو بالسعر الجاري، أي 14,9 في المائة من الناتج المحلي الإجمالي للاتحاد الأوروبي</w:t>
      </w:r>
      <w:r>
        <w:rPr>
          <w:rStyle w:val="EndnoteReference"/>
          <w:rtl/>
        </w:rPr>
        <w:t>(</w:t>
      </w:r>
      <w:r w:rsidRPr="005D0C50">
        <w:rPr>
          <w:rStyle w:val="EndnoteReference"/>
          <w:rtl/>
        </w:rPr>
        <w:endnoteReference w:id="68"/>
      </w:r>
      <w:r>
        <w:rPr>
          <w:rStyle w:val="EndnoteReference"/>
          <w:rtl/>
        </w:rPr>
        <w:t>)</w:t>
      </w:r>
      <w:r w:rsidRPr="005D0C50">
        <w:rPr>
          <w:rFonts w:hint="cs"/>
          <w:rtl/>
        </w:rPr>
        <w:t>.</w:t>
      </w:r>
    </w:p>
    <w:p w:rsidR="00944A3C" w:rsidRPr="00944A3C" w:rsidRDefault="00944A3C" w:rsidP="00F85901">
      <w:pPr>
        <w:pStyle w:val="SingleTxtGA"/>
        <w:rPr>
          <w:spacing w:val="-2"/>
          <w:rtl/>
        </w:rPr>
      </w:pPr>
      <w:r w:rsidRPr="00944A3C">
        <w:rPr>
          <w:rFonts w:hint="cs"/>
          <w:spacing w:val="-2"/>
          <w:rtl/>
        </w:rPr>
        <w:lastRenderedPageBreak/>
        <w:t>51-</w:t>
      </w:r>
      <w:r w:rsidRPr="00944A3C">
        <w:rPr>
          <w:rFonts w:hint="cs"/>
          <w:spacing w:val="-2"/>
          <w:rtl/>
        </w:rPr>
        <w:tab/>
      </w:r>
      <w:r w:rsidRPr="00944A3C">
        <w:rPr>
          <w:spacing w:val="-2"/>
          <w:rtl/>
        </w:rPr>
        <w:t>وفي عام 2014، بلغ الناتج المحلي الإجمالي لفرنسا 132,4 2 بليون يورو بالسعر الجاري، أي 15,3 في المائة من الناتج المحلي الإجمالي للاتحاد الأوروبي، أو 907,7 1 بلايين يورو حسب تكافؤ القوة الشرائية، أي 13,9 في المائة من الناتج المحلي الإجمالي حسب تكافؤ القوة الشرائية للاتحاد الأوروبي</w:t>
      </w:r>
      <w:r w:rsidRPr="00944A3C">
        <w:rPr>
          <w:rFonts w:hint="cs"/>
          <w:spacing w:val="-2"/>
          <w:rtl/>
        </w:rPr>
        <w:t xml:space="preserve">. </w:t>
      </w:r>
      <w:r w:rsidRPr="00944A3C">
        <w:rPr>
          <w:spacing w:val="-2"/>
          <w:rtl/>
        </w:rPr>
        <w:t>وبالتالي، فقد نما بنسبة مئوية بلغت 0,2 يورو بالسعر الثابت، بعد عامين من النمو المعتدل (</w:t>
      </w:r>
      <w:r w:rsidR="00F85901">
        <w:rPr>
          <w:rFonts w:hint="cs"/>
          <w:spacing w:val="-2"/>
          <w:rtl/>
        </w:rPr>
        <w:t>+</w:t>
      </w:r>
      <w:r w:rsidRPr="00944A3C">
        <w:rPr>
          <w:spacing w:val="-2"/>
          <w:rtl/>
        </w:rPr>
        <w:t>0,2 في المائة في عام 2012، و</w:t>
      </w:r>
      <w:r w:rsidR="00F85901">
        <w:rPr>
          <w:rFonts w:hint="cs"/>
          <w:spacing w:val="-2"/>
          <w:rtl/>
        </w:rPr>
        <w:t>+</w:t>
      </w:r>
      <w:r w:rsidRPr="00944A3C">
        <w:rPr>
          <w:spacing w:val="-2"/>
          <w:rtl/>
        </w:rPr>
        <w:t>0,7 في المائة في عام 2013)</w:t>
      </w:r>
      <w:r w:rsidRPr="00944A3C">
        <w:rPr>
          <w:rFonts w:hint="cs"/>
          <w:spacing w:val="-2"/>
          <w:rtl/>
        </w:rPr>
        <w:t xml:space="preserve">. </w:t>
      </w:r>
      <w:r w:rsidRPr="00944A3C">
        <w:rPr>
          <w:spacing w:val="-2"/>
          <w:rtl/>
        </w:rPr>
        <w:t>وبلغ نصيب الفرد من الناتج المحلي الإجمالي 290 29 حسب تكافؤ القوة الشرائية</w:t>
      </w:r>
      <w:r w:rsidRPr="00944A3C">
        <w:rPr>
          <w:rStyle w:val="EndnoteReference"/>
          <w:spacing w:val="-2"/>
          <w:rtl/>
        </w:rPr>
        <w:t>(</w:t>
      </w:r>
      <w:r w:rsidRPr="00944A3C">
        <w:rPr>
          <w:rStyle w:val="EndnoteReference"/>
          <w:spacing w:val="-2"/>
          <w:rtl/>
        </w:rPr>
        <w:endnoteReference w:id="69"/>
      </w:r>
      <w:r w:rsidRPr="00944A3C">
        <w:rPr>
          <w:rStyle w:val="EndnoteReference"/>
          <w:spacing w:val="-2"/>
          <w:rtl/>
        </w:rPr>
        <w:t>)</w:t>
      </w:r>
      <w:r w:rsidRPr="00944A3C">
        <w:rPr>
          <w:rFonts w:hint="cs"/>
          <w:spacing w:val="-2"/>
          <w:rtl/>
        </w:rPr>
        <w:t>.</w:t>
      </w:r>
    </w:p>
    <w:p w:rsidR="00944A3C" w:rsidRPr="005D0C50" w:rsidRDefault="00944A3C" w:rsidP="00944A3C">
      <w:pPr>
        <w:pStyle w:val="SingleTxtGA"/>
        <w:rPr>
          <w:rtl/>
        </w:rPr>
      </w:pPr>
      <w:r w:rsidRPr="005D0C50">
        <w:rPr>
          <w:rFonts w:hint="cs"/>
          <w:rtl/>
        </w:rPr>
        <w:t>52-</w:t>
      </w:r>
      <w:r w:rsidRPr="005D0C50">
        <w:rPr>
          <w:rFonts w:hint="cs"/>
          <w:rtl/>
        </w:rPr>
        <w:tab/>
      </w:r>
      <w:r w:rsidRPr="005D0C50">
        <w:rPr>
          <w:rtl/>
        </w:rPr>
        <w:t>وبلغ الناتج القومي الإجمالي 174,5 2 بليون يورو، وإجمالي الدخل القومي المتاح</w:t>
      </w:r>
      <w:r>
        <w:rPr>
          <w:rFonts w:hint="cs"/>
          <w:rtl/>
        </w:rPr>
        <w:t> </w:t>
      </w:r>
      <w:r w:rsidRPr="005D0C50">
        <w:rPr>
          <w:rtl/>
        </w:rPr>
        <w:t>122,7 2 بليون يورو</w:t>
      </w:r>
      <w:r>
        <w:rPr>
          <w:rStyle w:val="EndnoteReference"/>
          <w:rtl/>
        </w:rPr>
        <w:t>(</w:t>
      </w:r>
      <w:r w:rsidRPr="005D0C50">
        <w:rPr>
          <w:rStyle w:val="EndnoteReference"/>
          <w:rtl/>
        </w:rPr>
        <w:endnoteReference w:id="70"/>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53-</w:t>
      </w:r>
      <w:r w:rsidRPr="005D0C50">
        <w:rPr>
          <w:rFonts w:hint="cs"/>
          <w:rtl/>
        </w:rPr>
        <w:tab/>
      </w:r>
      <w:r w:rsidRPr="005D0C50">
        <w:rPr>
          <w:rtl/>
        </w:rPr>
        <w:t>وفي عام 2015، بلغ معدل النمو 1,1</w:t>
      </w:r>
      <w:r w:rsidRPr="005D0C50">
        <w:rPr>
          <w:rFonts w:hint="cs"/>
          <w:rtl/>
        </w:rPr>
        <w:t>في المائة</w:t>
      </w:r>
      <w:r>
        <w:rPr>
          <w:rStyle w:val="EndnoteReference"/>
          <w:rtl/>
        </w:rPr>
        <w:t>(</w:t>
      </w:r>
      <w:r w:rsidRPr="005D0C50">
        <w:rPr>
          <w:rStyle w:val="EndnoteReference"/>
          <w:rtl/>
        </w:rPr>
        <w:endnoteReference w:id="71"/>
      </w:r>
      <w:r>
        <w:rPr>
          <w:rStyle w:val="EndnoteReference"/>
          <w:rtl/>
        </w:rPr>
        <w:t>)</w:t>
      </w:r>
      <w:r w:rsidRPr="005D0C50">
        <w:rPr>
          <w:rFonts w:hint="cs"/>
          <w:rtl/>
        </w:rPr>
        <w:t xml:space="preserve">. </w:t>
      </w:r>
      <w:r w:rsidRPr="005D0C50">
        <w:rPr>
          <w:rtl/>
        </w:rPr>
        <w:t>وتتوقع منظمة التعاون والتنمية في الميدان الاقتصادي أن يبلغ معدل النمو 1,3 في المائة في عام 2016 و1,6 في المائة في عام</w:t>
      </w:r>
      <w:r>
        <w:rPr>
          <w:rFonts w:hint="cs"/>
          <w:rtl/>
        </w:rPr>
        <w:t> </w:t>
      </w:r>
      <w:r w:rsidRPr="005D0C50">
        <w:rPr>
          <w:rtl/>
        </w:rPr>
        <w:t>2017</w:t>
      </w:r>
      <w:r>
        <w:rPr>
          <w:rStyle w:val="EndnoteReference"/>
          <w:rtl/>
        </w:rPr>
        <w:t>(</w:t>
      </w:r>
      <w:r w:rsidRPr="005D0C50">
        <w:rPr>
          <w:rStyle w:val="EndnoteReference"/>
          <w:rtl/>
        </w:rPr>
        <w:endnoteReference w:id="72"/>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54-</w:t>
      </w:r>
      <w:r w:rsidRPr="005D0C50">
        <w:rPr>
          <w:rFonts w:hint="cs"/>
          <w:rtl/>
        </w:rPr>
        <w:tab/>
      </w:r>
      <w:r w:rsidRPr="005D0C50">
        <w:rPr>
          <w:rtl/>
        </w:rPr>
        <w:t>وفي كانون الأول/ديسمبر 2014، سجل مؤشر أسعار الاستهلاك زيادة نسبتها 0,1 في المائة على مدى عام واحد، بعد أن زاد بنسبة 0,7 في المائة في نهاية عام 2013</w:t>
      </w:r>
      <w:r>
        <w:rPr>
          <w:rStyle w:val="EndnoteReference"/>
          <w:rtl/>
        </w:rPr>
        <w:t>(</w:t>
      </w:r>
      <w:r w:rsidRPr="005D0C50">
        <w:rPr>
          <w:rStyle w:val="EndnoteReference"/>
          <w:rtl/>
        </w:rPr>
        <w:endnoteReference w:id="73"/>
      </w:r>
      <w:r>
        <w:rPr>
          <w:rStyle w:val="EndnoteReference"/>
          <w:rtl/>
        </w:rPr>
        <w:t>)</w:t>
      </w:r>
      <w:r w:rsidRPr="005D0C50">
        <w:rPr>
          <w:rFonts w:hint="cs"/>
          <w:rtl/>
        </w:rPr>
        <w:t>.</w:t>
      </w:r>
    </w:p>
    <w:p w:rsidR="00944A3C" w:rsidRPr="005D0C50" w:rsidRDefault="00944A3C" w:rsidP="00944A3C">
      <w:pPr>
        <w:pStyle w:val="H23GA"/>
        <w:rPr>
          <w:rtl/>
        </w:rPr>
      </w:pPr>
      <w:r w:rsidRPr="005D0C50">
        <w:rPr>
          <w:spacing w:val="-4"/>
        </w:rPr>
        <w:tab/>
      </w:r>
      <w:r w:rsidRPr="005D0C50">
        <w:rPr>
          <w:spacing w:val="-4"/>
          <w:rtl/>
        </w:rPr>
        <w:t>(ب)</w:t>
      </w:r>
      <w:r w:rsidRPr="005D0C50">
        <w:rPr>
          <w:spacing w:val="-4"/>
          <w:rtl/>
        </w:rPr>
        <w:tab/>
      </w:r>
      <w:r w:rsidRPr="005D0C50">
        <w:rPr>
          <w:rtl/>
        </w:rPr>
        <w:t>الدين والعجز العامان</w:t>
      </w:r>
    </w:p>
    <w:p w:rsidR="00944A3C" w:rsidRPr="005D0C50" w:rsidRDefault="00944A3C" w:rsidP="00F85901">
      <w:pPr>
        <w:pStyle w:val="SingleTxtGA"/>
        <w:rPr>
          <w:rtl/>
        </w:rPr>
      </w:pPr>
      <w:r w:rsidRPr="005D0C50">
        <w:rPr>
          <w:rFonts w:hint="cs"/>
          <w:rtl/>
        </w:rPr>
        <w:t>55-</w:t>
      </w:r>
      <w:r w:rsidRPr="005D0C50">
        <w:rPr>
          <w:rFonts w:hint="cs"/>
          <w:rtl/>
        </w:rPr>
        <w:tab/>
      </w:r>
      <w:r w:rsidRPr="005D0C50">
        <w:rPr>
          <w:rtl/>
        </w:rPr>
        <w:t>في عام 2014، بلغ العجز العام الذي أُبلغت به المفوضية الأوروبية 84,1 بليون يورو، أي 3,9 في المائة من الناتج المحلي الإجمالي</w:t>
      </w:r>
      <w:r w:rsidRPr="005D0C50">
        <w:rPr>
          <w:rFonts w:hint="cs"/>
          <w:rtl/>
        </w:rPr>
        <w:t xml:space="preserve">. </w:t>
      </w:r>
      <w:r w:rsidRPr="005D0C50">
        <w:rPr>
          <w:rtl/>
        </w:rPr>
        <w:t>وانخفض بالتالي بما قدره 2,3 بليون يورو منذ عام</w:t>
      </w:r>
      <w:r>
        <w:rPr>
          <w:rFonts w:hint="cs"/>
          <w:rtl/>
        </w:rPr>
        <w:t> </w:t>
      </w:r>
      <w:r w:rsidRPr="005D0C50">
        <w:rPr>
          <w:rtl/>
        </w:rPr>
        <w:t>2013</w:t>
      </w:r>
      <w:r w:rsidRPr="005D0C50">
        <w:rPr>
          <w:rFonts w:hint="cs"/>
          <w:rtl/>
        </w:rPr>
        <w:t xml:space="preserve">. </w:t>
      </w:r>
      <w:r w:rsidRPr="005D0C50">
        <w:rPr>
          <w:rtl/>
        </w:rPr>
        <w:t>وبلغ عبء الدين العام المبلغ عنه 037,8 2 بليون يورو، أي 95,6 في المائة من الناتج المحلي الإجمالي (</w:t>
      </w:r>
      <w:r w:rsidR="00F85901">
        <w:rPr>
          <w:rFonts w:hint="cs"/>
          <w:rtl/>
        </w:rPr>
        <w:t>+</w:t>
      </w:r>
      <w:r w:rsidRPr="005D0C50">
        <w:rPr>
          <w:rtl/>
        </w:rPr>
        <w:t>3,3 بالمقارنة مع عام 2013)، وبلغ صافي الدين العام 849,9 1 بليون يورو</w:t>
      </w:r>
      <w:r>
        <w:rPr>
          <w:rStyle w:val="EndnoteReference"/>
          <w:rtl/>
        </w:rPr>
        <w:t>(</w:t>
      </w:r>
      <w:r w:rsidRPr="005D0C50">
        <w:rPr>
          <w:rStyle w:val="EndnoteReference"/>
          <w:rtl/>
        </w:rPr>
        <w:endnoteReference w:id="74"/>
      </w:r>
      <w:r>
        <w:rPr>
          <w:rStyle w:val="EndnoteReference"/>
          <w:rtl/>
        </w:rPr>
        <w:t>)</w:t>
      </w:r>
      <w:r w:rsidRPr="005D0C50">
        <w:rPr>
          <w:rtl/>
        </w:rPr>
        <w:t>، أي 86,7 في المائة من الناتج المحلي الإجمالي</w:t>
      </w:r>
      <w:r>
        <w:rPr>
          <w:rStyle w:val="EndnoteReference"/>
          <w:rtl/>
        </w:rPr>
        <w:t>(</w:t>
      </w:r>
      <w:r w:rsidRPr="005D0C50">
        <w:rPr>
          <w:rStyle w:val="EndnoteReference"/>
          <w:rtl/>
        </w:rPr>
        <w:endnoteReference w:id="75"/>
      </w:r>
      <w:r>
        <w:rPr>
          <w:rStyle w:val="EndnoteReference"/>
          <w:rtl/>
        </w:rPr>
        <w:t>)</w:t>
      </w:r>
      <w:r w:rsidRPr="005D0C50">
        <w:rPr>
          <w:rFonts w:hint="cs"/>
          <w:rtl/>
        </w:rPr>
        <w:t>.</w:t>
      </w:r>
    </w:p>
    <w:p w:rsidR="00944A3C" w:rsidRPr="005D0C50" w:rsidRDefault="00944A3C" w:rsidP="0082773D">
      <w:pPr>
        <w:pStyle w:val="H23GA"/>
        <w:rPr>
          <w:rtl/>
        </w:rPr>
      </w:pPr>
      <w:r w:rsidRPr="005D0C50">
        <w:rPr>
          <w:spacing w:val="-4"/>
        </w:rPr>
        <w:tab/>
      </w:r>
      <w:r w:rsidRPr="005D0C50">
        <w:rPr>
          <w:spacing w:val="-4"/>
          <w:rtl/>
        </w:rPr>
        <w:t>(ج)</w:t>
      </w:r>
      <w:r w:rsidRPr="005D0C50">
        <w:rPr>
          <w:spacing w:val="-4"/>
          <w:rtl/>
        </w:rPr>
        <w:tab/>
      </w:r>
      <w:r w:rsidRPr="005D0C50">
        <w:rPr>
          <w:rtl/>
        </w:rPr>
        <w:t>الإنفاق الاجتماعي العام والمساعدة الإنمائية الرسمية</w:t>
      </w:r>
    </w:p>
    <w:p w:rsidR="00944A3C" w:rsidRPr="005D0C50" w:rsidRDefault="00944A3C" w:rsidP="00944A3C">
      <w:pPr>
        <w:pStyle w:val="SingleTxtGA"/>
        <w:rPr>
          <w:rtl/>
        </w:rPr>
      </w:pPr>
      <w:r w:rsidRPr="005D0C50">
        <w:rPr>
          <w:rFonts w:hint="cs"/>
          <w:rtl/>
        </w:rPr>
        <w:t>56-</w:t>
      </w:r>
      <w:r w:rsidRPr="005D0C50">
        <w:rPr>
          <w:rFonts w:hint="cs"/>
          <w:rtl/>
        </w:rPr>
        <w:tab/>
      </w:r>
      <w:r w:rsidRPr="005D0C50">
        <w:rPr>
          <w:rtl/>
        </w:rPr>
        <w:t>في عام 2014، بلغ الإنفاق الاجتماعي العام 31,9 في المائة من الناتج المحلي الإجمالي</w:t>
      </w:r>
      <w:r w:rsidRPr="005D0C50">
        <w:rPr>
          <w:rFonts w:hint="cs"/>
          <w:rtl/>
        </w:rPr>
        <w:t xml:space="preserve">. </w:t>
      </w:r>
      <w:r w:rsidRPr="005D0C50">
        <w:rPr>
          <w:rtl/>
        </w:rPr>
        <w:t>وبلغ 31,5 في المائة في عام 2012</w:t>
      </w:r>
      <w:r w:rsidRPr="005D0C50">
        <w:rPr>
          <w:rFonts w:hint="cs"/>
          <w:rtl/>
        </w:rPr>
        <w:t xml:space="preserve">. </w:t>
      </w:r>
      <w:r w:rsidRPr="005D0C50">
        <w:rPr>
          <w:rtl/>
        </w:rPr>
        <w:t>وعلى نحو أدق، شكل الإنفاق العام على الصحة، في العام ذاته، 9 في المائة من الناتج المحلي الإجمالي</w:t>
      </w:r>
      <w:r>
        <w:rPr>
          <w:rStyle w:val="EndnoteReference"/>
          <w:rtl/>
        </w:rPr>
        <w:t>(</w:t>
      </w:r>
      <w:r w:rsidRPr="005D0C50">
        <w:rPr>
          <w:rStyle w:val="EndnoteReference"/>
          <w:rtl/>
        </w:rPr>
        <w:endnoteReference w:id="76"/>
      </w:r>
      <w:r>
        <w:rPr>
          <w:rStyle w:val="EndnoteReference"/>
          <w:rtl/>
        </w:rPr>
        <w:t>)</w:t>
      </w:r>
      <w:r w:rsidRPr="005D0C50">
        <w:rPr>
          <w:rtl/>
        </w:rPr>
        <w:t xml:space="preserve">، والإنفاق على خدمات </w:t>
      </w:r>
      <w:r w:rsidRPr="005D0C50">
        <w:rPr>
          <w:rFonts w:hint="cs"/>
          <w:rtl/>
        </w:rPr>
        <w:t xml:space="preserve">الضمان </w:t>
      </w:r>
      <w:r w:rsidRPr="005D0C50">
        <w:rPr>
          <w:rtl/>
        </w:rPr>
        <w:t>الاجتماعي 29,5 في المائة من الناتج المحلي الإجمالي</w:t>
      </w:r>
      <w:r>
        <w:rPr>
          <w:rStyle w:val="EndnoteReference"/>
          <w:rtl/>
        </w:rPr>
        <w:t>(</w:t>
      </w:r>
      <w:r w:rsidRPr="005D0C50">
        <w:rPr>
          <w:rStyle w:val="EndnoteReference"/>
          <w:rtl/>
        </w:rPr>
        <w:endnoteReference w:id="77"/>
      </w:r>
      <w:r>
        <w:rPr>
          <w:rStyle w:val="EndnoteReference"/>
          <w:rtl/>
        </w:rPr>
        <w:t>)</w:t>
      </w:r>
      <w:r w:rsidRPr="005D0C50">
        <w:rPr>
          <w:rtl/>
        </w:rPr>
        <w:t>، والإنفاق على التعليم 6,8 في</w:t>
      </w:r>
      <w:r>
        <w:rPr>
          <w:rFonts w:hint="cs"/>
          <w:rtl/>
        </w:rPr>
        <w:t> </w:t>
      </w:r>
      <w:r w:rsidRPr="005D0C50">
        <w:rPr>
          <w:rtl/>
        </w:rPr>
        <w:t>المائة من الناتج المحلي الإجمالي</w:t>
      </w:r>
      <w:r>
        <w:rPr>
          <w:rStyle w:val="EndnoteReference"/>
          <w:rtl/>
        </w:rPr>
        <w:t>(</w:t>
      </w:r>
      <w:r w:rsidRPr="005D0C50">
        <w:rPr>
          <w:rStyle w:val="EndnoteReference"/>
          <w:rtl/>
        </w:rPr>
        <w:endnoteReference w:id="78"/>
      </w:r>
      <w:r>
        <w:rPr>
          <w:rStyle w:val="EndnoteReference"/>
          <w:rtl/>
        </w:rPr>
        <w:t>)</w:t>
      </w:r>
      <w:r w:rsidRPr="005D0C50">
        <w:rPr>
          <w:rtl/>
        </w:rPr>
        <w:t>، والإنفاق على السكن 22,5 في المائة من الناتج المحلي</w:t>
      </w:r>
      <w:r>
        <w:rPr>
          <w:rFonts w:hint="cs"/>
          <w:rtl/>
        </w:rPr>
        <w:t> </w:t>
      </w:r>
      <w:r w:rsidRPr="005D0C50">
        <w:rPr>
          <w:rtl/>
        </w:rPr>
        <w:t>الإجمالي</w:t>
      </w:r>
      <w:r>
        <w:rPr>
          <w:rStyle w:val="EndnoteReference"/>
          <w:rtl/>
        </w:rPr>
        <w:t>(</w:t>
      </w:r>
      <w:r w:rsidRPr="005D0C50">
        <w:rPr>
          <w:rStyle w:val="EndnoteReference"/>
          <w:rtl/>
        </w:rPr>
        <w:endnoteReference w:id="79"/>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57-</w:t>
      </w:r>
      <w:r w:rsidRPr="005D0C50">
        <w:rPr>
          <w:rFonts w:hint="cs"/>
          <w:rtl/>
        </w:rPr>
        <w:tab/>
      </w:r>
      <w:r w:rsidRPr="005D0C50">
        <w:rPr>
          <w:rtl/>
        </w:rPr>
        <w:t xml:space="preserve">وفي عام 2014، بلغ صافي المساعدة الإنمائية الرسمية 005 8 </w:t>
      </w:r>
      <w:r w:rsidRPr="005D0C50">
        <w:rPr>
          <w:rFonts w:hint="cs"/>
          <w:rtl/>
        </w:rPr>
        <w:t>بلايين</w:t>
      </w:r>
      <w:r w:rsidRPr="005D0C50">
        <w:rPr>
          <w:rtl/>
        </w:rPr>
        <w:t xml:space="preserve"> يورو، أي 0,37 في المائة من الناتج القومي الإجمالي، وهو ما جعل فرنسا رابع البلدان المساهمة في هذه المساعدة على الصعيد الدولي</w:t>
      </w:r>
      <w:r>
        <w:rPr>
          <w:rStyle w:val="EndnoteReference"/>
          <w:rtl/>
        </w:rPr>
        <w:t>(</w:t>
      </w:r>
      <w:r w:rsidRPr="005D0C50">
        <w:rPr>
          <w:rStyle w:val="EndnoteReference"/>
          <w:rtl/>
        </w:rPr>
        <w:endnoteReference w:id="80"/>
      </w:r>
      <w:r>
        <w:rPr>
          <w:rStyle w:val="EndnoteReference"/>
          <w:rtl/>
        </w:rPr>
        <w:t>)</w:t>
      </w:r>
      <w:r w:rsidRPr="005D0C50">
        <w:rPr>
          <w:rFonts w:hint="cs"/>
          <w:rtl/>
        </w:rPr>
        <w:t>.</w:t>
      </w:r>
    </w:p>
    <w:p w:rsidR="00944A3C" w:rsidRPr="005D0C50" w:rsidRDefault="00944A3C" w:rsidP="00944A3C">
      <w:pPr>
        <w:pStyle w:val="H23GA"/>
        <w:rPr>
          <w:rtl/>
        </w:rPr>
      </w:pPr>
      <w:r w:rsidRPr="005D0C50">
        <w:rPr>
          <w:spacing w:val="-4"/>
        </w:rPr>
        <w:tab/>
      </w:r>
      <w:r w:rsidRPr="005D0C50">
        <w:rPr>
          <w:spacing w:val="-4"/>
          <w:rtl/>
        </w:rPr>
        <w:t>(د)</w:t>
      </w:r>
      <w:r w:rsidRPr="005D0C50">
        <w:rPr>
          <w:spacing w:val="-4"/>
          <w:rtl/>
        </w:rPr>
        <w:tab/>
      </w:r>
      <w:r w:rsidRPr="005D0C50">
        <w:rPr>
          <w:rtl/>
        </w:rPr>
        <w:t>النفقات الاستهلاكية للأسر المعيشية</w:t>
      </w:r>
    </w:p>
    <w:p w:rsidR="00944A3C" w:rsidRPr="005D0C50" w:rsidRDefault="00944A3C" w:rsidP="00944A3C">
      <w:pPr>
        <w:pStyle w:val="SingleTxtGA"/>
        <w:rPr>
          <w:rtl/>
        </w:rPr>
      </w:pPr>
      <w:r w:rsidRPr="005D0C50">
        <w:rPr>
          <w:rFonts w:hint="cs"/>
          <w:rtl/>
        </w:rPr>
        <w:t>58-</w:t>
      </w:r>
      <w:r w:rsidRPr="005D0C50">
        <w:rPr>
          <w:rFonts w:hint="cs"/>
          <w:rtl/>
        </w:rPr>
        <w:tab/>
      </w:r>
      <w:r w:rsidRPr="005D0C50">
        <w:rPr>
          <w:rtl/>
        </w:rPr>
        <w:t>في عام 2014، خصصت الأسر المعيشية، من مجموع نفقاتها الاستهلاكية، 24 في المائة للسكن ومعدات السكن والتدفئة والإضاءة</w:t>
      </w:r>
      <w:r w:rsidRPr="005D0C50">
        <w:rPr>
          <w:rFonts w:hint="cs"/>
          <w:rtl/>
        </w:rPr>
        <w:t xml:space="preserve">؛ </w:t>
      </w:r>
      <w:r w:rsidRPr="005D0C50">
        <w:rPr>
          <w:rtl/>
        </w:rPr>
        <w:t xml:space="preserve">و10 في المائة </w:t>
      </w:r>
      <w:r w:rsidRPr="005D0C50">
        <w:rPr>
          <w:rFonts w:hint="cs"/>
          <w:rtl/>
        </w:rPr>
        <w:t xml:space="preserve">للغذاء؛ </w:t>
      </w:r>
      <w:r w:rsidRPr="005D0C50">
        <w:rPr>
          <w:rtl/>
        </w:rPr>
        <w:t>و3,2 في المائة للصحة؛</w:t>
      </w:r>
      <w:r w:rsidRPr="005D0C50">
        <w:rPr>
          <w:rFonts w:hint="cs"/>
          <w:rtl/>
        </w:rPr>
        <w:t xml:space="preserve"> </w:t>
      </w:r>
      <w:r w:rsidRPr="005D0C50">
        <w:rPr>
          <w:rtl/>
        </w:rPr>
        <w:t>و0,7 في المائة للتعليم</w:t>
      </w:r>
      <w:r>
        <w:rPr>
          <w:rStyle w:val="EndnoteReference"/>
          <w:rtl/>
        </w:rPr>
        <w:t>(</w:t>
      </w:r>
      <w:r w:rsidRPr="005D0C50">
        <w:rPr>
          <w:rStyle w:val="EndnoteReference"/>
          <w:rtl/>
        </w:rPr>
        <w:endnoteReference w:id="81"/>
      </w:r>
      <w:r>
        <w:rPr>
          <w:rStyle w:val="EndnoteReference"/>
          <w:rtl/>
        </w:rPr>
        <w:t>)</w:t>
      </w:r>
      <w:r w:rsidRPr="005D0C50">
        <w:rPr>
          <w:rFonts w:hint="cs"/>
          <w:rtl/>
        </w:rPr>
        <w:t>.</w:t>
      </w:r>
    </w:p>
    <w:p w:rsidR="00944A3C" w:rsidRPr="005D0C50" w:rsidRDefault="00944A3C" w:rsidP="00944A3C">
      <w:pPr>
        <w:pStyle w:val="H23GA"/>
        <w:rPr>
          <w:rtl/>
        </w:rPr>
      </w:pPr>
      <w:r w:rsidRPr="005D0C50">
        <w:rPr>
          <w:spacing w:val="-4"/>
        </w:rPr>
        <w:lastRenderedPageBreak/>
        <w:tab/>
      </w:r>
      <w:r w:rsidRPr="005D0C50">
        <w:rPr>
          <w:spacing w:val="-4"/>
          <w:rtl/>
        </w:rPr>
        <w:t>(ه)</w:t>
      </w:r>
      <w:r w:rsidRPr="005D0C50">
        <w:rPr>
          <w:spacing w:val="-4"/>
          <w:rtl/>
        </w:rPr>
        <w:tab/>
      </w:r>
      <w:r w:rsidRPr="005D0C50">
        <w:rPr>
          <w:rtl/>
        </w:rPr>
        <w:t>الفقر</w:t>
      </w:r>
    </w:p>
    <w:p w:rsidR="00944A3C" w:rsidRPr="005D0C50" w:rsidRDefault="00944A3C" w:rsidP="00944A3C">
      <w:pPr>
        <w:pStyle w:val="SingleTxtGA"/>
        <w:rPr>
          <w:rtl/>
        </w:rPr>
      </w:pPr>
      <w:r w:rsidRPr="005D0C50">
        <w:rPr>
          <w:rFonts w:hint="cs"/>
          <w:rtl/>
        </w:rPr>
        <w:t>59-</w:t>
      </w:r>
      <w:r w:rsidRPr="005D0C50">
        <w:rPr>
          <w:rFonts w:hint="cs"/>
          <w:rtl/>
        </w:rPr>
        <w:tab/>
      </w:r>
      <w:r w:rsidRPr="005D0C50">
        <w:rPr>
          <w:rtl/>
        </w:rPr>
        <w:t xml:space="preserve">حُدد </w:t>
      </w:r>
      <w:r w:rsidRPr="005D0C50">
        <w:rPr>
          <w:rFonts w:hint="cs"/>
          <w:rtl/>
        </w:rPr>
        <w:t xml:space="preserve">خط </w:t>
      </w:r>
      <w:r w:rsidRPr="005D0C50">
        <w:rPr>
          <w:rtl/>
        </w:rPr>
        <w:t>الفقر المعتمد عادة في أوروبا وفرنسا، وبخاصة من قِبل المعهد الوطني للإحصاء والبحوث الاقتصادية، في 60 في المائة من متوسط مستوى المعيشة</w:t>
      </w:r>
      <w:r w:rsidRPr="005D0C50">
        <w:rPr>
          <w:rFonts w:hint="cs"/>
          <w:rtl/>
        </w:rPr>
        <w:t xml:space="preserve">. </w:t>
      </w:r>
      <w:r w:rsidRPr="005D0C50">
        <w:rPr>
          <w:rtl/>
        </w:rPr>
        <w:t>وكان هذا الخط محدد</w:t>
      </w:r>
      <w:r w:rsidR="00526CCD">
        <w:rPr>
          <w:rtl/>
        </w:rPr>
        <w:t xml:space="preserve">اً </w:t>
      </w:r>
      <w:r w:rsidRPr="005D0C50">
        <w:rPr>
          <w:rtl/>
        </w:rPr>
        <w:t>في 004 1 يوروهات في الشهر في عام 2012، وفي 000 1 يورو في الشهر في عام</w:t>
      </w:r>
      <w:r>
        <w:rPr>
          <w:rFonts w:hint="cs"/>
          <w:rtl/>
        </w:rPr>
        <w:t> </w:t>
      </w:r>
      <w:r w:rsidRPr="005D0C50">
        <w:rPr>
          <w:rtl/>
        </w:rPr>
        <w:t>2013</w:t>
      </w:r>
      <w:r w:rsidRPr="005D0C50">
        <w:rPr>
          <w:rFonts w:hint="cs"/>
          <w:rtl/>
        </w:rPr>
        <w:t xml:space="preserve">. </w:t>
      </w:r>
      <w:r w:rsidRPr="005D0C50">
        <w:rPr>
          <w:rtl/>
        </w:rPr>
        <w:t>وفي عام 2013، مس الفقر 8,6 ملايين شخص، وبلغ معدله بتحديد خط الفقر في 60 في المائة من متوسط مستوى المعيشة 14 في المائة</w:t>
      </w:r>
      <w:r>
        <w:rPr>
          <w:rStyle w:val="EndnoteReference"/>
          <w:rtl/>
        </w:rPr>
        <w:t>(</w:t>
      </w:r>
      <w:r w:rsidRPr="005D0C50">
        <w:rPr>
          <w:rStyle w:val="EndnoteReference"/>
          <w:rtl/>
        </w:rPr>
        <w:endnoteReference w:id="82"/>
      </w:r>
      <w:r>
        <w:rPr>
          <w:rStyle w:val="EndnoteReference"/>
          <w:rtl/>
        </w:rPr>
        <w:t>)</w:t>
      </w:r>
      <w:r w:rsidRPr="005D0C50">
        <w:rPr>
          <w:rFonts w:hint="cs"/>
          <w:rtl/>
        </w:rPr>
        <w:t xml:space="preserve">. </w:t>
      </w:r>
      <w:r w:rsidRPr="005D0C50">
        <w:rPr>
          <w:rtl/>
        </w:rPr>
        <w:t xml:space="preserve">والأكثر </w:t>
      </w:r>
      <w:r w:rsidRPr="005D0C50">
        <w:rPr>
          <w:rFonts w:hint="cs"/>
          <w:rtl/>
        </w:rPr>
        <w:t>تأثر</w:t>
      </w:r>
      <w:r w:rsidR="00526CCD">
        <w:rPr>
          <w:rFonts w:hint="cs"/>
          <w:rtl/>
        </w:rPr>
        <w:t xml:space="preserve">اً </w:t>
      </w:r>
      <w:r w:rsidRPr="005D0C50">
        <w:rPr>
          <w:rtl/>
        </w:rPr>
        <w:t xml:space="preserve">هم الشباب (يعيش تحت </w:t>
      </w:r>
      <w:r w:rsidRPr="005D0C50">
        <w:rPr>
          <w:rFonts w:hint="cs"/>
          <w:rtl/>
        </w:rPr>
        <w:t xml:space="preserve">خط </w:t>
      </w:r>
      <w:r w:rsidRPr="005D0C50">
        <w:rPr>
          <w:rtl/>
        </w:rPr>
        <w:t>الفقر 19,6 في المائة ممن تقل أعمارهم عن 18 سنة و18,6 في المائة ممن تتراوح أعمارهم</w:t>
      </w:r>
      <w:r w:rsidRPr="005D0C50">
        <w:rPr>
          <w:rFonts w:hint="cs"/>
          <w:rtl/>
        </w:rPr>
        <w:t xml:space="preserve"> بين</w:t>
      </w:r>
      <w:r w:rsidRPr="005D0C50">
        <w:rPr>
          <w:rtl/>
        </w:rPr>
        <w:t xml:space="preserve"> 18 و29 سنة)</w:t>
      </w:r>
      <w:r w:rsidRPr="005D0C50">
        <w:rPr>
          <w:rFonts w:hint="cs"/>
          <w:rtl/>
        </w:rPr>
        <w:t xml:space="preserve">. </w:t>
      </w:r>
      <w:r w:rsidRPr="005D0C50">
        <w:rPr>
          <w:rtl/>
        </w:rPr>
        <w:t>وفيما يتعلق بكبار السن (75 عام</w:t>
      </w:r>
      <w:r w:rsidR="00526CCD">
        <w:rPr>
          <w:rtl/>
        </w:rPr>
        <w:t xml:space="preserve">اً </w:t>
      </w:r>
      <w:r w:rsidRPr="005D0C50">
        <w:rPr>
          <w:rtl/>
        </w:rPr>
        <w:t>وأكثر)، تبلغ هذه النسبة 8,7 في المائة</w:t>
      </w:r>
      <w:r w:rsidRPr="005D0C50">
        <w:rPr>
          <w:rFonts w:hint="cs"/>
          <w:rtl/>
        </w:rPr>
        <w:t xml:space="preserve">. </w:t>
      </w:r>
      <w:r w:rsidRPr="005D0C50">
        <w:rPr>
          <w:rtl/>
        </w:rPr>
        <w:t>والإناث أيض</w:t>
      </w:r>
      <w:r w:rsidR="00526CCD">
        <w:rPr>
          <w:rtl/>
        </w:rPr>
        <w:t xml:space="preserve">اً </w:t>
      </w:r>
      <w:r w:rsidRPr="005D0C50">
        <w:rPr>
          <w:rtl/>
        </w:rPr>
        <w:t>أكثر تأثر</w:t>
      </w:r>
      <w:r w:rsidR="00526CCD">
        <w:rPr>
          <w:rtl/>
        </w:rPr>
        <w:t xml:space="preserve">اً </w:t>
      </w:r>
      <w:r w:rsidRPr="005D0C50">
        <w:rPr>
          <w:rtl/>
        </w:rPr>
        <w:t>من الذكور: فنسبة 14,3 في المائة من الإناث تعيش تحت خط الفقر مقابل 13,6 في المائة من الذكور</w:t>
      </w:r>
      <w:r w:rsidRPr="005D0C50">
        <w:rPr>
          <w:rFonts w:hint="cs"/>
          <w:rtl/>
        </w:rPr>
        <w:t>.</w:t>
      </w:r>
    </w:p>
    <w:p w:rsidR="00944A3C" w:rsidRPr="005D0C50" w:rsidRDefault="00944A3C" w:rsidP="00944A3C">
      <w:pPr>
        <w:pStyle w:val="SingleTxtGA"/>
        <w:rPr>
          <w:rtl/>
        </w:rPr>
      </w:pPr>
      <w:r w:rsidRPr="005D0C50">
        <w:rPr>
          <w:rFonts w:hint="cs"/>
          <w:rtl/>
        </w:rPr>
        <w:t>60-</w:t>
      </w:r>
      <w:r w:rsidRPr="005D0C50">
        <w:rPr>
          <w:rFonts w:hint="cs"/>
          <w:rtl/>
        </w:rPr>
        <w:tab/>
      </w:r>
      <w:r w:rsidRPr="005D0C50">
        <w:rPr>
          <w:rtl/>
        </w:rPr>
        <w:t xml:space="preserve">وفي عام 2016، قدرت مؤسسة آبي بيير عدد من يعيشون في مساكن غير لائقة في فرنسا </w:t>
      </w:r>
      <w:r w:rsidRPr="005D0C50">
        <w:rPr>
          <w:rFonts w:hint="cs"/>
          <w:rtl/>
        </w:rPr>
        <w:t>بحوالي</w:t>
      </w:r>
      <w:r w:rsidRPr="005D0C50">
        <w:rPr>
          <w:rtl/>
        </w:rPr>
        <w:t xml:space="preserve"> 3,8 ملايين شخص</w:t>
      </w:r>
      <w:r>
        <w:rPr>
          <w:rStyle w:val="EndnoteReference"/>
          <w:rtl/>
        </w:rPr>
        <w:t>(</w:t>
      </w:r>
      <w:r w:rsidRPr="005D0C50">
        <w:rPr>
          <w:rStyle w:val="EndnoteReference"/>
          <w:rtl/>
        </w:rPr>
        <w:endnoteReference w:id="83"/>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61-</w:t>
      </w:r>
      <w:r w:rsidRPr="005D0C50">
        <w:rPr>
          <w:rFonts w:hint="cs"/>
          <w:rtl/>
        </w:rPr>
        <w:tab/>
      </w:r>
      <w:r w:rsidRPr="005D0C50">
        <w:rPr>
          <w:rtl/>
        </w:rPr>
        <w:t>وثمة مداخيل اجتماعية دنيا عديدة (</w:t>
      </w:r>
      <w:r w:rsidRPr="005D0C50">
        <w:rPr>
          <w:rFonts w:hint="cs"/>
          <w:rtl/>
        </w:rPr>
        <w:t xml:space="preserve">الدخل </w:t>
      </w:r>
      <w:r w:rsidRPr="005D0C50">
        <w:rPr>
          <w:rtl/>
        </w:rPr>
        <w:t>التضامني للناشطين اقتصادي</w:t>
      </w:r>
      <w:r w:rsidR="0031739C">
        <w:rPr>
          <w:rtl/>
        </w:rPr>
        <w:t>اً،</w:t>
      </w:r>
      <w:r w:rsidRPr="005D0C50">
        <w:rPr>
          <w:rtl/>
        </w:rPr>
        <w:t xml:space="preserve"> وإعانة البالغين ذوي الإعاقة ومكملاتها، والإعانة الدنيا لكبار السن، والإعانة التكميلية للعاجزين عن العمل)</w:t>
      </w:r>
      <w:r>
        <w:rPr>
          <w:rStyle w:val="EndnoteReference"/>
          <w:rtl/>
        </w:rPr>
        <w:t>(</w:t>
      </w:r>
      <w:r w:rsidRPr="005D0C50">
        <w:rPr>
          <w:rStyle w:val="EndnoteReference"/>
          <w:rtl/>
        </w:rPr>
        <w:endnoteReference w:id="84"/>
      </w:r>
      <w:r>
        <w:rPr>
          <w:rStyle w:val="EndnoteReference"/>
          <w:rtl/>
        </w:rPr>
        <w:t>)</w:t>
      </w:r>
      <w:r w:rsidRPr="005D0C50">
        <w:rPr>
          <w:rFonts w:hint="cs"/>
          <w:rtl/>
        </w:rPr>
        <w:t xml:space="preserve"> </w:t>
      </w:r>
      <w:r w:rsidRPr="005D0C50">
        <w:rPr>
          <w:rtl/>
        </w:rPr>
        <w:t>يستفيد منها الأشخاص المعوزون وتتيح إمكانية تقليص الفوارق</w:t>
      </w:r>
      <w:r w:rsidRPr="005D0C50">
        <w:rPr>
          <w:rFonts w:hint="cs"/>
          <w:rtl/>
        </w:rPr>
        <w:t xml:space="preserve">. </w:t>
      </w:r>
    </w:p>
    <w:p w:rsidR="00944A3C" w:rsidRPr="005D0C50" w:rsidRDefault="00944A3C" w:rsidP="00944A3C">
      <w:pPr>
        <w:pStyle w:val="H23GA"/>
        <w:rPr>
          <w:rtl/>
        </w:rPr>
      </w:pPr>
      <w:r w:rsidRPr="005D0C50">
        <w:rPr>
          <w:spacing w:val="-4"/>
        </w:rPr>
        <w:tab/>
      </w:r>
      <w:r w:rsidRPr="005D0C50">
        <w:rPr>
          <w:spacing w:val="-4"/>
          <w:rtl/>
        </w:rPr>
        <w:t>(و)</w:t>
      </w:r>
      <w:r w:rsidRPr="005D0C50">
        <w:rPr>
          <w:spacing w:val="-4"/>
          <w:rtl/>
        </w:rPr>
        <w:tab/>
      </w:r>
      <w:r w:rsidRPr="005D0C50">
        <w:rPr>
          <w:rtl/>
        </w:rPr>
        <w:t>العمالة والبطالة</w:t>
      </w:r>
    </w:p>
    <w:p w:rsidR="00944A3C" w:rsidRPr="005D0C50" w:rsidRDefault="00944A3C" w:rsidP="00944A3C">
      <w:pPr>
        <w:pStyle w:val="SingleTxtGA"/>
        <w:rPr>
          <w:rtl/>
        </w:rPr>
      </w:pPr>
      <w:r w:rsidRPr="005D0C50">
        <w:rPr>
          <w:rFonts w:hint="cs"/>
          <w:rtl/>
        </w:rPr>
        <w:t>62-</w:t>
      </w:r>
      <w:r w:rsidRPr="005D0C50">
        <w:rPr>
          <w:rFonts w:hint="cs"/>
          <w:rtl/>
        </w:rPr>
        <w:tab/>
      </w:r>
      <w:r w:rsidRPr="005D0C50">
        <w:rPr>
          <w:rtl/>
        </w:rPr>
        <w:t>في عام 2014، بلغ عدد السكان الناشطين اقتصادي</w:t>
      </w:r>
      <w:r w:rsidR="00526CCD">
        <w:rPr>
          <w:rtl/>
        </w:rPr>
        <w:t xml:space="preserve">اً </w:t>
      </w:r>
      <w:r w:rsidRPr="005D0C50">
        <w:rPr>
          <w:rtl/>
        </w:rPr>
        <w:t>في فرنسا المتروبولية 28,6 مليون شخص تبلغ أعمارهم 15 سنة أو أكثر</w:t>
      </w:r>
      <w:r w:rsidRPr="005D0C50">
        <w:rPr>
          <w:rFonts w:hint="cs"/>
          <w:rtl/>
        </w:rPr>
        <w:t>. و</w:t>
      </w:r>
      <w:r w:rsidRPr="005D0C50">
        <w:rPr>
          <w:rtl/>
        </w:rPr>
        <w:t>كان 25,8 مليون</w:t>
      </w:r>
      <w:r w:rsidR="00526CCD">
        <w:rPr>
          <w:rtl/>
        </w:rPr>
        <w:t xml:space="preserve">اً </w:t>
      </w:r>
      <w:r w:rsidRPr="005D0C50">
        <w:rPr>
          <w:rtl/>
        </w:rPr>
        <w:t>منهم يعملون و2,8 مليون عاطلين عن العمل بالمعنى الذي حدده مكتب العمل الدولي</w:t>
      </w:r>
      <w:r w:rsidRPr="005D0C50">
        <w:rPr>
          <w:rFonts w:hint="cs"/>
          <w:rtl/>
        </w:rPr>
        <w:t xml:space="preserve">. </w:t>
      </w:r>
      <w:r w:rsidRPr="005D0C50">
        <w:rPr>
          <w:rtl/>
        </w:rPr>
        <w:t xml:space="preserve">وبلغ معدل البطالة </w:t>
      </w:r>
      <w:r w:rsidRPr="005D0C50">
        <w:rPr>
          <w:rFonts w:hint="cs"/>
          <w:rtl/>
        </w:rPr>
        <w:t xml:space="preserve">حينئذ </w:t>
      </w:r>
      <w:r w:rsidRPr="005D0C50">
        <w:rPr>
          <w:rtl/>
        </w:rPr>
        <w:t>9,9 في المائة</w:t>
      </w:r>
      <w:r w:rsidRPr="005D0C50">
        <w:rPr>
          <w:rFonts w:hint="cs"/>
          <w:rtl/>
        </w:rPr>
        <w:t xml:space="preserve">. </w:t>
      </w:r>
      <w:r w:rsidRPr="005D0C50">
        <w:rPr>
          <w:rtl/>
        </w:rPr>
        <w:t>وبلغت نسبة الناشطين اقتصادي</w:t>
      </w:r>
      <w:r w:rsidR="00526CCD">
        <w:rPr>
          <w:rtl/>
        </w:rPr>
        <w:t xml:space="preserve">اً </w:t>
      </w:r>
      <w:r w:rsidRPr="005D0C50">
        <w:rPr>
          <w:rtl/>
        </w:rPr>
        <w:t>المتراوحة أعمارهم بين 15 و64 سنة 71,4 في المائة</w:t>
      </w:r>
      <w:r w:rsidRPr="005D0C50">
        <w:rPr>
          <w:rFonts w:hint="cs"/>
          <w:rtl/>
        </w:rPr>
        <w:t xml:space="preserve">. </w:t>
      </w:r>
      <w:r w:rsidRPr="005D0C50">
        <w:rPr>
          <w:rtl/>
        </w:rPr>
        <w:t>وزادت نسبة تأنيث العمالة منذ تسعينيات القرن الماضي: ففي الفترة الممتدة بين عامي 1990 و2014، انتقلت نسبة الإناث الناشطات اقتصادي</w:t>
      </w:r>
      <w:r w:rsidR="00526CCD">
        <w:rPr>
          <w:rtl/>
        </w:rPr>
        <w:t xml:space="preserve">اً </w:t>
      </w:r>
      <w:r w:rsidRPr="005D0C50">
        <w:rPr>
          <w:rtl/>
        </w:rPr>
        <w:t>المتراوحة أعمارهن بين 15 و64 سنة واللائي يعشن في فرنسا المتروبولية من 58,2 في المائة إلى 67,5 في المائة</w:t>
      </w:r>
      <w:r>
        <w:rPr>
          <w:rStyle w:val="EndnoteReference"/>
          <w:rtl/>
        </w:rPr>
        <w:t>(</w:t>
      </w:r>
      <w:r w:rsidRPr="005D0C50">
        <w:rPr>
          <w:rStyle w:val="EndnoteReference"/>
          <w:rtl/>
        </w:rPr>
        <w:endnoteReference w:id="85"/>
      </w:r>
      <w:r>
        <w:rPr>
          <w:rStyle w:val="EndnoteReference"/>
          <w:rtl/>
        </w:rPr>
        <w:t>)</w:t>
      </w:r>
      <w:r w:rsidRPr="005D0C50">
        <w:rPr>
          <w:rFonts w:hint="cs"/>
          <w:rtl/>
        </w:rPr>
        <w:t>.</w:t>
      </w:r>
    </w:p>
    <w:p w:rsidR="00944A3C" w:rsidRPr="00944A3C" w:rsidRDefault="00944A3C" w:rsidP="005C435D">
      <w:pPr>
        <w:pStyle w:val="SingleTxtGA"/>
        <w:rPr>
          <w:spacing w:val="-2"/>
          <w:rtl/>
        </w:rPr>
      </w:pPr>
      <w:r w:rsidRPr="00944A3C">
        <w:rPr>
          <w:rFonts w:hint="cs"/>
          <w:spacing w:val="-2"/>
          <w:rtl/>
        </w:rPr>
        <w:t>63-</w:t>
      </w:r>
      <w:r w:rsidRPr="00944A3C">
        <w:rPr>
          <w:rFonts w:hint="cs"/>
          <w:spacing w:val="-2"/>
          <w:rtl/>
        </w:rPr>
        <w:tab/>
      </w:r>
      <w:r w:rsidRPr="00944A3C">
        <w:rPr>
          <w:spacing w:val="-2"/>
          <w:rtl/>
        </w:rPr>
        <w:t>ومنذ نحو خمسة عشر عام</w:t>
      </w:r>
      <w:r w:rsidR="0031739C">
        <w:rPr>
          <w:spacing w:val="-2"/>
          <w:rtl/>
        </w:rPr>
        <w:t>اً،</w:t>
      </w:r>
      <w:r w:rsidRPr="00944A3C">
        <w:rPr>
          <w:spacing w:val="-2"/>
          <w:rtl/>
        </w:rPr>
        <w:t xml:space="preserve"> بلغت نسبة الأجراء المنتسبين إلى </w:t>
      </w:r>
      <w:r w:rsidRPr="00944A3C">
        <w:rPr>
          <w:rFonts w:hint="cs"/>
          <w:spacing w:val="-2"/>
          <w:rtl/>
        </w:rPr>
        <w:t>ال</w:t>
      </w:r>
      <w:r w:rsidRPr="00944A3C">
        <w:rPr>
          <w:spacing w:val="-2"/>
          <w:rtl/>
        </w:rPr>
        <w:t xml:space="preserve">نقابات </w:t>
      </w:r>
      <w:r w:rsidRPr="00944A3C">
        <w:rPr>
          <w:rFonts w:hint="cs"/>
          <w:spacing w:val="-2"/>
          <w:rtl/>
        </w:rPr>
        <w:t>ال</w:t>
      </w:r>
      <w:r w:rsidRPr="00944A3C">
        <w:rPr>
          <w:spacing w:val="-2"/>
          <w:rtl/>
        </w:rPr>
        <w:t>عمالية حوالي 8 في المائة من السكان الناشطين اقتصادي</w:t>
      </w:r>
      <w:r w:rsidR="0031739C">
        <w:rPr>
          <w:spacing w:val="-2"/>
          <w:rtl/>
        </w:rPr>
        <w:t>اً،</w:t>
      </w:r>
      <w:r w:rsidRPr="00944A3C">
        <w:rPr>
          <w:spacing w:val="-2"/>
          <w:rtl/>
        </w:rPr>
        <w:t xml:space="preserve"> </w:t>
      </w:r>
      <w:r w:rsidRPr="00944A3C">
        <w:rPr>
          <w:rFonts w:hint="cs"/>
          <w:spacing w:val="-2"/>
          <w:rtl/>
        </w:rPr>
        <w:t>و</w:t>
      </w:r>
      <w:r w:rsidRPr="00944A3C">
        <w:rPr>
          <w:spacing w:val="-2"/>
          <w:rtl/>
        </w:rPr>
        <w:t>انخفضت إلى ما دون ذلك بشكل طفيف</w:t>
      </w:r>
      <w:r w:rsidRPr="00944A3C">
        <w:rPr>
          <w:rFonts w:hint="cs"/>
          <w:spacing w:val="-2"/>
          <w:rtl/>
        </w:rPr>
        <w:t xml:space="preserve">. </w:t>
      </w:r>
      <w:r w:rsidRPr="00944A3C">
        <w:rPr>
          <w:spacing w:val="-2"/>
          <w:rtl/>
        </w:rPr>
        <w:t>وبالتالي، بلغ معدل الانتساب إلى النقابات 7,7 في المائة في عام 2013</w:t>
      </w:r>
      <w:r w:rsidRPr="00944A3C">
        <w:rPr>
          <w:rStyle w:val="EndnoteReference"/>
          <w:spacing w:val="-2"/>
          <w:rtl/>
        </w:rPr>
        <w:t>(</w:t>
      </w:r>
      <w:r w:rsidRPr="00944A3C">
        <w:rPr>
          <w:rStyle w:val="EndnoteReference"/>
          <w:spacing w:val="-2"/>
          <w:rtl/>
        </w:rPr>
        <w:endnoteReference w:id="86"/>
      </w:r>
      <w:r w:rsidRPr="00944A3C">
        <w:rPr>
          <w:rStyle w:val="EndnoteReference"/>
          <w:spacing w:val="-2"/>
          <w:rtl/>
        </w:rPr>
        <w:t>)</w:t>
      </w:r>
      <w:r w:rsidRPr="00944A3C">
        <w:rPr>
          <w:rFonts w:hint="cs"/>
          <w:spacing w:val="-2"/>
          <w:rtl/>
        </w:rPr>
        <w:t xml:space="preserve">. </w:t>
      </w:r>
      <w:r w:rsidRPr="00944A3C">
        <w:rPr>
          <w:spacing w:val="-2"/>
          <w:rtl/>
        </w:rPr>
        <w:t>ورغم قلة عدد المنتسبين إلى المنظمات النقابية، فوجودها في أماكن العمل قوي إلى حد كبير</w:t>
      </w:r>
      <w:r w:rsidRPr="00944A3C">
        <w:rPr>
          <w:rFonts w:hint="cs"/>
          <w:spacing w:val="-2"/>
          <w:rtl/>
        </w:rPr>
        <w:t>. ف</w:t>
      </w:r>
      <w:r w:rsidRPr="00944A3C">
        <w:rPr>
          <w:spacing w:val="-2"/>
          <w:rtl/>
        </w:rPr>
        <w:t xml:space="preserve">في عام </w:t>
      </w:r>
      <w:r w:rsidR="005C435D">
        <w:rPr>
          <w:rFonts w:hint="cs"/>
          <w:spacing w:val="-2"/>
          <w:rtl/>
        </w:rPr>
        <w:t>2005</w:t>
      </w:r>
      <w:r w:rsidRPr="00944A3C">
        <w:rPr>
          <w:spacing w:val="-2"/>
          <w:rtl/>
        </w:rPr>
        <w:t>، أفاد 56 في المائة من الأجراء بأن نقابة واحدة أو أكثر كانت موجودة في أماكن عملهم، مقابل 50,3 في المائة في عام 1996</w:t>
      </w:r>
      <w:r w:rsidRPr="00944A3C">
        <w:rPr>
          <w:rStyle w:val="EndnoteReference"/>
          <w:spacing w:val="-2"/>
          <w:rtl/>
        </w:rPr>
        <w:t>(</w:t>
      </w:r>
      <w:r w:rsidRPr="00944A3C">
        <w:rPr>
          <w:rStyle w:val="EndnoteReference"/>
          <w:spacing w:val="-2"/>
          <w:rtl/>
        </w:rPr>
        <w:endnoteReference w:id="87"/>
      </w:r>
      <w:r w:rsidRPr="00944A3C">
        <w:rPr>
          <w:rStyle w:val="EndnoteReference"/>
          <w:spacing w:val="-2"/>
          <w:rtl/>
        </w:rPr>
        <w:t>)</w:t>
      </w:r>
      <w:r w:rsidRPr="00944A3C">
        <w:rPr>
          <w:rFonts w:hint="cs"/>
          <w:spacing w:val="-2"/>
          <w:rtl/>
        </w:rPr>
        <w:t>.</w:t>
      </w:r>
    </w:p>
    <w:p w:rsidR="00944A3C" w:rsidRPr="005D0C50" w:rsidRDefault="00944A3C" w:rsidP="003C667A">
      <w:pPr>
        <w:pStyle w:val="H23GA"/>
        <w:rPr>
          <w:rtl/>
        </w:rPr>
      </w:pPr>
      <w:r w:rsidRPr="005D0C50">
        <w:rPr>
          <w:spacing w:val="-4"/>
        </w:rPr>
        <w:tab/>
      </w:r>
      <w:r w:rsidRPr="005D0C50">
        <w:rPr>
          <w:spacing w:val="-4"/>
          <w:rtl/>
        </w:rPr>
        <w:t>(ز)</w:t>
      </w:r>
      <w:r w:rsidRPr="005D0C50">
        <w:rPr>
          <w:spacing w:val="-4"/>
          <w:rtl/>
        </w:rPr>
        <w:tab/>
      </w:r>
      <w:r w:rsidRPr="005D0C50">
        <w:rPr>
          <w:rtl/>
        </w:rPr>
        <w:t>الأجور</w:t>
      </w:r>
    </w:p>
    <w:p w:rsidR="00944A3C" w:rsidRPr="005D0C50" w:rsidRDefault="00944A3C" w:rsidP="00944A3C">
      <w:pPr>
        <w:pStyle w:val="SingleTxtGA"/>
        <w:rPr>
          <w:rtl/>
        </w:rPr>
      </w:pPr>
      <w:r w:rsidRPr="005D0C50">
        <w:rPr>
          <w:rFonts w:hint="cs"/>
          <w:rtl/>
        </w:rPr>
        <w:t>64-</w:t>
      </w:r>
      <w:r w:rsidRPr="005D0C50">
        <w:rPr>
          <w:rFonts w:hint="cs"/>
          <w:rtl/>
        </w:rPr>
        <w:tab/>
      </w:r>
      <w:r w:rsidRPr="005D0C50">
        <w:rPr>
          <w:rtl/>
        </w:rPr>
        <w:t xml:space="preserve">تجري إعادة تقييم الحد الأدنى للأجور </w:t>
      </w:r>
      <w:r w:rsidRPr="005D0C50">
        <w:rPr>
          <w:rFonts w:hint="cs"/>
          <w:rtl/>
        </w:rPr>
        <w:t xml:space="preserve">في </w:t>
      </w:r>
      <w:r w:rsidRPr="005D0C50">
        <w:rPr>
          <w:rtl/>
        </w:rPr>
        <w:t>1 كانون الثاني/يناير</w:t>
      </w:r>
      <w:r w:rsidRPr="005D0C50">
        <w:rPr>
          <w:rFonts w:hint="cs"/>
          <w:rtl/>
        </w:rPr>
        <w:t xml:space="preserve"> من كل عام</w:t>
      </w:r>
      <w:r w:rsidRPr="005D0C50">
        <w:rPr>
          <w:rtl/>
        </w:rPr>
        <w:t>، مع مراعاة تطور أسعار الاستهلاك والقوة الشرائية لمتوسط أجر العمال والموظفين في الساعة</w:t>
      </w:r>
      <w:r w:rsidRPr="005D0C50">
        <w:rPr>
          <w:rFonts w:hint="cs"/>
          <w:rtl/>
        </w:rPr>
        <w:t xml:space="preserve">. </w:t>
      </w:r>
      <w:r w:rsidRPr="005D0C50">
        <w:rPr>
          <w:rtl/>
        </w:rPr>
        <w:t xml:space="preserve">وفي 1 كانون الثاني/يناير 2016، جرى رفع الحد الأدنى للأجر عن الساعة إلى ما إجماليه 9,67 يوروهات </w:t>
      </w:r>
      <w:r w:rsidRPr="005D0C50">
        <w:rPr>
          <w:rtl/>
        </w:rPr>
        <w:lastRenderedPageBreak/>
        <w:t>(7,54 يوروهات صافية)، أي ما إجماليه 466,62 1 يورو شهري</w:t>
      </w:r>
      <w:r w:rsidR="00526CCD">
        <w:rPr>
          <w:rtl/>
        </w:rPr>
        <w:t xml:space="preserve">اً </w:t>
      </w:r>
      <w:r w:rsidRPr="005D0C50">
        <w:rPr>
          <w:rtl/>
        </w:rPr>
        <w:t>(وصافيه 121,71 1 يورو) على أساس مدة العمل القانونية المحددة في 35 ساعة أسبوعيا</w:t>
      </w:r>
      <w:r w:rsidR="00CD290E">
        <w:rPr>
          <w:rFonts w:hint="cs"/>
          <w:rtl/>
        </w:rPr>
        <w:t>ً</w:t>
      </w:r>
      <w:r>
        <w:rPr>
          <w:rStyle w:val="EndnoteReference"/>
          <w:rtl/>
        </w:rPr>
        <w:t>(</w:t>
      </w:r>
      <w:r w:rsidRPr="005D0C50">
        <w:rPr>
          <w:rStyle w:val="EndnoteReference"/>
          <w:rtl/>
        </w:rPr>
        <w:endnoteReference w:id="88"/>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65-</w:t>
      </w:r>
      <w:r w:rsidRPr="005D0C50">
        <w:rPr>
          <w:rFonts w:hint="cs"/>
          <w:rtl/>
        </w:rPr>
        <w:tab/>
      </w:r>
      <w:r w:rsidRPr="005D0C50">
        <w:rPr>
          <w:rtl/>
        </w:rPr>
        <w:t>وفي عام 1990، كان المدير يكسب في السنة 3,12 أضعاف ما يكسبه العامل</w:t>
      </w:r>
      <w:r w:rsidRPr="005D0C50">
        <w:rPr>
          <w:rFonts w:hint="cs"/>
          <w:rtl/>
        </w:rPr>
        <w:t xml:space="preserve">. </w:t>
      </w:r>
      <w:r w:rsidRPr="005D0C50">
        <w:rPr>
          <w:rtl/>
        </w:rPr>
        <w:t>وفي عام 2013، كان العامل في القطاع الخاص يتقاضى أجر</w:t>
      </w:r>
      <w:r w:rsidR="00526CCD">
        <w:rPr>
          <w:rtl/>
        </w:rPr>
        <w:t xml:space="preserve">اً </w:t>
      </w:r>
      <w:r w:rsidRPr="005D0C50">
        <w:rPr>
          <w:rtl/>
        </w:rPr>
        <w:t>شهري</w:t>
      </w:r>
      <w:r w:rsidR="00526CCD">
        <w:rPr>
          <w:rtl/>
        </w:rPr>
        <w:t xml:space="preserve">اً </w:t>
      </w:r>
      <w:r w:rsidRPr="005D0C50">
        <w:rPr>
          <w:rtl/>
        </w:rPr>
        <w:t>صافي</w:t>
      </w:r>
      <w:r w:rsidR="00526CCD">
        <w:rPr>
          <w:rtl/>
        </w:rPr>
        <w:t xml:space="preserve">اً </w:t>
      </w:r>
      <w:r w:rsidRPr="005D0C50">
        <w:rPr>
          <w:rtl/>
        </w:rPr>
        <w:t>قدره 686 1 يورو والمدير 072 4 يورو، أي 2,42 أضعاف</w:t>
      </w:r>
      <w:r>
        <w:rPr>
          <w:rStyle w:val="EndnoteReference"/>
          <w:rtl/>
        </w:rPr>
        <w:t>(</w:t>
      </w:r>
      <w:r w:rsidRPr="005D0C50">
        <w:rPr>
          <w:rStyle w:val="EndnoteReference"/>
          <w:rtl/>
        </w:rPr>
        <w:endnoteReference w:id="89"/>
      </w:r>
      <w:r>
        <w:rPr>
          <w:rStyle w:val="EndnoteReference"/>
          <w:rtl/>
        </w:rPr>
        <w:t>)</w:t>
      </w:r>
      <w:r w:rsidRPr="005D0C50">
        <w:rPr>
          <w:rFonts w:hint="cs"/>
          <w:rtl/>
        </w:rPr>
        <w:t xml:space="preserve">. </w:t>
      </w:r>
      <w:r w:rsidRPr="005D0C50">
        <w:rPr>
          <w:rtl/>
        </w:rPr>
        <w:t xml:space="preserve">وفي عام 2013، بلغ متوسط الأجر الصافي في القطاع الخاص 934 1 يورو بالنسبة </w:t>
      </w:r>
      <w:r w:rsidRPr="005D0C50">
        <w:rPr>
          <w:rFonts w:hint="cs"/>
          <w:rtl/>
        </w:rPr>
        <w:t>للنساء</w:t>
      </w:r>
      <w:r w:rsidRPr="005D0C50">
        <w:rPr>
          <w:rtl/>
        </w:rPr>
        <w:t xml:space="preserve">، أي 19 في المائة أقل من </w:t>
      </w:r>
      <w:r w:rsidRPr="005D0C50">
        <w:rPr>
          <w:rFonts w:hint="cs"/>
          <w:rtl/>
        </w:rPr>
        <w:t xml:space="preserve">الرجال </w:t>
      </w:r>
      <w:r w:rsidRPr="005D0C50">
        <w:rPr>
          <w:rtl/>
        </w:rPr>
        <w:t>الذين كانوا يتقاضون في المتوسط 389 2 يورو</w:t>
      </w:r>
      <w:r>
        <w:rPr>
          <w:rStyle w:val="EndnoteReference"/>
          <w:rtl/>
        </w:rPr>
        <w:t>(</w:t>
      </w:r>
      <w:r w:rsidRPr="005D0C50">
        <w:rPr>
          <w:rStyle w:val="EndnoteReference"/>
          <w:rtl/>
        </w:rPr>
        <w:endnoteReference w:id="90"/>
      </w:r>
      <w:r>
        <w:rPr>
          <w:rStyle w:val="EndnoteReference"/>
          <w:rtl/>
        </w:rPr>
        <w:t>)</w:t>
      </w:r>
      <w:r w:rsidRPr="005D0C50">
        <w:rPr>
          <w:rFonts w:hint="cs"/>
          <w:rtl/>
        </w:rPr>
        <w:t xml:space="preserve">. </w:t>
      </w:r>
      <w:r w:rsidRPr="005D0C50">
        <w:rPr>
          <w:rtl/>
        </w:rPr>
        <w:t>وبلغ هذا الفارق 28 في المائة في عام 2010 و32,1 في المائة في عام 1990</w:t>
      </w:r>
      <w:r w:rsidRPr="005D0C50">
        <w:rPr>
          <w:rFonts w:hint="cs"/>
          <w:rtl/>
        </w:rPr>
        <w:t xml:space="preserve">. ويكمن سبب </w:t>
      </w:r>
      <w:r w:rsidRPr="005D0C50">
        <w:rPr>
          <w:rtl/>
        </w:rPr>
        <w:t xml:space="preserve">استمرار هذا الفارق </w:t>
      </w:r>
      <w:r w:rsidRPr="005D0C50">
        <w:rPr>
          <w:rFonts w:hint="cs"/>
          <w:rtl/>
        </w:rPr>
        <w:t xml:space="preserve">في أن </w:t>
      </w:r>
      <w:r w:rsidRPr="005D0C50">
        <w:rPr>
          <w:rtl/>
        </w:rPr>
        <w:t xml:space="preserve">متوسط أجر </w:t>
      </w:r>
      <w:r w:rsidRPr="005D0C50">
        <w:rPr>
          <w:rFonts w:hint="cs"/>
          <w:rtl/>
        </w:rPr>
        <w:t xml:space="preserve">المرأة في </w:t>
      </w:r>
      <w:r w:rsidRPr="005D0C50">
        <w:rPr>
          <w:rtl/>
        </w:rPr>
        <w:t xml:space="preserve">الساعة </w:t>
      </w:r>
      <w:r w:rsidRPr="005D0C50">
        <w:rPr>
          <w:rFonts w:hint="cs"/>
          <w:rtl/>
        </w:rPr>
        <w:t xml:space="preserve">كان يقل </w:t>
      </w:r>
      <w:r w:rsidRPr="005D0C50">
        <w:rPr>
          <w:rtl/>
        </w:rPr>
        <w:t xml:space="preserve">بنسبة 18 في المائة </w:t>
      </w:r>
      <w:r w:rsidRPr="005D0C50">
        <w:rPr>
          <w:rFonts w:hint="cs"/>
          <w:rtl/>
        </w:rPr>
        <w:t xml:space="preserve">عن أجر الرجل، </w:t>
      </w:r>
      <w:r w:rsidRPr="005D0C50">
        <w:rPr>
          <w:rtl/>
        </w:rPr>
        <w:t xml:space="preserve">من جهة، وأن </w:t>
      </w:r>
      <w:r w:rsidRPr="005D0C50">
        <w:rPr>
          <w:rFonts w:hint="cs"/>
          <w:rtl/>
        </w:rPr>
        <w:t xml:space="preserve">متوسط ساعات عمل المرأة في السنة كان أقل بنسبة </w:t>
      </w:r>
      <w:r w:rsidRPr="005D0C50">
        <w:rPr>
          <w:rtl/>
        </w:rPr>
        <w:t>13 في المائة</w:t>
      </w:r>
      <w:r w:rsidRPr="005D0C50">
        <w:rPr>
          <w:rFonts w:hint="cs"/>
          <w:rtl/>
        </w:rPr>
        <w:t xml:space="preserve"> ، </w:t>
      </w:r>
      <w:r w:rsidRPr="005D0C50">
        <w:rPr>
          <w:rtl/>
        </w:rPr>
        <w:t>من جهة أخرى</w:t>
      </w:r>
      <w:r>
        <w:rPr>
          <w:rStyle w:val="EndnoteReference"/>
          <w:rtl/>
        </w:rPr>
        <w:t>(</w:t>
      </w:r>
      <w:r w:rsidRPr="005D0C50">
        <w:rPr>
          <w:rStyle w:val="EndnoteReference"/>
          <w:rtl/>
        </w:rPr>
        <w:endnoteReference w:id="91"/>
      </w:r>
      <w:r>
        <w:rPr>
          <w:rStyle w:val="EndnoteReference"/>
          <w:rtl/>
        </w:rPr>
        <w:t>)</w:t>
      </w:r>
      <w:r w:rsidRPr="005D0C50">
        <w:rPr>
          <w:rFonts w:hint="cs"/>
          <w:rtl/>
        </w:rPr>
        <w:t>.</w:t>
      </w:r>
    </w:p>
    <w:p w:rsidR="00944A3C" w:rsidRPr="005D0C50" w:rsidRDefault="00944A3C" w:rsidP="00944A3C">
      <w:pPr>
        <w:pStyle w:val="H23GA"/>
        <w:rPr>
          <w:spacing w:val="-4"/>
          <w:rtl/>
        </w:rPr>
      </w:pPr>
      <w:r w:rsidRPr="005D0C50">
        <w:rPr>
          <w:spacing w:val="-4"/>
          <w:rtl/>
        </w:rPr>
        <w:tab/>
        <w:t>4-</w:t>
      </w:r>
      <w:r w:rsidRPr="005D0C50">
        <w:rPr>
          <w:spacing w:val="-4"/>
          <w:rtl/>
        </w:rPr>
        <w:tab/>
      </w:r>
      <w:r w:rsidRPr="005D0C50">
        <w:rPr>
          <w:rtl/>
        </w:rPr>
        <w:t>المؤشرات المتعلقة بالجريمة وإقامة العدل</w:t>
      </w:r>
    </w:p>
    <w:p w:rsidR="00944A3C" w:rsidRPr="005D0C50" w:rsidRDefault="00944A3C" w:rsidP="00944A3C">
      <w:pPr>
        <w:pStyle w:val="H23GA"/>
        <w:rPr>
          <w:rtl/>
        </w:rPr>
      </w:pPr>
      <w:r w:rsidRPr="005D0C50">
        <w:rPr>
          <w:spacing w:val="-4"/>
        </w:rPr>
        <w:tab/>
      </w:r>
      <w:r w:rsidRPr="005D0C50">
        <w:rPr>
          <w:spacing w:val="-4"/>
          <w:rtl/>
        </w:rPr>
        <w:t>(أ)</w:t>
      </w:r>
      <w:r w:rsidRPr="005D0C50">
        <w:rPr>
          <w:spacing w:val="-4"/>
          <w:rtl/>
        </w:rPr>
        <w:tab/>
      </w:r>
      <w:r w:rsidRPr="005D0C50">
        <w:rPr>
          <w:rtl/>
        </w:rPr>
        <w:t>الحبس الاحتياطي</w:t>
      </w:r>
    </w:p>
    <w:p w:rsidR="00944A3C" w:rsidRPr="005D0C50" w:rsidRDefault="00944A3C" w:rsidP="00817295">
      <w:pPr>
        <w:pStyle w:val="SingleTxtGA"/>
        <w:rPr>
          <w:rtl/>
        </w:rPr>
      </w:pPr>
      <w:r w:rsidRPr="005D0C50">
        <w:rPr>
          <w:rFonts w:hint="cs"/>
          <w:rtl/>
        </w:rPr>
        <w:t>66-</w:t>
      </w:r>
      <w:r w:rsidRPr="005D0C50">
        <w:rPr>
          <w:rFonts w:hint="cs"/>
          <w:rtl/>
        </w:rPr>
        <w:tab/>
      </w:r>
      <w:r w:rsidRPr="005D0C50">
        <w:rPr>
          <w:rtl/>
        </w:rPr>
        <w:t>في مجال العدالة الإصلاحية</w:t>
      </w:r>
      <w:r>
        <w:rPr>
          <w:rStyle w:val="EndnoteReference"/>
          <w:rtl/>
        </w:rPr>
        <w:t>(</w:t>
      </w:r>
      <w:r w:rsidRPr="005D0C50">
        <w:rPr>
          <w:rStyle w:val="EndnoteReference"/>
          <w:rtl/>
        </w:rPr>
        <w:endnoteReference w:id="92"/>
      </w:r>
      <w:r>
        <w:rPr>
          <w:rStyle w:val="EndnoteReference"/>
          <w:rtl/>
        </w:rPr>
        <w:t>)</w:t>
      </w:r>
      <w:r w:rsidRPr="005D0C50">
        <w:rPr>
          <w:rtl/>
        </w:rPr>
        <w:t xml:space="preserve">، لا يجوز أن تتجاوز مدة الحبس الاحتياطي الأولية </w:t>
      </w:r>
      <w:r>
        <w:rPr>
          <w:rFonts w:hint="cs"/>
          <w:rtl/>
        </w:rPr>
        <w:t>أربعة</w:t>
      </w:r>
      <w:r w:rsidRPr="005D0C50">
        <w:rPr>
          <w:rtl/>
        </w:rPr>
        <w:t xml:space="preserve"> أشهر، ولكن يجوز تمديدها بموجب قرار قضائي لفترات مت</w:t>
      </w:r>
      <w:r w:rsidRPr="005D0C50">
        <w:rPr>
          <w:rFonts w:hint="cs"/>
          <w:rtl/>
        </w:rPr>
        <w:t>ت</w:t>
      </w:r>
      <w:r w:rsidRPr="005D0C50">
        <w:rPr>
          <w:rtl/>
        </w:rPr>
        <w:t xml:space="preserve">الية مدة كل منها </w:t>
      </w:r>
      <w:r>
        <w:rPr>
          <w:rFonts w:hint="cs"/>
          <w:rtl/>
        </w:rPr>
        <w:t>أربعة</w:t>
      </w:r>
      <w:r w:rsidRPr="005D0C50">
        <w:rPr>
          <w:rtl/>
        </w:rPr>
        <w:t xml:space="preserve"> أشهر كحد أقصى</w:t>
      </w:r>
      <w:r w:rsidRPr="005D0C50">
        <w:rPr>
          <w:rFonts w:hint="cs"/>
          <w:rtl/>
        </w:rPr>
        <w:t xml:space="preserve">. </w:t>
      </w:r>
      <w:r w:rsidRPr="005D0C50">
        <w:rPr>
          <w:rtl/>
        </w:rPr>
        <w:t xml:space="preserve">وتتوقف المدة القصوى </w:t>
      </w:r>
      <w:r w:rsidRPr="005D0C50">
        <w:rPr>
          <w:rFonts w:hint="cs"/>
          <w:rtl/>
        </w:rPr>
        <w:t xml:space="preserve">لحبس </w:t>
      </w:r>
      <w:r w:rsidRPr="005D0C50">
        <w:rPr>
          <w:rtl/>
        </w:rPr>
        <w:t xml:space="preserve">الشخص </w:t>
      </w:r>
      <w:r w:rsidRPr="005D0C50">
        <w:rPr>
          <w:rFonts w:hint="cs"/>
          <w:rtl/>
        </w:rPr>
        <w:t>احتياطي</w:t>
      </w:r>
      <w:r w:rsidR="00526CCD">
        <w:rPr>
          <w:rFonts w:hint="cs"/>
          <w:rtl/>
        </w:rPr>
        <w:t xml:space="preserve">اً </w:t>
      </w:r>
      <w:r w:rsidRPr="005D0C50">
        <w:rPr>
          <w:rtl/>
        </w:rPr>
        <w:t xml:space="preserve">بالأساس على المخالفة التي </w:t>
      </w:r>
      <w:r>
        <w:rPr>
          <w:rFonts w:hint="cs"/>
          <w:rtl/>
        </w:rPr>
        <w:t>يلاحَق</w:t>
      </w:r>
      <w:r w:rsidRPr="005D0C50">
        <w:rPr>
          <w:rtl/>
        </w:rPr>
        <w:t xml:space="preserve"> من أجلها وعلى العقوبة المترتبة عليها</w:t>
      </w:r>
      <w:r w:rsidRPr="005D0C50">
        <w:rPr>
          <w:rFonts w:hint="cs"/>
          <w:rtl/>
        </w:rPr>
        <w:t xml:space="preserve">. </w:t>
      </w:r>
      <w:r w:rsidRPr="005D0C50">
        <w:rPr>
          <w:rtl/>
        </w:rPr>
        <w:t>وهي أربعة أشهر إذا لم يسبق للشخص أن لوحق قضائي</w:t>
      </w:r>
      <w:r w:rsidR="00526CCD">
        <w:rPr>
          <w:rtl/>
        </w:rPr>
        <w:t xml:space="preserve">اً </w:t>
      </w:r>
      <w:r w:rsidRPr="005D0C50">
        <w:rPr>
          <w:rtl/>
        </w:rPr>
        <w:t xml:space="preserve">وكان يواجه عقوبة الحبس مدة تقل عن </w:t>
      </w:r>
      <w:r>
        <w:rPr>
          <w:rFonts w:hint="cs"/>
          <w:rtl/>
        </w:rPr>
        <w:t>خمس</w:t>
      </w:r>
      <w:r w:rsidRPr="005D0C50">
        <w:rPr>
          <w:rtl/>
        </w:rPr>
        <w:t xml:space="preserve"> سنوات، وسنة واحدة في الحالات الأخرى</w:t>
      </w:r>
      <w:r w:rsidRPr="005D0C50">
        <w:rPr>
          <w:rFonts w:hint="cs"/>
          <w:rtl/>
        </w:rPr>
        <w:t xml:space="preserve">. </w:t>
      </w:r>
      <w:r w:rsidRPr="005D0C50">
        <w:rPr>
          <w:rtl/>
        </w:rPr>
        <w:t>وخلاف</w:t>
      </w:r>
      <w:r w:rsidR="00526CCD">
        <w:rPr>
          <w:rtl/>
        </w:rPr>
        <w:t xml:space="preserve">اً </w:t>
      </w:r>
      <w:r w:rsidRPr="005D0C50">
        <w:rPr>
          <w:rtl/>
        </w:rPr>
        <w:t>لذلك، فإذا كان الشخص ملاحق</w:t>
      </w:r>
      <w:r w:rsidR="00526CCD">
        <w:rPr>
          <w:rtl/>
        </w:rPr>
        <w:t xml:space="preserve">اً </w:t>
      </w:r>
      <w:r w:rsidRPr="005D0C50">
        <w:rPr>
          <w:rtl/>
        </w:rPr>
        <w:t>بسبب أفعال مرتكبة خارج فرنسا أو</w:t>
      </w:r>
      <w:r w:rsidR="00526CCD">
        <w:rPr>
          <w:rFonts w:hint="cs"/>
          <w:rtl/>
        </w:rPr>
        <w:t> </w:t>
      </w:r>
      <w:r w:rsidRPr="005D0C50">
        <w:rPr>
          <w:rtl/>
        </w:rPr>
        <w:t>بسبب بعض الجرائم الخطيرة (الاتجار بالمخدرات، أو الإرهاب، أو تكوين عصابة إجرامية، أو</w:t>
      </w:r>
      <w:r w:rsidR="00526CCD">
        <w:rPr>
          <w:rFonts w:hint="cs"/>
          <w:rtl/>
        </w:rPr>
        <w:t> </w:t>
      </w:r>
      <w:r w:rsidRPr="005D0C50">
        <w:rPr>
          <w:rtl/>
        </w:rPr>
        <w:t>قوادة الأطفال، أو الابتزاز المالي، أو الجريمة المنظمة) ويواجه عقوبة الحبس مدة لا تقل عن</w:t>
      </w:r>
      <w:r w:rsidR="00817295">
        <w:rPr>
          <w:rFonts w:hint="cs"/>
          <w:rtl/>
        </w:rPr>
        <w:t> </w:t>
      </w:r>
      <w:r w:rsidRPr="005D0C50">
        <w:rPr>
          <w:rtl/>
        </w:rPr>
        <w:t>10 سنوات، جاز تمديد المدة القصوى للحبس الاحتياطي إلى سنتين</w:t>
      </w:r>
      <w:r w:rsidRPr="005D0C50">
        <w:rPr>
          <w:rFonts w:hint="cs"/>
          <w:rtl/>
        </w:rPr>
        <w:t>.</w:t>
      </w:r>
    </w:p>
    <w:p w:rsidR="00944A3C" w:rsidRPr="005D0C50" w:rsidRDefault="00944A3C" w:rsidP="00944A3C">
      <w:pPr>
        <w:pStyle w:val="SingleTxtGA"/>
        <w:rPr>
          <w:rtl/>
        </w:rPr>
      </w:pPr>
      <w:r w:rsidRPr="005D0C50">
        <w:rPr>
          <w:rFonts w:hint="cs"/>
          <w:rtl/>
        </w:rPr>
        <w:t>67-</w:t>
      </w:r>
      <w:r w:rsidRPr="005D0C50">
        <w:rPr>
          <w:rFonts w:hint="cs"/>
          <w:rtl/>
        </w:rPr>
        <w:tab/>
      </w:r>
      <w:r w:rsidRPr="005D0C50">
        <w:rPr>
          <w:rtl/>
        </w:rPr>
        <w:t>وفي مجال العدالة</w:t>
      </w:r>
      <w:r w:rsidRPr="005D0C50">
        <w:rPr>
          <w:rFonts w:hint="cs"/>
          <w:rtl/>
        </w:rPr>
        <w:t xml:space="preserve"> الجنائية</w:t>
      </w:r>
      <w:r>
        <w:rPr>
          <w:rStyle w:val="EndnoteReference"/>
          <w:rtl/>
        </w:rPr>
        <w:t>(</w:t>
      </w:r>
      <w:r w:rsidRPr="005D0C50">
        <w:rPr>
          <w:rStyle w:val="EndnoteReference"/>
          <w:rtl/>
        </w:rPr>
        <w:endnoteReference w:id="93"/>
      </w:r>
      <w:r>
        <w:rPr>
          <w:rStyle w:val="EndnoteReference"/>
          <w:rtl/>
        </w:rPr>
        <w:t>)</w:t>
      </w:r>
      <w:r w:rsidRPr="005D0C50">
        <w:rPr>
          <w:rtl/>
        </w:rPr>
        <w:t>، لا يجوز أن تتجاوز مدة الحبس الاحتياطي الأولية سنة واحدة، ولكن يجوز تمديدها بموجب قرار قضائي لفترات مت</w:t>
      </w:r>
      <w:r w:rsidRPr="005D0C50">
        <w:rPr>
          <w:rFonts w:hint="cs"/>
          <w:rtl/>
        </w:rPr>
        <w:t>ت</w:t>
      </w:r>
      <w:r w:rsidRPr="005D0C50">
        <w:rPr>
          <w:rtl/>
        </w:rPr>
        <w:t xml:space="preserve">الية </w:t>
      </w:r>
      <w:r w:rsidRPr="005D0C50">
        <w:rPr>
          <w:rFonts w:hint="cs"/>
          <w:rtl/>
        </w:rPr>
        <w:t xml:space="preserve">مدة </w:t>
      </w:r>
      <w:r w:rsidRPr="005D0C50">
        <w:rPr>
          <w:rtl/>
        </w:rPr>
        <w:t>كل منها 6 أشهر كحد أقصى</w:t>
      </w:r>
      <w:r w:rsidRPr="005D0C50">
        <w:rPr>
          <w:rFonts w:hint="cs"/>
          <w:rtl/>
        </w:rPr>
        <w:t xml:space="preserve">. </w:t>
      </w:r>
      <w:r w:rsidRPr="005D0C50">
        <w:rPr>
          <w:rtl/>
        </w:rPr>
        <w:t xml:space="preserve">وتتوقف المدة القصوى </w:t>
      </w:r>
      <w:r w:rsidRPr="005D0C50">
        <w:rPr>
          <w:rFonts w:hint="cs"/>
          <w:rtl/>
        </w:rPr>
        <w:t xml:space="preserve">لحبس </w:t>
      </w:r>
      <w:r w:rsidRPr="005D0C50">
        <w:rPr>
          <w:rtl/>
        </w:rPr>
        <w:t xml:space="preserve">الشخص </w:t>
      </w:r>
      <w:r w:rsidRPr="005D0C50">
        <w:rPr>
          <w:rFonts w:hint="cs"/>
          <w:rtl/>
        </w:rPr>
        <w:t>احتياطي</w:t>
      </w:r>
      <w:r w:rsidR="00526CCD">
        <w:rPr>
          <w:rFonts w:hint="cs"/>
          <w:rtl/>
        </w:rPr>
        <w:t xml:space="preserve">اً </w:t>
      </w:r>
      <w:r w:rsidRPr="005D0C50">
        <w:rPr>
          <w:rtl/>
        </w:rPr>
        <w:t>بالأساس على المخالفة التي يتابع من أجلها وعلى العقوبة المترتبة عليها</w:t>
      </w:r>
      <w:r w:rsidRPr="005D0C50">
        <w:rPr>
          <w:rFonts w:hint="cs"/>
          <w:rtl/>
        </w:rPr>
        <w:t xml:space="preserve">. وهي </w:t>
      </w:r>
      <w:r w:rsidRPr="005D0C50">
        <w:rPr>
          <w:rtl/>
        </w:rPr>
        <w:t>سنتان عندما تكون عقوبة الحبس التي يواجهها الشخص تقل عن 20 سنة أو تساويها، و3 سنوات في الحالات الأخرى</w:t>
      </w:r>
      <w:r w:rsidRPr="005D0C50">
        <w:rPr>
          <w:rFonts w:hint="cs"/>
          <w:rtl/>
        </w:rPr>
        <w:t xml:space="preserve">. </w:t>
      </w:r>
      <w:r w:rsidRPr="005D0C50">
        <w:rPr>
          <w:rtl/>
        </w:rPr>
        <w:t>وخلاف</w:t>
      </w:r>
      <w:r w:rsidR="00526CCD">
        <w:rPr>
          <w:rtl/>
        </w:rPr>
        <w:t xml:space="preserve">اً </w:t>
      </w:r>
      <w:r w:rsidRPr="005D0C50">
        <w:rPr>
          <w:rtl/>
        </w:rPr>
        <w:t>لذلك، وللأسباب ذاتها المحددة في مجال العدالة الإصلاحية، يجوز تمديد المدة القصوى للحبس الاحتياطي من سنتين إلى 4 سنوات</w:t>
      </w:r>
      <w:r>
        <w:rPr>
          <w:rStyle w:val="EndnoteReference"/>
          <w:rtl/>
        </w:rPr>
        <w:t>(</w:t>
      </w:r>
      <w:r w:rsidRPr="005D0C50">
        <w:rPr>
          <w:rStyle w:val="EndnoteReference"/>
          <w:rtl/>
        </w:rPr>
        <w:endnoteReference w:id="94"/>
      </w:r>
      <w:r>
        <w:rPr>
          <w:rStyle w:val="EndnoteReference"/>
          <w:rtl/>
        </w:rPr>
        <w:t>)</w:t>
      </w:r>
      <w:r w:rsidRPr="005D0C50">
        <w:rPr>
          <w:rFonts w:hint="cs"/>
          <w:rtl/>
        </w:rPr>
        <w:t>.</w:t>
      </w:r>
    </w:p>
    <w:p w:rsidR="00944A3C" w:rsidRPr="00944A3C" w:rsidRDefault="00944A3C" w:rsidP="00944A3C">
      <w:pPr>
        <w:pStyle w:val="SingleTxtGA"/>
        <w:rPr>
          <w:spacing w:val="-2"/>
          <w:rtl/>
        </w:rPr>
      </w:pPr>
      <w:r w:rsidRPr="00944A3C">
        <w:rPr>
          <w:rFonts w:hint="cs"/>
          <w:spacing w:val="-2"/>
          <w:rtl/>
        </w:rPr>
        <w:t>68-</w:t>
      </w:r>
      <w:r w:rsidRPr="00944A3C">
        <w:rPr>
          <w:rFonts w:hint="cs"/>
          <w:spacing w:val="-2"/>
          <w:rtl/>
        </w:rPr>
        <w:tab/>
      </w:r>
      <w:r w:rsidRPr="00944A3C">
        <w:rPr>
          <w:spacing w:val="-2"/>
          <w:rtl/>
        </w:rPr>
        <w:t>وتعتزم فرنسا وضع إجراءات للتعويض الكامل والإلزامي عن الأضرار المادية والمعنوية في حالة الاحتجاز غير المبرر، أي خلال إجراءات تنتهي بإصدار حكم نهائي برد الدعوى أو بالإفراج أو البراءة</w:t>
      </w:r>
      <w:r w:rsidRPr="00944A3C">
        <w:rPr>
          <w:rStyle w:val="EndnoteReference"/>
          <w:spacing w:val="-2"/>
          <w:rtl/>
        </w:rPr>
        <w:t>(</w:t>
      </w:r>
      <w:r w:rsidRPr="00944A3C">
        <w:rPr>
          <w:rStyle w:val="EndnoteReference"/>
          <w:spacing w:val="-2"/>
          <w:rtl/>
        </w:rPr>
        <w:endnoteReference w:id="95"/>
      </w:r>
      <w:r w:rsidRPr="00944A3C">
        <w:rPr>
          <w:rStyle w:val="EndnoteReference"/>
          <w:spacing w:val="-2"/>
          <w:rtl/>
        </w:rPr>
        <w:t>)</w:t>
      </w:r>
      <w:r w:rsidRPr="00944A3C">
        <w:rPr>
          <w:rFonts w:hint="cs"/>
          <w:spacing w:val="-2"/>
          <w:rtl/>
        </w:rPr>
        <w:t xml:space="preserve">. </w:t>
      </w:r>
      <w:r w:rsidRPr="00944A3C">
        <w:rPr>
          <w:spacing w:val="-2"/>
          <w:rtl/>
        </w:rPr>
        <w:t>وعندما يصدر في النهاية حكم بالعقوبة، لا يجوز التعويض إلا في حالة الطول المفرط لمدة الاحتجاز</w:t>
      </w:r>
      <w:r w:rsidRPr="00944A3C">
        <w:rPr>
          <w:rStyle w:val="EndnoteReference"/>
          <w:spacing w:val="-2"/>
          <w:rtl/>
        </w:rPr>
        <w:t>(</w:t>
      </w:r>
      <w:r w:rsidRPr="00944A3C">
        <w:rPr>
          <w:rStyle w:val="EndnoteReference"/>
          <w:spacing w:val="-2"/>
          <w:rtl/>
        </w:rPr>
        <w:endnoteReference w:id="96"/>
      </w:r>
      <w:r w:rsidRPr="00944A3C">
        <w:rPr>
          <w:rStyle w:val="EndnoteReference"/>
          <w:spacing w:val="-2"/>
          <w:rtl/>
        </w:rPr>
        <w:t>)</w:t>
      </w:r>
      <w:r w:rsidRPr="00944A3C">
        <w:rPr>
          <w:rFonts w:hint="cs"/>
          <w:spacing w:val="-2"/>
          <w:rtl/>
        </w:rPr>
        <w:t>.</w:t>
      </w:r>
    </w:p>
    <w:p w:rsidR="00944A3C" w:rsidRPr="005D0C50" w:rsidRDefault="00944A3C" w:rsidP="00944A3C">
      <w:pPr>
        <w:pStyle w:val="H23GA"/>
        <w:rPr>
          <w:rtl/>
        </w:rPr>
      </w:pPr>
      <w:r w:rsidRPr="005D0C50">
        <w:rPr>
          <w:spacing w:val="-4"/>
        </w:rPr>
        <w:lastRenderedPageBreak/>
        <w:tab/>
      </w:r>
      <w:r w:rsidRPr="005D0C50">
        <w:rPr>
          <w:spacing w:val="-4"/>
          <w:rtl/>
        </w:rPr>
        <w:t>(ب)</w:t>
      </w:r>
      <w:r w:rsidRPr="005D0C50">
        <w:rPr>
          <w:spacing w:val="-4"/>
          <w:rtl/>
        </w:rPr>
        <w:tab/>
      </w:r>
      <w:r w:rsidRPr="005D0C50">
        <w:rPr>
          <w:rtl/>
        </w:rPr>
        <w:t>الوقائع المثبتة والملاحقات والإدانات بتهمة مخالفة القوانين</w:t>
      </w:r>
    </w:p>
    <w:p w:rsidR="00944A3C" w:rsidRPr="005D0C50" w:rsidRDefault="00944A3C" w:rsidP="005714DA">
      <w:pPr>
        <w:pStyle w:val="H4GA"/>
        <w:rPr>
          <w:rtl/>
          <w:lang w:val="es-ES" w:eastAsia="es-ES"/>
        </w:rPr>
      </w:pPr>
      <w:r w:rsidRPr="005D0C50">
        <w:rPr>
          <w:rFonts w:hint="cs"/>
          <w:rtl/>
          <w:lang w:val="es-ES" w:eastAsia="es-ES"/>
        </w:rPr>
        <w:tab/>
      </w:r>
      <w:r w:rsidR="005714DA">
        <w:rPr>
          <w:rFonts w:hint="cs"/>
          <w:rtl/>
          <w:lang w:val="es-ES" w:eastAsia="es-ES"/>
        </w:rPr>
        <w:t>‘</w:t>
      </w:r>
      <w:r w:rsidRPr="005D0C50">
        <w:rPr>
          <w:rFonts w:hint="cs"/>
          <w:rtl/>
          <w:lang w:val="es-ES" w:eastAsia="es-ES"/>
        </w:rPr>
        <w:t>1</w:t>
      </w:r>
      <w:r w:rsidR="005714DA">
        <w:rPr>
          <w:rFonts w:hint="cs"/>
          <w:rtl/>
          <w:lang w:val="es-ES" w:eastAsia="es-ES"/>
        </w:rPr>
        <w:t>‘</w:t>
      </w:r>
      <w:r w:rsidRPr="005D0C50">
        <w:rPr>
          <w:rFonts w:hint="cs"/>
          <w:rtl/>
          <w:lang w:val="es-ES" w:eastAsia="es-ES"/>
        </w:rPr>
        <w:tab/>
        <w:t>الوقائع المثبتة (2014)</w:t>
      </w:r>
    </w:p>
    <w:p w:rsidR="00944A3C" w:rsidRPr="005D0C50" w:rsidRDefault="00944A3C" w:rsidP="00944A3C">
      <w:pPr>
        <w:pStyle w:val="SingleTxtGA"/>
        <w:rPr>
          <w:rtl/>
        </w:rPr>
      </w:pPr>
      <w:r w:rsidRPr="005D0C50">
        <w:rPr>
          <w:rFonts w:hint="cs"/>
          <w:rtl/>
        </w:rPr>
        <w:t>69-</w:t>
      </w:r>
      <w:r w:rsidRPr="005D0C50">
        <w:rPr>
          <w:rFonts w:hint="cs"/>
          <w:rtl/>
        </w:rPr>
        <w:tab/>
      </w:r>
      <w:r w:rsidRPr="005D0C50">
        <w:rPr>
          <w:rtl/>
        </w:rPr>
        <w:t>في عام 2014، سجلت الشرطة الوطنية في فرنسا المتروبولية 214 374 حالة مساس متعمد بالسلامة البدنية (حالات الاعتداء البدني، أو العنف الجنسي، أو التهديدات ذات الطابع الجنائي أو الجنحي) منها 468 103 حالة سرقة باستخدام العنف، و941 17 فعل</w:t>
      </w:r>
      <w:r w:rsidR="00526CCD">
        <w:rPr>
          <w:rtl/>
        </w:rPr>
        <w:t xml:space="preserve">اً </w:t>
      </w:r>
      <w:r w:rsidRPr="005D0C50">
        <w:rPr>
          <w:rtl/>
        </w:rPr>
        <w:t>من أفعال العنف الجنسي و803 حالات من جرائم القتل العمد والقتل بالخطأ (932 في عام</w:t>
      </w:r>
      <w:r>
        <w:rPr>
          <w:rFonts w:hint="cs"/>
          <w:rtl/>
        </w:rPr>
        <w:t> </w:t>
      </w:r>
      <w:r w:rsidRPr="005D0C50">
        <w:rPr>
          <w:rtl/>
        </w:rPr>
        <w:t>2015)</w:t>
      </w:r>
      <w:r>
        <w:rPr>
          <w:rStyle w:val="EndnoteReference"/>
          <w:rtl/>
        </w:rPr>
        <w:t>(</w:t>
      </w:r>
      <w:r w:rsidRPr="005D0C50">
        <w:rPr>
          <w:rStyle w:val="EndnoteReference"/>
          <w:rtl/>
        </w:rPr>
        <w:endnoteReference w:id="97"/>
      </w:r>
      <w:r>
        <w:rPr>
          <w:rStyle w:val="EndnoteReference"/>
          <w:rtl/>
        </w:rPr>
        <w:t>)</w:t>
      </w:r>
      <w:r w:rsidRPr="005D0C50">
        <w:rPr>
          <w:rFonts w:hint="cs"/>
          <w:rtl/>
        </w:rPr>
        <w:t xml:space="preserve">. </w:t>
      </w:r>
      <w:r w:rsidRPr="005D0C50">
        <w:rPr>
          <w:rtl/>
        </w:rPr>
        <w:t>ومنذ عام 2008، ارتفع عدد حالات المساس العمد بالسلامة البدنية التي سجلتها الشرطة الوطنية بنسبة 7,3 في المائة، ولكن هذه الزيادة على مدى خمس سنوات تُعزى بنسبة 90 في المائة إلى المتغيرات السنوية المسجلة في عامي 2009 و2010</w:t>
      </w:r>
      <w:r>
        <w:rPr>
          <w:rStyle w:val="EndnoteReference"/>
          <w:rtl/>
        </w:rPr>
        <w:t>(</w:t>
      </w:r>
      <w:r w:rsidRPr="005D0C50">
        <w:rPr>
          <w:rStyle w:val="EndnoteReference"/>
          <w:rtl/>
        </w:rPr>
        <w:endnoteReference w:id="98"/>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70-</w:t>
      </w:r>
      <w:r w:rsidRPr="005D0C50">
        <w:rPr>
          <w:rFonts w:hint="cs"/>
          <w:rtl/>
        </w:rPr>
        <w:tab/>
      </w:r>
      <w:r w:rsidRPr="005D0C50">
        <w:rPr>
          <w:rtl/>
        </w:rPr>
        <w:t>وفي عام 2013، كان معدل جرائم القتل في فرنسا أحد أدنى المعدلات في العالم: 1,1 لكل 000 100 نسمة في فرنسا المتروبولية و1,2 في فرنسا كلها</w:t>
      </w:r>
      <w:r>
        <w:rPr>
          <w:rStyle w:val="EndnoteReference"/>
          <w:rtl/>
        </w:rPr>
        <w:t>(</w:t>
      </w:r>
      <w:r w:rsidRPr="005D0C50">
        <w:rPr>
          <w:rStyle w:val="EndnoteReference"/>
          <w:rtl/>
        </w:rPr>
        <w:endnoteReference w:id="99"/>
      </w:r>
      <w:r>
        <w:rPr>
          <w:rStyle w:val="EndnoteReference"/>
          <w:rtl/>
        </w:rPr>
        <w:t>)</w:t>
      </w:r>
      <w:r w:rsidRPr="005D0C50">
        <w:rPr>
          <w:rFonts w:hint="cs"/>
          <w:rtl/>
        </w:rPr>
        <w:t xml:space="preserve">. </w:t>
      </w:r>
      <w:r w:rsidRPr="005D0C50">
        <w:rPr>
          <w:rtl/>
        </w:rPr>
        <w:t>وبلغ هذا المعدل 2 لكل</w:t>
      </w:r>
      <w:r>
        <w:rPr>
          <w:rFonts w:hint="cs"/>
          <w:rtl/>
        </w:rPr>
        <w:t> </w:t>
      </w:r>
      <w:r w:rsidRPr="005D0C50">
        <w:rPr>
          <w:rtl/>
        </w:rPr>
        <w:t>000 100 نسمة في عام 1996 و1,4 لكل 000 100 نسمة في عام 2008</w:t>
      </w:r>
      <w:r>
        <w:rPr>
          <w:rStyle w:val="EndnoteReference"/>
          <w:rtl/>
        </w:rPr>
        <w:t>(</w:t>
      </w:r>
      <w:r w:rsidRPr="005D0C50">
        <w:rPr>
          <w:rStyle w:val="EndnoteReference"/>
          <w:rtl/>
        </w:rPr>
        <w:endnoteReference w:id="100"/>
      </w:r>
      <w:r>
        <w:rPr>
          <w:rStyle w:val="EndnoteReference"/>
          <w:rtl/>
        </w:rPr>
        <w:t>)</w:t>
      </w:r>
      <w:r w:rsidRPr="005D0C50">
        <w:rPr>
          <w:rFonts w:hint="cs"/>
          <w:rtl/>
        </w:rPr>
        <w:t xml:space="preserve">. </w:t>
      </w:r>
      <w:r w:rsidRPr="005D0C50">
        <w:rPr>
          <w:rtl/>
        </w:rPr>
        <w:t>واستقر منذ عام 2009 بين 1 و1,2</w:t>
      </w:r>
      <w:r w:rsidRPr="005D0C50">
        <w:rPr>
          <w:rFonts w:hint="cs"/>
          <w:rtl/>
        </w:rPr>
        <w:t xml:space="preserve">. </w:t>
      </w:r>
      <w:r w:rsidRPr="005D0C50">
        <w:rPr>
          <w:rtl/>
        </w:rPr>
        <w:t>وخلال الفترة 2008-2013، انخفض عدد جرائم القتل على العموم بنسبة 18,7 في المائة</w:t>
      </w:r>
      <w:r>
        <w:rPr>
          <w:rStyle w:val="EndnoteReference"/>
          <w:rtl/>
        </w:rPr>
        <w:t>(</w:t>
      </w:r>
      <w:r w:rsidRPr="005D0C50">
        <w:rPr>
          <w:rStyle w:val="EndnoteReference"/>
          <w:rtl/>
        </w:rPr>
        <w:endnoteReference w:id="101"/>
      </w:r>
      <w:r>
        <w:rPr>
          <w:rStyle w:val="EndnoteReference"/>
          <w:rtl/>
        </w:rPr>
        <w:t>)</w:t>
      </w:r>
      <w:r w:rsidRPr="005D0C50">
        <w:rPr>
          <w:rFonts w:hint="cs"/>
          <w:rtl/>
        </w:rPr>
        <w:t>.</w:t>
      </w:r>
    </w:p>
    <w:p w:rsidR="00944A3C" w:rsidRPr="005D0C50" w:rsidRDefault="00944A3C" w:rsidP="00944A3C">
      <w:pPr>
        <w:pStyle w:val="SingleTxtGA"/>
        <w:rPr>
          <w:rtl/>
        </w:rPr>
      </w:pPr>
      <w:r w:rsidRPr="00944A3C">
        <w:rPr>
          <w:rFonts w:hint="cs"/>
          <w:spacing w:val="-4"/>
          <w:rtl/>
        </w:rPr>
        <w:t>71-</w:t>
      </w:r>
      <w:r w:rsidRPr="00944A3C">
        <w:rPr>
          <w:rFonts w:hint="cs"/>
          <w:spacing w:val="-4"/>
          <w:rtl/>
        </w:rPr>
        <w:tab/>
      </w:r>
      <w:r w:rsidRPr="00944A3C">
        <w:rPr>
          <w:spacing w:val="-4"/>
          <w:rtl/>
        </w:rPr>
        <w:t>وبلغ عدد أفعال العنف الجنسي التي سجلتها الشرطة الوطنية 941 17 في عام 2014</w:t>
      </w:r>
      <w:r w:rsidRPr="00944A3C">
        <w:rPr>
          <w:rFonts w:hint="cs"/>
          <w:spacing w:val="-4"/>
          <w:rtl/>
        </w:rPr>
        <w:t>.</w:t>
      </w:r>
      <w:r w:rsidRPr="005D0C50">
        <w:rPr>
          <w:rFonts w:hint="cs"/>
          <w:rtl/>
        </w:rPr>
        <w:t xml:space="preserve"> </w:t>
      </w:r>
      <w:r w:rsidRPr="005D0C50">
        <w:rPr>
          <w:rtl/>
        </w:rPr>
        <w:t>وارتفع عدد حالات الاغتصاب المسجلة في عام 2014 بشكل خاص بالمقارنة مع السنوات السابقة</w:t>
      </w:r>
      <w:r w:rsidRPr="005D0C50">
        <w:rPr>
          <w:rFonts w:hint="cs"/>
          <w:rtl/>
        </w:rPr>
        <w:t xml:space="preserve">. </w:t>
      </w:r>
      <w:r w:rsidRPr="005D0C50">
        <w:rPr>
          <w:rtl/>
        </w:rPr>
        <w:t>وتلاحظ زيادة نسبتها 12,5 في المائة فيما يتعلق بأفعال اغتصاب البالغين (مقابل انخفاض نسبته 1,5 في المائة في عام 2013 بالمقارنة مع عام 2012 و0,6 في المائة في عام</w:t>
      </w:r>
      <w:r>
        <w:rPr>
          <w:rFonts w:hint="cs"/>
          <w:rtl/>
        </w:rPr>
        <w:t> </w:t>
      </w:r>
      <w:r w:rsidRPr="005D0C50">
        <w:rPr>
          <w:rtl/>
        </w:rPr>
        <w:t>2012 بالمقارنة مع عام 2011) وزيادة نسبتها 5,3 في المائة فيما يتعلق بأفعال اغتصاب القاصرين (مقابل زيادة نسبتها 3,4 في المائة في عام 2013 و0,6 في المائة في عام 2012)</w:t>
      </w:r>
      <w:r w:rsidRPr="005D0C50">
        <w:rPr>
          <w:rFonts w:hint="cs"/>
          <w:rtl/>
        </w:rPr>
        <w:t xml:space="preserve">. </w:t>
      </w:r>
      <w:r w:rsidRPr="005D0C50">
        <w:rPr>
          <w:rtl/>
        </w:rPr>
        <w:t>وفي عام 2014، سجلت الشرطة الوطنية 768 3 حالة من جرائم اغتصاب البالغين و238 3 حالة من جرائم اغتصاب القاصرين</w:t>
      </w:r>
      <w:r>
        <w:rPr>
          <w:rStyle w:val="EndnoteReference"/>
          <w:rtl/>
        </w:rPr>
        <w:t>(</w:t>
      </w:r>
      <w:r w:rsidRPr="005D0C50">
        <w:rPr>
          <w:rStyle w:val="EndnoteReference"/>
          <w:rtl/>
        </w:rPr>
        <w:endnoteReference w:id="102"/>
      </w:r>
      <w:r>
        <w:rPr>
          <w:rStyle w:val="EndnoteReference"/>
          <w:rtl/>
        </w:rPr>
        <w:t>)</w:t>
      </w:r>
      <w:r w:rsidRPr="005D0C50">
        <w:rPr>
          <w:rFonts w:hint="cs"/>
          <w:rtl/>
        </w:rPr>
        <w:t>.</w:t>
      </w:r>
    </w:p>
    <w:p w:rsidR="00944A3C" w:rsidRPr="005D0C50" w:rsidRDefault="00944A3C" w:rsidP="005714DA">
      <w:pPr>
        <w:pStyle w:val="H4GA"/>
        <w:rPr>
          <w:rtl/>
          <w:lang w:val="es-ES" w:eastAsia="es-ES"/>
        </w:rPr>
      </w:pPr>
      <w:r w:rsidRPr="005D0C50">
        <w:rPr>
          <w:rFonts w:hint="cs"/>
          <w:rtl/>
          <w:lang w:val="es-ES" w:eastAsia="es-ES"/>
        </w:rPr>
        <w:tab/>
      </w:r>
      <w:r w:rsidR="005714DA">
        <w:rPr>
          <w:rFonts w:hint="cs"/>
          <w:rtl/>
          <w:lang w:val="es-ES" w:eastAsia="es-ES"/>
        </w:rPr>
        <w:t>‘</w:t>
      </w:r>
      <w:r w:rsidRPr="005D0C50">
        <w:rPr>
          <w:rFonts w:hint="cs"/>
          <w:rtl/>
          <w:lang w:val="es-ES" w:eastAsia="es-ES"/>
        </w:rPr>
        <w:t>2</w:t>
      </w:r>
      <w:r w:rsidR="005714DA">
        <w:rPr>
          <w:rFonts w:hint="cs"/>
          <w:rtl/>
          <w:lang w:val="es-ES" w:eastAsia="es-ES"/>
        </w:rPr>
        <w:t>‘</w:t>
      </w:r>
      <w:r w:rsidRPr="005D0C50">
        <w:rPr>
          <w:rFonts w:hint="cs"/>
          <w:rtl/>
          <w:lang w:val="es-ES" w:eastAsia="es-ES"/>
        </w:rPr>
        <w:tab/>
        <w:t>الملاحقات (2012)</w:t>
      </w:r>
    </w:p>
    <w:p w:rsidR="00944A3C" w:rsidRPr="005D0C50" w:rsidRDefault="00944A3C" w:rsidP="00944A3C">
      <w:pPr>
        <w:pStyle w:val="SingleTxtGA"/>
        <w:rPr>
          <w:rtl/>
        </w:rPr>
      </w:pPr>
      <w:r w:rsidRPr="005D0C50">
        <w:rPr>
          <w:rFonts w:hint="cs"/>
          <w:rtl/>
        </w:rPr>
        <w:t>72-</w:t>
      </w:r>
      <w:r w:rsidRPr="005D0C50">
        <w:rPr>
          <w:rFonts w:hint="cs"/>
          <w:rtl/>
        </w:rPr>
        <w:tab/>
      </w:r>
      <w:r w:rsidRPr="005D0C50">
        <w:rPr>
          <w:rtl/>
        </w:rPr>
        <w:t xml:space="preserve">انخفض العدد الإجمالي للأشخاص الذين لاحقتهم الشرطة الوطنية لأسباب عدا ارتكاب مخالفات للقانون المتعلق بالأجانب بنسبة 3,3 في المائة بين عامي 2011 و2012، </w:t>
      </w:r>
      <w:r w:rsidRPr="005D0C50">
        <w:rPr>
          <w:rFonts w:hint="cs"/>
          <w:rtl/>
        </w:rPr>
        <w:t>و</w:t>
      </w:r>
      <w:r w:rsidRPr="005D0C50">
        <w:rPr>
          <w:rtl/>
        </w:rPr>
        <w:t>هو ما يمثل 136 684 شخص</w:t>
      </w:r>
      <w:r w:rsidR="00526CCD">
        <w:rPr>
          <w:rtl/>
        </w:rPr>
        <w:t xml:space="preserve">اً </w:t>
      </w:r>
      <w:r w:rsidRPr="005D0C50">
        <w:rPr>
          <w:rtl/>
        </w:rPr>
        <w:t>ملاحق</w:t>
      </w:r>
      <w:r w:rsidR="00526CCD">
        <w:rPr>
          <w:rtl/>
        </w:rPr>
        <w:t xml:space="preserve">اً </w:t>
      </w:r>
      <w:r w:rsidRPr="005D0C50">
        <w:rPr>
          <w:rtl/>
        </w:rPr>
        <w:t>خلال ذلك العام</w:t>
      </w:r>
      <w:r w:rsidRPr="005D0C50">
        <w:rPr>
          <w:rFonts w:hint="cs"/>
          <w:rtl/>
        </w:rPr>
        <w:t xml:space="preserve">. </w:t>
      </w:r>
      <w:r w:rsidRPr="005D0C50">
        <w:rPr>
          <w:rtl/>
        </w:rPr>
        <w:t>وعلى وجه الخصوص، انخفض عدد الأشخاص الملاحقين من قبل الشرطة الوطنية بتهمة المساس العمد بالسلامة البدنية بنسبة</w:t>
      </w:r>
      <w:r>
        <w:rPr>
          <w:rFonts w:hint="cs"/>
          <w:rtl/>
        </w:rPr>
        <w:t> </w:t>
      </w:r>
      <w:r w:rsidRPr="005D0C50">
        <w:rPr>
          <w:rtl/>
        </w:rPr>
        <w:t xml:space="preserve">4,3 في المائة (أي 666 6- </w:t>
      </w:r>
      <w:r w:rsidRPr="005D0C50">
        <w:rPr>
          <w:rFonts w:hint="cs"/>
          <w:rtl/>
        </w:rPr>
        <w:t>شخص</w:t>
      </w:r>
      <w:r w:rsidR="00526CCD">
        <w:rPr>
          <w:rFonts w:hint="cs"/>
          <w:rtl/>
        </w:rPr>
        <w:t xml:space="preserve">اً </w:t>
      </w:r>
      <w:r w:rsidRPr="005D0C50">
        <w:rPr>
          <w:rtl/>
        </w:rPr>
        <w:t>ملاحقا</w:t>
      </w:r>
      <w:r w:rsidR="0082773D">
        <w:rPr>
          <w:rFonts w:hint="cs"/>
          <w:rtl/>
        </w:rPr>
        <w:t>ً</w:t>
      </w:r>
      <w:r w:rsidRPr="005D0C50">
        <w:rPr>
          <w:rtl/>
        </w:rPr>
        <w:t>)</w:t>
      </w:r>
      <w:r w:rsidRPr="005D0C50">
        <w:rPr>
          <w:rFonts w:hint="cs"/>
          <w:rtl/>
        </w:rPr>
        <w:t>.</w:t>
      </w:r>
      <w:r w:rsidRPr="005D0C50">
        <w:rPr>
          <w:rtl/>
        </w:rPr>
        <w:t xml:space="preserve"> ويُعزى هذا الانخفاض بنسبة 90 في المائة إلى انخفاض عدد الملاحقين بسبب أفعال الإيذاء البدني غير الناجمة لا عن السرقة ولا عن تصفية الحسابات بين المجرمين (4,7- في المائة، أي 048 6- شخص</w:t>
      </w:r>
      <w:r w:rsidR="00526CCD">
        <w:rPr>
          <w:rtl/>
        </w:rPr>
        <w:t xml:space="preserve">اً </w:t>
      </w:r>
      <w:r w:rsidRPr="005D0C50">
        <w:rPr>
          <w:rtl/>
        </w:rPr>
        <w:t>ملاحقا</w:t>
      </w:r>
      <w:r w:rsidR="0082773D">
        <w:rPr>
          <w:rFonts w:hint="cs"/>
          <w:rtl/>
        </w:rPr>
        <w:t>ً</w:t>
      </w:r>
      <w:r w:rsidRPr="005D0C50">
        <w:rPr>
          <w:rtl/>
        </w:rPr>
        <w:t>)</w:t>
      </w:r>
      <w:r w:rsidRPr="005D0C50">
        <w:rPr>
          <w:rFonts w:hint="cs"/>
          <w:rtl/>
        </w:rPr>
        <w:t xml:space="preserve">. </w:t>
      </w:r>
      <w:r w:rsidRPr="005D0C50">
        <w:rPr>
          <w:rtl/>
        </w:rPr>
        <w:t>وانخفض أيض</w:t>
      </w:r>
      <w:r w:rsidR="00526CCD">
        <w:rPr>
          <w:rtl/>
        </w:rPr>
        <w:t xml:space="preserve">اً </w:t>
      </w:r>
      <w:r w:rsidRPr="005D0C50">
        <w:rPr>
          <w:rtl/>
        </w:rPr>
        <w:t>عدد الملاحقين بسبب ارتكاب أفعال العنف الجنسي، ولكن بنسب أضعف (1,1- في المائة، أي 97- ش</w:t>
      </w:r>
      <w:r w:rsidRPr="005D0C50">
        <w:rPr>
          <w:rFonts w:hint="cs"/>
          <w:rtl/>
        </w:rPr>
        <w:t>خ</w:t>
      </w:r>
      <w:r w:rsidRPr="005D0C50">
        <w:rPr>
          <w:rtl/>
        </w:rPr>
        <w:t>ص</w:t>
      </w:r>
      <w:r w:rsidR="00526CCD">
        <w:rPr>
          <w:rtl/>
        </w:rPr>
        <w:t xml:space="preserve">اً </w:t>
      </w:r>
      <w:r w:rsidRPr="005D0C50">
        <w:rPr>
          <w:rtl/>
        </w:rPr>
        <w:t>ملاحقا</w:t>
      </w:r>
      <w:r w:rsidR="005C435D">
        <w:rPr>
          <w:rFonts w:hint="cs"/>
          <w:rtl/>
        </w:rPr>
        <w:t>ً</w:t>
      </w:r>
      <w:r w:rsidRPr="005D0C50">
        <w:rPr>
          <w:rtl/>
        </w:rPr>
        <w:t>)</w:t>
      </w:r>
      <w:r>
        <w:rPr>
          <w:rStyle w:val="EndnoteReference"/>
          <w:rtl/>
        </w:rPr>
        <w:t>(</w:t>
      </w:r>
      <w:r w:rsidRPr="005D0C50">
        <w:rPr>
          <w:rStyle w:val="EndnoteReference"/>
          <w:rtl/>
        </w:rPr>
        <w:endnoteReference w:id="103"/>
      </w:r>
      <w:r>
        <w:rPr>
          <w:rStyle w:val="EndnoteReference"/>
          <w:rtl/>
        </w:rPr>
        <w:t>)</w:t>
      </w:r>
      <w:r w:rsidRPr="005D0C50">
        <w:rPr>
          <w:rFonts w:hint="cs"/>
          <w:rtl/>
        </w:rPr>
        <w:t>.</w:t>
      </w:r>
    </w:p>
    <w:p w:rsidR="00944A3C" w:rsidRPr="005D0C50" w:rsidRDefault="00944A3C" w:rsidP="005714DA">
      <w:pPr>
        <w:pStyle w:val="H4GA"/>
        <w:rPr>
          <w:rtl/>
          <w:lang w:val="es-ES" w:eastAsia="es-ES"/>
        </w:rPr>
      </w:pPr>
      <w:r w:rsidRPr="005D0C50">
        <w:rPr>
          <w:rFonts w:hint="cs"/>
          <w:rtl/>
          <w:lang w:val="es-ES" w:eastAsia="es-ES"/>
        </w:rPr>
        <w:lastRenderedPageBreak/>
        <w:tab/>
      </w:r>
      <w:r w:rsidR="005714DA">
        <w:rPr>
          <w:rFonts w:hint="cs"/>
          <w:rtl/>
          <w:lang w:val="es-ES" w:eastAsia="es-ES"/>
        </w:rPr>
        <w:t>‘</w:t>
      </w:r>
      <w:r w:rsidRPr="005D0C50">
        <w:rPr>
          <w:rFonts w:hint="cs"/>
          <w:rtl/>
          <w:lang w:val="es-ES" w:eastAsia="es-ES"/>
        </w:rPr>
        <w:t>3</w:t>
      </w:r>
      <w:r w:rsidR="005714DA">
        <w:rPr>
          <w:rFonts w:hint="cs"/>
          <w:rtl/>
          <w:lang w:val="es-ES" w:eastAsia="es-ES"/>
        </w:rPr>
        <w:t>‘</w:t>
      </w:r>
      <w:r w:rsidRPr="005D0C50">
        <w:rPr>
          <w:rFonts w:hint="cs"/>
          <w:rtl/>
          <w:lang w:val="es-ES" w:eastAsia="es-ES"/>
        </w:rPr>
        <w:tab/>
        <w:t>الإدانات (2014)</w:t>
      </w:r>
    </w:p>
    <w:p w:rsidR="00944A3C" w:rsidRPr="005D0C50" w:rsidRDefault="00944A3C" w:rsidP="00944A3C">
      <w:pPr>
        <w:pStyle w:val="SingleTxtGA"/>
        <w:rPr>
          <w:rtl/>
        </w:rPr>
      </w:pPr>
      <w:r w:rsidRPr="005D0C50">
        <w:rPr>
          <w:rFonts w:hint="cs"/>
          <w:rtl/>
        </w:rPr>
        <w:t>73-</w:t>
      </w:r>
      <w:r w:rsidRPr="005D0C50">
        <w:rPr>
          <w:rFonts w:hint="cs"/>
          <w:rtl/>
        </w:rPr>
        <w:tab/>
      </w:r>
      <w:r w:rsidRPr="005D0C50">
        <w:rPr>
          <w:rtl/>
        </w:rPr>
        <w:t>في عام 2014، صدر 000 584 حكم بالإدانة</w:t>
      </w:r>
      <w:r w:rsidRPr="005D0C50">
        <w:rPr>
          <w:rFonts w:hint="cs"/>
          <w:rtl/>
        </w:rPr>
        <w:t xml:space="preserve">. </w:t>
      </w:r>
      <w:r w:rsidRPr="005D0C50">
        <w:rPr>
          <w:rtl/>
        </w:rPr>
        <w:t>وتهم هذه الأحكام 000 494 مُدان، بالنظر إلى احتمال إدانة شخص ما عدة مرات في العام ذاته</w:t>
      </w:r>
      <w:r w:rsidRPr="005D0C50">
        <w:rPr>
          <w:rFonts w:hint="cs"/>
          <w:rtl/>
        </w:rPr>
        <w:t xml:space="preserve">. </w:t>
      </w:r>
      <w:r w:rsidRPr="005D0C50">
        <w:rPr>
          <w:rtl/>
        </w:rPr>
        <w:t>وبالمقابل، صدرت أحكام الإدانة البالغ عددها 000 584 بشأن 000 878 جريمة</w:t>
      </w:r>
      <w:r w:rsidRPr="005D0C50">
        <w:rPr>
          <w:rFonts w:hint="cs"/>
          <w:rtl/>
        </w:rPr>
        <w:t>. و</w:t>
      </w:r>
      <w:r w:rsidRPr="005D0C50">
        <w:rPr>
          <w:rtl/>
        </w:rPr>
        <w:t xml:space="preserve">في الواقع، </w:t>
      </w:r>
      <w:r w:rsidRPr="005D0C50">
        <w:rPr>
          <w:rFonts w:hint="cs"/>
          <w:rtl/>
        </w:rPr>
        <w:t xml:space="preserve">فإن </w:t>
      </w:r>
      <w:r w:rsidRPr="005D0C50">
        <w:rPr>
          <w:rtl/>
        </w:rPr>
        <w:t>حكم</w:t>
      </w:r>
      <w:r w:rsidR="00526CCD">
        <w:rPr>
          <w:rFonts w:hint="cs"/>
          <w:rtl/>
        </w:rPr>
        <w:t xml:space="preserve">اً </w:t>
      </w:r>
      <w:r w:rsidRPr="005D0C50">
        <w:rPr>
          <w:rtl/>
        </w:rPr>
        <w:t>واحد</w:t>
      </w:r>
      <w:r w:rsidR="00526CCD">
        <w:rPr>
          <w:rFonts w:hint="cs"/>
          <w:rtl/>
        </w:rPr>
        <w:t xml:space="preserve">اً </w:t>
      </w:r>
      <w:r w:rsidRPr="005D0C50">
        <w:rPr>
          <w:rtl/>
        </w:rPr>
        <w:t xml:space="preserve">بالإدانة قد </w:t>
      </w:r>
      <w:r w:rsidRPr="005D0C50">
        <w:rPr>
          <w:rFonts w:hint="cs"/>
          <w:rtl/>
        </w:rPr>
        <w:t>يشمل</w:t>
      </w:r>
      <w:r w:rsidRPr="005D0C50">
        <w:rPr>
          <w:rtl/>
        </w:rPr>
        <w:t xml:space="preserve"> عدة جرائم</w:t>
      </w:r>
      <w:r>
        <w:rPr>
          <w:rStyle w:val="EndnoteReference"/>
          <w:rtl/>
        </w:rPr>
        <w:t>(</w:t>
      </w:r>
      <w:r w:rsidRPr="005D0C50">
        <w:rPr>
          <w:rStyle w:val="EndnoteReference"/>
          <w:rtl/>
        </w:rPr>
        <w:endnoteReference w:id="104"/>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74-</w:t>
      </w:r>
      <w:r w:rsidRPr="005D0C50">
        <w:rPr>
          <w:rFonts w:hint="cs"/>
          <w:rtl/>
        </w:rPr>
        <w:tab/>
      </w:r>
      <w:r w:rsidRPr="005D0C50">
        <w:rPr>
          <w:rtl/>
        </w:rPr>
        <w:t xml:space="preserve">وفيما يتعلق </w:t>
      </w:r>
      <w:r w:rsidRPr="005D0C50">
        <w:rPr>
          <w:rFonts w:hint="cs"/>
          <w:rtl/>
        </w:rPr>
        <w:t>ب</w:t>
      </w:r>
      <w:r w:rsidRPr="005D0C50">
        <w:rPr>
          <w:rtl/>
        </w:rPr>
        <w:t>الجنح التي صدرت عقوبات بشأنها، فقد شكلت مخالفات قانون المرور</w:t>
      </w:r>
      <w:r>
        <w:rPr>
          <w:rFonts w:hint="cs"/>
          <w:rtl/>
        </w:rPr>
        <w:t> </w:t>
      </w:r>
      <w:r w:rsidRPr="005D0C50">
        <w:rPr>
          <w:rtl/>
        </w:rPr>
        <w:t xml:space="preserve">34,3 </w:t>
      </w:r>
      <w:r w:rsidRPr="005D0C50">
        <w:rPr>
          <w:rFonts w:hint="cs"/>
          <w:rtl/>
        </w:rPr>
        <w:t xml:space="preserve">في المائة </w:t>
      </w:r>
      <w:r w:rsidRPr="005D0C50">
        <w:rPr>
          <w:rtl/>
        </w:rPr>
        <w:t>منها</w:t>
      </w:r>
      <w:r w:rsidRPr="005D0C50">
        <w:rPr>
          <w:rFonts w:hint="cs"/>
          <w:rtl/>
        </w:rPr>
        <w:t xml:space="preserve">. </w:t>
      </w:r>
      <w:r w:rsidRPr="005D0C50">
        <w:rPr>
          <w:rtl/>
        </w:rPr>
        <w:t>وتلتها جرائم الإضرار بالممتلكات (السرقة، وإخفاء المسروقات، والاختلاس، والإتلاف)، بنسبة جريمة واحدة من كل خمس جرائم</w:t>
      </w:r>
      <w:r w:rsidRPr="005D0C50">
        <w:rPr>
          <w:rFonts w:hint="cs"/>
          <w:rtl/>
        </w:rPr>
        <w:t xml:space="preserve">. </w:t>
      </w:r>
      <w:r w:rsidRPr="005D0C50">
        <w:rPr>
          <w:rtl/>
        </w:rPr>
        <w:t>وشكلت حالات السرقة وإخفاء المسروقات معظم</w:t>
      </w:r>
      <w:r w:rsidRPr="005D0C50">
        <w:rPr>
          <w:rFonts w:hint="cs"/>
          <w:rtl/>
        </w:rPr>
        <w:t>َ</w:t>
      </w:r>
      <w:r w:rsidRPr="005D0C50">
        <w:rPr>
          <w:rtl/>
        </w:rPr>
        <w:t>ها (74 في المائة)</w:t>
      </w:r>
      <w:r w:rsidRPr="005D0C50">
        <w:rPr>
          <w:rFonts w:hint="cs"/>
          <w:rtl/>
        </w:rPr>
        <w:t>.</w:t>
      </w:r>
    </w:p>
    <w:p w:rsidR="00944A3C" w:rsidRPr="00944A3C" w:rsidRDefault="00944A3C" w:rsidP="00944A3C">
      <w:pPr>
        <w:pStyle w:val="SingleTxtGA"/>
        <w:rPr>
          <w:spacing w:val="-2"/>
          <w:rtl/>
        </w:rPr>
      </w:pPr>
      <w:r w:rsidRPr="00944A3C">
        <w:rPr>
          <w:rFonts w:hint="cs"/>
          <w:spacing w:val="-2"/>
          <w:rtl/>
        </w:rPr>
        <w:t>75-</w:t>
      </w:r>
      <w:r w:rsidRPr="00944A3C">
        <w:rPr>
          <w:rFonts w:hint="cs"/>
          <w:spacing w:val="-2"/>
          <w:rtl/>
        </w:rPr>
        <w:tab/>
      </w:r>
      <w:r w:rsidRPr="00944A3C">
        <w:rPr>
          <w:spacing w:val="-2"/>
          <w:rtl/>
        </w:rPr>
        <w:t>وشكلت حالات الاغتصاب 44 في المائة من الجرائم التي صدرت عقوبات على مرتكبيها (300 1 جريمة)</w:t>
      </w:r>
      <w:r w:rsidRPr="00944A3C">
        <w:rPr>
          <w:rFonts w:hint="cs"/>
          <w:spacing w:val="-2"/>
          <w:rtl/>
        </w:rPr>
        <w:t xml:space="preserve">. </w:t>
      </w:r>
      <w:r w:rsidRPr="00944A3C">
        <w:rPr>
          <w:spacing w:val="-2"/>
          <w:rtl/>
        </w:rPr>
        <w:t>ومثلت جرائم القتل العمد 14,2 في المائة من الأفعال الإجرامية المرتكبة ضد الأشخاص</w:t>
      </w:r>
      <w:r w:rsidRPr="00944A3C">
        <w:rPr>
          <w:rFonts w:hint="cs"/>
          <w:spacing w:val="-2"/>
          <w:rtl/>
        </w:rPr>
        <w:t>،</w:t>
      </w:r>
      <w:r w:rsidRPr="00944A3C">
        <w:rPr>
          <w:spacing w:val="-2"/>
          <w:rtl/>
        </w:rPr>
        <w:t xml:space="preserve"> وحوادث الضرب والاعتداءات الخطيرة 11,7 في المائة منها</w:t>
      </w:r>
      <w:r w:rsidRPr="00944A3C">
        <w:rPr>
          <w:rFonts w:hint="cs"/>
          <w:spacing w:val="-2"/>
          <w:rtl/>
        </w:rPr>
        <w:t xml:space="preserve">. </w:t>
      </w:r>
      <w:r w:rsidRPr="00944A3C">
        <w:rPr>
          <w:spacing w:val="-2"/>
          <w:rtl/>
        </w:rPr>
        <w:t>وشكلت أفعال الإضرار بالممتلكات مع وجود ظروف التشديد ما يناهز 27,4 في المائة من الجرائم، والإرهاب نحو 1,2 في المائة</w:t>
      </w:r>
      <w:r w:rsidRPr="00944A3C">
        <w:rPr>
          <w:rFonts w:hint="cs"/>
          <w:spacing w:val="-2"/>
          <w:rtl/>
        </w:rPr>
        <w:t>،</w:t>
      </w:r>
      <w:r w:rsidRPr="00944A3C">
        <w:rPr>
          <w:spacing w:val="-2"/>
          <w:rtl/>
        </w:rPr>
        <w:t xml:space="preserve"> والجرائم الأخرى، التي تشمل الاتجار بالمخدرات، 1,2 في المائة</w:t>
      </w:r>
      <w:r w:rsidRPr="00944A3C">
        <w:rPr>
          <w:rStyle w:val="EndnoteReference"/>
          <w:spacing w:val="-2"/>
          <w:rtl/>
        </w:rPr>
        <w:t>(</w:t>
      </w:r>
      <w:r w:rsidRPr="00944A3C">
        <w:rPr>
          <w:rStyle w:val="EndnoteReference"/>
          <w:spacing w:val="-2"/>
          <w:rtl/>
        </w:rPr>
        <w:endnoteReference w:id="105"/>
      </w:r>
      <w:r w:rsidRPr="00944A3C">
        <w:rPr>
          <w:rStyle w:val="EndnoteReference"/>
          <w:spacing w:val="-2"/>
          <w:rtl/>
        </w:rPr>
        <w:t>)</w:t>
      </w:r>
      <w:r w:rsidRPr="00944A3C">
        <w:rPr>
          <w:rFonts w:hint="cs"/>
          <w:spacing w:val="-2"/>
          <w:rtl/>
        </w:rPr>
        <w:t>.</w:t>
      </w:r>
    </w:p>
    <w:p w:rsidR="00944A3C" w:rsidRPr="00944A3C" w:rsidRDefault="00944A3C" w:rsidP="00944A3C">
      <w:pPr>
        <w:pStyle w:val="SingleTxtGA"/>
        <w:rPr>
          <w:spacing w:val="-2"/>
          <w:rtl/>
        </w:rPr>
      </w:pPr>
      <w:r w:rsidRPr="00944A3C">
        <w:rPr>
          <w:rFonts w:hint="cs"/>
          <w:spacing w:val="-2"/>
          <w:rtl/>
        </w:rPr>
        <w:t>76-</w:t>
      </w:r>
      <w:r w:rsidRPr="00944A3C">
        <w:rPr>
          <w:rFonts w:hint="cs"/>
          <w:spacing w:val="-2"/>
          <w:rtl/>
        </w:rPr>
        <w:tab/>
      </w:r>
      <w:r w:rsidRPr="00944A3C">
        <w:rPr>
          <w:spacing w:val="-2"/>
          <w:rtl/>
        </w:rPr>
        <w:t>وانخفض عدد التسويات المتعددة الخيارات منذ عام 2012 (5,3- في المائة)</w:t>
      </w:r>
      <w:r w:rsidRPr="00944A3C">
        <w:rPr>
          <w:rFonts w:hint="cs"/>
          <w:spacing w:val="-2"/>
          <w:rtl/>
        </w:rPr>
        <w:t xml:space="preserve">. </w:t>
      </w:r>
      <w:r w:rsidRPr="00944A3C">
        <w:rPr>
          <w:spacing w:val="-2"/>
          <w:rtl/>
        </w:rPr>
        <w:t>وينطبق هذا الإجراء الذي أنشئ في عام 2004 على مرتكبي المخالفات الذين يعترفون بارتكاب أفعال تشكل مخالفات وجنح</w:t>
      </w:r>
      <w:r w:rsidR="00526CCD">
        <w:rPr>
          <w:spacing w:val="-2"/>
          <w:rtl/>
        </w:rPr>
        <w:t xml:space="preserve">اً </w:t>
      </w:r>
      <w:r w:rsidRPr="00944A3C">
        <w:rPr>
          <w:spacing w:val="-2"/>
          <w:rtl/>
        </w:rPr>
        <w:t>محدودة الخطورة، مثل تلك المتصلة بالمرور على الطرق وبنقل المواد المخدرة أو استخدام</w:t>
      </w:r>
      <w:r w:rsidRPr="00944A3C">
        <w:rPr>
          <w:rFonts w:hint="cs"/>
          <w:spacing w:val="-2"/>
          <w:rtl/>
        </w:rPr>
        <w:t>ها</w:t>
      </w:r>
      <w:r w:rsidRPr="00944A3C">
        <w:rPr>
          <w:spacing w:val="-2"/>
          <w:rtl/>
        </w:rPr>
        <w:t xml:space="preserve"> التي تتقلص العقوبة عليها باللجوء إلى إجراء التسوية المتعددة الخيارات (المنشأ في عام 2004)</w:t>
      </w:r>
      <w:r w:rsidRPr="00944A3C">
        <w:rPr>
          <w:rFonts w:hint="cs"/>
          <w:spacing w:val="-2"/>
          <w:rtl/>
        </w:rPr>
        <w:t xml:space="preserve">. </w:t>
      </w:r>
      <w:r w:rsidRPr="00944A3C">
        <w:rPr>
          <w:spacing w:val="-2"/>
          <w:rtl/>
        </w:rPr>
        <w:t>ويقترح المدعي العام عقوبة: إما غرامة (66,5 في المائة) أو عقوبة بديلة (تعليق صلاحية رخصة السياقة، أو أداء عمل بلا أجر، أو حضور دورة تدريبية في المواطنة، وما إلى ذلك)</w:t>
      </w:r>
      <w:r w:rsidRPr="00944A3C">
        <w:rPr>
          <w:rFonts w:hint="cs"/>
          <w:spacing w:val="-2"/>
          <w:rtl/>
        </w:rPr>
        <w:t xml:space="preserve">. </w:t>
      </w:r>
      <w:r w:rsidRPr="00944A3C">
        <w:rPr>
          <w:spacing w:val="-2"/>
          <w:rtl/>
        </w:rPr>
        <w:t>وفي عام 2014، وافق القضاة على 700 65 تسوية متعددة الخيارات وسُجلت في صحيفة السوابق العدلية</w:t>
      </w:r>
      <w:r w:rsidRPr="00944A3C">
        <w:rPr>
          <w:rFonts w:hint="cs"/>
          <w:spacing w:val="-2"/>
          <w:rtl/>
        </w:rPr>
        <w:t xml:space="preserve">. </w:t>
      </w:r>
      <w:r w:rsidRPr="00944A3C">
        <w:rPr>
          <w:spacing w:val="-2"/>
          <w:rtl/>
        </w:rPr>
        <w:t>وتعلق 49,7 في المائة منها بمخالفات المرور على الطرق</w:t>
      </w:r>
      <w:r w:rsidRPr="00944A3C">
        <w:rPr>
          <w:rStyle w:val="EndnoteReference"/>
          <w:spacing w:val="-2"/>
          <w:rtl/>
        </w:rPr>
        <w:t>(</w:t>
      </w:r>
      <w:r w:rsidRPr="00944A3C">
        <w:rPr>
          <w:rStyle w:val="EndnoteReference"/>
          <w:spacing w:val="-2"/>
          <w:rtl/>
        </w:rPr>
        <w:endnoteReference w:id="106"/>
      </w:r>
      <w:r w:rsidRPr="00944A3C">
        <w:rPr>
          <w:rStyle w:val="EndnoteReference"/>
          <w:spacing w:val="-2"/>
          <w:rtl/>
        </w:rPr>
        <w:t>)</w:t>
      </w:r>
      <w:r w:rsidRPr="00944A3C">
        <w:rPr>
          <w:rFonts w:hint="cs"/>
          <w:spacing w:val="-2"/>
          <w:rtl/>
        </w:rPr>
        <w:t>.</w:t>
      </w:r>
    </w:p>
    <w:p w:rsidR="00944A3C" w:rsidRPr="005D0C50" w:rsidRDefault="00944A3C" w:rsidP="00944A3C">
      <w:pPr>
        <w:pStyle w:val="SingleTxtGA"/>
        <w:rPr>
          <w:rtl/>
        </w:rPr>
      </w:pPr>
      <w:r w:rsidRPr="005D0C50">
        <w:rPr>
          <w:rFonts w:hint="cs"/>
          <w:rtl/>
        </w:rPr>
        <w:t>77-</w:t>
      </w:r>
      <w:r w:rsidRPr="005D0C50">
        <w:rPr>
          <w:rFonts w:hint="cs"/>
          <w:rtl/>
        </w:rPr>
        <w:tab/>
      </w:r>
      <w:r w:rsidRPr="005D0C50">
        <w:rPr>
          <w:rtl/>
        </w:rPr>
        <w:t>وبالمقابل، زاد عدد الأشخاص المسجونين منذ عام 2008، بالنظر إلى ارتفاع حالات الحكم بعقوبة الحبس وزيادة مدة العقوبات، ولا سيما في أعقاب صدور القانون المتعلق بعقوبات الحبس لمدة "لا تقل عن حد معين" أو "دنيا"</w:t>
      </w:r>
      <w:r w:rsidRPr="005D0C50">
        <w:rPr>
          <w:rFonts w:hint="cs"/>
          <w:rtl/>
        </w:rPr>
        <w:t xml:space="preserve">. </w:t>
      </w:r>
      <w:r w:rsidRPr="005D0C50">
        <w:rPr>
          <w:rtl/>
        </w:rPr>
        <w:t>وقد نصت عليها الماد</w:t>
      </w:r>
      <w:r w:rsidRPr="005D0C50">
        <w:rPr>
          <w:rFonts w:hint="cs"/>
          <w:rtl/>
        </w:rPr>
        <w:t>ة</w:t>
      </w:r>
      <w:r w:rsidRPr="005D0C50">
        <w:rPr>
          <w:rtl/>
        </w:rPr>
        <w:t xml:space="preserve"> 132-19-1 والمادة</w:t>
      </w:r>
      <w:r>
        <w:rPr>
          <w:rFonts w:hint="cs"/>
          <w:rtl/>
        </w:rPr>
        <w:t> </w:t>
      </w:r>
      <w:r w:rsidRPr="005D0C50">
        <w:rPr>
          <w:rtl/>
        </w:rPr>
        <w:t>132-19-1-2 سابق</w:t>
      </w:r>
      <w:r w:rsidR="00526CCD">
        <w:rPr>
          <w:rtl/>
        </w:rPr>
        <w:t xml:space="preserve">اً </w:t>
      </w:r>
      <w:r w:rsidRPr="005D0C50">
        <w:rPr>
          <w:rtl/>
        </w:rPr>
        <w:t>من قانون العقوبات، المنطبقتان، على التوالي، على المجرمين المعاودين ومرتكبي بعض الجرائم الخطيرة ضد الأشخاص، حتى وإن لم يكونوا معاودين</w:t>
      </w:r>
      <w:r w:rsidRPr="005D0C50">
        <w:rPr>
          <w:rFonts w:hint="cs"/>
          <w:rtl/>
        </w:rPr>
        <w:t xml:space="preserve">. </w:t>
      </w:r>
      <w:r w:rsidRPr="005D0C50">
        <w:rPr>
          <w:rtl/>
        </w:rPr>
        <w:t>وكانت هذه العقوبات الدنيا تقتضي أن يصدر القاضي، لدى استيفاء الشروط المنصوص عليها في المادتين المذكورتين، عقوبة لا يجوز أن تقل مدتها عن حد أدنى</w:t>
      </w:r>
      <w:r w:rsidRPr="005D0C50">
        <w:rPr>
          <w:rFonts w:hint="cs"/>
          <w:rtl/>
        </w:rPr>
        <w:t xml:space="preserve">. </w:t>
      </w:r>
      <w:r w:rsidRPr="005D0C50">
        <w:rPr>
          <w:rtl/>
        </w:rPr>
        <w:t>وقد ألغى هذه الآليةَ القانونُ رقم</w:t>
      </w:r>
      <w:r>
        <w:rPr>
          <w:rFonts w:hint="cs"/>
          <w:rtl/>
        </w:rPr>
        <w:t> </w:t>
      </w:r>
      <w:r w:rsidRPr="005D0C50">
        <w:rPr>
          <w:rtl/>
        </w:rPr>
        <w:t>2044-986 المؤرخ 15 آب/أغسطس 2014 بشأن اتباع نهج فردي في العقوبات المفروضة والرامي إلى تعزيز فعالية العقوبات الجنائية</w:t>
      </w:r>
      <w:r w:rsidRPr="005D0C50">
        <w:rPr>
          <w:rFonts w:hint="cs"/>
          <w:rtl/>
        </w:rPr>
        <w:t>.</w:t>
      </w:r>
    </w:p>
    <w:p w:rsidR="00944A3C" w:rsidRPr="005D0C50" w:rsidRDefault="00944A3C" w:rsidP="00944A3C">
      <w:pPr>
        <w:pStyle w:val="SingleTxtGA"/>
        <w:rPr>
          <w:rtl/>
        </w:rPr>
      </w:pPr>
      <w:r w:rsidRPr="00944A3C">
        <w:rPr>
          <w:rFonts w:hint="cs"/>
          <w:spacing w:val="-6"/>
          <w:rtl/>
        </w:rPr>
        <w:t>78-</w:t>
      </w:r>
      <w:r w:rsidRPr="00944A3C">
        <w:rPr>
          <w:rFonts w:hint="cs"/>
          <w:spacing w:val="-6"/>
          <w:rtl/>
        </w:rPr>
        <w:tab/>
      </w:r>
      <w:r w:rsidRPr="00944A3C">
        <w:rPr>
          <w:spacing w:val="-6"/>
          <w:rtl/>
        </w:rPr>
        <w:t>وبموجب المادة 66-1 من الدستور وبمقتضى القانون المؤرخ 9 تشرين الأول/أكتوبر 1981،</w:t>
      </w:r>
      <w:r w:rsidRPr="005D0C50">
        <w:rPr>
          <w:rtl/>
        </w:rPr>
        <w:t xml:space="preserve"> لا يجوز الحكم على أي شخص بعقوبة الإعدام</w:t>
      </w:r>
      <w:r w:rsidRPr="005D0C50">
        <w:rPr>
          <w:rFonts w:hint="cs"/>
          <w:rtl/>
        </w:rPr>
        <w:t>.</w:t>
      </w:r>
    </w:p>
    <w:p w:rsidR="00944A3C" w:rsidRPr="005D0C50" w:rsidRDefault="00944A3C" w:rsidP="003C667A">
      <w:pPr>
        <w:pStyle w:val="H23GA"/>
        <w:rPr>
          <w:rtl/>
        </w:rPr>
      </w:pPr>
      <w:r w:rsidRPr="005D0C50">
        <w:rPr>
          <w:spacing w:val="-4"/>
        </w:rPr>
        <w:lastRenderedPageBreak/>
        <w:tab/>
      </w:r>
      <w:r w:rsidRPr="005D0C50">
        <w:rPr>
          <w:spacing w:val="-4"/>
          <w:rtl/>
        </w:rPr>
        <w:t>(ج)</w:t>
      </w:r>
      <w:r w:rsidRPr="005D0C50">
        <w:rPr>
          <w:spacing w:val="-4"/>
          <w:rtl/>
        </w:rPr>
        <w:tab/>
      </w:r>
      <w:r w:rsidRPr="005D0C50">
        <w:rPr>
          <w:rtl/>
        </w:rPr>
        <w:t>نزلاء السجون (2014)</w:t>
      </w:r>
    </w:p>
    <w:p w:rsidR="00944A3C" w:rsidRPr="005D0C50" w:rsidRDefault="00944A3C" w:rsidP="00323F71">
      <w:pPr>
        <w:pStyle w:val="SingleTxtGA"/>
        <w:rPr>
          <w:rtl/>
        </w:rPr>
      </w:pPr>
      <w:r w:rsidRPr="005D0C50">
        <w:rPr>
          <w:rFonts w:hint="cs"/>
          <w:rtl/>
        </w:rPr>
        <w:t>79-</w:t>
      </w:r>
      <w:r w:rsidRPr="005D0C50">
        <w:rPr>
          <w:rFonts w:hint="cs"/>
          <w:rtl/>
        </w:rPr>
        <w:tab/>
      </w:r>
      <w:r w:rsidRPr="005D0C50">
        <w:rPr>
          <w:rtl/>
          <w:lang w:val="fr-CH"/>
        </w:rPr>
        <w:t>حتى 1 كانون الثاني/يناير 2015، بلغ عدد الأماكن الجاهزة للاستخدام في المؤسسات والمجمعات السجنية 841 57، وعدد الأشخاص المسجونين 291 77</w:t>
      </w:r>
      <w:r w:rsidRPr="005D0C50">
        <w:rPr>
          <w:rFonts w:hint="cs"/>
          <w:rtl/>
          <w:lang w:val="fr-CH"/>
        </w:rPr>
        <w:t xml:space="preserve">. </w:t>
      </w:r>
      <w:r w:rsidRPr="005D0C50">
        <w:rPr>
          <w:rtl/>
          <w:lang w:val="fr-CH"/>
        </w:rPr>
        <w:t>غير أن</w:t>
      </w:r>
      <w:r>
        <w:rPr>
          <w:rFonts w:hint="cs"/>
          <w:rtl/>
          <w:lang w:val="fr-CH"/>
        </w:rPr>
        <w:t> </w:t>
      </w:r>
      <w:r w:rsidRPr="005D0C50">
        <w:rPr>
          <w:rtl/>
          <w:lang w:val="fr-CH"/>
        </w:rPr>
        <w:t>021 11 منهم كانوا يستفيدون من إجراء تكييف العقوبة (مُدانون متمتعون بالحرية الجزئية، أو خاضعون للمراقبة الإلكترونية، أو للاحتجاز خارج السجن)</w:t>
      </w:r>
      <w:r w:rsidRPr="005D0C50">
        <w:rPr>
          <w:rFonts w:hint="cs"/>
          <w:rtl/>
          <w:lang w:val="fr-CH"/>
        </w:rPr>
        <w:t xml:space="preserve">. </w:t>
      </w:r>
      <w:r w:rsidRPr="005D0C50">
        <w:rPr>
          <w:rtl/>
          <w:lang w:val="fr-CH"/>
        </w:rPr>
        <w:t xml:space="preserve">وبفضل هذه التدابير لم يكن قيد الاحتجاز </w:t>
      </w:r>
      <w:r w:rsidRPr="00323F71">
        <w:rPr>
          <w:rtl/>
          <w:lang w:val="fr-CH"/>
        </w:rPr>
        <w:t>سوى</w:t>
      </w:r>
      <w:r w:rsidR="00323F71" w:rsidRPr="00323F71">
        <w:rPr>
          <w:rFonts w:hint="cs"/>
          <w:rtl/>
          <w:lang w:val="fr-CH"/>
        </w:rPr>
        <w:t xml:space="preserve"> 620 6</w:t>
      </w:r>
      <w:r w:rsidR="00F85901">
        <w:rPr>
          <w:rFonts w:hint="cs"/>
          <w:rtl/>
          <w:lang w:val="fr-CH"/>
        </w:rPr>
        <w:t xml:space="preserve"> </w:t>
      </w:r>
      <w:r w:rsidRPr="005D0C50">
        <w:rPr>
          <w:rtl/>
          <w:lang w:val="fr-CH"/>
        </w:rPr>
        <w:t>شخصا</w:t>
      </w:r>
      <w:r w:rsidR="00F85901">
        <w:rPr>
          <w:rFonts w:hint="cs"/>
          <w:rtl/>
          <w:lang w:val="fr-CH"/>
        </w:rPr>
        <w:t>ً</w:t>
      </w:r>
      <w:r w:rsidRPr="005D0C50">
        <w:rPr>
          <w:rFonts w:hint="cs"/>
          <w:rtl/>
          <w:lang w:val="fr-CH"/>
        </w:rPr>
        <w:t xml:space="preserve">. </w:t>
      </w:r>
      <w:r w:rsidRPr="005D0C50">
        <w:rPr>
          <w:rtl/>
          <w:lang w:val="fr-CH"/>
        </w:rPr>
        <w:t>وضمن الأشخاص المسجونين، كان 742 60 مدانين و549 16 قيد الحبس الاحتياطي</w:t>
      </w:r>
      <w:r w:rsidRPr="005D0C50">
        <w:rPr>
          <w:rFonts w:hint="cs"/>
          <w:rtl/>
          <w:lang w:val="fr-CH"/>
        </w:rPr>
        <w:t xml:space="preserve">. </w:t>
      </w:r>
      <w:r w:rsidRPr="005D0C50">
        <w:rPr>
          <w:rtl/>
          <w:lang w:val="fr-CH"/>
        </w:rPr>
        <w:t>وكان 81 في المائة منهم يحملون الجنسية الفرنسية، و19 في المائة جنسية أجنبية</w:t>
      </w:r>
      <w:r w:rsidRPr="005D0C50">
        <w:rPr>
          <w:rFonts w:hint="cs"/>
          <w:rtl/>
        </w:rPr>
        <w:t>.</w:t>
      </w:r>
    </w:p>
    <w:p w:rsidR="00944A3C" w:rsidRPr="005D0C50" w:rsidRDefault="00944A3C" w:rsidP="00944A3C">
      <w:pPr>
        <w:pStyle w:val="SingleTxtGA"/>
        <w:rPr>
          <w:rtl/>
        </w:rPr>
      </w:pPr>
      <w:r w:rsidRPr="005D0C50">
        <w:rPr>
          <w:rFonts w:hint="cs"/>
          <w:rtl/>
        </w:rPr>
        <w:t>80-</w:t>
      </w:r>
      <w:r w:rsidRPr="005D0C50">
        <w:rPr>
          <w:rFonts w:hint="cs"/>
          <w:rtl/>
        </w:rPr>
        <w:tab/>
      </w:r>
      <w:r w:rsidRPr="005D0C50">
        <w:rPr>
          <w:rtl/>
        </w:rPr>
        <w:t>وضمن الأشخاص المسجونين والمدانين (المحتجزين وغير المحتجزين)، جرت إدانة 26,1 في المائة بسبب ارتكاب أفعال الإيذاء العمد، و14,7 في المائة بسبب مخالفة قانون المخدرات، و12,8 في المائة بسبب ارتكاب أفعال العنف الجنسي، و11 في المائة بسبب السرقة المقترنة بظروف التشديد أو السرقة الموصوفة أو الجنائية، و8,4 في المائة بسبب الاختلاس، و8,9 في المائة بسبب السرقة البسيطة، و5,8 في المائة بسبب القتل العمد، و5,7 في المائة بسبب القتل أو المساس غير العمد بالسلامة البدنية، و0,5 في المائة بسبب مخالفة القانون المتعلق بالأجانب، و7,5 في المائة بسبب مخالفات أخرى</w:t>
      </w:r>
      <w:r w:rsidRPr="005D0C50">
        <w:rPr>
          <w:rFonts w:hint="cs"/>
          <w:rtl/>
        </w:rPr>
        <w:t xml:space="preserve">. </w:t>
      </w:r>
      <w:r w:rsidRPr="005D0C50">
        <w:rPr>
          <w:rtl/>
        </w:rPr>
        <w:t>وفيما يتعلق أيض</w:t>
      </w:r>
      <w:r w:rsidR="00526CCD">
        <w:rPr>
          <w:rtl/>
        </w:rPr>
        <w:t xml:space="preserve">اً </w:t>
      </w:r>
      <w:r w:rsidRPr="005D0C50">
        <w:rPr>
          <w:rtl/>
        </w:rPr>
        <w:t>بالأشخاص المسجونين والمدانين (المحتجزين وغير المحتجزين)، فقد كان 17,2 في المائة منهم يقضون عقوبة تقل مدتها عن 6 أشهر، و19,2 في المائة عقوبة تتراوح مدتها بين 6 أشهر وأقل من سنة واحدة، و28,9 في المائة عقوبة تتراوح مدتها بين سنة واحدة وأقل من 3 سنوات، و11,7 في المائة عقوبة تتراوح مدتها بين 3 سنوات وأقل من 5 سنوات، و23 في المائة عقوبة مدتها 5 سنوات وأكثر</w:t>
      </w:r>
      <w:r w:rsidRPr="005D0C50">
        <w:rPr>
          <w:rFonts w:hint="cs"/>
          <w:rtl/>
        </w:rPr>
        <w:t xml:space="preserve">. </w:t>
      </w:r>
      <w:r w:rsidRPr="005D0C50">
        <w:rPr>
          <w:rtl/>
        </w:rPr>
        <w:t>وضمن هذه الفئة الأخيرة المؤلفة من 123 8 شخص</w:t>
      </w:r>
      <w:r w:rsidR="0031739C">
        <w:rPr>
          <w:rtl/>
        </w:rPr>
        <w:t>اً،</w:t>
      </w:r>
      <w:r w:rsidRPr="005D0C50">
        <w:rPr>
          <w:rtl/>
        </w:rPr>
        <w:t xml:space="preserve"> كان 3,1 في المائة يقضون عقوبة مدتها من 5 سنوات إلى أقل من 10 سنوات، و66,8 في المائة عقوبة مدتها من 10 سنوات إلى أقل من</w:t>
      </w:r>
      <w:r>
        <w:rPr>
          <w:rFonts w:hint="cs"/>
          <w:rtl/>
        </w:rPr>
        <w:t> </w:t>
      </w:r>
      <w:r w:rsidRPr="005D0C50">
        <w:rPr>
          <w:rtl/>
        </w:rPr>
        <w:t>20 سنة، و24,2 في المائة عقوبة مدتها من 20 سنة إلى أقل من 30 سنة، و5,9 في المائة عقوبة السجن مدى الحياة</w:t>
      </w:r>
      <w:r>
        <w:rPr>
          <w:rStyle w:val="EndnoteReference"/>
          <w:rtl/>
        </w:rPr>
        <w:t>(</w:t>
      </w:r>
      <w:r w:rsidRPr="005D0C50">
        <w:rPr>
          <w:rStyle w:val="EndnoteReference"/>
          <w:rtl/>
        </w:rPr>
        <w:endnoteReference w:id="107"/>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81-</w:t>
      </w:r>
      <w:r w:rsidRPr="005D0C50">
        <w:rPr>
          <w:rFonts w:hint="cs"/>
          <w:rtl/>
        </w:rPr>
        <w:tab/>
      </w:r>
      <w:r w:rsidRPr="005D0C50">
        <w:rPr>
          <w:rtl/>
        </w:rPr>
        <w:t>وفي عام 2014، سجلت إدارة السجون 94 حالة انتحار داخل السجون (بالإضافة إلى 16 حالة خارجها) و033 1 محاولة انتحار</w:t>
      </w:r>
      <w:r>
        <w:rPr>
          <w:rStyle w:val="EndnoteReference"/>
          <w:rtl/>
        </w:rPr>
        <w:t>(</w:t>
      </w:r>
      <w:r w:rsidRPr="005D0C50">
        <w:rPr>
          <w:rStyle w:val="EndnoteReference"/>
          <w:rtl/>
        </w:rPr>
        <w:endnoteReference w:id="108"/>
      </w:r>
      <w:r>
        <w:rPr>
          <w:rStyle w:val="EndnoteReference"/>
          <w:rtl/>
        </w:rPr>
        <w:t>)</w:t>
      </w:r>
      <w:r w:rsidRPr="005D0C50">
        <w:rPr>
          <w:rFonts w:hint="cs"/>
          <w:rtl/>
        </w:rPr>
        <w:t>.</w:t>
      </w:r>
    </w:p>
    <w:p w:rsidR="00944A3C" w:rsidRPr="005D0C50" w:rsidRDefault="00944A3C" w:rsidP="003C667A">
      <w:pPr>
        <w:pStyle w:val="H23GA"/>
        <w:rPr>
          <w:rtl/>
        </w:rPr>
      </w:pPr>
      <w:r w:rsidRPr="005D0C50">
        <w:rPr>
          <w:spacing w:val="-4"/>
        </w:rPr>
        <w:tab/>
      </w:r>
      <w:r w:rsidRPr="005D0C50">
        <w:rPr>
          <w:spacing w:val="-4"/>
          <w:rtl/>
        </w:rPr>
        <w:t>(د)</w:t>
      </w:r>
      <w:r w:rsidRPr="005D0C50">
        <w:rPr>
          <w:spacing w:val="-4"/>
          <w:rtl/>
        </w:rPr>
        <w:tab/>
      </w:r>
      <w:r w:rsidRPr="005D0C50">
        <w:rPr>
          <w:rtl/>
        </w:rPr>
        <w:t>قوات الشرطة والأمن</w:t>
      </w:r>
    </w:p>
    <w:p w:rsidR="00944A3C" w:rsidRPr="005D0C50" w:rsidRDefault="00944A3C" w:rsidP="00944A3C">
      <w:pPr>
        <w:pStyle w:val="SingleTxtGA"/>
        <w:rPr>
          <w:rtl/>
          <w:lang w:val="fr-CH"/>
        </w:rPr>
      </w:pPr>
      <w:r w:rsidRPr="005D0C50">
        <w:rPr>
          <w:rFonts w:hint="cs"/>
          <w:rtl/>
        </w:rPr>
        <w:t>82-</w:t>
      </w:r>
      <w:r w:rsidRPr="005D0C50">
        <w:rPr>
          <w:rFonts w:hint="cs"/>
          <w:rtl/>
        </w:rPr>
        <w:tab/>
      </w:r>
      <w:r w:rsidRPr="005D0C50">
        <w:rPr>
          <w:rtl/>
          <w:lang w:val="fr-CH"/>
        </w:rPr>
        <w:t>في عام 2012، بلغ عدد أفراد قوات الشرطة 000 143</w:t>
      </w:r>
      <w:r>
        <w:rPr>
          <w:rStyle w:val="EndnoteReference"/>
          <w:rtl/>
          <w:lang w:val="fr-CH"/>
        </w:rPr>
        <w:t>(</w:t>
      </w:r>
      <w:r w:rsidRPr="005D0C50">
        <w:rPr>
          <w:rStyle w:val="EndnoteReference"/>
          <w:rtl/>
          <w:lang w:val="fr-CH"/>
        </w:rPr>
        <w:endnoteReference w:id="109"/>
      </w:r>
      <w:r>
        <w:rPr>
          <w:rStyle w:val="EndnoteReference"/>
          <w:rtl/>
          <w:lang w:val="fr-CH"/>
        </w:rPr>
        <w:t>)</w:t>
      </w:r>
      <w:r w:rsidRPr="005D0C50">
        <w:rPr>
          <w:rtl/>
          <w:lang w:val="fr-CH"/>
        </w:rPr>
        <w:t>، مقابل 855 148 في عام 2008</w:t>
      </w:r>
      <w:r w:rsidRPr="005D0C50">
        <w:rPr>
          <w:rFonts w:hint="cs"/>
          <w:rtl/>
          <w:lang w:val="fr-CH"/>
        </w:rPr>
        <w:t xml:space="preserve">. </w:t>
      </w:r>
      <w:r w:rsidRPr="005D0C50">
        <w:rPr>
          <w:rtl/>
          <w:lang w:val="fr-CH"/>
        </w:rPr>
        <w:t>ويعزى هذا الانخفاض في العدد إلى اعتماد قاعدة عدم الاستعاضة عن موظف</w:t>
      </w:r>
      <w:r w:rsidRPr="005D0C50">
        <w:rPr>
          <w:rFonts w:hint="cs"/>
          <w:rtl/>
          <w:lang w:val="fr-CH"/>
        </w:rPr>
        <w:t>ٍ</w:t>
      </w:r>
      <w:r w:rsidRPr="005D0C50">
        <w:rPr>
          <w:rtl/>
          <w:lang w:val="fr-CH"/>
        </w:rPr>
        <w:t xml:space="preserve"> من </w:t>
      </w:r>
      <w:r w:rsidRPr="005D0C50">
        <w:rPr>
          <w:rFonts w:hint="cs"/>
          <w:rtl/>
          <w:lang w:val="fr-CH"/>
        </w:rPr>
        <w:t xml:space="preserve">كل </w:t>
      </w:r>
      <w:r w:rsidRPr="005D0C50">
        <w:rPr>
          <w:rtl/>
          <w:lang w:val="fr-CH"/>
        </w:rPr>
        <w:t>اثنين في عام 2008</w:t>
      </w:r>
      <w:r>
        <w:rPr>
          <w:rStyle w:val="EndnoteReference"/>
          <w:rtl/>
          <w:lang w:val="fr-CH"/>
        </w:rPr>
        <w:t>(</w:t>
      </w:r>
      <w:r w:rsidRPr="005D0C50">
        <w:rPr>
          <w:rStyle w:val="EndnoteReference"/>
          <w:rtl/>
          <w:lang w:val="fr-CH"/>
        </w:rPr>
        <w:endnoteReference w:id="110"/>
      </w:r>
      <w:r>
        <w:rPr>
          <w:rStyle w:val="EndnoteReference"/>
          <w:rtl/>
          <w:lang w:val="fr-CH"/>
        </w:rPr>
        <w:t>)</w:t>
      </w:r>
      <w:r w:rsidRPr="005D0C50">
        <w:rPr>
          <w:rFonts w:hint="cs"/>
          <w:rtl/>
          <w:lang w:val="fr-CH"/>
        </w:rPr>
        <w:t xml:space="preserve">. </w:t>
      </w:r>
      <w:r w:rsidRPr="005D0C50">
        <w:rPr>
          <w:rtl/>
          <w:lang w:val="fr-CH"/>
        </w:rPr>
        <w:t>وبعد إلغاء هذه القاعدة في عام 2013، استُحدث على وجه الخصوص 480 منصب</w:t>
      </w:r>
      <w:r w:rsidR="00526CCD">
        <w:rPr>
          <w:rtl/>
          <w:lang w:val="fr-CH"/>
        </w:rPr>
        <w:t xml:space="preserve">اً </w:t>
      </w:r>
      <w:r w:rsidRPr="005D0C50">
        <w:rPr>
          <w:rtl/>
          <w:lang w:val="fr-CH"/>
        </w:rPr>
        <w:t>في جهازي الشرطة والدرك</w:t>
      </w:r>
      <w:r>
        <w:rPr>
          <w:rStyle w:val="EndnoteReference"/>
          <w:rtl/>
          <w:lang w:val="fr-CH"/>
        </w:rPr>
        <w:t>(</w:t>
      </w:r>
      <w:r w:rsidRPr="005D0C50">
        <w:rPr>
          <w:rStyle w:val="EndnoteReference"/>
          <w:rtl/>
          <w:lang w:val="fr-CH"/>
        </w:rPr>
        <w:endnoteReference w:id="111"/>
      </w:r>
      <w:r>
        <w:rPr>
          <w:rStyle w:val="EndnoteReference"/>
          <w:rtl/>
          <w:lang w:val="fr-CH"/>
        </w:rPr>
        <w:t>)</w:t>
      </w:r>
      <w:r w:rsidRPr="005D0C50">
        <w:rPr>
          <w:rFonts w:hint="cs"/>
          <w:rtl/>
          <w:lang w:val="fr-CH"/>
        </w:rPr>
        <w:t>.</w:t>
      </w:r>
    </w:p>
    <w:p w:rsidR="00944A3C" w:rsidRPr="005D0C50" w:rsidRDefault="00944A3C" w:rsidP="00944A3C">
      <w:pPr>
        <w:pStyle w:val="SingleTxtGA"/>
        <w:rPr>
          <w:rtl/>
          <w:lang w:val="fr-CH"/>
        </w:rPr>
      </w:pPr>
      <w:r w:rsidRPr="005D0C50">
        <w:rPr>
          <w:rFonts w:hint="cs"/>
          <w:rtl/>
          <w:lang w:val="fr-CH"/>
        </w:rPr>
        <w:t>83-</w:t>
      </w:r>
      <w:r w:rsidRPr="005D0C50">
        <w:rPr>
          <w:rFonts w:hint="cs"/>
          <w:rtl/>
          <w:lang w:val="fr-CH"/>
        </w:rPr>
        <w:tab/>
      </w:r>
      <w:r w:rsidRPr="005D0C50">
        <w:rPr>
          <w:rtl/>
          <w:lang w:val="fr-CH"/>
        </w:rPr>
        <w:t xml:space="preserve">ومنذ تموز/يوليه 2012، </w:t>
      </w:r>
      <w:r w:rsidRPr="005D0C50">
        <w:rPr>
          <w:rFonts w:hint="cs"/>
          <w:rtl/>
          <w:lang w:val="fr-CH"/>
        </w:rPr>
        <w:t xml:space="preserve">حُددت </w:t>
      </w:r>
      <w:r w:rsidRPr="005D0C50">
        <w:rPr>
          <w:rtl/>
          <w:lang w:val="fr-CH"/>
        </w:rPr>
        <w:t xml:space="preserve">64 منطقة أمنية ذات أولوية </w:t>
      </w:r>
      <w:r w:rsidRPr="005D0C50">
        <w:rPr>
          <w:rFonts w:hint="cs"/>
          <w:rtl/>
          <w:lang w:val="fr-CH"/>
        </w:rPr>
        <w:t xml:space="preserve">تهم </w:t>
      </w:r>
      <w:r w:rsidRPr="005D0C50">
        <w:rPr>
          <w:rtl/>
          <w:lang w:val="fr-CH"/>
        </w:rPr>
        <w:t xml:space="preserve">1,6 مليون فرنسي، وذلك بغرض مكافحة </w:t>
      </w:r>
      <w:r w:rsidRPr="005D0C50">
        <w:rPr>
          <w:rFonts w:hint="cs"/>
          <w:rtl/>
          <w:lang w:val="fr-CH"/>
        </w:rPr>
        <w:t xml:space="preserve">الجريمة المتجذرة. </w:t>
      </w:r>
      <w:r w:rsidRPr="005D0C50">
        <w:rPr>
          <w:rtl/>
          <w:lang w:val="fr-CH"/>
        </w:rPr>
        <w:t>ومنذ ذلك الحين، سُجل انخفاض في نسبة الجريمة في مناطق عديدة</w:t>
      </w:r>
      <w:r>
        <w:rPr>
          <w:rStyle w:val="EndnoteReference"/>
          <w:rtl/>
          <w:lang w:val="fr-CH"/>
        </w:rPr>
        <w:t>(</w:t>
      </w:r>
      <w:r w:rsidRPr="005D0C50">
        <w:rPr>
          <w:rStyle w:val="EndnoteReference"/>
          <w:rtl/>
          <w:lang w:val="fr-CH"/>
        </w:rPr>
        <w:endnoteReference w:id="112"/>
      </w:r>
      <w:r>
        <w:rPr>
          <w:rStyle w:val="EndnoteReference"/>
          <w:rtl/>
          <w:lang w:val="fr-CH"/>
        </w:rPr>
        <w:t>)</w:t>
      </w:r>
      <w:r w:rsidRPr="005D0C50">
        <w:rPr>
          <w:rFonts w:hint="cs"/>
          <w:rtl/>
          <w:lang w:val="fr-CH"/>
        </w:rPr>
        <w:t>.</w:t>
      </w:r>
    </w:p>
    <w:p w:rsidR="00944A3C" w:rsidRPr="005D0C50" w:rsidRDefault="00944A3C" w:rsidP="003C667A">
      <w:pPr>
        <w:pStyle w:val="H23GA"/>
        <w:rPr>
          <w:rtl/>
        </w:rPr>
      </w:pPr>
      <w:r w:rsidRPr="005D0C50">
        <w:rPr>
          <w:spacing w:val="-4"/>
        </w:rPr>
        <w:lastRenderedPageBreak/>
        <w:tab/>
      </w:r>
      <w:r w:rsidRPr="005D0C50">
        <w:rPr>
          <w:spacing w:val="-4"/>
          <w:rtl/>
        </w:rPr>
        <w:t>(ه)</w:t>
      </w:r>
      <w:r w:rsidRPr="005D0C50">
        <w:rPr>
          <w:spacing w:val="-4"/>
          <w:rtl/>
        </w:rPr>
        <w:tab/>
      </w:r>
      <w:r w:rsidRPr="005D0C50">
        <w:rPr>
          <w:rtl/>
        </w:rPr>
        <w:t>عدد المدعين العامين والقضاة لكل 000 100 نسمة</w:t>
      </w:r>
    </w:p>
    <w:p w:rsidR="00944A3C" w:rsidRPr="005D0C50" w:rsidRDefault="00944A3C" w:rsidP="00F85901">
      <w:pPr>
        <w:pStyle w:val="SingleTxtGA"/>
        <w:rPr>
          <w:rtl/>
          <w:lang w:val="fr-CH"/>
        </w:rPr>
      </w:pPr>
      <w:r w:rsidRPr="005D0C50">
        <w:rPr>
          <w:rFonts w:hint="cs"/>
          <w:rtl/>
        </w:rPr>
        <w:t>84-</w:t>
      </w:r>
      <w:r w:rsidRPr="005D0C50">
        <w:rPr>
          <w:rFonts w:hint="cs"/>
          <w:rtl/>
        </w:rPr>
        <w:tab/>
      </w:r>
      <w:r w:rsidRPr="005D0C50">
        <w:rPr>
          <w:rtl/>
        </w:rPr>
        <w:t>في عام 2015، بلغ مجموع موظفي نظام العدالة 941 78 (</w:t>
      </w:r>
      <w:r w:rsidR="00F85901">
        <w:rPr>
          <w:rFonts w:hint="cs"/>
          <w:rtl/>
        </w:rPr>
        <w:t>+</w:t>
      </w:r>
      <w:r w:rsidRPr="005D0C50">
        <w:rPr>
          <w:rtl/>
        </w:rPr>
        <w:t>3,2 في المائة بالمقارنة مع عام 2014)، شكل أعضاء جهاز العدالة القضائية 641 31 منهم (</w:t>
      </w:r>
      <w:r w:rsidR="00F85901">
        <w:rPr>
          <w:rFonts w:hint="cs"/>
          <w:rtl/>
        </w:rPr>
        <w:t>+</w:t>
      </w:r>
      <w:r w:rsidRPr="005D0C50">
        <w:rPr>
          <w:rtl/>
        </w:rPr>
        <w:t>1,9 في المائة بالمقارنة مع عام 2014)</w:t>
      </w:r>
      <w:r>
        <w:rPr>
          <w:rStyle w:val="EndnoteReference"/>
          <w:rtl/>
        </w:rPr>
        <w:t>(</w:t>
      </w:r>
      <w:r w:rsidRPr="005D0C50">
        <w:rPr>
          <w:rStyle w:val="EndnoteReference"/>
          <w:rtl/>
        </w:rPr>
        <w:endnoteReference w:id="113"/>
      </w:r>
      <w:r>
        <w:rPr>
          <w:rStyle w:val="EndnoteReference"/>
          <w:rtl/>
        </w:rPr>
        <w:t>)</w:t>
      </w:r>
      <w:r w:rsidRPr="005D0C50">
        <w:rPr>
          <w:rFonts w:hint="cs"/>
          <w:rtl/>
          <w:lang w:val="fr-CH"/>
        </w:rPr>
        <w:t>.</w:t>
      </w:r>
    </w:p>
    <w:p w:rsidR="00944A3C" w:rsidRPr="005D0C50" w:rsidRDefault="00944A3C" w:rsidP="00944A3C">
      <w:pPr>
        <w:pStyle w:val="SingleTxtGA"/>
        <w:rPr>
          <w:rtl/>
          <w:lang w:val="fr-CH"/>
        </w:rPr>
      </w:pPr>
      <w:r w:rsidRPr="005D0C50">
        <w:rPr>
          <w:rFonts w:hint="cs"/>
          <w:rtl/>
          <w:lang w:val="fr-CH"/>
        </w:rPr>
        <w:t>85-</w:t>
      </w:r>
      <w:r w:rsidRPr="005D0C50">
        <w:rPr>
          <w:rFonts w:hint="cs"/>
          <w:rtl/>
          <w:lang w:val="fr-CH"/>
        </w:rPr>
        <w:tab/>
      </w:r>
      <w:r w:rsidRPr="005D0C50">
        <w:rPr>
          <w:rtl/>
          <w:lang w:val="fr-CH"/>
        </w:rPr>
        <w:t>وفي عام 2015، بلغ عدد المحامين 073 62، أي 93 محام</w:t>
      </w:r>
      <w:r w:rsidRPr="005D0C50">
        <w:rPr>
          <w:rFonts w:hint="cs"/>
          <w:rtl/>
          <w:lang w:val="fr-CH"/>
        </w:rPr>
        <w:t>ي</w:t>
      </w:r>
      <w:r w:rsidR="00526CCD">
        <w:rPr>
          <w:rFonts w:hint="cs"/>
          <w:rtl/>
          <w:lang w:val="fr-CH"/>
        </w:rPr>
        <w:t xml:space="preserve">اً </w:t>
      </w:r>
      <w:r w:rsidRPr="005D0C50">
        <w:rPr>
          <w:rtl/>
          <w:lang w:val="fr-CH"/>
        </w:rPr>
        <w:t>لكل 000 100</w:t>
      </w:r>
      <w:r w:rsidR="003C667A">
        <w:rPr>
          <w:rFonts w:hint="cs"/>
          <w:rtl/>
          <w:lang w:val="fr-CH"/>
        </w:rPr>
        <w:t xml:space="preserve"> </w:t>
      </w:r>
      <w:r w:rsidRPr="005D0C50">
        <w:rPr>
          <w:rtl/>
          <w:lang w:val="fr-CH"/>
        </w:rPr>
        <w:t>نسمة</w:t>
      </w:r>
      <w:r>
        <w:rPr>
          <w:rStyle w:val="EndnoteReference"/>
          <w:rtl/>
          <w:lang w:val="fr-CH"/>
        </w:rPr>
        <w:t>(</w:t>
      </w:r>
      <w:r w:rsidRPr="005D0C50">
        <w:rPr>
          <w:rStyle w:val="EndnoteReference"/>
          <w:rtl/>
          <w:lang w:val="fr-CH"/>
        </w:rPr>
        <w:endnoteReference w:id="114"/>
      </w:r>
      <w:r>
        <w:rPr>
          <w:rStyle w:val="EndnoteReference"/>
          <w:rtl/>
          <w:lang w:val="fr-CH"/>
        </w:rPr>
        <w:t>)</w:t>
      </w:r>
      <w:r w:rsidRPr="005D0C50">
        <w:rPr>
          <w:rFonts w:hint="cs"/>
          <w:rtl/>
          <w:lang w:val="fr-CH"/>
        </w:rPr>
        <w:t>.</w:t>
      </w:r>
    </w:p>
    <w:p w:rsidR="00944A3C" w:rsidRPr="005D0C50" w:rsidRDefault="00944A3C" w:rsidP="00944A3C">
      <w:pPr>
        <w:pStyle w:val="SingleTxtGA"/>
        <w:rPr>
          <w:rtl/>
          <w:lang w:val="fr-CH"/>
        </w:rPr>
      </w:pPr>
      <w:r w:rsidRPr="005D0C50">
        <w:rPr>
          <w:rFonts w:hint="cs"/>
          <w:rtl/>
          <w:lang w:val="fr-CH"/>
        </w:rPr>
        <w:t>86-</w:t>
      </w:r>
      <w:r w:rsidRPr="005D0C50">
        <w:rPr>
          <w:rFonts w:hint="cs"/>
          <w:rtl/>
          <w:lang w:val="fr-CH"/>
        </w:rPr>
        <w:tab/>
      </w:r>
      <w:r w:rsidRPr="005D0C50">
        <w:rPr>
          <w:rtl/>
          <w:lang w:val="fr-CH"/>
        </w:rPr>
        <w:t xml:space="preserve">وفي عام 2014، بلغ عدد القضاة </w:t>
      </w:r>
      <w:r w:rsidRPr="005D0C50">
        <w:rPr>
          <w:rFonts w:hint="cs"/>
          <w:rtl/>
          <w:lang w:val="fr-CH"/>
        </w:rPr>
        <w:t xml:space="preserve">المحترفين </w:t>
      </w:r>
      <w:r w:rsidRPr="005D0C50">
        <w:rPr>
          <w:rtl/>
          <w:lang w:val="fr-CH"/>
        </w:rPr>
        <w:t>المعينين في المحاكم 935 6، أي 10,5 قضاة لكل 000 100 نسمة</w:t>
      </w:r>
      <w:r w:rsidRPr="005D0C50">
        <w:rPr>
          <w:rFonts w:hint="cs"/>
          <w:rtl/>
          <w:lang w:val="fr-CH"/>
        </w:rPr>
        <w:t xml:space="preserve">. </w:t>
      </w:r>
      <w:r w:rsidRPr="005D0C50">
        <w:rPr>
          <w:rtl/>
          <w:lang w:val="fr-CH"/>
        </w:rPr>
        <w:t>وبالإضافة إلى ذلك، كان ثمة 510 قضاة محترفين يمارسون مهنة القضاء من حين إلى آخر، أي 0,8 لكل 000 100 نسمة</w:t>
      </w:r>
      <w:r w:rsidRPr="005D0C50">
        <w:rPr>
          <w:rFonts w:hint="cs"/>
          <w:rtl/>
          <w:lang w:val="fr-CH"/>
        </w:rPr>
        <w:t xml:space="preserve">. </w:t>
      </w:r>
      <w:r w:rsidRPr="005D0C50">
        <w:rPr>
          <w:rtl/>
          <w:lang w:val="fr-CH"/>
        </w:rPr>
        <w:t>وهم محترفون ذوو خبرة في مجال القانون يرتبط عملهم بمدى احتياجات المواطنين المحليين وبإعمال مبدأ المحاكمة السريعة</w:t>
      </w:r>
      <w:r w:rsidRPr="005D0C50">
        <w:rPr>
          <w:rFonts w:hint="cs"/>
          <w:rtl/>
          <w:lang w:val="fr-CH"/>
        </w:rPr>
        <w:t xml:space="preserve">. </w:t>
      </w:r>
      <w:r w:rsidRPr="005D0C50">
        <w:rPr>
          <w:rtl/>
          <w:lang w:val="fr-CH"/>
        </w:rPr>
        <w:t>كما كان ثمة 921 24 قاضي</w:t>
      </w:r>
      <w:r w:rsidR="00526CCD">
        <w:rPr>
          <w:rtl/>
          <w:lang w:val="fr-CH"/>
        </w:rPr>
        <w:t xml:space="preserve">اً </w:t>
      </w:r>
      <w:r w:rsidRPr="005D0C50">
        <w:rPr>
          <w:rtl/>
          <w:lang w:val="fr-CH"/>
        </w:rPr>
        <w:t>غير محترف</w:t>
      </w:r>
      <w:r w:rsidRPr="005D0C50">
        <w:rPr>
          <w:rFonts w:hint="cs"/>
          <w:rtl/>
          <w:lang w:val="fr-CH"/>
        </w:rPr>
        <w:t xml:space="preserve">؛ </w:t>
      </w:r>
      <w:r w:rsidRPr="005D0C50">
        <w:rPr>
          <w:rtl/>
          <w:lang w:val="fr-CH"/>
        </w:rPr>
        <w:t xml:space="preserve">يمارسون </w:t>
      </w:r>
      <w:r w:rsidRPr="005D0C50">
        <w:rPr>
          <w:rFonts w:hint="cs"/>
          <w:rtl/>
          <w:lang w:val="fr-CH"/>
        </w:rPr>
        <w:t xml:space="preserve">القضاء </w:t>
      </w:r>
      <w:r w:rsidRPr="005D0C50">
        <w:rPr>
          <w:rtl/>
          <w:lang w:val="fr-CH"/>
        </w:rPr>
        <w:t>أساس</w:t>
      </w:r>
      <w:r w:rsidR="00526CCD">
        <w:rPr>
          <w:rtl/>
          <w:lang w:val="fr-CH"/>
        </w:rPr>
        <w:t xml:space="preserve">اً </w:t>
      </w:r>
      <w:r w:rsidRPr="005D0C50">
        <w:rPr>
          <w:rtl/>
          <w:lang w:val="fr-CH"/>
        </w:rPr>
        <w:t>في المحاكم المتخصصة في قانون العمل والقانون التجاري</w:t>
      </w:r>
      <w:r>
        <w:rPr>
          <w:rStyle w:val="EndnoteReference"/>
          <w:rtl/>
          <w:lang w:val="fr-CH"/>
        </w:rPr>
        <w:t>(</w:t>
      </w:r>
      <w:r w:rsidRPr="005D0C50">
        <w:rPr>
          <w:rStyle w:val="EndnoteReference"/>
          <w:rtl/>
          <w:lang w:val="fr-CH"/>
        </w:rPr>
        <w:endnoteReference w:id="115"/>
      </w:r>
      <w:r>
        <w:rPr>
          <w:rStyle w:val="EndnoteReference"/>
          <w:rtl/>
          <w:lang w:val="fr-CH"/>
        </w:rPr>
        <w:t>)</w:t>
      </w:r>
      <w:r w:rsidRPr="005D0C50">
        <w:rPr>
          <w:rFonts w:hint="cs"/>
          <w:rtl/>
          <w:lang w:val="fr-CH"/>
        </w:rPr>
        <w:t xml:space="preserve">. </w:t>
      </w:r>
      <w:r w:rsidRPr="005D0C50">
        <w:rPr>
          <w:rtl/>
          <w:lang w:val="fr-CH"/>
        </w:rPr>
        <w:t>وكان يعمل في المحاكم ما مجموعه 360 22 شخص</w:t>
      </w:r>
      <w:r w:rsidR="00526CCD">
        <w:rPr>
          <w:rtl/>
          <w:lang w:val="fr-CH"/>
        </w:rPr>
        <w:t xml:space="preserve">اً </w:t>
      </w:r>
      <w:r w:rsidRPr="005D0C50">
        <w:rPr>
          <w:rtl/>
          <w:lang w:val="fr-CH"/>
        </w:rPr>
        <w:t>غير قاض</w:t>
      </w:r>
      <w:r w:rsidRPr="005D0C50">
        <w:rPr>
          <w:rFonts w:hint="cs"/>
          <w:rtl/>
          <w:lang w:val="fr-CH"/>
        </w:rPr>
        <w:t>.</w:t>
      </w:r>
    </w:p>
    <w:p w:rsidR="00944A3C" w:rsidRPr="005D0C50" w:rsidRDefault="00944A3C" w:rsidP="003C667A">
      <w:pPr>
        <w:pStyle w:val="SingleTxtGA"/>
        <w:rPr>
          <w:rtl/>
        </w:rPr>
      </w:pPr>
      <w:r w:rsidRPr="005D0C50">
        <w:rPr>
          <w:rFonts w:hint="cs"/>
          <w:rtl/>
          <w:lang w:val="fr-CH"/>
        </w:rPr>
        <w:t>87-</w:t>
      </w:r>
      <w:r w:rsidRPr="005D0C50">
        <w:rPr>
          <w:rFonts w:hint="cs"/>
          <w:rtl/>
          <w:lang w:val="fr-CH"/>
        </w:rPr>
        <w:tab/>
      </w:r>
      <w:r w:rsidRPr="005D0C50">
        <w:rPr>
          <w:rtl/>
          <w:lang w:val="fr-CH"/>
        </w:rPr>
        <w:t>وفي عام 2014، كانت النيابات العامة تضم 882 1 مدعي</w:t>
      </w:r>
      <w:r w:rsidR="00526CCD">
        <w:rPr>
          <w:rtl/>
          <w:lang w:val="fr-CH"/>
        </w:rPr>
        <w:t xml:space="preserve">اً </w:t>
      </w:r>
      <w:r w:rsidRPr="005D0C50">
        <w:rPr>
          <w:rtl/>
          <w:lang w:val="fr-CH"/>
        </w:rPr>
        <w:t>عام</w:t>
      </w:r>
      <w:r w:rsidR="0031739C">
        <w:rPr>
          <w:rtl/>
          <w:lang w:val="fr-CH"/>
        </w:rPr>
        <w:t>اً،</w:t>
      </w:r>
      <w:r w:rsidRPr="005D0C50">
        <w:rPr>
          <w:rtl/>
          <w:lang w:val="fr-CH"/>
        </w:rPr>
        <w:t xml:space="preserve"> أي 2,8 لكل</w:t>
      </w:r>
      <w:r w:rsidR="003C667A">
        <w:rPr>
          <w:rFonts w:hint="cs"/>
          <w:rtl/>
          <w:lang w:val="fr-CH"/>
        </w:rPr>
        <w:t> </w:t>
      </w:r>
      <w:r w:rsidRPr="005D0C50">
        <w:rPr>
          <w:rtl/>
          <w:lang w:val="fr-CH"/>
        </w:rPr>
        <w:t>000 100 نسمة</w:t>
      </w:r>
      <w:r>
        <w:rPr>
          <w:rStyle w:val="EndnoteReference"/>
          <w:rtl/>
          <w:lang w:val="fr-CH"/>
        </w:rPr>
        <w:t>(</w:t>
      </w:r>
      <w:r w:rsidRPr="005D0C50">
        <w:rPr>
          <w:rStyle w:val="EndnoteReference"/>
          <w:rtl/>
          <w:lang w:val="fr-CH"/>
        </w:rPr>
        <w:endnoteReference w:id="116"/>
      </w:r>
      <w:r>
        <w:rPr>
          <w:rStyle w:val="EndnoteReference"/>
          <w:rtl/>
          <w:lang w:val="fr-CH"/>
        </w:rPr>
        <w:t>)</w:t>
      </w:r>
      <w:r w:rsidRPr="005D0C50">
        <w:rPr>
          <w:rFonts w:hint="cs"/>
          <w:rtl/>
          <w:lang w:val="fr-CH"/>
        </w:rPr>
        <w:t>.</w:t>
      </w:r>
    </w:p>
    <w:p w:rsidR="00944A3C" w:rsidRPr="005D0C50" w:rsidRDefault="00944A3C" w:rsidP="00944A3C">
      <w:pPr>
        <w:pStyle w:val="H23G"/>
        <w:bidi/>
        <w:spacing w:before="120" w:line="240" w:lineRule="atLeast"/>
        <w:rPr>
          <w:rFonts w:ascii="Traditional Arabic" w:hAnsi="Traditional Arabic" w:hint="default"/>
          <w:b w:val="0"/>
          <w:bCs/>
          <w:sz w:val="30"/>
          <w:rtl/>
        </w:rPr>
      </w:pPr>
      <w:r w:rsidRPr="005D0C50">
        <w:rPr>
          <w:rFonts w:ascii="Traditional Arabic" w:hAnsi="Traditional Arabic" w:hint="default"/>
          <w:b w:val="0"/>
          <w:bCs/>
          <w:spacing w:val="-4"/>
          <w:sz w:val="30"/>
        </w:rPr>
        <w:tab/>
      </w:r>
      <w:r w:rsidRPr="005D0C50">
        <w:rPr>
          <w:rFonts w:ascii="Traditional Arabic" w:hAnsi="Traditional Arabic" w:hint="default"/>
          <w:b w:val="0"/>
          <w:bCs/>
          <w:spacing w:val="-4"/>
          <w:sz w:val="30"/>
          <w:rtl/>
        </w:rPr>
        <w:t>(</w:t>
      </w:r>
      <w:r w:rsidRPr="005D0C50">
        <w:rPr>
          <w:rFonts w:ascii="Traditional Arabic" w:hAnsi="Traditional Arabic"/>
          <w:b w:val="0"/>
          <w:bCs/>
          <w:spacing w:val="-4"/>
          <w:sz w:val="30"/>
          <w:rtl/>
        </w:rPr>
        <w:t>و</w:t>
      </w:r>
      <w:r w:rsidRPr="005D0C50">
        <w:rPr>
          <w:rFonts w:ascii="Traditional Arabic" w:hAnsi="Traditional Arabic" w:hint="default"/>
          <w:b w:val="0"/>
          <w:bCs/>
          <w:spacing w:val="-4"/>
          <w:sz w:val="30"/>
          <w:rtl/>
        </w:rPr>
        <w:t>)</w:t>
      </w:r>
      <w:r w:rsidRPr="005D0C50">
        <w:rPr>
          <w:rFonts w:ascii="Traditional Arabic" w:hAnsi="Traditional Arabic" w:hint="default"/>
          <w:b w:val="0"/>
          <w:bCs/>
          <w:spacing w:val="-4"/>
          <w:sz w:val="30"/>
          <w:rtl/>
        </w:rPr>
        <w:tab/>
      </w:r>
      <w:r w:rsidRPr="005D0C50">
        <w:rPr>
          <w:rFonts w:ascii="Traditional Arabic" w:hAnsi="Traditional Arabic"/>
          <w:b w:val="0"/>
          <w:bCs/>
          <w:spacing w:val="-4"/>
          <w:sz w:val="30"/>
          <w:rtl/>
        </w:rPr>
        <w:t>الميزانية المخصصة لنظام العدالة وللمساعدة القانونية</w:t>
      </w:r>
    </w:p>
    <w:p w:rsidR="00944A3C" w:rsidRPr="00D450DE" w:rsidRDefault="00944A3C" w:rsidP="00F94D08">
      <w:pPr>
        <w:pStyle w:val="SingleTxtGA"/>
        <w:rPr>
          <w:rtl/>
        </w:rPr>
      </w:pPr>
      <w:r w:rsidRPr="005D0C50">
        <w:rPr>
          <w:rFonts w:hint="cs"/>
          <w:rtl/>
        </w:rPr>
        <w:t>88-</w:t>
      </w:r>
      <w:r w:rsidRPr="005D0C50">
        <w:rPr>
          <w:rFonts w:hint="cs"/>
          <w:rtl/>
        </w:rPr>
        <w:tab/>
      </w:r>
      <w:r w:rsidRPr="005D0C50">
        <w:rPr>
          <w:rtl/>
        </w:rPr>
        <w:t xml:space="preserve">في عام 2015، بلغت الميزانية السنوية الإجمالية المخصصة لنظام العدالة ككل 7,9 بلايين يورو في قانون المالية الأولي، </w:t>
      </w:r>
      <w:r w:rsidRPr="005D0C50">
        <w:rPr>
          <w:rFonts w:hint="cs"/>
          <w:rtl/>
        </w:rPr>
        <w:t xml:space="preserve">بالإضافة إلى </w:t>
      </w:r>
      <w:r w:rsidRPr="005D0C50">
        <w:rPr>
          <w:rtl/>
        </w:rPr>
        <w:t xml:space="preserve">109,8 </w:t>
      </w:r>
      <w:r w:rsidRPr="005D0C50">
        <w:rPr>
          <w:rFonts w:hint="cs"/>
          <w:rtl/>
        </w:rPr>
        <w:t>م</w:t>
      </w:r>
      <w:r w:rsidRPr="005D0C50">
        <w:rPr>
          <w:rtl/>
        </w:rPr>
        <w:t>لايين يورو مخصصة لخطة مكافحة الإرهاب</w:t>
      </w:r>
      <w:r w:rsidRPr="005D0C50">
        <w:rPr>
          <w:rFonts w:hint="cs"/>
          <w:rtl/>
        </w:rPr>
        <w:t xml:space="preserve">. </w:t>
      </w:r>
      <w:r w:rsidRPr="005D0C50">
        <w:rPr>
          <w:rtl/>
        </w:rPr>
        <w:t>وبلغت تكاليف العدالة 444 مليون يورو (بالإضافة إلى 7 ملايين يورو مخصصة لخطة مكافحة الإرهاب) وتكاليف المساعدة 375,4 مليون يورو (43 مليون يورو منها متأتية من موارد خارجة عن الميزانية)</w:t>
      </w:r>
      <w:r w:rsidRPr="005D0C50">
        <w:rPr>
          <w:rFonts w:hint="cs"/>
          <w:rtl/>
        </w:rPr>
        <w:t xml:space="preserve">. </w:t>
      </w:r>
      <w:r w:rsidRPr="005D0C50">
        <w:rPr>
          <w:rtl/>
        </w:rPr>
        <w:t>وتقدَّم المساعدة القانونية وفق شروط مرتبطة بموارد الشخص المالية وجنسيته أو إقامته في إقليم فرنسا</w:t>
      </w:r>
      <w:r w:rsidRPr="005D0C50">
        <w:rPr>
          <w:rFonts w:hint="cs"/>
          <w:rtl/>
        </w:rPr>
        <w:t xml:space="preserve">. </w:t>
      </w:r>
      <w:r w:rsidRPr="005D0C50">
        <w:rPr>
          <w:rtl/>
        </w:rPr>
        <w:t>وفي عام 2015، استفاد منها 576 989 شخصا</w:t>
      </w:r>
      <w:r w:rsidR="00F94D08">
        <w:rPr>
          <w:rFonts w:hint="cs"/>
          <w:rtl/>
        </w:rPr>
        <w:t>ً</w:t>
      </w:r>
      <w:r w:rsidRPr="005D0C50">
        <w:rPr>
          <w:rFonts w:hint="cs"/>
          <w:rtl/>
        </w:rPr>
        <w:t xml:space="preserve">. </w:t>
      </w:r>
      <w:r w:rsidRPr="005D0C50">
        <w:rPr>
          <w:rtl/>
        </w:rPr>
        <w:t>ويُعفى تلقائي</w:t>
      </w:r>
      <w:r w:rsidR="00526CCD">
        <w:rPr>
          <w:rtl/>
        </w:rPr>
        <w:t xml:space="preserve">اً </w:t>
      </w:r>
      <w:r w:rsidRPr="005D0C50">
        <w:rPr>
          <w:rtl/>
        </w:rPr>
        <w:t>من دفع تكاليف الدعوى كل شخص يحصل على المساعدة القضائية</w:t>
      </w:r>
      <w:r w:rsidRPr="005D0C50">
        <w:rPr>
          <w:rFonts w:hint="cs"/>
          <w:rtl/>
        </w:rPr>
        <w:t xml:space="preserve">. </w:t>
      </w:r>
      <w:r w:rsidRPr="005D0C50">
        <w:rPr>
          <w:rtl/>
        </w:rPr>
        <w:t>وفرنسا من الدول الأعضاء في مجلس أوروبا التي طورت نظام المساعدة القضائية كمّاً ونوعاً</w:t>
      </w:r>
      <w:r w:rsidRPr="005D0C50">
        <w:rPr>
          <w:rFonts w:hint="cs"/>
          <w:rtl/>
        </w:rPr>
        <w:t xml:space="preserve">؛ </w:t>
      </w:r>
      <w:r w:rsidRPr="005D0C50">
        <w:rPr>
          <w:rtl/>
        </w:rPr>
        <w:t>وهي على وجه</w:t>
      </w:r>
      <w:r w:rsidR="00F94D08">
        <w:rPr>
          <w:rFonts w:hint="cs"/>
          <w:rtl/>
        </w:rPr>
        <w:t> </w:t>
      </w:r>
      <w:r w:rsidRPr="005D0C50">
        <w:rPr>
          <w:rtl/>
        </w:rPr>
        <w:t>الخصوص إحدى الدولتين الوحيدتين، إلى جانب لكسمبرغ، اللتين تتيحان الاستفادة بالمجان من خدمات جميع المحاكم</w:t>
      </w:r>
      <w:r>
        <w:rPr>
          <w:rStyle w:val="EndnoteReference"/>
          <w:rtl/>
        </w:rPr>
        <w:t>(</w:t>
      </w:r>
      <w:r w:rsidRPr="005D0C50">
        <w:rPr>
          <w:rStyle w:val="EndnoteReference"/>
          <w:rtl/>
        </w:rPr>
        <w:endnoteReference w:id="117"/>
      </w:r>
      <w:r>
        <w:rPr>
          <w:rStyle w:val="EndnoteReference"/>
          <w:rtl/>
        </w:rPr>
        <w:t>)</w:t>
      </w:r>
      <w:r w:rsidRPr="005D0C50">
        <w:rPr>
          <w:rFonts w:hint="cs"/>
          <w:rtl/>
        </w:rPr>
        <w:t xml:space="preserve">. </w:t>
      </w:r>
      <w:r w:rsidRPr="005D0C50">
        <w:rPr>
          <w:rtl/>
        </w:rPr>
        <w:t>وبالفعل، فقد أُلغيت في 1 كانون الثاني/يناير 2014 المساهمة في المساعدة القضائية المحددة في مبلغ 35 يورو، التي كانت واجبة في الفترة الممتدة بين</w:t>
      </w:r>
      <w:r w:rsidR="00F94D08">
        <w:rPr>
          <w:rFonts w:hint="cs"/>
          <w:rtl/>
        </w:rPr>
        <w:t> </w:t>
      </w:r>
      <w:r w:rsidRPr="00D450DE">
        <w:rPr>
          <w:rtl/>
        </w:rPr>
        <w:t>عامي</w:t>
      </w:r>
      <w:r w:rsidR="00D450DE" w:rsidRPr="00D450DE">
        <w:rPr>
          <w:rFonts w:hint="cs"/>
          <w:rtl/>
        </w:rPr>
        <w:t> </w:t>
      </w:r>
      <w:r w:rsidRPr="00D450DE">
        <w:rPr>
          <w:rtl/>
        </w:rPr>
        <w:t>2011 و2013، بموجب قانون المالية لعام 2014 والمرسوم المتعلق بإلغاء تلك</w:t>
      </w:r>
      <w:r w:rsidR="00F94D08">
        <w:rPr>
          <w:rFonts w:hint="cs"/>
          <w:rtl/>
        </w:rPr>
        <w:t> </w:t>
      </w:r>
      <w:r w:rsidRPr="00D450DE">
        <w:rPr>
          <w:rtl/>
        </w:rPr>
        <w:t>المساهمة</w:t>
      </w:r>
      <w:r w:rsidRPr="00D450DE">
        <w:rPr>
          <w:rStyle w:val="EndnoteReference"/>
          <w:rtl/>
        </w:rPr>
        <w:t>(</w:t>
      </w:r>
      <w:r w:rsidRPr="00D450DE">
        <w:rPr>
          <w:rStyle w:val="EndnoteReference"/>
          <w:rtl/>
        </w:rPr>
        <w:endnoteReference w:id="118"/>
      </w:r>
      <w:r w:rsidRPr="00D450DE">
        <w:rPr>
          <w:rStyle w:val="EndnoteReference"/>
          <w:rtl/>
        </w:rPr>
        <w:t>)</w:t>
      </w:r>
      <w:r w:rsidRPr="00D450DE">
        <w:rPr>
          <w:rFonts w:hint="cs"/>
          <w:rtl/>
        </w:rPr>
        <w:t>.</w:t>
      </w:r>
    </w:p>
    <w:p w:rsidR="00944A3C" w:rsidRPr="005D0C50" w:rsidRDefault="00944A3C" w:rsidP="003C667A">
      <w:pPr>
        <w:pStyle w:val="H23GA"/>
        <w:rPr>
          <w:rtl/>
        </w:rPr>
      </w:pPr>
      <w:r w:rsidRPr="005D0C50">
        <w:tab/>
      </w:r>
      <w:r w:rsidRPr="005D0C50">
        <w:rPr>
          <w:rtl/>
        </w:rPr>
        <w:t>(ز)</w:t>
      </w:r>
      <w:r w:rsidRPr="005D0C50">
        <w:rPr>
          <w:rtl/>
        </w:rPr>
        <w:tab/>
        <w:t>نسبة الضحايا الذين حصلوا على التعويض، بحسب نوع الجريمة</w:t>
      </w:r>
    </w:p>
    <w:p w:rsidR="00944A3C" w:rsidRPr="005D0C50" w:rsidRDefault="00944A3C" w:rsidP="00944A3C">
      <w:pPr>
        <w:pStyle w:val="SingleTxtGA"/>
        <w:rPr>
          <w:rtl/>
        </w:rPr>
      </w:pPr>
      <w:r w:rsidRPr="005D0C50">
        <w:rPr>
          <w:rFonts w:hint="cs"/>
          <w:rtl/>
        </w:rPr>
        <w:t>89-</w:t>
      </w:r>
      <w:r w:rsidRPr="005D0C50">
        <w:rPr>
          <w:rFonts w:hint="cs"/>
          <w:rtl/>
        </w:rPr>
        <w:tab/>
      </w:r>
      <w:r w:rsidRPr="005D0C50">
        <w:rPr>
          <w:rtl/>
        </w:rPr>
        <w:t>يجوز لضحايا الجرائم أن ي</w:t>
      </w:r>
      <w:r w:rsidRPr="005D0C50">
        <w:rPr>
          <w:rFonts w:hint="cs"/>
          <w:rtl/>
        </w:rPr>
        <w:t>ح</w:t>
      </w:r>
      <w:r w:rsidRPr="005D0C50">
        <w:rPr>
          <w:rtl/>
        </w:rPr>
        <w:t>صلوا على تعويض عن الأضرار التي يُلحقها بهم الجاني عندما يُحكم عليه بدفعه</w:t>
      </w:r>
      <w:r w:rsidRPr="005D0C50">
        <w:rPr>
          <w:rFonts w:hint="cs"/>
          <w:rtl/>
        </w:rPr>
        <w:t xml:space="preserve">. </w:t>
      </w:r>
      <w:r w:rsidRPr="005D0C50">
        <w:rPr>
          <w:rtl/>
        </w:rPr>
        <w:t>وفي حالة تعذر استخلاص مبلغ التعويض المحكوم به، يمكن للضحية اللجوء إلى إجراءات التنفيذ المدنية، وذلك، على سبيل المثال، من خلال الاستعانة بساعي المحكمة</w:t>
      </w:r>
      <w:r w:rsidRPr="005D0C50">
        <w:rPr>
          <w:rFonts w:hint="cs"/>
          <w:rtl/>
        </w:rPr>
        <w:t>.</w:t>
      </w:r>
    </w:p>
    <w:p w:rsidR="00944A3C" w:rsidRPr="005D0C50" w:rsidRDefault="00944A3C" w:rsidP="00B028D3">
      <w:pPr>
        <w:pStyle w:val="SingleTxtGA"/>
        <w:rPr>
          <w:rtl/>
        </w:rPr>
      </w:pPr>
      <w:r w:rsidRPr="005D0C50">
        <w:rPr>
          <w:rFonts w:hint="cs"/>
          <w:rtl/>
        </w:rPr>
        <w:t>90-</w:t>
      </w:r>
      <w:r w:rsidRPr="005D0C50">
        <w:rPr>
          <w:rFonts w:hint="cs"/>
          <w:rtl/>
        </w:rPr>
        <w:tab/>
      </w:r>
      <w:r w:rsidRPr="005D0C50">
        <w:rPr>
          <w:rtl/>
        </w:rPr>
        <w:t>كما يمكن للضحايا اللجوء إلى آليات مختلفة للتعويض في إطار التضامن الوطني، تبع</w:t>
      </w:r>
      <w:r w:rsidR="00526CCD">
        <w:rPr>
          <w:rtl/>
        </w:rPr>
        <w:t xml:space="preserve">اً </w:t>
      </w:r>
      <w:r w:rsidRPr="005D0C50">
        <w:rPr>
          <w:rtl/>
        </w:rPr>
        <w:t>لطبيعة الجريمة و/أو الأضرار اللاحقة بهم</w:t>
      </w:r>
      <w:r w:rsidRPr="005D0C50">
        <w:rPr>
          <w:rFonts w:hint="cs"/>
          <w:rtl/>
        </w:rPr>
        <w:t xml:space="preserve">. </w:t>
      </w:r>
      <w:r w:rsidRPr="005D0C50">
        <w:rPr>
          <w:rtl/>
        </w:rPr>
        <w:t xml:space="preserve">وبصرف النظر عن الإجراءات الجنائية، يمكنهم تقديم </w:t>
      </w:r>
      <w:r w:rsidRPr="005D0C50">
        <w:rPr>
          <w:rtl/>
        </w:rPr>
        <w:lastRenderedPageBreak/>
        <w:t>طلب التعويض إلى مجالس تعويض ضحايا الجرائم</w:t>
      </w:r>
      <w:r w:rsidRPr="005D0C50">
        <w:rPr>
          <w:rFonts w:hint="cs"/>
          <w:rtl/>
        </w:rPr>
        <w:t xml:space="preserve">. </w:t>
      </w:r>
      <w:r w:rsidRPr="005D0C50">
        <w:rPr>
          <w:rtl/>
        </w:rPr>
        <w:t>وقد يكون التعويض كامل</w:t>
      </w:r>
      <w:r w:rsidR="00526CCD">
        <w:rPr>
          <w:rtl/>
        </w:rPr>
        <w:t xml:space="preserve">اً </w:t>
      </w:r>
      <w:r w:rsidRPr="005D0C50">
        <w:rPr>
          <w:rtl/>
        </w:rPr>
        <w:t>في حالة وفاة أحد الأقارب، أو التعرض لضرر بدني جسيم، أو الاتجار بالبشر، أو الاعتداء الجنسي، وجزئي</w:t>
      </w:r>
      <w:r w:rsidR="00526CCD">
        <w:rPr>
          <w:rtl/>
        </w:rPr>
        <w:t xml:space="preserve">اً </w:t>
      </w:r>
      <w:r w:rsidRPr="005D0C50">
        <w:rPr>
          <w:rtl/>
        </w:rPr>
        <w:t>في حالة التعرض لضرر بدني خفيف، أو السرقة، أو الاختلاس، أو خيانة الأمانة، أو الابتزاز المالي، أو إلحاق الضرر بالممتلكات</w:t>
      </w:r>
      <w:r w:rsidRPr="005D0C50">
        <w:rPr>
          <w:rFonts w:hint="cs"/>
          <w:rtl/>
        </w:rPr>
        <w:t xml:space="preserve">. </w:t>
      </w:r>
      <w:r w:rsidRPr="005D0C50">
        <w:rPr>
          <w:rtl/>
        </w:rPr>
        <w:t>ووفق</w:t>
      </w:r>
      <w:r w:rsidR="00526CCD">
        <w:rPr>
          <w:rtl/>
        </w:rPr>
        <w:t xml:space="preserve">اً </w:t>
      </w:r>
      <w:r w:rsidRPr="005D0C50">
        <w:rPr>
          <w:rtl/>
        </w:rPr>
        <w:t>للإحصاءات المتاحة، تمثل التعويضات الممنوحة في المتوسط نصف المبالغ المطالَب بها</w:t>
      </w:r>
      <w:r w:rsidRPr="005D0C50">
        <w:rPr>
          <w:rFonts w:hint="cs"/>
          <w:rtl/>
        </w:rPr>
        <w:t xml:space="preserve">. </w:t>
      </w:r>
      <w:r w:rsidRPr="005D0C50">
        <w:rPr>
          <w:rtl/>
        </w:rPr>
        <w:t>وترفض مجالس تعويض ضحايا الجرائم حوالي 15 في المائة من الطلبات التي تقبل النظر فيها</w:t>
      </w:r>
      <w:r w:rsidRPr="005D0C50">
        <w:rPr>
          <w:rFonts w:hint="cs"/>
          <w:rtl/>
        </w:rPr>
        <w:t xml:space="preserve">. </w:t>
      </w:r>
      <w:r w:rsidRPr="005D0C50">
        <w:rPr>
          <w:rtl/>
        </w:rPr>
        <w:t>وقد عالجت هذه المجالس 381 15 ملف</w:t>
      </w:r>
      <w:r w:rsidR="00B028D3">
        <w:rPr>
          <w:rtl/>
        </w:rPr>
        <w:t xml:space="preserve">اً </w:t>
      </w:r>
      <w:r w:rsidRPr="005D0C50">
        <w:rPr>
          <w:rtl/>
        </w:rPr>
        <w:t>في عام 2015 (يتعلق</w:t>
      </w:r>
      <w:r w:rsidR="00B028D3">
        <w:rPr>
          <w:rFonts w:hint="cs"/>
          <w:rtl/>
        </w:rPr>
        <w:t> </w:t>
      </w:r>
      <w:r w:rsidRPr="005D0C50">
        <w:rPr>
          <w:rtl/>
        </w:rPr>
        <w:t>49 في المائة منها بجرائم الاعتداء العمد، و17 في المائة بالاعتداءات الجنسية، و9 في</w:t>
      </w:r>
      <w:r w:rsidR="003C667A">
        <w:rPr>
          <w:rtl/>
        </w:rPr>
        <w:t xml:space="preserve"> المائة بالاغتصاب، و4 في المائة</w:t>
      </w:r>
      <w:r w:rsidRPr="005D0C50">
        <w:rPr>
          <w:rtl/>
        </w:rPr>
        <w:t xml:space="preserve"> بالسرقة، و4 في المائة بالاختلاس، و3 في المائة بالقتل العمد و3 في المائة بحوادث إضرام النار في المركبات)</w:t>
      </w:r>
      <w:r w:rsidRPr="005D0C50">
        <w:rPr>
          <w:rFonts w:hint="cs"/>
          <w:rtl/>
        </w:rPr>
        <w:t xml:space="preserve">. </w:t>
      </w:r>
      <w:r w:rsidRPr="005D0C50">
        <w:rPr>
          <w:rtl/>
        </w:rPr>
        <w:t>وفي إطار هذه الآلية، دُفع مبلغ 271,8 مليون يورو في عام 2005 واستُخلص 55,7 مليون يورو من الجناة أو من شركات التأمين</w:t>
      </w:r>
      <w:r w:rsidRPr="005D0C50">
        <w:rPr>
          <w:rFonts w:hint="cs"/>
          <w:rtl/>
        </w:rPr>
        <w:t xml:space="preserve">. </w:t>
      </w:r>
      <w:r w:rsidRPr="005D0C50">
        <w:rPr>
          <w:rtl/>
        </w:rPr>
        <w:t>وتُعالج الطلبات خلال أجل متوسطه 12 شهرا</w:t>
      </w:r>
      <w:r w:rsidR="00F85901">
        <w:rPr>
          <w:rFonts w:hint="cs"/>
          <w:rtl/>
        </w:rPr>
        <w:t>ً</w:t>
      </w:r>
      <w:r w:rsidRPr="005D0C50">
        <w:rPr>
          <w:rFonts w:hint="cs"/>
          <w:rtl/>
        </w:rPr>
        <w:t xml:space="preserve">. </w:t>
      </w:r>
      <w:r w:rsidRPr="005D0C50">
        <w:rPr>
          <w:rtl/>
        </w:rPr>
        <w:t>وتجري تسوية زهاء نصف القضايا بالاتفاق بين الطرفين من دون تدخل القاضي</w:t>
      </w:r>
      <w:r w:rsidRPr="005D0C50">
        <w:rPr>
          <w:rFonts w:hint="cs"/>
          <w:rtl/>
        </w:rPr>
        <w:t xml:space="preserve">. ويُستأنف </w:t>
      </w:r>
      <w:r w:rsidRPr="005D0C50">
        <w:rPr>
          <w:rtl/>
        </w:rPr>
        <w:t xml:space="preserve">حوالي 30 في المائة من قرارات مجالس تعويض ضحايا </w:t>
      </w:r>
      <w:r w:rsidRPr="005D0C50">
        <w:rPr>
          <w:rFonts w:hint="cs"/>
          <w:rtl/>
        </w:rPr>
        <w:t>الجرائم.</w:t>
      </w:r>
    </w:p>
    <w:p w:rsidR="00944A3C" w:rsidRPr="005D0C50" w:rsidRDefault="00944A3C" w:rsidP="00D450DE">
      <w:pPr>
        <w:pStyle w:val="SingleTxtGA"/>
        <w:rPr>
          <w:rtl/>
        </w:rPr>
      </w:pPr>
      <w:r w:rsidRPr="005D0C50">
        <w:rPr>
          <w:rFonts w:hint="cs"/>
          <w:rtl/>
        </w:rPr>
        <w:t>91-</w:t>
      </w:r>
      <w:r w:rsidRPr="005D0C50">
        <w:rPr>
          <w:rFonts w:hint="cs"/>
          <w:rtl/>
        </w:rPr>
        <w:tab/>
      </w:r>
      <w:r w:rsidRPr="005D0C50">
        <w:rPr>
          <w:rtl/>
        </w:rPr>
        <w:t>وعلاوة على ذلك، يجوز للضحايا غير المؤهلين للجوء إلى آلية مجالس تعويض ضحايا الجرائم، الذين يواجهون صعوبات في استخلاص ما تحكم به المحاكم من تعويض عن الأضرار من الجناة</w:t>
      </w:r>
      <w:r w:rsidRPr="005D0C50">
        <w:rPr>
          <w:rFonts w:hint="cs"/>
          <w:rtl/>
        </w:rPr>
        <w:t>،</w:t>
      </w:r>
      <w:r w:rsidRPr="005D0C50">
        <w:rPr>
          <w:rtl/>
        </w:rPr>
        <w:t xml:space="preserve"> أن يلج</w:t>
      </w:r>
      <w:r w:rsidRPr="005D0C50">
        <w:rPr>
          <w:rFonts w:hint="cs"/>
          <w:rtl/>
        </w:rPr>
        <w:t>ؤ</w:t>
      </w:r>
      <w:r w:rsidRPr="005D0C50">
        <w:rPr>
          <w:rtl/>
        </w:rPr>
        <w:t>وا إلى دائرة مساعدة ضحايا الجرائم في استخلاص مبالغ التعويض</w:t>
      </w:r>
      <w:r w:rsidRPr="005D0C50">
        <w:rPr>
          <w:rFonts w:hint="cs"/>
          <w:rtl/>
        </w:rPr>
        <w:t xml:space="preserve">. </w:t>
      </w:r>
      <w:r w:rsidRPr="005D0C50">
        <w:rPr>
          <w:rtl/>
        </w:rPr>
        <w:t>ففي عام</w:t>
      </w:r>
      <w:r w:rsidR="00D450DE">
        <w:rPr>
          <w:rFonts w:hint="cs"/>
          <w:rtl/>
        </w:rPr>
        <w:t> </w:t>
      </w:r>
      <w:r w:rsidRPr="005D0C50">
        <w:rPr>
          <w:rtl/>
        </w:rPr>
        <w:t xml:space="preserve">2015، كانت نسبة 72 في المائة من الملفات التي عالجتها هذه الدائرة تتعلق بتعويضات </w:t>
      </w:r>
      <w:r w:rsidRPr="005D0C50">
        <w:rPr>
          <w:rFonts w:hint="cs"/>
          <w:rtl/>
        </w:rPr>
        <w:t xml:space="preserve">يقل </w:t>
      </w:r>
      <w:r w:rsidRPr="005D0C50">
        <w:rPr>
          <w:rtl/>
        </w:rPr>
        <w:t xml:space="preserve">مبلغها </w:t>
      </w:r>
      <w:r w:rsidRPr="005D0C50">
        <w:rPr>
          <w:rFonts w:hint="cs"/>
          <w:rtl/>
        </w:rPr>
        <w:t xml:space="preserve">عن </w:t>
      </w:r>
      <w:r w:rsidRPr="005D0C50">
        <w:rPr>
          <w:rtl/>
        </w:rPr>
        <w:t>000 1 يورو، وخضعت بالتالي لإجراءات التعويض الكامل</w:t>
      </w:r>
      <w:r w:rsidRPr="005D0C50">
        <w:rPr>
          <w:rFonts w:hint="cs"/>
          <w:rtl/>
        </w:rPr>
        <w:t xml:space="preserve">. </w:t>
      </w:r>
      <w:r w:rsidRPr="005D0C50">
        <w:rPr>
          <w:rtl/>
        </w:rPr>
        <w:t>ودُفع في 28 في المائة الباقية ما يعادل 30 في المائة من المبلغ الإجمالي، أي 000 1 يورو كحد أدنى و000 3 يورو كحد أقصى</w:t>
      </w:r>
      <w:r w:rsidRPr="005D0C50">
        <w:rPr>
          <w:rFonts w:hint="cs"/>
          <w:rtl/>
        </w:rPr>
        <w:t xml:space="preserve">. </w:t>
      </w:r>
      <w:r w:rsidRPr="005D0C50">
        <w:rPr>
          <w:rtl/>
        </w:rPr>
        <w:t>وفي كانون الثاني/يناير 2016، تمكنت هذه الدائرة من استخلاص 19 في المائة من المبالغ المدفوعة مقدم</w:t>
      </w:r>
      <w:r w:rsidR="00B028D3">
        <w:rPr>
          <w:rtl/>
        </w:rPr>
        <w:t xml:space="preserve">اً </w:t>
      </w:r>
      <w:r w:rsidRPr="005D0C50">
        <w:rPr>
          <w:rtl/>
        </w:rPr>
        <w:t>للضحايا في عام 2014 ومن استعادة 3 في المائة من المبالغ المتبقية المستحقة للضحايا في إطار ملفات فُتحت في عام 2014</w:t>
      </w:r>
      <w:r w:rsidRPr="005D0C50">
        <w:rPr>
          <w:rFonts w:hint="cs"/>
          <w:rtl/>
        </w:rPr>
        <w:t>.</w:t>
      </w:r>
    </w:p>
    <w:p w:rsidR="00944A3C" w:rsidRPr="005D0C50" w:rsidRDefault="00944A3C" w:rsidP="00944A3C">
      <w:pPr>
        <w:pStyle w:val="SingleTxtGA"/>
        <w:rPr>
          <w:rtl/>
        </w:rPr>
      </w:pPr>
      <w:r w:rsidRPr="005D0C50">
        <w:rPr>
          <w:rFonts w:hint="cs"/>
          <w:rtl/>
        </w:rPr>
        <w:t>92-</w:t>
      </w:r>
      <w:r w:rsidRPr="005D0C50">
        <w:rPr>
          <w:rFonts w:hint="cs"/>
          <w:rtl/>
        </w:rPr>
        <w:tab/>
      </w:r>
      <w:r w:rsidRPr="005D0C50">
        <w:rPr>
          <w:rtl/>
        </w:rPr>
        <w:t>وأخير</w:t>
      </w:r>
      <w:r w:rsidR="0031739C">
        <w:rPr>
          <w:rtl/>
        </w:rPr>
        <w:t>اً،</w:t>
      </w:r>
      <w:r w:rsidRPr="005D0C50">
        <w:rPr>
          <w:rtl/>
        </w:rPr>
        <w:t xml:space="preserve"> توجد آليات محددة خاصة ببعض الجرائم، مثل صندوق الضمان التابع لشركات التأمين الإجباري عن الضرر فيما يتعلق بحوادث المرور والصيد وما إلى ذلك، في حالة عدم وجود التأمين، وصندوق الضمان الخاص بضحايا الإرهاب والجرائم الأخرى فيما يتعلق بالأعمال الإرهابية</w:t>
      </w:r>
      <w:r w:rsidRPr="005D0C50">
        <w:rPr>
          <w:rFonts w:hint="cs"/>
          <w:rtl/>
        </w:rPr>
        <w:t xml:space="preserve">. </w:t>
      </w:r>
      <w:r w:rsidRPr="005D0C50">
        <w:rPr>
          <w:rtl/>
        </w:rPr>
        <w:t>ففي عام 2015، على سبيل المثال، فُتح 986 ملف</w:t>
      </w:r>
      <w:r w:rsidR="00B028D3">
        <w:rPr>
          <w:rtl/>
        </w:rPr>
        <w:t xml:space="preserve">اً </w:t>
      </w:r>
      <w:r w:rsidRPr="005D0C50">
        <w:rPr>
          <w:rtl/>
        </w:rPr>
        <w:t>ودَفع صندوق الضمان الخاص بضحايا الإرهاب وجرائم أخرى 23,4 مليون يورو لضحايا الإرهاب</w:t>
      </w:r>
      <w:r>
        <w:rPr>
          <w:rStyle w:val="EndnoteReference"/>
          <w:rtl/>
        </w:rPr>
        <w:t>(</w:t>
      </w:r>
      <w:r w:rsidRPr="005D0C50">
        <w:rPr>
          <w:rStyle w:val="EndnoteReference"/>
          <w:rtl/>
        </w:rPr>
        <w:endnoteReference w:id="119"/>
      </w:r>
      <w:r>
        <w:rPr>
          <w:rStyle w:val="EndnoteReference"/>
          <w:rtl/>
        </w:rPr>
        <w:t>)</w:t>
      </w:r>
      <w:r w:rsidRPr="005D0C50">
        <w:rPr>
          <w:rFonts w:hint="cs"/>
          <w:rtl/>
        </w:rPr>
        <w:t>.</w:t>
      </w:r>
    </w:p>
    <w:p w:rsidR="00944A3C" w:rsidRPr="005D0C50" w:rsidRDefault="00944A3C" w:rsidP="00944A3C">
      <w:pPr>
        <w:pStyle w:val="SingleTxtGA"/>
        <w:rPr>
          <w:rtl/>
        </w:rPr>
      </w:pPr>
      <w:r w:rsidRPr="005D0C50">
        <w:rPr>
          <w:rFonts w:hint="cs"/>
          <w:rtl/>
        </w:rPr>
        <w:t>93-</w:t>
      </w:r>
      <w:r w:rsidRPr="005D0C50">
        <w:rPr>
          <w:rFonts w:hint="cs"/>
          <w:rtl/>
        </w:rPr>
        <w:tab/>
      </w:r>
      <w:r w:rsidRPr="005D0C50">
        <w:rPr>
          <w:rtl/>
        </w:rPr>
        <w:t>و</w:t>
      </w:r>
      <w:r w:rsidRPr="005D0C50">
        <w:rPr>
          <w:rFonts w:hint="cs"/>
          <w:rtl/>
        </w:rPr>
        <w:t xml:space="preserve">في مرفق التقرير، </w:t>
      </w:r>
      <w:r w:rsidRPr="005D0C50">
        <w:rPr>
          <w:rtl/>
        </w:rPr>
        <w:t>تقدم الحكومة الفرنسية، في شكل جداول ورسوم بيانية</w:t>
      </w:r>
      <w:r w:rsidRPr="005D0C50">
        <w:rPr>
          <w:rFonts w:hint="cs"/>
          <w:rtl/>
        </w:rPr>
        <w:t>،</w:t>
      </w:r>
      <w:r w:rsidRPr="005D0C50">
        <w:rPr>
          <w:rtl/>
        </w:rPr>
        <w:t xml:space="preserve"> مجموعة من المؤشرات </w:t>
      </w:r>
      <w:r w:rsidRPr="005D0C50">
        <w:rPr>
          <w:rFonts w:hint="cs"/>
          <w:rtl/>
        </w:rPr>
        <w:t>المتعلقة ب</w:t>
      </w:r>
      <w:r w:rsidRPr="005D0C50">
        <w:rPr>
          <w:rtl/>
        </w:rPr>
        <w:t xml:space="preserve">خصائص </w:t>
      </w:r>
      <w:r w:rsidRPr="005D0C50">
        <w:rPr>
          <w:rFonts w:hint="cs"/>
          <w:rtl/>
        </w:rPr>
        <w:t xml:space="preserve">فرنسا </w:t>
      </w:r>
      <w:r w:rsidRPr="005D0C50">
        <w:rPr>
          <w:rtl/>
        </w:rPr>
        <w:t xml:space="preserve">الديمغرافية والاقتصادية والاجتماعية </w:t>
      </w:r>
      <w:r w:rsidRPr="005D0C50">
        <w:rPr>
          <w:rFonts w:hint="cs"/>
          <w:rtl/>
        </w:rPr>
        <w:t>الرئيسية.</w:t>
      </w:r>
    </w:p>
    <w:p w:rsidR="00944A3C" w:rsidRPr="005D0C50" w:rsidRDefault="00944A3C" w:rsidP="003C667A">
      <w:pPr>
        <w:pStyle w:val="HChGA"/>
        <w:rPr>
          <w:rtl/>
        </w:rPr>
      </w:pPr>
      <w:r w:rsidRPr="005D0C50">
        <w:rPr>
          <w:rtl/>
        </w:rPr>
        <w:tab/>
      </w:r>
      <w:bookmarkStart w:id="5" w:name="_Toc353357627"/>
      <w:bookmarkStart w:id="6" w:name="_Toc508623276"/>
      <w:r w:rsidRPr="005D0C50">
        <w:rPr>
          <w:rtl/>
        </w:rPr>
        <w:t>ثانيا</w:t>
      </w:r>
      <w:r w:rsidR="003C667A">
        <w:rPr>
          <w:rFonts w:hint="cs"/>
          <w:rtl/>
        </w:rPr>
        <w:t>ً</w:t>
      </w:r>
      <w:r w:rsidRPr="005D0C50">
        <w:rPr>
          <w:rtl/>
        </w:rPr>
        <w:t>-</w:t>
      </w:r>
      <w:r w:rsidRPr="005D0C50">
        <w:rPr>
          <w:rtl/>
        </w:rPr>
        <w:tab/>
        <w:t xml:space="preserve">الهيكل السياسي </w:t>
      </w:r>
      <w:bookmarkEnd w:id="5"/>
      <w:r w:rsidRPr="005D0C50">
        <w:rPr>
          <w:rtl/>
        </w:rPr>
        <w:t>العام</w:t>
      </w:r>
      <w:bookmarkEnd w:id="6"/>
    </w:p>
    <w:p w:rsidR="00944A3C" w:rsidRPr="005D0C50" w:rsidRDefault="00944A3C" w:rsidP="003C667A">
      <w:pPr>
        <w:pStyle w:val="SingleTxtGA"/>
        <w:rPr>
          <w:rtl/>
        </w:rPr>
      </w:pPr>
      <w:r w:rsidRPr="005D0C50">
        <w:rPr>
          <w:rFonts w:hint="cs"/>
          <w:rtl/>
        </w:rPr>
        <w:t>94</w:t>
      </w:r>
      <w:r w:rsidRPr="005D0C50">
        <w:rPr>
          <w:rtl/>
        </w:rPr>
        <w:t>-</w:t>
      </w:r>
      <w:r w:rsidRPr="005D0C50">
        <w:rPr>
          <w:rtl/>
        </w:rPr>
        <w:tab/>
        <w:t>تَكرس تقليد فرنسا في الالتزام بحقوق الإنسان على صعيدين: من خلال إعلان حقوق الإنسان والمواطن لعام 1789، فيما يتعلق بالحقوق المدنية والسياسية، من جهة</w:t>
      </w:r>
      <w:r w:rsidRPr="005D0C50">
        <w:rPr>
          <w:rFonts w:hint="cs"/>
          <w:rtl/>
        </w:rPr>
        <w:t xml:space="preserve">؛ </w:t>
      </w:r>
      <w:r w:rsidRPr="005D0C50">
        <w:rPr>
          <w:rtl/>
        </w:rPr>
        <w:t>ومن خلال ديباجة الدستور المؤرخ 27 تشرين الأول/أكتوبر 1946، فيما يتعلق بالحقوق الاقتصادية والاجتماعية والثقافية، من جهة أخرى</w:t>
      </w:r>
      <w:r w:rsidRPr="005D0C50">
        <w:rPr>
          <w:rFonts w:hint="cs"/>
          <w:rtl/>
        </w:rPr>
        <w:t xml:space="preserve">. </w:t>
      </w:r>
      <w:r w:rsidRPr="005D0C50">
        <w:rPr>
          <w:rtl/>
        </w:rPr>
        <w:t xml:space="preserve">ويكتسي هذان المعياران، المشار إليها في ديباجة </w:t>
      </w:r>
      <w:r w:rsidRPr="005D0C50">
        <w:rPr>
          <w:rFonts w:hint="cs"/>
          <w:rtl/>
        </w:rPr>
        <w:lastRenderedPageBreak/>
        <w:t>ال</w:t>
      </w:r>
      <w:r w:rsidRPr="005D0C50">
        <w:rPr>
          <w:rtl/>
        </w:rPr>
        <w:t xml:space="preserve">دستور </w:t>
      </w:r>
      <w:r w:rsidRPr="005D0C50">
        <w:rPr>
          <w:rFonts w:hint="cs"/>
          <w:rtl/>
        </w:rPr>
        <w:t xml:space="preserve">المؤرخ </w:t>
      </w:r>
      <w:r w:rsidRPr="005D0C50">
        <w:rPr>
          <w:rtl/>
        </w:rPr>
        <w:t>4 تشرين الأول/أكتوبر 1958، صبغة دستورية</w:t>
      </w:r>
      <w:r w:rsidRPr="005D0C50">
        <w:rPr>
          <w:rFonts w:hint="cs"/>
          <w:rtl/>
        </w:rPr>
        <w:t xml:space="preserve">. </w:t>
      </w:r>
      <w:r w:rsidRPr="005D0C50">
        <w:rPr>
          <w:rtl/>
        </w:rPr>
        <w:t>وترسخت مراعاة هذه الحقوق على مر التاريخ في المؤسسات والنفوس وتعززت مؤخر</w:t>
      </w:r>
      <w:r w:rsidR="00B028D3">
        <w:rPr>
          <w:rtl/>
        </w:rPr>
        <w:t xml:space="preserve">اً </w:t>
      </w:r>
      <w:r w:rsidRPr="005D0C50">
        <w:rPr>
          <w:rtl/>
        </w:rPr>
        <w:t>بانضمام فرنسا إلى العديد من الاتفاقيات الدولية</w:t>
      </w:r>
      <w:r w:rsidRPr="005D0C50">
        <w:rPr>
          <w:rFonts w:hint="cs"/>
          <w:rtl/>
        </w:rPr>
        <w:t xml:space="preserve">. </w:t>
      </w:r>
      <w:r w:rsidRPr="005D0C50">
        <w:rPr>
          <w:rtl/>
        </w:rPr>
        <w:t>وبالتالي، فالنظام الحالي لحماية حقوق الإنسان وثيق الصلة بالسياق القانوني والسياسي الذي يندرج في إطاره، والذي تتمثل مكوناته الأساسية في الديمقراطية السياسية، والفصل بين السلطات، واستقلال السلطة القضائية، ومراقبة الإدارة.</w:t>
      </w:r>
    </w:p>
    <w:p w:rsidR="00944A3C" w:rsidRPr="005D0C50" w:rsidRDefault="00944A3C" w:rsidP="003C667A">
      <w:pPr>
        <w:pStyle w:val="H1GA"/>
        <w:rPr>
          <w:rtl/>
        </w:rPr>
      </w:pPr>
      <w:r w:rsidRPr="005D0C50">
        <w:rPr>
          <w:rtl/>
        </w:rPr>
        <w:tab/>
      </w:r>
      <w:bookmarkStart w:id="7" w:name="_Toc508623277"/>
      <w:r w:rsidRPr="005D0C50">
        <w:rPr>
          <w:rtl/>
        </w:rPr>
        <w:t>ألف-</w:t>
      </w:r>
      <w:r w:rsidRPr="005D0C50">
        <w:rPr>
          <w:rtl/>
        </w:rPr>
        <w:tab/>
        <w:t>الإطار الدستوري الفرنسي</w:t>
      </w:r>
      <w:bookmarkEnd w:id="7"/>
    </w:p>
    <w:p w:rsidR="00944A3C" w:rsidRPr="005D0C50" w:rsidRDefault="00944A3C" w:rsidP="003C667A">
      <w:pPr>
        <w:pStyle w:val="H23GA"/>
        <w:rPr>
          <w:sz w:val="30"/>
          <w:rtl/>
        </w:rPr>
      </w:pPr>
      <w:r w:rsidRPr="005D0C50">
        <w:rPr>
          <w:sz w:val="30"/>
          <w:rtl/>
        </w:rPr>
        <w:tab/>
        <w:t>1</w:t>
      </w:r>
      <w:r w:rsidRPr="005D0C50">
        <w:rPr>
          <w:rtl/>
        </w:rPr>
        <w:t>-</w:t>
      </w:r>
      <w:r w:rsidRPr="005D0C50">
        <w:rPr>
          <w:rtl/>
        </w:rPr>
        <w:tab/>
        <w:t>الخصائص الرئيسية للنظام السياسي الفرنسي</w:t>
      </w:r>
    </w:p>
    <w:p w:rsidR="00944A3C" w:rsidRPr="005D0C50" w:rsidRDefault="00944A3C" w:rsidP="003C667A">
      <w:pPr>
        <w:pStyle w:val="SingleTxtGA"/>
        <w:rPr>
          <w:spacing w:val="2"/>
          <w:rtl/>
        </w:rPr>
      </w:pPr>
      <w:r w:rsidRPr="005D0C50">
        <w:rPr>
          <w:rFonts w:hint="cs"/>
          <w:spacing w:val="2"/>
          <w:rtl/>
        </w:rPr>
        <w:t>95</w:t>
      </w:r>
      <w:r w:rsidRPr="005D0C50">
        <w:rPr>
          <w:spacing w:val="2"/>
          <w:rtl/>
        </w:rPr>
        <w:t>-</w:t>
      </w:r>
      <w:r w:rsidRPr="005D0C50">
        <w:rPr>
          <w:spacing w:val="2"/>
          <w:rtl/>
        </w:rPr>
        <w:tab/>
        <w:t>في عام 1875، وضعت الجمهورية الثالثة الصيغة النهائية لنظام ديمقراطي تمثيلي، جرى تكريس مبادئه وتطويرها في الدستور المؤرخ 4 تشرين الأول/أكتوبر 1958</w:t>
      </w:r>
      <w:r w:rsidRPr="005D0C50">
        <w:rPr>
          <w:rFonts w:hint="cs"/>
          <w:spacing w:val="2"/>
          <w:rtl/>
        </w:rPr>
        <w:t xml:space="preserve">. </w:t>
      </w:r>
      <w:r w:rsidRPr="005D0C50">
        <w:rPr>
          <w:spacing w:val="2"/>
          <w:rtl/>
        </w:rPr>
        <w:t>ففرنسا جمهورية ديمقراطية غير قابلة للتجزئة وعلمانية واجتماعية</w:t>
      </w:r>
      <w:r w:rsidRPr="005D0C50">
        <w:rPr>
          <w:rFonts w:hint="cs"/>
          <w:spacing w:val="2"/>
          <w:rtl/>
        </w:rPr>
        <w:t xml:space="preserve">. </w:t>
      </w:r>
      <w:r w:rsidRPr="005D0C50">
        <w:rPr>
          <w:spacing w:val="2"/>
          <w:rtl/>
        </w:rPr>
        <w:t>ولغة الجمهورية هي الفرنسية (المادة</w:t>
      </w:r>
      <w:r w:rsidR="003C667A">
        <w:rPr>
          <w:rFonts w:hint="cs"/>
          <w:spacing w:val="2"/>
          <w:rtl/>
        </w:rPr>
        <w:t> </w:t>
      </w:r>
      <w:r w:rsidRPr="005D0C50">
        <w:rPr>
          <w:spacing w:val="2"/>
          <w:rtl/>
        </w:rPr>
        <w:t>2 من الدستور)</w:t>
      </w:r>
      <w:r w:rsidRPr="005D0C50">
        <w:rPr>
          <w:rFonts w:hint="cs"/>
          <w:spacing w:val="2"/>
          <w:rtl/>
        </w:rPr>
        <w:t xml:space="preserve">. </w:t>
      </w:r>
      <w:r w:rsidRPr="005D0C50">
        <w:rPr>
          <w:spacing w:val="2"/>
          <w:rtl/>
        </w:rPr>
        <w:t>وفرنسا دولة وحداوية، تعتمد سلطة سياسية واحدة على الصعيد الوطني، ولكنها أيض</w:t>
      </w:r>
      <w:r w:rsidR="00B028D3">
        <w:rPr>
          <w:spacing w:val="2"/>
          <w:rtl/>
        </w:rPr>
        <w:t xml:space="preserve">اً </w:t>
      </w:r>
      <w:r w:rsidRPr="005D0C50">
        <w:rPr>
          <w:spacing w:val="2"/>
          <w:rtl/>
        </w:rPr>
        <w:t xml:space="preserve">دولة قائمة على اللامركزية وعدم التمركز، تتمتع فيها الجماعات </w:t>
      </w:r>
      <w:r w:rsidRPr="005D0C50">
        <w:rPr>
          <w:rFonts w:hint="cs"/>
          <w:spacing w:val="2"/>
          <w:rtl/>
        </w:rPr>
        <w:t xml:space="preserve">الإقليمية </w:t>
      </w:r>
      <w:r w:rsidRPr="005D0C50">
        <w:rPr>
          <w:spacing w:val="2"/>
          <w:rtl/>
        </w:rPr>
        <w:t>باختصاصات خاصة بها</w:t>
      </w:r>
      <w:r>
        <w:rPr>
          <w:rStyle w:val="EndnoteReference"/>
          <w:spacing w:val="2"/>
          <w:rtl/>
        </w:rPr>
        <w:t>(</w:t>
      </w:r>
      <w:r w:rsidRPr="005D0C50">
        <w:rPr>
          <w:rStyle w:val="EndnoteReference"/>
          <w:spacing w:val="2"/>
          <w:rtl/>
        </w:rPr>
        <w:endnoteReference w:id="120"/>
      </w:r>
      <w:r>
        <w:rPr>
          <w:rStyle w:val="EndnoteReference"/>
          <w:spacing w:val="2"/>
          <w:rtl/>
        </w:rPr>
        <w:t>)</w:t>
      </w:r>
      <w:r w:rsidRPr="005D0C50">
        <w:rPr>
          <w:rFonts w:hint="cs"/>
          <w:spacing w:val="2"/>
          <w:rtl/>
        </w:rPr>
        <w:t>.</w:t>
      </w:r>
    </w:p>
    <w:p w:rsidR="00944A3C" w:rsidRPr="005D0C50" w:rsidRDefault="00944A3C" w:rsidP="003C667A">
      <w:pPr>
        <w:pStyle w:val="SingleTxtGA"/>
        <w:rPr>
          <w:rtl/>
        </w:rPr>
      </w:pPr>
      <w:r w:rsidRPr="005D0C50">
        <w:rPr>
          <w:rFonts w:hint="cs"/>
          <w:rtl/>
        </w:rPr>
        <w:t>96-</w:t>
      </w:r>
      <w:r w:rsidRPr="005D0C50">
        <w:rPr>
          <w:rFonts w:hint="cs"/>
          <w:rtl/>
        </w:rPr>
        <w:tab/>
      </w:r>
      <w:r w:rsidRPr="005D0C50">
        <w:rPr>
          <w:rtl/>
        </w:rPr>
        <w:t>ويُعتبر كل من الجمعية الوطنية ومجلس الشيوخ، المشار إليهما في دستور عام 1958، على العموم، من سمات النظام البرلماني، ولكن انتخاب رئيس الجمهورية بالاقتراع العام المباشر، المقترن بنوع من الفصل المرن بين السلطات، يؤدي في كثير من الأحيان إلى نعت هذا النظام بالمختلط أو شبه الرئاسي</w:t>
      </w:r>
      <w:r w:rsidRPr="005D0C50">
        <w:rPr>
          <w:rFonts w:hint="cs"/>
          <w:rtl/>
        </w:rPr>
        <w:t>.</w:t>
      </w:r>
    </w:p>
    <w:p w:rsidR="00944A3C" w:rsidRPr="005D0C50" w:rsidRDefault="00944A3C" w:rsidP="00D450DE">
      <w:pPr>
        <w:pStyle w:val="SingleTxtGA"/>
        <w:rPr>
          <w:rtl/>
        </w:rPr>
      </w:pPr>
      <w:r w:rsidRPr="005D0C50">
        <w:rPr>
          <w:rFonts w:hint="cs"/>
          <w:rtl/>
        </w:rPr>
        <w:t>97-</w:t>
      </w:r>
      <w:r w:rsidRPr="005D0C50">
        <w:rPr>
          <w:rFonts w:hint="cs"/>
          <w:rtl/>
        </w:rPr>
        <w:tab/>
      </w:r>
      <w:r w:rsidRPr="005D0C50">
        <w:rPr>
          <w:rtl/>
        </w:rPr>
        <w:t>ومن حيث الممارسة، يغلب الطابع الرئاسي على هذا النظام في فترة التوافق بين الأغلبية الرئاسية والأغلبية في الجمعية الوطنية</w:t>
      </w:r>
      <w:r w:rsidRPr="005D0C50">
        <w:rPr>
          <w:rFonts w:hint="cs"/>
          <w:rtl/>
        </w:rPr>
        <w:t xml:space="preserve">. </w:t>
      </w:r>
      <w:r w:rsidRPr="005D0C50">
        <w:rPr>
          <w:rtl/>
        </w:rPr>
        <w:t>ويغلب عليه الطابع البرلماني في فترة تعايش رئيس الجمهورية مع أغلبية سياسية معارضة له في الجمعية الوطنية</w:t>
      </w:r>
      <w:r w:rsidRPr="005D0C50">
        <w:rPr>
          <w:rFonts w:hint="cs"/>
          <w:rtl/>
        </w:rPr>
        <w:t xml:space="preserve">. </w:t>
      </w:r>
      <w:r w:rsidRPr="005D0C50">
        <w:rPr>
          <w:rtl/>
        </w:rPr>
        <w:t>وقبل عام 2000، كان التفاوت بين مدة الولاية الرئاسية (سبع سنوات) ومدة ولاية السلطة التشريعية (خمس سنوات) وما يترتب عليه من فارق السنتين بين الانتخابات الرئاسية والانتخابات التشريعية، يتيحان للناخبين إمكانية إبداء عدم رضاهم عن رئيس الدولة من خلال انتخاب أغلبية برلمانية معارضة له</w:t>
      </w:r>
      <w:r w:rsidRPr="005D0C50">
        <w:rPr>
          <w:rFonts w:hint="cs"/>
          <w:rtl/>
        </w:rPr>
        <w:t xml:space="preserve">. </w:t>
      </w:r>
      <w:r w:rsidRPr="005D0C50">
        <w:rPr>
          <w:rtl/>
        </w:rPr>
        <w:t>غير أنه، منذ الإصلاح المتعلق بتحديد مدة الولاية الرئاسية في خمس سنوات وعكسِ الجدول الزمني للانتخابات (إجراء الانتخابات التشريعية مباشرة بعد الانتخابات الرئاسية)، تقلصت احتمالات التعايش إلى حالتين: في حالة حل الجمعية الوطنية، وفي حالة انسحاب رئيس الجمهورية أو</w:t>
      </w:r>
      <w:r w:rsidR="00D450DE">
        <w:rPr>
          <w:rFonts w:hint="cs"/>
          <w:rtl/>
        </w:rPr>
        <w:t> </w:t>
      </w:r>
      <w:r w:rsidRPr="005D0C50">
        <w:rPr>
          <w:rtl/>
        </w:rPr>
        <w:t>وفاته أو عزله</w:t>
      </w:r>
      <w:r>
        <w:rPr>
          <w:rStyle w:val="EndnoteReference"/>
          <w:spacing w:val="2"/>
          <w:rtl/>
        </w:rPr>
        <w:t>(</w:t>
      </w:r>
      <w:r w:rsidRPr="005D0C50">
        <w:rPr>
          <w:rStyle w:val="EndnoteReference"/>
          <w:spacing w:val="2"/>
          <w:rtl/>
        </w:rPr>
        <w:endnoteReference w:id="121"/>
      </w:r>
      <w:r>
        <w:rPr>
          <w:rStyle w:val="EndnoteReference"/>
          <w:spacing w:val="2"/>
          <w:rtl/>
        </w:rPr>
        <w:t>)</w:t>
      </w:r>
      <w:r w:rsidRPr="005D0C50">
        <w:rPr>
          <w:rFonts w:hint="cs"/>
          <w:rtl/>
        </w:rPr>
        <w:t>.</w:t>
      </w:r>
    </w:p>
    <w:p w:rsidR="00944A3C" w:rsidRPr="005D0C50" w:rsidRDefault="00944A3C" w:rsidP="003C667A">
      <w:pPr>
        <w:pStyle w:val="SingleTxtGA"/>
        <w:rPr>
          <w:rtl/>
        </w:rPr>
      </w:pPr>
      <w:r w:rsidRPr="005D0C50">
        <w:rPr>
          <w:rFonts w:hint="cs"/>
          <w:rtl/>
        </w:rPr>
        <w:t>98-</w:t>
      </w:r>
      <w:r w:rsidRPr="005D0C50">
        <w:rPr>
          <w:rFonts w:hint="cs"/>
          <w:rtl/>
        </w:rPr>
        <w:tab/>
      </w:r>
      <w:r w:rsidRPr="005D0C50">
        <w:rPr>
          <w:rtl/>
        </w:rPr>
        <w:t xml:space="preserve">والسيادة الوطنية بيد الشعب لا بيد </w:t>
      </w:r>
      <w:r w:rsidRPr="005D0C50">
        <w:rPr>
          <w:rFonts w:hint="cs"/>
          <w:rtl/>
        </w:rPr>
        <w:t xml:space="preserve">جماعة </w:t>
      </w:r>
      <w:r w:rsidRPr="005D0C50">
        <w:rPr>
          <w:rtl/>
        </w:rPr>
        <w:t>أو فرد (المادة 3)</w:t>
      </w:r>
      <w:r w:rsidRPr="005D0C50">
        <w:rPr>
          <w:rFonts w:hint="cs"/>
          <w:rtl/>
        </w:rPr>
        <w:t xml:space="preserve">. </w:t>
      </w:r>
      <w:r w:rsidRPr="005D0C50">
        <w:rPr>
          <w:rtl/>
        </w:rPr>
        <w:t>ويمارسها، من حيث المبدأ، من خلال ممثليه المنتخبين، ولو أنه يجوز استشارته أحيان</w:t>
      </w:r>
      <w:r w:rsidR="00B028D3">
        <w:rPr>
          <w:rtl/>
        </w:rPr>
        <w:t xml:space="preserve">اً </w:t>
      </w:r>
      <w:r w:rsidRPr="005D0C50">
        <w:rPr>
          <w:rtl/>
        </w:rPr>
        <w:t>من خلال الاستفتاء (المادة 3)</w:t>
      </w:r>
      <w:r w:rsidRPr="005D0C50">
        <w:rPr>
          <w:rFonts w:hint="cs"/>
          <w:rtl/>
        </w:rPr>
        <w:t xml:space="preserve">. </w:t>
      </w:r>
      <w:r w:rsidRPr="005D0C50">
        <w:rPr>
          <w:rtl/>
        </w:rPr>
        <w:t>ويختار الشعب ممثليه بالاقتراع العام السري القائم على المساواة (المادة 3)</w:t>
      </w:r>
      <w:r w:rsidRPr="005D0C50">
        <w:rPr>
          <w:rFonts w:hint="cs"/>
          <w:rtl/>
        </w:rPr>
        <w:t xml:space="preserve">. </w:t>
      </w:r>
      <w:r w:rsidRPr="005D0C50">
        <w:rPr>
          <w:rtl/>
        </w:rPr>
        <w:t>وقد يكون الاقتراع مباشر</w:t>
      </w:r>
      <w:r w:rsidR="00B028D3">
        <w:rPr>
          <w:rtl/>
        </w:rPr>
        <w:t xml:space="preserve">اً </w:t>
      </w:r>
      <w:r w:rsidRPr="005D0C50">
        <w:rPr>
          <w:rtl/>
        </w:rPr>
        <w:t xml:space="preserve">(الانتخابات الرئاسية </w:t>
      </w:r>
      <w:r w:rsidRPr="005D0C50">
        <w:rPr>
          <w:rFonts w:hint="cs"/>
          <w:rtl/>
        </w:rPr>
        <w:t xml:space="preserve">والتشريعية </w:t>
      </w:r>
      <w:r w:rsidRPr="005D0C50">
        <w:rPr>
          <w:rtl/>
        </w:rPr>
        <w:t>والإقليمية والكانتونية والبلدية والأوروبية) أو غير مباشر (انتخابات مجلس الشيوخ)</w:t>
      </w:r>
      <w:r w:rsidRPr="005D0C50">
        <w:rPr>
          <w:rFonts w:hint="cs"/>
          <w:rtl/>
        </w:rPr>
        <w:t xml:space="preserve">. </w:t>
      </w:r>
      <w:r w:rsidRPr="005D0C50">
        <w:rPr>
          <w:rtl/>
        </w:rPr>
        <w:t>وقد يجري الاقتراع وفق نظام الأغلبية أو التمثيل النسبي؛</w:t>
      </w:r>
      <w:r w:rsidRPr="005D0C50">
        <w:rPr>
          <w:rFonts w:hint="cs"/>
          <w:rtl/>
        </w:rPr>
        <w:t xml:space="preserve"> </w:t>
      </w:r>
      <w:r w:rsidRPr="005D0C50">
        <w:rPr>
          <w:rtl/>
        </w:rPr>
        <w:t>أو النظام الفردي أو المتعدد أو بنظام القائمة</w:t>
      </w:r>
      <w:r w:rsidRPr="005D0C50">
        <w:rPr>
          <w:rFonts w:hint="cs"/>
          <w:rtl/>
        </w:rPr>
        <w:t xml:space="preserve">؛ </w:t>
      </w:r>
      <w:r w:rsidRPr="005D0C50">
        <w:rPr>
          <w:rtl/>
        </w:rPr>
        <w:t>في جولة واحدة أو جولتين</w:t>
      </w:r>
      <w:r w:rsidRPr="005D0C50">
        <w:rPr>
          <w:rFonts w:hint="cs"/>
          <w:rtl/>
        </w:rPr>
        <w:t>.</w:t>
      </w:r>
    </w:p>
    <w:p w:rsidR="00944A3C" w:rsidRPr="005D0C50" w:rsidRDefault="003C667A" w:rsidP="003C667A">
      <w:pPr>
        <w:pStyle w:val="H23GA"/>
        <w:rPr>
          <w:spacing w:val="2"/>
          <w:rtl/>
        </w:rPr>
      </w:pPr>
      <w:r>
        <w:rPr>
          <w:rtl/>
        </w:rPr>
        <w:lastRenderedPageBreak/>
        <w:tab/>
      </w:r>
      <w:r w:rsidR="00944A3C" w:rsidRPr="005D0C50">
        <w:rPr>
          <w:rFonts w:hint="cs"/>
          <w:rtl/>
        </w:rPr>
        <w:t>2-</w:t>
      </w:r>
      <w:r w:rsidR="00944A3C" w:rsidRPr="005D0C50">
        <w:rPr>
          <w:rFonts w:hint="cs"/>
          <w:rtl/>
        </w:rPr>
        <w:tab/>
      </w:r>
      <w:r w:rsidR="00944A3C" w:rsidRPr="005D0C50">
        <w:rPr>
          <w:rtl/>
        </w:rPr>
        <w:t>الناخبون والأحزاب السياسية والانتخابات</w:t>
      </w:r>
    </w:p>
    <w:p w:rsidR="00944A3C" w:rsidRPr="005D0C50" w:rsidRDefault="00944A3C" w:rsidP="00F85901">
      <w:pPr>
        <w:pStyle w:val="SingleTxtGA"/>
        <w:rPr>
          <w:rtl/>
        </w:rPr>
      </w:pPr>
      <w:r w:rsidRPr="005D0C50">
        <w:rPr>
          <w:rFonts w:hint="cs"/>
          <w:rtl/>
        </w:rPr>
        <w:t>99-</w:t>
      </w:r>
      <w:r w:rsidRPr="005D0C50">
        <w:rPr>
          <w:rFonts w:hint="cs"/>
          <w:rtl/>
        </w:rPr>
        <w:tab/>
      </w:r>
      <w:r w:rsidRPr="005D0C50">
        <w:rPr>
          <w:rtl/>
        </w:rPr>
        <w:t>يحق التصويت لجميع المواطنين الفرنسيين الذين تفوق أعمارهم 18 سنة، والمتمتعين بحقوقهم المدنية والسياسية</w:t>
      </w:r>
      <w:r w:rsidRPr="005D0C50">
        <w:rPr>
          <w:rFonts w:hint="cs"/>
          <w:rtl/>
        </w:rPr>
        <w:t xml:space="preserve">. </w:t>
      </w:r>
      <w:r w:rsidRPr="005D0C50">
        <w:rPr>
          <w:rtl/>
        </w:rPr>
        <w:t>ومنذ عام 1997، يُسجَّل تلقائي</w:t>
      </w:r>
      <w:r w:rsidR="00B028D3">
        <w:rPr>
          <w:rtl/>
        </w:rPr>
        <w:t xml:space="preserve">اً </w:t>
      </w:r>
      <w:r w:rsidRPr="005D0C50">
        <w:rPr>
          <w:rtl/>
        </w:rPr>
        <w:t>في قوائم الناخبين الأشخاص البالغون 18 سنة من العمر والمشمولون بتعداد السكان</w:t>
      </w:r>
      <w:r w:rsidRPr="005D0C50">
        <w:rPr>
          <w:rFonts w:hint="cs"/>
          <w:rtl/>
        </w:rPr>
        <w:t xml:space="preserve">. </w:t>
      </w:r>
      <w:r w:rsidRPr="005D0C50">
        <w:rPr>
          <w:rtl/>
        </w:rPr>
        <w:t>وحتى 1 آذار/مارس 2015، بلغ عدد الناخبين الفرنسيين المسجلين في قوائم الناخبين 44,6 مليون ناخب</w:t>
      </w:r>
      <w:r w:rsidRPr="005D0C50">
        <w:rPr>
          <w:rFonts w:hint="cs"/>
          <w:rtl/>
        </w:rPr>
        <w:t xml:space="preserve">. </w:t>
      </w:r>
      <w:r w:rsidRPr="005D0C50">
        <w:rPr>
          <w:rtl/>
        </w:rPr>
        <w:t>ولا يشمل هذا الرقم سكان أقاليم ما وراء البحار</w:t>
      </w:r>
      <w:r w:rsidRPr="005D0C50">
        <w:rPr>
          <w:rFonts w:hint="cs"/>
          <w:rtl/>
        </w:rPr>
        <w:t xml:space="preserve">. </w:t>
      </w:r>
      <w:r w:rsidRPr="005D0C50">
        <w:rPr>
          <w:rtl/>
        </w:rPr>
        <w:t>واتسم عدد الناخبين الفرنسيين المسجلين في قوائم الناخبين بالاستقرار النسبي بين عامي 2014 و2015 بعد أن شهد ارتفاع</w:t>
      </w:r>
      <w:r w:rsidR="00B028D3">
        <w:rPr>
          <w:rtl/>
        </w:rPr>
        <w:t xml:space="preserve">اً </w:t>
      </w:r>
      <w:r w:rsidRPr="005D0C50">
        <w:rPr>
          <w:rtl/>
        </w:rPr>
        <w:t>كبير</w:t>
      </w:r>
      <w:r w:rsidR="00B028D3">
        <w:rPr>
          <w:rtl/>
        </w:rPr>
        <w:t xml:space="preserve">اً </w:t>
      </w:r>
      <w:r w:rsidRPr="005D0C50">
        <w:rPr>
          <w:rtl/>
        </w:rPr>
        <w:t>بين عامي 2013 و2014 (</w:t>
      </w:r>
      <w:r w:rsidR="00F85901">
        <w:rPr>
          <w:rFonts w:hint="cs"/>
          <w:rtl/>
        </w:rPr>
        <w:t xml:space="preserve">+1.1 </w:t>
      </w:r>
      <w:r w:rsidRPr="005D0C50">
        <w:rPr>
          <w:rtl/>
        </w:rPr>
        <w:t>في المائة). وخلاف</w:t>
      </w:r>
      <w:r w:rsidR="00B028D3">
        <w:rPr>
          <w:rtl/>
        </w:rPr>
        <w:t xml:space="preserve">اً </w:t>
      </w:r>
      <w:r w:rsidRPr="005D0C50">
        <w:rPr>
          <w:rtl/>
        </w:rPr>
        <w:t>لذلك، كان عددهم أقل مما سُجل في عام 2012، الذي أُجريت خلاله الانتخابات الرئاسية والتشريعية</w:t>
      </w:r>
      <w:r w:rsidRPr="005D0C50">
        <w:rPr>
          <w:rFonts w:hint="cs"/>
          <w:rtl/>
        </w:rPr>
        <w:t xml:space="preserve">. </w:t>
      </w:r>
      <w:r w:rsidRPr="005D0C50">
        <w:rPr>
          <w:rtl/>
        </w:rPr>
        <w:t>وبالتالي، يرتبط تغير عدد الناخبين إلى حد كبير بإجراء الانتخابات وطبيعتها</w:t>
      </w:r>
      <w:r>
        <w:rPr>
          <w:rStyle w:val="EndnoteReference"/>
          <w:spacing w:val="2"/>
          <w:rtl/>
        </w:rPr>
        <w:t>(</w:t>
      </w:r>
      <w:r w:rsidRPr="005D0C50">
        <w:rPr>
          <w:rStyle w:val="EndnoteReference"/>
          <w:spacing w:val="2"/>
          <w:rtl/>
        </w:rPr>
        <w:endnoteReference w:id="122"/>
      </w:r>
      <w:r>
        <w:rPr>
          <w:rStyle w:val="EndnoteReference"/>
          <w:spacing w:val="2"/>
          <w:rtl/>
        </w:rPr>
        <w:t>)</w:t>
      </w:r>
      <w:r w:rsidRPr="005D0C50">
        <w:rPr>
          <w:rFonts w:hint="cs"/>
          <w:rtl/>
        </w:rPr>
        <w:t xml:space="preserve">. </w:t>
      </w:r>
      <w:r w:rsidRPr="005D0C50">
        <w:rPr>
          <w:rtl/>
        </w:rPr>
        <w:t>وفي نهاية عام 2013، لم يكن حوالي 3 ملايين فرنسي في سن التصويت مسجلين في قوائم الناخبين، ولكن هذا العدد انخفض عقب موجة التسجيل بغرض المشاركة في الانتخابات</w:t>
      </w:r>
      <w:r w:rsidRPr="005D0C50">
        <w:rPr>
          <w:rFonts w:hint="cs"/>
          <w:rtl/>
        </w:rPr>
        <w:t xml:space="preserve">. </w:t>
      </w:r>
      <w:r w:rsidRPr="005D0C50">
        <w:rPr>
          <w:rtl/>
        </w:rPr>
        <w:t>وكان معظم الناخبين الفرنسيين غير المسجلين ذكور</w:t>
      </w:r>
      <w:r w:rsidR="0031739C">
        <w:rPr>
          <w:rtl/>
        </w:rPr>
        <w:t>اً،</w:t>
      </w:r>
      <w:r w:rsidRPr="005D0C50">
        <w:rPr>
          <w:rtl/>
        </w:rPr>
        <w:t xml:space="preserve"> من فئة الشباب ذوي المستوى التعليمي المتدني، المولودين في الخارج والقاطنين في المناطق الحضرية</w:t>
      </w:r>
      <w:r w:rsidRPr="005D0C50">
        <w:rPr>
          <w:rFonts w:hint="cs"/>
          <w:rtl/>
        </w:rPr>
        <w:t>.</w:t>
      </w:r>
    </w:p>
    <w:p w:rsidR="00944A3C" w:rsidRPr="005D0C50" w:rsidRDefault="00944A3C" w:rsidP="003C667A">
      <w:pPr>
        <w:pStyle w:val="SingleTxtGA"/>
        <w:rPr>
          <w:rtl/>
        </w:rPr>
      </w:pPr>
      <w:r w:rsidRPr="005D0C50">
        <w:rPr>
          <w:rFonts w:hint="cs"/>
          <w:rtl/>
        </w:rPr>
        <w:t>100-</w:t>
      </w:r>
      <w:r w:rsidRPr="005D0C50">
        <w:rPr>
          <w:rFonts w:hint="cs"/>
          <w:rtl/>
        </w:rPr>
        <w:tab/>
      </w:r>
      <w:r w:rsidRPr="005D0C50">
        <w:rPr>
          <w:rtl/>
        </w:rPr>
        <w:t>وفي عام 2012، لم يكن مسجل</w:t>
      </w:r>
      <w:r w:rsidR="00B028D3">
        <w:rPr>
          <w:rtl/>
        </w:rPr>
        <w:t xml:space="preserve">اً </w:t>
      </w:r>
      <w:r w:rsidRPr="005D0C50">
        <w:rPr>
          <w:rtl/>
        </w:rPr>
        <w:t>في قوائم الناخبين، من الفرنسيين البالغين سن التصويت، سوى 67 في المائة من الأجانب المولودين في الخارج و85 في المائة من الفرنسيين المولودين في الخارج</w:t>
      </w:r>
      <w:r w:rsidRPr="005D0C50">
        <w:rPr>
          <w:rFonts w:hint="cs"/>
          <w:rtl/>
        </w:rPr>
        <w:t xml:space="preserve">. </w:t>
      </w:r>
      <w:r w:rsidRPr="005D0C50">
        <w:rPr>
          <w:rtl/>
        </w:rPr>
        <w:t>غير أنهم، بعد أن سجلوا أنفسهم، صوتوا بالقدر ذاته كما الفرنسيين المولودين في فرنسا</w:t>
      </w:r>
      <w:r>
        <w:rPr>
          <w:rStyle w:val="EndnoteReference"/>
          <w:spacing w:val="2"/>
          <w:rtl/>
        </w:rPr>
        <w:t>(</w:t>
      </w:r>
      <w:r w:rsidRPr="005D0C50">
        <w:rPr>
          <w:rStyle w:val="EndnoteReference"/>
          <w:spacing w:val="2"/>
          <w:rtl/>
        </w:rPr>
        <w:endnoteReference w:id="123"/>
      </w:r>
      <w:r>
        <w:rPr>
          <w:rStyle w:val="EndnoteReference"/>
          <w:spacing w:val="2"/>
          <w:rtl/>
        </w:rPr>
        <w:t>)</w:t>
      </w:r>
      <w:r w:rsidRPr="005D0C50">
        <w:rPr>
          <w:rFonts w:hint="cs"/>
          <w:rtl/>
        </w:rPr>
        <w:t xml:space="preserve">. </w:t>
      </w:r>
      <w:r w:rsidRPr="005D0C50">
        <w:rPr>
          <w:rtl/>
        </w:rPr>
        <w:t>أما الأشخاص المسجلون في قوائم الناخبين في مناطق وأقاليم ما وراء البحار وفي الجماعات الإقليمية لما وراء البحار، فيصوتون بنسبة أقل من الأشخاص المسجلين في فرنسا المتروبولية</w:t>
      </w:r>
      <w:r w:rsidRPr="005D0C50">
        <w:rPr>
          <w:rFonts w:hint="cs"/>
          <w:rtl/>
        </w:rPr>
        <w:t>.</w:t>
      </w:r>
    </w:p>
    <w:p w:rsidR="00944A3C" w:rsidRPr="00746503" w:rsidRDefault="00944A3C" w:rsidP="00746503">
      <w:pPr>
        <w:pStyle w:val="SingleTxtGA"/>
        <w:rPr>
          <w:spacing w:val="-4"/>
          <w:rtl/>
        </w:rPr>
      </w:pPr>
      <w:r w:rsidRPr="00746503">
        <w:rPr>
          <w:rFonts w:hint="cs"/>
          <w:spacing w:val="-4"/>
          <w:rtl/>
        </w:rPr>
        <w:t>101-</w:t>
      </w:r>
      <w:r w:rsidRPr="00746503">
        <w:rPr>
          <w:rFonts w:hint="cs"/>
          <w:spacing w:val="-4"/>
          <w:rtl/>
        </w:rPr>
        <w:tab/>
      </w:r>
      <w:r w:rsidRPr="00746503">
        <w:rPr>
          <w:spacing w:val="-4"/>
          <w:rtl/>
        </w:rPr>
        <w:t>ويجوز لمواطني الاتحاد الأوروبي التصويت في الانتخابات البلدية والأوروبية والترشح لها</w:t>
      </w:r>
      <w:r w:rsidRPr="00746503">
        <w:rPr>
          <w:rFonts w:hint="cs"/>
          <w:spacing w:val="-4"/>
          <w:rtl/>
        </w:rPr>
        <w:t xml:space="preserve">. </w:t>
      </w:r>
      <w:r w:rsidRPr="00746503">
        <w:rPr>
          <w:spacing w:val="-4"/>
          <w:rtl/>
        </w:rPr>
        <w:t>وحتى 1 آذار/مارس 2014، كان 000 281 شخص من مواطني الاتحاد الأوروبي مسجلين في القوائم الانتخابية</w:t>
      </w:r>
      <w:r w:rsidRPr="00746503">
        <w:rPr>
          <w:rStyle w:val="EndnoteReference"/>
          <w:spacing w:val="-4"/>
          <w:rtl/>
        </w:rPr>
        <w:t>(</w:t>
      </w:r>
      <w:r w:rsidRPr="00746503">
        <w:rPr>
          <w:rStyle w:val="EndnoteReference"/>
          <w:spacing w:val="-4"/>
          <w:rtl/>
        </w:rPr>
        <w:endnoteReference w:id="124"/>
      </w:r>
      <w:r w:rsidRPr="00746503">
        <w:rPr>
          <w:rStyle w:val="EndnoteReference"/>
          <w:spacing w:val="-4"/>
          <w:rtl/>
        </w:rPr>
        <w:t>)</w:t>
      </w:r>
      <w:r w:rsidRPr="00746503">
        <w:rPr>
          <w:rFonts w:hint="cs"/>
          <w:spacing w:val="-4"/>
          <w:rtl/>
        </w:rPr>
        <w:t xml:space="preserve">. </w:t>
      </w:r>
      <w:r w:rsidRPr="00746503">
        <w:rPr>
          <w:spacing w:val="-4"/>
          <w:rtl/>
        </w:rPr>
        <w:t>وبلغ عددهم في عام 2008، خلال آخر انتخابات بلدية،</w:t>
      </w:r>
      <w:r w:rsidR="003C667A" w:rsidRPr="00746503">
        <w:rPr>
          <w:rFonts w:hint="cs"/>
          <w:spacing w:val="-4"/>
          <w:rtl/>
        </w:rPr>
        <w:t> </w:t>
      </w:r>
      <w:r w:rsidR="00746503" w:rsidRPr="00746503">
        <w:rPr>
          <w:rFonts w:hint="cs"/>
          <w:spacing w:val="-4"/>
          <w:rtl/>
        </w:rPr>
        <w:t>000 220</w:t>
      </w:r>
      <w:r w:rsidRPr="00746503">
        <w:rPr>
          <w:rFonts w:hint="cs"/>
          <w:spacing w:val="-4"/>
          <w:rtl/>
        </w:rPr>
        <w:t xml:space="preserve"> شخص</w:t>
      </w:r>
      <w:r w:rsidRPr="00746503">
        <w:rPr>
          <w:spacing w:val="-4"/>
          <w:rtl/>
        </w:rPr>
        <w:t>؛</w:t>
      </w:r>
      <w:r w:rsidRPr="00746503">
        <w:rPr>
          <w:rFonts w:hint="cs"/>
          <w:spacing w:val="-4"/>
          <w:rtl/>
        </w:rPr>
        <w:t xml:space="preserve"> وكان </w:t>
      </w:r>
      <w:r w:rsidRPr="00746503">
        <w:rPr>
          <w:spacing w:val="-4"/>
          <w:rtl/>
        </w:rPr>
        <w:t xml:space="preserve">عدد المرشحين الأوروبيين في البلديات </w:t>
      </w:r>
      <w:r w:rsidRPr="00746503">
        <w:rPr>
          <w:rFonts w:hint="cs"/>
          <w:spacing w:val="-4"/>
          <w:rtl/>
        </w:rPr>
        <w:t xml:space="preserve">البالغ </w:t>
      </w:r>
      <w:r w:rsidRPr="00746503">
        <w:rPr>
          <w:spacing w:val="-4"/>
          <w:rtl/>
        </w:rPr>
        <w:t xml:space="preserve">عدد سكانها </w:t>
      </w:r>
      <w:r w:rsidRPr="00746503">
        <w:rPr>
          <w:rFonts w:hint="cs"/>
          <w:spacing w:val="-4"/>
          <w:rtl/>
        </w:rPr>
        <w:t xml:space="preserve">على الأقل </w:t>
      </w:r>
      <w:r w:rsidRPr="00746503">
        <w:rPr>
          <w:spacing w:val="-4"/>
          <w:rtl/>
        </w:rPr>
        <w:t>500 3 نسمة</w:t>
      </w:r>
      <w:r w:rsidR="00746503">
        <w:rPr>
          <w:rFonts w:hint="cs"/>
          <w:spacing w:val="-4"/>
          <w:rtl/>
        </w:rPr>
        <w:t> </w:t>
      </w:r>
      <w:r w:rsidRPr="00746503">
        <w:rPr>
          <w:spacing w:val="-4"/>
          <w:rtl/>
        </w:rPr>
        <w:t>206 1 مرشحين وعدد المنتخ</w:t>
      </w:r>
      <w:r w:rsidRPr="00746503">
        <w:rPr>
          <w:rFonts w:hint="cs"/>
          <w:spacing w:val="-4"/>
          <w:rtl/>
        </w:rPr>
        <w:t>َ</w:t>
      </w:r>
      <w:r w:rsidRPr="00746503">
        <w:rPr>
          <w:spacing w:val="-4"/>
          <w:rtl/>
        </w:rPr>
        <w:t>بين 244</w:t>
      </w:r>
      <w:r w:rsidRPr="00746503">
        <w:rPr>
          <w:rStyle w:val="EndnoteReference"/>
          <w:spacing w:val="-4"/>
          <w:rtl/>
        </w:rPr>
        <w:t>(</w:t>
      </w:r>
      <w:r w:rsidRPr="00746503">
        <w:rPr>
          <w:rStyle w:val="EndnoteReference"/>
          <w:spacing w:val="-4"/>
          <w:rtl/>
        </w:rPr>
        <w:endnoteReference w:id="125"/>
      </w:r>
      <w:r w:rsidRPr="00746503">
        <w:rPr>
          <w:rStyle w:val="EndnoteReference"/>
          <w:spacing w:val="-4"/>
          <w:rtl/>
        </w:rPr>
        <w:t>)</w:t>
      </w:r>
      <w:r w:rsidRPr="00746503">
        <w:rPr>
          <w:rFonts w:hint="cs"/>
          <w:spacing w:val="-4"/>
          <w:rtl/>
        </w:rPr>
        <w:t>.</w:t>
      </w:r>
    </w:p>
    <w:p w:rsidR="00944A3C" w:rsidRPr="005D0C50" w:rsidRDefault="00944A3C" w:rsidP="00746503">
      <w:pPr>
        <w:pStyle w:val="SingleTxtGA"/>
        <w:rPr>
          <w:rtl/>
        </w:rPr>
      </w:pPr>
      <w:r w:rsidRPr="005D0C50">
        <w:rPr>
          <w:rFonts w:hint="cs"/>
          <w:rtl/>
        </w:rPr>
        <w:t>102-</w:t>
      </w:r>
      <w:r w:rsidRPr="005D0C50">
        <w:rPr>
          <w:rFonts w:hint="cs"/>
          <w:rtl/>
        </w:rPr>
        <w:tab/>
      </w:r>
      <w:r w:rsidRPr="005D0C50">
        <w:rPr>
          <w:rtl/>
        </w:rPr>
        <w:t>ودور الأحزاب السياسية منصوص عليه في دستور عام 1958 (المادة 4)، الذي يُنيط بها أيض</w:t>
      </w:r>
      <w:r w:rsidR="0031739C">
        <w:rPr>
          <w:rtl/>
        </w:rPr>
        <w:t>اً،</w:t>
      </w:r>
      <w:r w:rsidRPr="005D0C50">
        <w:rPr>
          <w:rtl/>
        </w:rPr>
        <w:t xml:space="preserve"> منذ عام 1999، مهمة تشجيع المساواة بين المرأة والرجل في تَوَلّي المهام الانتخابية والوظائف القائمة على الانتخاب</w:t>
      </w:r>
      <w:r w:rsidRPr="005D0C50">
        <w:rPr>
          <w:rFonts w:hint="cs"/>
          <w:rtl/>
        </w:rPr>
        <w:t xml:space="preserve">. </w:t>
      </w:r>
      <w:r w:rsidRPr="005D0C50">
        <w:rPr>
          <w:rtl/>
        </w:rPr>
        <w:t>ويؤكد القانون المؤرخ 11 آذار/مارس 1988 المتعلق بتمويل الأحزاب السياسية أن الأحزاب تتشكل وتمارس نشاطها بحرية، وتتمتع بالشخصية الاعتبارية، ويجوز لها التقاضي</w:t>
      </w:r>
      <w:r>
        <w:rPr>
          <w:rStyle w:val="EndnoteReference"/>
          <w:spacing w:val="2"/>
          <w:rtl/>
        </w:rPr>
        <w:t>(</w:t>
      </w:r>
      <w:r w:rsidRPr="005D0C50">
        <w:rPr>
          <w:rStyle w:val="EndnoteReference"/>
          <w:spacing w:val="2"/>
          <w:rtl/>
        </w:rPr>
        <w:endnoteReference w:id="126"/>
      </w:r>
      <w:r>
        <w:rPr>
          <w:rStyle w:val="EndnoteReference"/>
          <w:spacing w:val="2"/>
          <w:rtl/>
        </w:rPr>
        <w:t>)</w:t>
      </w:r>
      <w:r w:rsidRPr="005D0C50">
        <w:rPr>
          <w:rFonts w:hint="cs"/>
          <w:rtl/>
        </w:rPr>
        <w:t xml:space="preserve">. </w:t>
      </w:r>
      <w:r w:rsidRPr="005D0C50">
        <w:rPr>
          <w:rtl/>
        </w:rPr>
        <w:t>وحتى 30 حزيران/يونيه 2013، بلغ عدد الأحزاب السياسية المسجلة</w:t>
      </w:r>
      <w:r w:rsidR="00746503">
        <w:rPr>
          <w:rFonts w:hint="cs"/>
          <w:rtl/>
        </w:rPr>
        <w:t> </w:t>
      </w:r>
      <w:r w:rsidRPr="005D0C50">
        <w:rPr>
          <w:rtl/>
        </w:rPr>
        <w:t>402، وفق</w:t>
      </w:r>
      <w:r w:rsidR="00B028D3">
        <w:rPr>
          <w:rtl/>
        </w:rPr>
        <w:t xml:space="preserve">اً </w:t>
      </w:r>
      <w:r w:rsidRPr="005D0C50">
        <w:rPr>
          <w:rtl/>
        </w:rPr>
        <w:t>للجنة الوطنية لحسابات الحملات الانتخابية وتمويل الأحزاب السياسية</w:t>
      </w:r>
      <w:r w:rsidRPr="005D0C50">
        <w:rPr>
          <w:rFonts w:hint="cs"/>
          <w:rtl/>
        </w:rPr>
        <w:t xml:space="preserve">. </w:t>
      </w:r>
      <w:r w:rsidRPr="005D0C50">
        <w:rPr>
          <w:rtl/>
        </w:rPr>
        <w:t>وكان 285 حزب</w:t>
      </w:r>
      <w:r w:rsidR="00B028D3">
        <w:rPr>
          <w:rtl/>
        </w:rPr>
        <w:t xml:space="preserve">اً </w:t>
      </w:r>
      <w:r w:rsidRPr="005D0C50">
        <w:rPr>
          <w:rtl/>
        </w:rPr>
        <w:t>منها معتمداً، و55 مؤهل</w:t>
      </w:r>
      <w:r w:rsidR="00B028D3">
        <w:rPr>
          <w:rtl/>
        </w:rPr>
        <w:t xml:space="preserve">اً </w:t>
      </w:r>
      <w:r w:rsidRPr="005D0C50">
        <w:rPr>
          <w:rtl/>
        </w:rPr>
        <w:t>للحصول على المساعدة العامة (التي كانت قيمتها</w:t>
      </w:r>
      <w:r w:rsidR="00746503">
        <w:rPr>
          <w:rFonts w:hint="cs"/>
          <w:rtl/>
        </w:rPr>
        <w:t> </w:t>
      </w:r>
      <w:r w:rsidRPr="005D0C50">
        <w:rPr>
          <w:rtl/>
        </w:rPr>
        <w:t>70 مليون يورو)</w:t>
      </w:r>
      <w:r>
        <w:rPr>
          <w:rStyle w:val="EndnoteReference"/>
          <w:spacing w:val="2"/>
          <w:rtl/>
        </w:rPr>
        <w:t>(</w:t>
      </w:r>
      <w:r w:rsidRPr="005D0C50">
        <w:rPr>
          <w:rStyle w:val="EndnoteReference"/>
          <w:spacing w:val="2"/>
          <w:rtl/>
        </w:rPr>
        <w:endnoteReference w:id="127"/>
      </w:r>
      <w:r>
        <w:rPr>
          <w:rStyle w:val="EndnoteReference"/>
          <w:spacing w:val="2"/>
          <w:rtl/>
        </w:rPr>
        <w:t>)</w:t>
      </w:r>
      <w:r w:rsidRPr="005D0C50">
        <w:rPr>
          <w:rFonts w:hint="cs"/>
          <w:rtl/>
        </w:rPr>
        <w:t xml:space="preserve">. </w:t>
      </w:r>
      <w:r w:rsidRPr="005D0C50">
        <w:rPr>
          <w:rtl/>
        </w:rPr>
        <w:t>وفي عام 2014، كان 13 حزب</w:t>
      </w:r>
      <w:r w:rsidR="00B028D3">
        <w:rPr>
          <w:rtl/>
        </w:rPr>
        <w:t xml:space="preserve">اً </w:t>
      </w:r>
      <w:r w:rsidRPr="005D0C50">
        <w:rPr>
          <w:rtl/>
        </w:rPr>
        <w:t>منها ممث</w:t>
      </w:r>
      <w:r w:rsidRPr="005D0C50">
        <w:rPr>
          <w:rFonts w:hint="cs"/>
          <w:rtl/>
        </w:rPr>
        <w:t>َّ</w:t>
      </w:r>
      <w:r w:rsidRPr="005D0C50">
        <w:rPr>
          <w:rtl/>
        </w:rPr>
        <w:t>ل</w:t>
      </w:r>
      <w:r w:rsidR="00B028D3">
        <w:rPr>
          <w:rtl/>
        </w:rPr>
        <w:t xml:space="preserve">اً </w:t>
      </w:r>
      <w:r w:rsidRPr="005D0C50">
        <w:rPr>
          <w:rtl/>
        </w:rPr>
        <w:t>في البرلمان الفرنسي و/أو في البرلمان الأوروبي</w:t>
      </w:r>
      <w:r>
        <w:rPr>
          <w:rStyle w:val="EndnoteReference"/>
          <w:spacing w:val="2"/>
          <w:rtl/>
        </w:rPr>
        <w:t>(</w:t>
      </w:r>
      <w:r w:rsidRPr="005D0C50">
        <w:rPr>
          <w:rStyle w:val="EndnoteReference"/>
          <w:spacing w:val="2"/>
          <w:rtl/>
        </w:rPr>
        <w:endnoteReference w:id="128"/>
      </w:r>
      <w:r>
        <w:rPr>
          <w:rStyle w:val="EndnoteReference"/>
          <w:spacing w:val="2"/>
          <w:rtl/>
        </w:rPr>
        <w:t>)</w:t>
      </w:r>
      <w:r w:rsidRPr="005D0C50">
        <w:rPr>
          <w:rFonts w:hint="cs"/>
          <w:rtl/>
        </w:rPr>
        <w:t>.</w:t>
      </w:r>
    </w:p>
    <w:p w:rsidR="00944A3C" w:rsidRPr="005D0C50" w:rsidRDefault="00944A3C" w:rsidP="00746503">
      <w:pPr>
        <w:pStyle w:val="SingleTxtGA"/>
        <w:rPr>
          <w:rtl/>
        </w:rPr>
      </w:pPr>
      <w:r w:rsidRPr="005D0C50">
        <w:rPr>
          <w:rFonts w:hint="cs"/>
          <w:rtl/>
        </w:rPr>
        <w:t>103-</w:t>
      </w:r>
      <w:r w:rsidRPr="005D0C50">
        <w:rPr>
          <w:rFonts w:hint="cs"/>
          <w:rtl/>
        </w:rPr>
        <w:tab/>
      </w:r>
      <w:r w:rsidRPr="005D0C50">
        <w:rPr>
          <w:rtl/>
        </w:rPr>
        <w:t>وتنظَّم جميع الانتخابات في فرنسا داخل الآجال المنصوص عليها في القانون</w:t>
      </w:r>
      <w:r w:rsidRPr="005D0C50">
        <w:rPr>
          <w:rFonts w:hint="cs"/>
          <w:rtl/>
        </w:rPr>
        <w:t>.</w:t>
      </w:r>
    </w:p>
    <w:p w:rsidR="00944A3C" w:rsidRPr="005D0C50" w:rsidRDefault="00944A3C" w:rsidP="00746503">
      <w:pPr>
        <w:pStyle w:val="SingleTxtGA"/>
        <w:rPr>
          <w:rtl/>
        </w:rPr>
      </w:pPr>
      <w:r w:rsidRPr="005D0C50">
        <w:rPr>
          <w:rFonts w:hint="cs"/>
          <w:rtl/>
        </w:rPr>
        <w:lastRenderedPageBreak/>
        <w:t>104-</w:t>
      </w:r>
      <w:r w:rsidRPr="005D0C50">
        <w:rPr>
          <w:rFonts w:hint="cs"/>
          <w:rtl/>
        </w:rPr>
        <w:tab/>
      </w:r>
      <w:r w:rsidRPr="005D0C50">
        <w:rPr>
          <w:rtl/>
        </w:rPr>
        <w:t>ويتأرجح معدل التسجيل في قوائم الناخبين ومعدل المشاركة في التصويت من انتخابات إلى أخرى تبع</w:t>
      </w:r>
      <w:r w:rsidR="00B028D3">
        <w:rPr>
          <w:rtl/>
        </w:rPr>
        <w:t xml:space="preserve">اً </w:t>
      </w:r>
      <w:r w:rsidRPr="005D0C50">
        <w:rPr>
          <w:rtl/>
        </w:rPr>
        <w:t>لتغيير الناخبين لمحل سكناهم (السبب الرئيسي لعدم التسجيل في القوائم الانتخابية) وأيض</w:t>
      </w:r>
      <w:r w:rsidR="00B028D3">
        <w:rPr>
          <w:rtl/>
        </w:rPr>
        <w:t xml:space="preserve">اً </w:t>
      </w:r>
      <w:r w:rsidRPr="005D0C50">
        <w:rPr>
          <w:rtl/>
        </w:rPr>
        <w:t>لأهمية الانتخابات</w:t>
      </w:r>
      <w:r w:rsidRPr="005D0C50">
        <w:rPr>
          <w:rFonts w:hint="cs"/>
          <w:rtl/>
        </w:rPr>
        <w:t xml:space="preserve">. </w:t>
      </w:r>
      <w:r w:rsidRPr="005D0C50">
        <w:rPr>
          <w:rtl/>
        </w:rPr>
        <w:t>وبالفعل، يلاحَظ ارتفاع في نسبة التسجيل خلال فترات الحملات الانتخابية المتعلقة بالانتخابات الرئاسية التي يعتبرها الناخبون أساسية</w:t>
      </w:r>
      <w:r w:rsidRPr="005D0C50">
        <w:rPr>
          <w:rFonts w:hint="cs"/>
          <w:rtl/>
        </w:rPr>
        <w:t>.</w:t>
      </w:r>
    </w:p>
    <w:p w:rsidR="00944A3C" w:rsidRPr="005D0C50" w:rsidRDefault="00944A3C" w:rsidP="00746503">
      <w:pPr>
        <w:pStyle w:val="SingleTxtGA"/>
        <w:rPr>
          <w:rtl/>
        </w:rPr>
      </w:pPr>
      <w:r w:rsidRPr="005D0C50">
        <w:rPr>
          <w:rFonts w:hint="cs"/>
          <w:rtl/>
        </w:rPr>
        <w:t>105-</w:t>
      </w:r>
      <w:r w:rsidRPr="005D0C50">
        <w:rPr>
          <w:rFonts w:hint="cs"/>
          <w:rtl/>
        </w:rPr>
        <w:tab/>
      </w:r>
      <w:r w:rsidRPr="005D0C50">
        <w:rPr>
          <w:rtl/>
        </w:rPr>
        <w:t xml:space="preserve">وبالتالي، فإن </w:t>
      </w:r>
      <w:r w:rsidRPr="005D0C50">
        <w:rPr>
          <w:rFonts w:hint="cs"/>
          <w:rtl/>
        </w:rPr>
        <w:t xml:space="preserve">المشاركة في </w:t>
      </w:r>
      <w:r w:rsidRPr="005D0C50">
        <w:rPr>
          <w:rtl/>
        </w:rPr>
        <w:t xml:space="preserve">الانتخابات الرئاسية، بالنظر إلى أهميتها وتغطيتها الإعلامية، </w:t>
      </w:r>
      <w:r w:rsidRPr="005D0C50">
        <w:rPr>
          <w:rFonts w:hint="cs"/>
          <w:rtl/>
        </w:rPr>
        <w:t xml:space="preserve">أقوى </w:t>
      </w:r>
      <w:r w:rsidRPr="005D0C50">
        <w:rPr>
          <w:rtl/>
        </w:rPr>
        <w:t xml:space="preserve">في العادة من </w:t>
      </w:r>
      <w:r w:rsidRPr="005D0C50">
        <w:rPr>
          <w:rFonts w:hint="cs"/>
          <w:rtl/>
        </w:rPr>
        <w:t xml:space="preserve">المشاركة في </w:t>
      </w:r>
      <w:r w:rsidRPr="005D0C50">
        <w:rPr>
          <w:rtl/>
        </w:rPr>
        <w:t>الانتخابات التشريعية</w:t>
      </w:r>
      <w:r w:rsidRPr="005D0C50">
        <w:rPr>
          <w:rFonts w:hint="cs"/>
          <w:rtl/>
        </w:rPr>
        <w:t xml:space="preserve">. ففي عام 2012، صوت </w:t>
      </w:r>
      <w:r w:rsidRPr="005D0C50">
        <w:rPr>
          <w:rtl/>
        </w:rPr>
        <w:t>حوالي 80 في المائة من الناخبين الفرنسيين المسجلين</w:t>
      </w:r>
      <w:r w:rsidRPr="005D0C50">
        <w:rPr>
          <w:rFonts w:hint="cs"/>
          <w:rtl/>
        </w:rPr>
        <w:t xml:space="preserve"> خلال الانتخابات الرئاسية</w:t>
      </w:r>
      <w:r>
        <w:rPr>
          <w:rStyle w:val="EndnoteReference"/>
          <w:spacing w:val="2"/>
          <w:rtl/>
        </w:rPr>
        <w:t>(</w:t>
      </w:r>
      <w:r w:rsidRPr="005D0C50">
        <w:rPr>
          <w:rStyle w:val="EndnoteReference"/>
          <w:spacing w:val="2"/>
          <w:rtl/>
        </w:rPr>
        <w:endnoteReference w:id="129"/>
      </w:r>
      <w:r>
        <w:rPr>
          <w:rStyle w:val="EndnoteReference"/>
          <w:spacing w:val="2"/>
          <w:rtl/>
        </w:rPr>
        <w:t>)</w:t>
      </w:r>
      <w:r w:rsidRPr="005D0C50">
        <w:rPr>
          <w:rtl/>
        </w:rPr>
        <w:t>، مقابل 56 في المائة تقريب</w:t>
      </w:r>
      <w:r w:rsidR="00B028D3">
        <w:rPr>
          <w:rtl/>
        </w:rPr>
        <w:t xml:space="preserve">اً </w:t>
      </w:r>
      <w:r w:rsidRPr="005D0C50">
        <w:rPr>
          <w:rtl/>
        </w:rPr>
        <w:t xml:space="preserve">في الانتخابات </w:t>
      </w:r>
      <w:r w:rsidRPr="005D0C50">
        <w:rPr>
          <w:rFonts w:hint="cs"/>
          <w:rtl/>
        </w:rPr>
        <w:t>التشريعية</w:t>
      </w:r>
      <w:r>
        <w:rPr>
          <w:rStyle w:val="EndnoteReference"/>
          <w:spacing w:val="2"/>
          <w:rtl/>
        </w:rPr>
        <w:t>(</w:t>
      </w:r>
      <w:r w:rsidRPr="005D0C50">
        <w:rPr>
          <w:rStyle w:val="EndnoteReference"/>
          <w:spacing w:val="2"/>
          <w:rtl/>
        </w:rPr>
        <w:endnoteReference w:id="130"/>
      </w:r>
      <w:r>
        <w:rPr>
          <w:rStyle w:val="EndnoteReference"/>
          <w:spacing w:val="2"/>
          <w:rtl/>
        </w:rPr>
        <w:t>)</w:t>
      </w:r>
      <w:r w:rsidRPr="005D0C50">
        <w:rPr>
          <w:rFonts w:hint="cs"/>
          <w:rtl/>
        </w:rPr>
        <w:t xml:space="preserve">. </w:t>
      </w:r>
      <w:r w:rsidRPr="005D0C50">
        <w:rPr>
          <w:rtl/>
        </w:rPr>
        <w:t>وبالإضافة إلى ذلك، أدلى 62,13 في المائة من الناخبين الفرنسيين المسجلين بأصواتهم في الجولة الثانية من الانتخابات البلدية في عام 2014</w:t>
      </w:r>
      <w:r>
        <w:rPr>
          <w:rStyle w:val="EndnoteReference"/>
          <w:spacing w:val="2"/>
          <w:rtl/>
        </w:rPr>
        <w:t>(</w:t>
      </w:r>
      <w:r w:rsidRPr="005D0C50">
        <w:rPr>
          <w:rStyle w:val="EndnoteReference"/>
          <w:spacing w:val="2"/>
          <w:rtl/>
        </w:rPr>
        <w:endnoteReference w:id="131"/>
      </w:r>
      <w:r>
        <w:rPr>
          <w:rStyle w:val="EndnoteReference"/>
          <w:spacing w:val="2"/>
          <w:rtl/>
        </w:rPr>
        <w:t>)</w:t>
      </w:r>
      <w:r w:rsidRPr="005D0C50">
        <w:rPr>
          <w:rtl/>
        </w:rPr>
        <w:t>، و42,43 في المائة في الانتخابات الأوروبية في عام 2014</w:t>
      </w:r>
      <w:r>
        <w:rPr>
          <w:rStyle w:val="EndnoteReference"/>
          <w:spacing w:val="2"/>
          <w:rtl/>
        </w:rPr>
        <w:t>(</w:t>
      </w:r>
      <w:r w:rsidRPr="005D0C50">
        <w:rPr>
          <w:rStyle w:val="EndnoteReference"/>
          <w:spacing w:val="2"/>
          <w:rtl/>
        </w:rPr>
        <w:endnoteReference w:id="132"/>
      </w:r>
      <w:r>
        <w:rPr>
          <w:rStyle w:val="EndnoteReference"/>
          <w:spacing w:val="2"/>
          <w:rtl/>
        </w:rPr>
        <w:t>)</w:t>
      </w:r>
      <w:r w:rsidRPr="005D0C50">
        <w:rPr>
          <w:rtl/>
        </w:rPr>
        <w:t>، و49,98 في المائة في الجولة الثانية من الانتخابات على صعيد المقاطعات في عام 2015</w:t>
      </w:r>
      <w:r>
        <w:rPr>
          <w:rStyle w:val="EndnoteReference"/>
          <w:spacing w:val="2"/>
          <w:rtl/>
        </w:rPr>
        <w:t>(</w:t>
      </w:r>
      <w:r w:rsidRPr="005D0C50">
        <w:rPr>
          <w:rStyle w:val="EndnoteReference"/>
          <w:spacing w:val="2"/>
          <w:rtl/>
        </w:rPr>
        <w:endnoteReference w:id="133"/>
      </w:r>
      <w:r>
        <w:rPr>
          <w:rStyle w:val="EndnoteReference"/>
          <w:spacing w:val="2"/>
          <w:rtl/>
        </w:rPr>
        <w:t>)</w:t>
      </w:r>
      <w:r w:rsidRPr="005D0C50">
        <w:rPr>
          <w:rtl/>
        </w:rPr>
        <w:t>، و58,41 في المائة في الجولة الثانية من الانتخابات الإقليمية في عام 2015</w:t>
      </w:r>
      <w:r>
        <w:rPr>
          <w:rStyle w:val="EndnoteReference"/>
          <w:spacing w:val="2"/>
          <w:rtl/>
        </w:rPr>
        <w:t>(</w:t>
      </w:r>
      <w:r w:rsidRPr="005D0C50">
        <w:rPr>
          <w:rStyle w:val="EndnoteReference"/>
          <w:spacing w:val="2"/>
          <w:rtl/>
        </w:rPr>
        <w:endnoteReference w:id="134"/>
      </w:r>
      <w:r>
        <w:rPr>
          <w:rStyle w:val="EndnoteReference"/>
          <w:spacing w:val="2"/>
          <w:rtl/>
        </w:rPr>
        <w:t>)</w:t>
      </w:r>
      <w:r w:rsidRPr="005D0C50">
        <w:rPr>
          <w:rFonts w:hint="cs"/>
          <w:rtl/>
        </w:rPr>
        <w:t>.</w:t>
      </w:r>
    </w:p>
    <w:p w:rsidR="00944A3C" w:rsidRPr="005D0C50" w:rsidRDefault="00944A3C" w:rsidP="00746503">
      <w:pPr>
        <w:pStyle w:val="SingleTxtGA"/>
        <w:rPr>
          <w:rtl/>
        </w:rPr>
      </w:pPr>
      <w:r w:rsidRPr="005D0C50">
        <w:rPr>
          <w:rFonts w:hint="cs"/>
          <w:rtl/>
        </w:rPr>
        <w:t>106-</w:t>
      </w:r>
      <w:r w:rsidRPr="005D0C50">
        <w:rPr>
          <w:rFonts w:hint="cs"/>
          <w:rtl/>
        </w:rPr>
        <w:tab/>
      </w:r>
      <w:r w:rsidRPr="005D0C50">
        <w:rPr>
          <w:rtl/>
        </w:rPr>
        <w:t xml:space="preserve">والمجلس الدستوري هو الهيئة المختصة </w:t>
      </w:r>
      <w:r w:rsidRPr="005D0C50">
        <w:rPr>
          <w:rFonts w:hint="cs"/>
          <w:rtl/>
        </w:rPr>
        <w:t xml:space="preserve">في </w:t>
      </w:r>
      <w:r w:rsidRPr="005D0C50">
        <w:rPr>
          <w:rtl/>
        </w:rPr>
        <w:t>البت في حالات الطعن في شرعية الانتخابات التشريعية وانتخابات مجلس الشيوخ والانتخابات الرئاسية والاستفتاءات</w:t>
      </w:r>
      <w:r w:rsidRPr="005D0C50">
        <w:rPr>
          <w:rFonts w:hint="cs"/>
          <w:rtl/>
        </w:rPr>
        <w:t xml:space="preserve">. </w:t>
      </w:r>
      <w:r w:rsidRPr="005D0C50">
        <w:rPr>
          <w:rtl/>
        </w:rPr>
        <w:t>وعقب الانتخابات التشريعية التي أُجريت في حزيران/يونيه 2012، تلقى المجلس، على هذا الأساس، 108 شكاوى من مرشحين أو ناخبين، فضل</w:t>
      </w:r>
      <w:r w:rsidR="00B028D3">
        <w:rPr>
          <w:rtl/>
        </w:rPr>
        <w:t xml:space="preserve">اً </w:t>
      </w:r>
      <w:r w:rsidRPr="005D0C50">
        <w:rPr>
          <w:rtl/>
        </w:rPr>
        <w:t>عن 238 بلاغ</w:t>
      </w:r>
      <w:r w:rsidR="00B028D3">
        <w:rPr>
          <w:rtl/>
        </w:rPr>
        <w:t xml:space="preserve">اً </w:t>
      </w:r>
      <w:r w:rsidRPr="005D0C50">
        <w:rPr>
          <w:rtl/>
        </w:rPr>
        <w:t>من اللجنة الوطنية لحسابات الحملات الانتخابية وتمويل الأحزاب السياسية</w:t>
      </w:r>
      <w:r>
        <w:rPr>
          <w:rStyle w:val="EndnoteReference"/>
          <w:spacing w:val="2"/>
          <w:rtl/>
        </w:rPr>
        <w:t>(</w:t>
      </w:r>
      <w:r w:rsidRPr="005D0C50">
        <w:rPr>
          <w:rStyle w:val="EndnoteReference"/>
          <w:spacing w:val="2"/>
          <w:rtl/>
        </w:rPr>
        <w:endnoteReference w:id="135"/>
      </w:r>
      <w:r>
        <w:rPr>
          <w:rStyle w:val="EndnoteReference"/>
          <w:spacing w:val="2"/>
          <w:rtl/>
        </w:rPr>
        <w:t>)</w:t>
      </w:r>
      <w:r w:rsidRPr="005D0C50">
        <w:rPr>
          <w:rFonts w:hint="cs"/>
          <w:rtl/>
        </w:rPr>
        <w:t xml:space="preserve">. </w:t>
      </w:r>
      <w:r w:rsidRPr="005D0C50">
        <w:rPr>
          <w:rtl/>
        </w:rPr>
        <w:t>كما أصدر المجلس الدستوري أحكام</w:t>
      </w:r>
      <w:r w:rsidR="00B028D3">
        <w:rPr>
          <w:rtl/>
        </w:rPr>
        <w:t xml:space="preserve">اً </w:t>
      </w:r>
      <w:r w:rsidRPr="005D0C50">
        <w:rPr>
          <w:rtl/>
        </w:rPr>
        <w:t>بشأن 4 طعون في قائمة المرشحين للانتخابات الرئاسية</w:t>
      </w:r>
      <w:r>
        <w:rPr>
          <w:rStyle w:val="EndnoteReference"/>
          <w:spacing w:val="2"/>
          <w:rtl/>
        </w:rPr>
        <w:t>(</w:t>
      </w:r>
      <w:r w:rsidRPr="005D0C50">
        <w:rPr>
          <w:rStyle w:val="EndnoteReference"/>
          <w:spacing w:val="2"/>
          <w:rtl/>
        </w:rPr>
        <w:endnoteReference w:id="136"/>
      </w:r>
      <w:r>
        <w:rPr>
          <w:rStyle w:val="EndnoteReference"/>
          <w:spacing w:val="2"/>
          <w:rtl/>
        </w:rPr>
        <w:t>)</w:t>
      </w:r>
      <w:r w:rsidRPr="005D0C50">
        <w:rPr>
          <w:rFonts w:hint="cs"/>
          <w:rtl/>
        </w:rPr>
        <w:t xml:space="preserve">. </w:t>
      </w:r>
      <w:r w:rsidRPr="005D0C50">
        <w:rPr>
          <w:rtl/>
        </w:rPr>
        <w:t>أما الطعون المقدمة ضد انتخابات البرلمان الأوروبي والانتخابات الإقليمية، فهي تندرج، أول</w:t>
      </w:r>
      <w:r w:rsidR="00B028D3">
        <w:rPr>
          <w:rtl/>
        </w:rPr>
        <w:t xml:space="preserve">اً </w:t>
      </w:r>
      <w:r w:rsidRPr="005D0C50">
        <w:rPr>
          <w:rtl/>
        </w:rPr>
        <w:t>وأخير</w:t>
      </w:r>
      <w:r w:rsidR="0031739C">
        <w:rPr>
          <w:rtl/>
        </w:rPr>
        <w:t>اً،</w:t>
      </w:r>
      <w:r w:rsidRPr="005D0C50">
        <w:rPr>
          <w:rtl/>
        </w:rPr>
        <w:t xml:space="preserve"> ضمن اختصاص مجلس الدولة</w:t>
      </w:r>
      <w:r w:rsidRPr="005D0C50">
        <w:rPr>
          <w:rFonts w:hint="cs"/>
          <w:rtl/>
        </w:rPr>
        <w:t xml:space="preserve">. </w:t>
      </w:r>
      <w:r w:rsidRPr="005D0C50">
        <w:rPr>
          <w:rtl/>
        </w:rPr>
        <w:t>وأخير</w:t>
      </w:r>
      <w:r w:rsidR="0031739C">
        <w:rPr>
          <w:rtl/>
        </w:rPr>
        <w:t>اً،</w:t>
      </w:r>
      <w:r w:rsidRPr="005D0C50">
        <w:rPr>
          <w:rtl/>
        </w:rPr>
        <w:t xml:space="preserve"> تندرج الطعون </w:t>
      </w:r>
      <w:r w:rsidRPr="005D0C50">
        <w:rPr>
          <w:rFonts w:hint="cs"/>
          <w:rtl/>
        </w:rPr>
        <w:t xml:space="preserve">المقدمة </w:t>
      </w:r>
      <w:r w:rsidRPr="005D0C50">
        <w:rPr>
          <w:rtl/>
        </w:rPr>
        <w:t>ضد الانتخابات التي تُجرى على صعيد البلديات والمقاطعات ضمن اختصاص المحاكم الإدارية</w:t>
      </w:r>
      <w:r>
        <w:rPr>
          <w:rStyle w:val="EndnoteReference"/>
          <w:spacing w:val="2"/>
          <w:rtl/>
        </w:rPr>
        <w:t>(</w:t>
      </w:r>
      <w:r w:rsidRPr="005D0C50">
        <w:rPr>
          <w:rStyle w:val="EndnoteReference"/>
          <w:spacing w:val="2"/>
          <w:rtl/>
        </w:rPr>
        <w:endnoteReference w:id="137"/>
      </w:r>
      <w:r>
        <w:rPr>
          <w:rStyle w:val="EndnoteReference"/>
          <w:spacing w:val="2"/>
          <w:rtl/>
        </w:rPr>
        <w:t>)</w:t>
      </w:r>
      <w:r w:rsidRPr="005D0C50">
        <w:rPr>
          <w:rFonts w:hint="cs"/>
          <w:rtl/>
        </w:rPr>
        <w:t>.</w:t>
      </w:r>
    </w:p>
    <w:p w:rsidR="00944A3C" w:rsidRPr="005D0C50" w:rsidRDefault="00746503" w:rsidP="00746503">
      <w:pPr>
        <w:pStyle w:val="H23GA"/>
        <w:rPr>
          <w:spacing w:val="2"/>
          <w:rtl/>
        </w:rPr>
      </w:pPr>
      <w:r>
        <w:rPr>
          <w:rtl/>
        </w:rPr>
        <w:tab/>
      </w:r>
      <w:r w:rsidR="00944A3C" w:rsidRPr="005D0C50">
        <w:rPr>
          <w:rFonts w:hint="cs"/>
          <w:rtl/>
        </w:rPr>
        <w:t>3-</w:t>
      </w:r>
      <w:r w:rsidR="00944A3C" w:rsidRPr="005D0C50">
        <w:rPr>
          <w:rFonts w:hint="cs"/>
          <w:rtl/>
        </w:rPr>
        <w:tab/>
        <w:t>الجمعيات</w:t>
      </w:r>
    </w:p>
    <w:p w:rsidR="00944A3C" w:rsidRPr="005D0C50" w:rsidRDefault="00944A3C" w:rsidP="00746503">
      <w:pPr>
        <w:pStyle w:val="SingleTxtGA"/>
        <w:rPr>
          <w:rtl/>
        </w:rPr>
      </w:pPr>
      <w:r w:rsidRPr="005D0C50">
        <w:rPr>
          <w:rFonts w:hint="cs"/>
          <w:rtl/>
        </w:rPr>
        <w:t>107-</w:t>
      </w:r>
      <w:r w:rsidRPr="005D0C50">
        <w:rPr>
          <w:rFonts w:hint="cs"/>
          <w:rtl/>
        </w:rPr>
        <w:tab/>
      </w:r>
      <w:r w:rsidRPr="005D0C50">
        <w:rPr>
          <w:rtl/>
        </w:rPr>
        <w:t>أقر القانون المؤرخ 1 تموز/يوليه 1901 حرية تكوين الجمعيات التي تشكل مبدأً ذا صبغة دستورية</w:t>
      </w:r>
      <w:r>
        <w:rPr>
          <w:rStyle w:val="EndnoteReference"/>
          <w:spacing w:val="2"/>
          <w:rtl/>
        </w:rPr>
        <w:t>(</w:t>
      </w:r>
      <w:r w:rsidRPr="005D0C50">
        <w:rPr>
          <w:rStyle w:val="EndnoteReference"/>
          <w:spacing w:val="2"/>
          <w:rtl/>
        </w:rPr>
        <w:endnoteReference w:id="138"/>
      </w:r>
      <w:r>
        <w:rPr>
          <w:rStyle w:val="EndnoteReference"/>
          <w:spacing w:val="2"/>
          <w:rtl/>
        </w:rPr>
        <w:t>)</w:t>
      </w:r>
      <w:r w:rsidRPr="005D0C50">
        <w:rPr>
          <w:rFonts w:hint="cs"/>
          <w:rtl/>
        </w:rPr>
        <w:t xml:space="preserve">. </w:t>
      </w:r>
      <w:r w:rsidRPr="005D0C50">
        <w:rPr>
          <w:rtl/>
        </w:rPr>
        <w:t xml:space="preserve">وفي عام 2010، بلغ عدد </w:t>
      </w:r>
      <w:r w:rsidRPr="005D0C50">
        <w:rPr>
          <w:rFonts w:hint="cs"/>
          <w:rtl/>
        </w:rPr>
        <w:t xml:space="preserve">الجمعيات </w:t>
      </w:r>
      <w:r w:rsidRPr="005D0C50">
        <w:rPr>
          <w:rtl/>
        </w:rPr>
        <w:t xml:space="preserve">النشيطة 1,3 مليون </w:t>
      </w:r>
      <w:r w:rsidRPr="005D0C50">
        <w:rPr>
          <w:rFonts w:hint="cs"/>
          <w:rtl/>
        </w:rPr>
        <w:t>جمعية</w:t>
      </w:r>
      <w:r>
        <w:rPr>
          <w:rStyle w:val="EndnoteReference"/>
          <w:spacing w:val="2"/>
          <w:rtl/>
        </w:rPr>
        <w:t>(</w:t>
      </w:r>
      <w:r w:rsidRPr="005D0C50">
        <w:rPr>
          <w:rStyle w:val="EndnoteReference"/>
          <w:spacing w:val="2"/>
          <w:rtl/>
        </w:rPr>
        <w:endnoteReference w:id="139"/>
      </w:r>
      <w:r>
        <w:rPr>
          <w:rStyle w:val="EndnoteReference"/>
          <w:spacing w:val="2"/>
          <w:rtl/>
        </w:rPr>
        <w:t>)</w:t>
      </w:r>
      <w:r w:rsidRPr="005D0C50">
        <w:rPr>
          <w:rFonts w:hint="cs"/>
          <w:rtl/>
        </w:rPr>
        <w:t xml:space="preserve">. </w:t>
      </w:r>
      <w:r w:rsidRPr="005D0C50">
        <w:rPr>
          <w:rtl/>
        </w:rPr>
        <w:t>ويجوز تكوين الجمعيات بحرية، من دون ترخيص ولا تصريح مسبق: فيكفي أن يضع شخصان أو أكثر نظامها الأساسي (الذي يحدد، ضمن جملة أمور، اسم الرابطة وغرضها، وهيئاتها الإدارية، والشخص المخوَّل له تمثيلها) ويحددوا مقرها الاجتماعي</w:t>
      </w:r>
      <w:r w:rsidRPr="005D0C50">
        <w:rPr>
          <w:rFonts w:hint="cs"/>
          <w:rtl/>
        </w:rPr>
        <w:t xml:space="preserve">. </w:t>
      </w:r>
      <w:r w:rsidRPr="005D0C50">
        <w:rPr>
          <w:rtl/>
        </w:rPr>
        <w:t>ولا يوجد إلا قيدان اثنان لحرية تكوين الجمعيات: فلا ينبغي أن تُخل بالنظام العام، ويُحظر تقاسم المنافع بين أعضائها</w:t>
      </w:r>
      <w:r w:rsidRPr="005D0C50">
        <w:rPr>
          <w:rFonts w:hint="cs"/>
          <w:rtl/>
        </w:rPr>
        <w:t>.</w:t>
      </w:r>
    </w:p>
    <w:p w:rsidR="00944A3C" w:rsidRPr="005D0C50" w:rsidRDefault="00944A3C" w:rsidP="00317979">
      <w:pPr>
        <w:pStyle w:val="SingleTxtGA"/>
        <w:spacing w:line="370" w:lineRule="exact"/>
        <w:rPr>
          <w:rtl/>
        </w:rPr>
      </w:pPr>
      <w:r w:rsidRPr="005D0C50">
        <w:rPr>
          <w:rFonts w:hint="cs"/>
          <w:rtl/>
        </w:rPr>
        <w:t>108-</w:t>
      </w:r>
      <w:r w:rsidRPr="005D0C50">
        <w:rPr>
          <w:rFonts w:hint="cs"/>
          <w:rtl/>
        </w:rPr>
        <w:tab/>
      </w:r>
      <w:r w:rsidRPr="005D0C50">
        <w:rPr>
          <w:rtl/>
        </w:rPr>
        <w:t xml:space="preserve">ولكن </w:t>
      </w:r>
      <w:r w:rsidRPr="005D0C50">
        <w:rPr>
          <w:rFonts w:hint="cs"/>
          <w:rtl/>
        </w:rPr>
        <w:t xml:space="preserve">الجمعيات </w:t>
      </w:r>
      <w:r w:rsidRPr="005D0C50">
        <w:rPr>
          <w:rtl/>
        </w:rPr>
        <w:t>لا تتمتع بالأهلية القانونية إلا إذا قدم مؤسسوها إعلان</w:t>
      </w:r>
      <w:r w:rsidR="00B028D3">
        <w:rPr>
          <w:rtl/>
        </w:rPr>
        <w:t xml:space="preserve">اً </w:t>
      </w:r>
      <w:r w:rsidRPr="005D0C50">
        <w:rPr>
          <w:rtl/>
        </w:rPr>
        <w:t>مسبق</w:t>
      </w:r>
      <w:r w:rsidR="00B028D3">
        <w:rPr>
          <w:rtl/>
        </w:rPr>
        <w:t xml:space="preserve">اً </w:t>
      </w:r>
      <w:r w:rsidRPr="005D0C50">
        <w:rPr>
          <w:rtl/>
        </w:rPr>
        <w:t xml:space="preserve">إلى محافظة المقاطعة التي يوجد بها المقر الاجتماعي </w:t>
      </w:r>
      <w:r w:rsidRPr="005D0C50">
        <w:rPr>
          <w:rFonts w:hint="cs"/>
          <w:rtl/>
        </w:rPr>
        <w:t xml:space="preserve">للجمعية. </w:t>
      </w:r>
      <w:r w:rsidRPr="005D0C50">
        <w:rPr>
          <w:rtl/>
        </w:rPr>
        <w:t xml:space="preserve">وبعد تسليم إيصال لمؤسسي </w:t>
      </w:r>
      <w:r w:rsidRPr="005D0C50">
        <w:rPr>
          <w:rFonts w:hint="cs"/>
          <w:rtl/>
        </w:rPr>
        <w:t>الجمعية</w:t>
      </w:r>
      <w:r w:rsidRPr="005D0C50">
        <w:rPr>
          <w:rtl/>
        </w:rPr>
        <w:t xml:space="preserve">، يُنشر إعلان إنشائها في </w:t>
      </w:r>
      <w:r w:rsidRPr="00170F39">
        <w:rPr>
          <w:i/>
          <w:iCs/>
          <w:rtl/>
        </w:rPr>
        <w:t>الجريدة الرسمية</w:t>
      </w:r>
      <w:r>
        <w:rPr>
          <w:rStyle w:val="EndnoteReference"/>
          <w:spacing w:val="2"/>
          <w:rtl/>
        </w:rPr>
        <w:t>(</w:t>
      </w:r>
      <w:r w:rsidRPr="005D0C50">
        <w:rPr>
          <w:rStyle w:val="EndnoteReference"/>
          <w:spacing w:val="2"/>
          <w:rtl/>
        </w:rPr>
        <w:endnoteReference w:id="140"/>
      </w:r>
      <w:r>
        <w:rPr>
          <w:rStyle w:val="EndnoteReference"/>
          <w:spacing w:val="2"/>
          <w:rtl/>
        </w:rPr>
        <w:t>)</w:t>
      </w:r>
      <w:r w:rsidRPr="005D0C50">
        <w:rPr>
          <w:rFonts w:hint="cs"/>
          <w:rtl/>
        </w:rPr>
        <w:t xml:space="preserve">. </w:t>
      </w:r>
      <w:r w:rsidRPr="005D0C50">
        <w:rPr>
          <w:rtl/>
        </w:rPr>
        <w:t>ولا يجوز للمحافظ أن يرفض تسليم الإيصال إلا في مقاطعتي ألزاس وموزيل، الخاضعتين لنظام مختلف بحكم انتمائهما للإمبراطورية الألمانية خلال الفترة الممتدة بين عامي 1870 و1919</w:t>
      </w:r>
      <w:r w:rsidRPr="005D0C50">
        <w:rPr>
          <w:rFonts w:hint="cs"/>
          <w:rtl/>
        </w:rPr>
        <w:t xml:space="preserve">. </w:t>
      </w:r>
      <w:r w:rsidRPr="005D0C50">
        <w:rPr>
          <w:rtl/>
        </w:rPr>
        <w:t xml:space="preserve">ولا يجوز للمحافظ، بعد تسليم الإيصال، أن يلجأ إلى القضاء إلا إذا رأى أن غرض </w:t>
      </w:r>
      <w:r w:rsidRPr="005D0C50">
        <w:rPr>
          <w:rFonts w:hint="cs"/>
          <w:rtl/>
        </w:rPr>
        <w:t xml:space="preserve">الجمعية </w:t>
      </w:r>
      <w:r w:rsidRPr="005D0C50">
        <w:rPr>
          <w:rtl/>
        </w:rPr>
        <w:t>غير قانوني</w:t>
      </w:r>
      <w:r>
        <w:rPr>
          <w:rStyle w:val="EndnoteReference"/>
          <w:spacing w:val="2"/>
          <w:rtl/>
        </w:rPr>
        <w:t>(</w:t>
      </w:r>
      <w:r w:rsidRPr="005D0C50">
        <w:rPr>
          <w:rStyle w:val="EndnoteReference"/>
          <w:spacing w:val="2"/>
          <w:rtl/>
        </w:rPr>
        <w:endnoteReference w:id="141"/>
      </w:r>
      <w:r>
        <w:rPr>
          <w:rStyle w:val="EndnoteReference"/>
          <w:spacing w:val="2"/>
          <w:rtl/>
        </w:rPr>
        <w:t>)</w:t>
      </w:r>
      <w:r w:rsidRPr="005D0C50">
        <w:rPr>
          <w:rFonts w:hint="cs"/>
          <w:rtl/>
        </w:rPr>
        <w:t>.</w:t>
      </w:r>
    </w:p>
    <w:p w:rsidR="00944A3C" w:rsidRPr="005D0C50" w:rsidRDefault="00944A3C" w:rsidP="00317979">
      <w:pPr>
        <w:pStyle w:val="SingleTxtGA"/>
        <w:spacing w:line="370" w:lineRule="exact"/>
        <w:rPr>
          <w:rtl/>
        </w:rPr>
      </w:pPr>
      <w:r w:rsidRPr="005D0C50">
        <w:rPr>
          <w:rFonts w:hint="cs"/>
          <w:rtl/>
        </w:rPr>
        <w:lastRenderedPageBreak/>
        <w:t>109-</w:t>
      </w:r>
      <w:r w:rsidRPr="005D0C50">
        <w:rPr>
          <w:rFonts w:hint="cs"/>
          <w:rtl/>
        </w:rPr>
        <w:tab/>
      </w:r>
      <w:r w:rsidRPr="005D0C50">
        <w:rPr>
          <w:rtl/>
        </w:rPr>
        <w:t xml:space="preserve">ويجوز الاعتراف </w:t>
      </w:r>
      <w:r w:rsidRPr="005D0C50">
        <w:rPr>
          <w:rFonts w:hint="cs"/>
          <w:rtl/>
        </w:rPr>
        <w:t xml:space="preserve">لجمعية </w:t>
      </w:r>
      <w:r w:rsidRPr="005D0C50">
        <w:rPr>
          <w:rtl/>
        </w:rPr>
        <w:t>ما بصفة المؤسسة ذات المصلحة العامة</w:t>
      </w:r>
      <w:r w:rsidRPr="005D0C50">
        <w:rPr>
          <w:rFonts w:hint="cs"/>
          <w:rtl/>
        </w:rPr>
        <w:t xml:space="preserve">. </w:t>
      </w:r>
      <w:r w:rsidRPr="005D0C50">
        <w:rPr>
          <w:rtl/>
        </w:rPr>
        <w:t xml:space="preserve">وعندما تكون </w:t>
      </w:r>
      <w:r w:rsidRPr="005D0C50">
        <w:rPr>
          <w:rFonts w:hint="cs"/>
          <w:rtl/>
        </w:rPr>
        <w:t xml:space="preserve">الجمعية </w:t>
      </w:r>
      <w:r w:rsidRPr="005D0C50">
        <w:rPr>
          <w:rtl/>
        </w:rPr>
        <w:t>ذات مصلحة عامة، يمكن الاعتراف بها أيض</w:t>
      </w:r>
      <w:r w:rsidR="00B028D3">
        <w:rPr>
          <w:rtl/>
        </w:rPr>
        <w:t xml:space="preserve">اً </w:t>
      </w:r>
      <w:r w:rsidRPr="005D0C50">
        <w:rPr>
          <w:rtl/>
        </w:rPr>
        <w:t>كمؤسسة ذات منفعة عامة بموجب مرسوم يصدره مجلس الدولة إذا كانت تستوفي شروط</w:t>
      </w:r>
      <w:r w:rsidR="00B028D3">
        <w:rPr>
          <w:rtl/>
        </w:rPr>
        <w:t xml:space="preserve">اً </w:t>
      </w:r>
      <w:r w:rsidRPr="005D0C50">
        <w:rPr>
          <w:rtl/>
        </w:rPr>
        <w:t>معينة (ممارسة نشاطها فترة لا تقل عن ثلاث سنوات، وتجاوزُ نطاق عملها الصعيد المحلي، وتجاوز عدد المنتسبين إليها 200 شخص، وبلوغ الحد الأدنى السنوي لمواردها ما قدره 000 46 يورو، وعدم استهداف الربح المالي).</w:t>
      </w:r>
      <w:r w:rsidRPr="005D0C50">
        <w:rPr>
          <w:rFonts w:hint="cs"/>
          <w:rtl/>
        </w:rPr>
        <w:t xml:space="preserve"> </w:t>
      </w:r>
      <w:r w:rsidRPr="005D0C50">
        <w:rPr>
          <w:rtl/>
        </w:rPr>
        <w:t xml:space="preserve">ويجوز </w:t>
      </w:r>
      <w:r w:rsidRPr="005D0C50">
        <w:rPr>
          <w:rFonts w:hint="cs"/>
          <w:rtl/>
        </w:rPr>
        <w:t xml:space="preserve">للجمعيات </w:t>
      </w:r>
      <w:r w:rsidRPr="005D0C50">
        <w:rPr>
          <w:rtl/>
        </w:rPr>
        <w:t>ذات المنفعة العامة أن تتلقى، بالإضافة إلى التبرعات العينية، هبات وتركات</w:t>
      </w:r>
      <w:r>
        <w:rPr>
          <w:rStyle w:val="EndnoteReference"/>
          <w:spacing w:val="2"/>
          <w:rtl/>
        </w:rPr>
        <w:t>(</w:t>
      </w:r>
      <w:r w:rsidRPr="005D0C50">
        <w:rPr>
          <w:rStyle w:val="EndnoteReference"/>
          <w:spacing w:val="2"/>
          <w:rtl/>
        </w:rPr>
        <w:endnoteReference w:id="142"/>
      </w:r>
      <w:r>
        <w:rPr>
          <w:rStyle w:val="EndnoteReference"/>
          <w:spacing w:val="2"/>
          <w:rtl/>
        </w:rPr>
        <w:t>)</w:t>
      </w:r>
      <w:r w:rsidRPr="005D0C50">
        <w:rPr>
          <w:rFonts w:hint="cs"/>
          <w:rtl/>
        </w:rPr>
        <w:t xml:space="preserve">. </w:t>
      </w:r>
      <w:r w:rsidRPr="005D0C50">
        <w:rPr>
          <w:rtl/>
        </w:rPr>
        <w:t xml:space="preserve">وفي عام 2015، بلغ عدد </w:t>
      </w:r>
      <w:r w:rsidRPr="005D0C50">
        <w:rPr>
          <w:rFonts w:hint="cs"/>
          <w:rtl/>
        </w:rPr>
        <w:t xml:space="preserve">الجمعيات </w:t>
      </w:r>
      <w:r w:rsidRPr="005D0C50">
        <w:rPr>
          <w:rtl/>
        </w:rPr>
        <w:t xml:space="preserve">ذات المنفعة العامة حوالي 900 1 </w:t>
      </w:r>
      <w:r w:rsidRPr="005D0C50">
        <w:rPr>
          <w:rFonts w:hint="cs"/>
          <w:rtl/>
        </w:rPr>
        <w:t>جمعية</w:t>
      </w:r>
      <w:r>
        <w:rPr>
          <w:rStyle w:val="EndnoteReference"/>
          <w:spacing w:val="2"/>
          <w:rtl/>
        </w:rPr>
        <w:t>(</w:t>
      </w:r>
      <w:r w:rsidRPr="005D0C50">
        <w:rPr>
          <w:rStyle w:val="EndnoteReference"/>
          <w:spacing w:val="2"/>
          <w:rtl/>
        </w:rPr>
        <w:endnoteReference w:id="143"/>
      </w:r>
      <w:r>
        <w:rPr>
          <w:rStyle w:val="EndnoteReference"/>
          <w:spacing w:val="2"/>
          <w:rtl/>
        </w:rPr>
        <w:t>)</w:t>
      </w:r>
      <w:r w:rsidRPr="005D0C50">
        <w:rPr>
          <w:rFonts w:hint="cs"/>
          <w:rtl/>
        </w:rPr>
        <w:t>.</w:t>
      </w:r>
    </w:p>
    <w:p w:rsidR="00944A3C" w:rsidRPr="005D0C50" w:rsidRDefault="00944A3C" w:rsidP="00317979">
      <w:pPr>
        <w:pStyle w:val="SingleTxtGA"/>
        <w:spacing w:line="370" w:lineRule="exact"/>
        <w:rPr>
          <w:rtl/>
        </w:rPr>
      </w:pPr>
      <w:r w:rsidRPr="005D0C50">
        <w:rPr>
          <w:rFonts w:hint="cs"/>
          <w:rtl/>
        </w:rPr>
        <w:t>110-</w:t>
      </w:r>
      <w:r w:rsidRPr="005D0C50">
        <w:rPr>
          <w:rFonts w:hint="cs"/>
          <w:rtl/>
        </w:rPr>
        <w:tab/>
      </w:r>
      <w:r w:rsidRPr="005D0C50">
        <w:rPr>
          <w:rtl/>
        </w:rPr>
        <w:t xml:space="preserve">وفي فرنسا، يمكن </w:t>
      </w:r>
      <w:r w:rsidRPr="005D0C50">
        <w:rPr>
          <w:rFonts w:hint="cs"/>
          <w:rtl/>
        </w:rPr>
        <w:t xml:space="preserve">لجمعية </w:t>
      </w:r>
      <w:r w:rsidRPr="005D0C50">
        <w:rPr>
          <w:rtl/>
        </w:rPr>
        <w:t xml:space="preserve">ما أن تثبت شرعيتها على الصعيد الدول بوسائل شتى، منها الانتساب إلى شبكات معترف بها والحصول على صفة المنظمة غير الحكومية </w:t>
      </w:r>
      <w:r w:rsidRPr="005D0C50">
        <w:rPr>
          <w:rFonts w:hint="cs"/>
          <w:rtl/>
        </w:rPr>
        <w:t>ال</w:t>
      </w:r>
      <w:r w:rsidRPr="005D0C50">
        <w:rPr>
          <w:rtl/>
        </w:rPr>
        <w:t>شريكة للهيئات الدولية</w:t>
      </w:r>
      <w:r>
        <w:rPr>
          <w:rStyle w:val="EndnoteReference"/>
          <w:spacing w:val="2"/>
          <w:rtl/>
        </w:rPr>
        <w:t>(</w:t>
      </w:r>
      <w:r w:rsidRPr="005D0C50">
        <w:rPr>
          <w:rStyle w:val="EndnoteReference"/>
          <w:spacing w:val="2"/>
          <w:rtl/>
        </w:rPr>
        <w:endnoteReference w:id="144"/>
      </w:r>
      <w:r>
        <w:rPr>
          <w:rStyle w:val="EndnoteReference"/>
          <w:spacing w:val="2"/>
          <w:rtl/>
        </w:rPr>
        <w:t>)</w:t>
      </w:r>
      <w:r w:rsidRPr="005D0C50">
        <w:rPr>
          <w:rFonts w:hint="cs"/>
          <w:rtl/>
        </w:rPr>
        <w:t xml:space="preserve">. </w:t>
      </w:r>
      <w:r w:rsidRPr="005D0C50">
        <w:rPr>
          <w:rtl/>
        </w:rPr>
        <w:t>ولكن لا توجد أي قائمة رسمية بالمنظمات غير الحكومية الفرنسية</w:t>
      </w:r>
      <w:r>
        <w:rPr>
          <w:rStyle w:val="EndnoteReference"/>
          <w:spacing w:val="2"/>
          <w:rtl/>
        </w:rPr>
        <w:t>(</w:t>
      </w:r>
      <w:r w:rsidRPr="005D0C50">
        <w:rPr>
          <w:rStyle w:val="EndnoteReference"/>
          <w:spacing w:val="2"/>
          <w:rtl/>
        </w:rPr>
        <w:endnoteReference w:id="145"/>
      </w:r>
      <w:r>
        <w:rPr>
          <w:rStyle w:val="EndnoteReference"/>
          <w:spacing w:val="2"/>
          <w:rtl/>
        </w:rPr>
        <w:t>)</w:t>
      </w:r>
      <w:r w:rsidRPr="005D0C50">
        <w:rPr>
          <w:rFonts w:hint="cs"/>
          <w:rtl/>
        </w:rPr>
        <w:t>.</w:t>
      </w:r>
    </w:p>
    <w:p w:rsidR="00944A3C" w:rsidRPr="005D0C50" w:rsidRDefault="00746503" w:rsidP="00746503">
      <w:pPr>
        <w:pStyle w:val="H23GA"/>
        <w:rPr>
          <w:rtl/>
        </w:rPr>
      </w:pPr>
      <w:r>
        <w:rPr>
          <w:rtl/>
        </w:rPr>
        <w:tab/>
      </w:r>
      <w:r w:rsidR="00944A3C" w:rsidRPr="005D0C50">
        <w:rPr>
          <w:rFonts w:hint="cs"/>
          <w:rtl/>
        </w:rPr>
        <w:t>4-</w:t>
      </w:r>
      <w:r w:rsidR="00944A3C" w:rsidRPr="005D0C50">
        <w:rPr>
          <w:rFonts w:hint="cs"/>
          <w:rtl/>
        </w:rPr>
        <w:tab/>
      </w:r>
      <w:r w:rsidR="00944A3C" w:rsidRPr="005D0C50">
        <w:rPr>
          <w:rtl/>
        </w:rPr>
        <w:t>وسائط الإعلام</w:t>
      </w:r>
    </w:p>
    <w:p w:rsidR="00944A3C" w:rsidRPr="005D0C50" w:rsidRDefault="00944A3C" w:rsidP="00B75392">
      <w:pPr>
        <w:pStyle w:val="SingleTxtGA"/>
        <w:rPr>
          <w:rtl/>
        </w:rPr>
      </w:pPr>
      <w:r w:rsidRPr="005D0C50">
        <w:rPr>
          <w:rFonts w:hint="cs"/>
          <w:rtl/>
        </w:rPr>
        <w:t>111-</w:t>
      </w:r>
      <w:r w:rsidRPr="005D0C50">
        <w:rPr>
          <w:rFonts w:hint="cs"/>
          <w:rtl/>
        </w:rPr>
        <w:tab/>
      </w:r>
      <w:r w:rsidRPr="005D0C50">
        <w:rPr>
          <w:rtl/>
        </w:rPr>
        <w:t>وفق</w:t>
      </w:r>
      <w:r w:rsidR="00B028D3">
        <w:rPr>
          <w:rtl/>
        </w:rPr>
        <w:t xml:space="preserve">اً </w:t>
      </w:r>
      <w:r w:rsidRPr="005D0C50">
        <w:rPr>
          <w:rtl/>
        </w:rPr>
        <w:t>للدراسة المعنونة "وسائط الإعلام في الحياة" (</w:t>
      </w:r>
      <w:r w:rsidRPr="005D0C50">
        <w:t>Media in Life</w:t>
      </w:r>
      <w:r w:rsidRPr="005D0C50">
        <w:rPr>
          <w:rtl/>
        </w:rPr>
        <w:t xml:space="preserve">) التي أنجزتها مؤسسة ميديامتري في عام 2014، بلغ متوسط عدد مرات استعمال الفرنسيين لوسائط الإعلام والوسائط المتعددة في اليوم 44,4 لكل شخص، مقابل 33,9 في عام </w:t>
      </w:r>
      <w:r w:rsidR="00B75392">
        <w:rPr>
          <w:rFonts w:hint="cs"/>
          <w:rtl/>
        </w:rPr>
        <w:t>2005</w:t>
      </w:r>
      <w:r w:rsidRPr="005D0C50">
        <w:rPr>
          <w:rtl/>
        </w:rPr>
        <w:t>، أي بزيادة نسبتها 31 في المائة خلال 10 سنوات</w:t>
      </w:r>
      <w:r>
        <w:rPr>
          <w:rStyle w:val="EndnoteReference"/>
          <w:spacing w:val="2"/>
          <w:rtl/>
        </w:rPr>
        <w:t>(</w:t>
      </w:r>
      <w:r w:rsidRPr="005D0C50">
        <w:rPr>
          <w:rStyle w:val="EndnoteReference"/>
          <w:spacing w:val="2"/>
          <w:rtl/>
        </w:rPr>
        <w:endnoteReference w:id="146"/>
      </w:r>
      <w:r>
        <w:rPr>
          <w:rStyle w:val="EndnoteReference"/>
          <w:spacing w:val="2"/>
          <w:rtl/>
        </w:rPr>
        <w:t>)</w:t>
      </w:r>
      <w:r w:rsidRPr="005D0C50">
        <w:rPr>
          <w:rFonts w:hint="cs"/>
          <w:rtl/>
        </w:rPr>
        <w:t>.</w:t>
      </w:r>
    </w:p>
    <w:p w:rsidR="00944A3C" w:rsidRPr="005D0C50" w:rsidRDefault="00944A3C" w:rsidP="00317979">
      <w:pPr>
        <w:pStyle w:val="SingleTxtGA"/>
        <w:spacing w:line="360" w:lineRule="exact"/>
        <w:rPr>
          <w:rtl/>
        </w:rPr>
      </w:pPr>
      <w:r w:rsidRPr="005D0C50">
        <w:rPr>
          <w:rFonts w:hint="cs"/>
          <w:rtl/>
        </w:rPr>
        <w:t>112-</w:t>
      </w:r>
      <w:r w:rsidRPr="005D0C50">
        <w:rPr>
          <w:rFonts w:hint="cs"/>
          <w:rtl/>
        </w:rPr>
        <w:tab/>
      </w:r>
      <w:r w:rsidRPr="005D0C50">
        <w:rPr>
          <w:u w:val="single"/>
          <w:rtl/>
        </w:rPr>
        <w:t>الصحافة</w:t>
      </w:r>
      <w:r w:rsidRPr="005D0C50">
        <w:rPr>
          <w:rFonts w:hint="cs"/>
          <w:rtl/>
        </w:rPr>
        <w:t xml:space="preserve">. </w:t>
      </w:r>
      <w:r w:rsidRPr="005D0C50">
        <w:rPr>
          <w:rtl/>
        </w:rPr>
        <w:t>في عام 2012، فاق عدد الصحف المكتوبة 700 4</w:t>
      </w:r>
      <w:r>
        <w:rPr>
          <w:rStyle w:val="EndnoteReference"/>
          <w:spacing w:val="2"/>
          <w:rtl/>
        </w:rPr>
        <w:t>(</w:t>
      </w:r>
      <w:r w:rsidRPr="005D0C50">
        <w:rPr>
          <w:rStyle w:val="EndnoteReference"/>
          <w:spacing w:val="2"/>
          <w:rtl/>
        </w:rPr>
        <w:endnoteReference w:id="147"/>
      </w:r>
      <w:r>
        <w:rPr>
          <w:rStyle w:val="EndnoteReference"/>
          <w:spacing w:val="2"/>
          <w:rtl/>
        </w:rPr>
        <w:t>)</w:t>
      </w:r>
      <w:r w:rsidRPr="005D0C50">
        <w:rPr>
          <w:rFonts w:hint="cs"/>
          <w:rtl/>
        </w:rPr>
        <w:t>،</w:t>
      </w:r>
      <w:r w:rsidRPr="005D0C50">
        <w:rPr>
          <w:rtl/>
        </w:rPr>
        <w:t xml:space="preserve"> استطاعت أن تحقق قدر</w:t>
      </w:r>
      <w:r w:rsidR="00B028D3">
        <w:rPr>
          <w:rtl/>
        </w:rPr>
        <w:t xml:space="preserve">اً </w:t>
      </w:r>
      <w:r w:rsidRPr="005D0C50">
        <w:rPr>
          <w:rtl/>
        </w:rPr>
        <w:t>معين</w:t>
      </w:r>
      <w:r w:rsidR="00B028D3">
        <w:rPr>
          <w:rtl/>
        </w:rPr>
        <w:t xml:space="preserve">اً </w:t>
      </w:r>
      <w:r w:rsidRPr="005D0C50">
        <w:rPr>
          <w:rtl/>
        </w:rPr>
        <w:t>من الاستقرار والانتشار</w:t>
      </w:r>
      <w:r w:rsidRPr="005D0C50">
        <w:rPr>
          <w:rFonts w:hint="cs"/>
          <w:rtl/>
        </w:rPr>
        <w:t xml:space="preserve">. </w:t>
      </w:r>
      <w:r w:rsidRPr="005D0C50">
        <w:rPr>
          <w:rtl/>
        </w:rPr>
        <w:t>وجرى توزيع 4,9 بلايين نسخة تقريب</w:t>
      </w:r>
      <w:r w:rsidR="0031739C">
        <w:rPr>
          <w:rtl/>
        </w:rPr>
        <w:t>اً،</w:t>
      </w:r>
      <w:r w:rsidRPr="005D0C50">
        <w:rPr>
          <w:rtl/>
        </w:rPr>
        <w:t xml:space="preserve"> في عام</w:t>
      </w:r>
      <w:r w:rsidR="00746503">
        <w:rPr>
          <w:rFonts w:hint="cs"/>
          <w:rtl/>
        </w:rPr>
        <w:t> </w:t>
      </w:r>
      <w:r w:rsidRPr="005D0C50">
        <w:rPr>
          <w:rtl/>
        </w:rPr>
        <w:t>2012</w:t>
      </w:r>
      <w:r>
        <w:rPr>
          <w:rStyle w:val="EndnoteReference"/>
          <w:spacing w:val="2"/>
          <w:rtl/>
        </w:rPr>
        <w:t>(</w:t>
      </w:r>
      <w:r w:rsidRPr="005D0C50">
        <w:rPr>
          <w:rStyle w:val="EndnoteReference"/>
          <w:spacing w:val="2"/>
          <w:rtl/>
        </w:rPr>
        <w:endnoteReference w:id="148"/>
      </w:r>
      <w:r>
        <w:rPr>
          <w:rStyle w:val="EndnoteReference"/>
          <w:spacing w:val="2"/>
          <w:rtl/>
        </w:rPr>
        <w:t>)</w:t>
      </w:r>
      <w:r w:rsidRPr="005D0C50">
        <w:rPr>
          <w:rFonts w:hint="cs"/>
          <w:rtl/>
        </w:rPr>
        <w:t>.</w:t>
      </w:r>
    </w:p>
    <w:p w:rsidR="00944A3C" w:rsidRPr="005D0C50" w:rsidRDefault="00944A3C" w:rsidP="00317979">
      <w:pPr>
        <w:pStyle w:val="SingleTxtGA"/>
        <w:spacing w:line="360" w:lineRule="exact"/>
        <w:rPr>
          <w:rtl/>
        </w:rPr>
      </w:pPr>
      <w:r w:rsidRPr="005D0C50">
        <w:rPr>
          <w:rFonts w:hint="cs"/>
          <w:rtl/>
        </w:rPr>
        <w:t>113-</w:t>
      </w:r>
      <w:r w:rsidRPr="005D0C50">
        <w:rPr>
          <w:rFonts w:hint="cs"/>
          <w:rtl/>
        </w:rPr>
        <w:tab/>
      </w:r>
      <w:r w:rsidRPr="005D0C50">
        <w:rPr>
          <w:rtl/>
        </w:rPr>
        <w:t xml:space="preserve">وتستأثر الصحافة المتخصصة الموجهة إلى الجمهور العام بنسبة 52 في المائة من </w:t>
      </w:r>
      <w:r w:rsidRPr="005D0C50">
        <w:rPr>
          <w:rFonts w:hint="cs"/>
          <w:rtl/>
        </w:rPr>
        <w:t>الصحف</w:t>
      </w:r>
      <w:r w:rsidRPr="005D0C50">
        <w:rPr>
          <w:rtl/>
        </w:rPr>
        <w:t>، و28 في المائة من مجموع النسخ الموزعة، و38 في المائة من إيرادات الناشرين</w:t>
      </w:r>
      <w:r w:rsidRPr="005D0C50">
        <w:rPr>
          <w:rFonts w:hint="cs"/>
          <w:rtl/>
        </w:rPr>
        <w:t xml:space="preserve">. </w:t>
      </w:r>
      <w:r w:rsidRPr="005D0C50">
        <w:rPr>
          <w:rtl/>
        </w:rPr>
        <w:t>وتستأثر الصحافة التقنية والمهنية المتخصصة بأكثر من 30 في المائة من الصحف وفقط بـ 3 في المائة من مجموع النسخ الموزعة و9 في المائة من الإيرادات</w:t>
      </w:r>
      <w:r w:rsidRPr="005D0C50">
        <w:rPr>
          <w:rFonts w:hint="cs"/>
          <w:rtl/>
        </w:rPr>
        <w:t xml:space="preserve">. </w:t>
      </w:r>
      <w:r w:rsidRPr="005D0C50">
        <w:rPr>
          <w:rtl/>
        </w:rPr>
        <w:t xml:space="preserve">وبخلاف ذلك، تمثل الصحف اليومية المحلية ذات المحتوى العام والسياسي أكثر من 1 في المائة بقليل من مجموع الصحف ولكنها تستأثر بنسبة </w:t>
      </w:r>
      <w:r w:rsidRPr="005D0C50">
        <w:rPr>
          <w:rFonts w:hint="cs"/>
          <w:rtl/>
        </w:rPr>
        <w:t>36</w:t>
      </w:r>
      <w:r w:rsidRPr="005D0C50">
        <w:rPr>
          <w:rtl/>
        </w:rPr>
        <w:t xml:space="preserve"> في المائة من النسخ الموزعة وبثلث إيرادات الناشرين</w:t>
      </w:r>
      <w:r>
        <w:rPr>
          <w:rStyle w:val="EndnoteReference"/>
          <w:spacing w:val="2"/>
          <w:rtl/>
        </w:rPr>
        <w:t>(</w:t>
      </w:r>
      <w:r w:rsidRPr="005D0C50">
        <w:rPr>
          <w:rStyle w:val="EndnoteReference"/>
          <w:spacing w:val="2"/>
          <w:rtl/>
        </w:rPr>
        <w:endnoteReference w:id="149"/>
      </w:r>
      <w:r>
        <w:rPr>
          <w:rStyle w:val="EndnoteReference"/>
          <w:spacing w:val="2"/>
          <w:rtl/>
        </w:rPr>
        <w:t>)</w:t>
      </w:r>
      <w:r w:rsidRPr="005D0C50">
        <w:rPr>
          <w:rFonts w:hint="cs"/>
          <w:rtl/>
        </w:rPr>
        <w:t>.</w:t>
      </w:r>
    </w:p>
    <w:p w:rsidR="00944A3C" w:rsidRPr="00746503" w:rsidRDefault="00944A3C" w:rsidP="00317979">
      <w:pPr>
        <w:pStyle w:val="SingleTxtGA"/>
        <w:spacing w:line="360" w:lineRule="exact"/>
        <w:rPr>
          <w:spacing w:val="-2"/>
          <w:rtl/>
        </w:rPr>
      </w:pPr>
      <w:r w:rsidRPr="00746503">
        <w:rPr>
          <w:rFonts w:hint="cs"/>
          <w:spacing w:val="-2"/>
          <w:rtl/>
        </w:rPr>
        <w:t>114-</w:t>
      </w:r>
      <w:r w:rsidRPr="00746503">
        <w:rPr>
          <w:rFonts w:hint="cs"/>
          <w:spacing w:val="-2"/>
          <w:rtl/>
        </w:rPr>
        <w:tab/>
      </w:r>
      <w:r w:rsidRPr="00746503">
        <w:rPr>
          <w:spacing w:val="-2"/>
          <w:rtl/>
        </w:rPr>
        <w:t>وفي الفترة 2014-2015، كان 63 في المائة من السكان البالغة أعمارهم أكثر من</w:t>
      </w:r>
      <w:r w:rsidR="00746503" w:rsidRPr="00746503">
        <w:rPr>
          <w:rFonts w:hint="cs"/>
          <w:spacing w:val="-2"/>
          <w:rtl/>
        </w:rPr>
        <w:t> </w:t>
      </w:r>
      <w:r w:rsidRPr="00746503">
        <w:rPr>
          <w:spacing w:val="-2"/>
          <w:rtl/>
        </w:rPr>
        <w:t>15 سنة (أي 32,8 مليون شخص) يقرؤون في اليوم على الأقل صحيفة يومية أو مجلة</w:t>
      </w:r>
      <w:r w:rsidRPr="00746503">
        <w:rPr>
          <w:rStyle w:val="EndnoteReference"/>
          <w:spacing w:val="-2"/>
          <w:rtl/>
        </w:rPr>
        <w:t>(</w:t>
      </w:r>
      <w:r w:rsidRPr="00746503">
        <w:rPr>
          <w:rStyle w:val="EndnoteReference"/>
          <w:spacing w:val="-2"/>
          <w:rtl/>
        </w:rPr>
        <w:endnoteReference w:id="150"/>
      </w:r>
      <w:r w:rsidRPr="00746503">
        <w:rPr>
          <w:rStyle w:val="EndnoteReference"/>
          <w:spacing w:val="-2"/>
          <w:rtl/>
        </w:rPr>
        <w:t>)</w:t>
      </w:r>
      <w:r w:rsidRPr="00746503">
        <w:rPr>
          <w:rFonts w:hint="cs"/>
          <w:spacing w:val="-2"/>
          <w:rtl/>
        </w:rPr>
        <w:t xml:space="preserve">. </w:t>
      </w:r>
      <w:r w:rsidRPr="00746503">
        <w:rPr>
          <w:spacing w:val="-2"/>
          <w:rtl/>
        </w:rPr>
        <w:t>وكان 18 مليون شخص منهم يقرؤون الصحف اليومية الإقليمية، و8,2 ملايين الصحف اليومية الوطنية، و4,8 ملايين الصحف الإعلامية المجانية</w:t>
      </w:r>
      <w:r w:rsidRPr="00746503">
        <w:rPr>
          <w:rStyle w:val="EndnoteReference"/>
          <w:spacing w:val="-2"/>
          <w:rtl/>
        </w:rPr>
        <w:t>(</w:t>
      </w:r>
      <w:r w:rsidRPr="00746503">
        <w:rPr>
          <w:rStyle w:val="EndnoteReference"/>
          <w:spacing w:val="-2"/>
          <w:rtl/>
        </w:rPr>
        <w:endnoteReference w:id="151"/>
      </w:r>
      <w:r w:rsidRPr="00746503">
        <w:rPr>
          <w:rStyle w:val="EndnoteReference"/>
          <w:spacing w:val="-2"/>
          <w:rtl/>
        </w:rPr>
        <w:t>)</w:t>
      </w:r>
      <w:r w:rsidRPr="00746503">
        <w:rPr>
          <w:spacing w:val="-2"/>
          <w:rtl/>
        </w:rPr>
        <w:t>.</w:t>
      </w:r>
    </w:p>
    <w:p w:rsidR="00944A3C" w:rsidRPr="008F7F42" w:rsidRDefault="00944A3C" w:rsidP="008F7F42">
      <w:pPr>
        <w:pStyle w:val="SingleTxtGA"/>
        <w:spacing w:line="360" w:lineRule="exact"/>
        <w:rPr>
          <w:rtl/>
        </w:rPr>
      </w:pPr>
      <w:r w:rsidRPr="008F7F42">
        <w:rPr>
          <w:rFonts w:hint="cs"/>
          <w:rtl/>
        </w:rPr>
        <w:t>115-</w:t>
      </w:r>
      <w:r w:rsidRPr="008F7F42">
        <w:rPr>
          <w:rFonts w:hint="cs"/>
          <w:rtl/>
        </w:rPr>
        <w:tab/>
      </w:r>
      <w:r w:rsidRPr="008F7F42">
        <w:rPr>
          <w:rtl/>
        </w:rPr>
        <w:t>ومنذ عدة سنوات، انخفضت نسبة انتشار الصحف الإعلامية غير المجانية: ففي الفترة الممتدة بين عامي 1995 و2005، فقدت 3 ملايين قارئ وتراجعت مبيعاتها بما عدده 852 مليون نسخة</w:t>
      </w:r>
      <w:r w:rsidRPr="008F7F42">
        <w:rPr>
          <w:rStyle w:val="EndnoteReference"/>
          <w:rtl/>
        </w:rPr>
        <w:t>(</w:t>
      </w:r>
      <w:r w:rsidRPr="008F7F42">
        <w:rPr>
          <w:rStyle w:val="EndnoteReference"/>
          <w:rtl/>
        </w:rPr>
        <w:endnoteReference w:id="152"/>
      </w:r>
      <w:r w:rsidRPr="008F7F42">
        <w:rPr>
          <w:rStyle w:val="EndnoteReference"/>
          <w:rtl/>
        </w:rPr>
        <w:t>)</w:t>
      </w:r>
      <w:r w:rsidRPr="008F7F42">
        <w:rPr>
          <w:rtl/>
        </w:rPr>
        <w:t>. وبخلاف ذلك، زاد انتشار الصحف الإعلامية المجانية: فقد ارتفع بنسبة 27 في المائة بين عامي 2005 و2006</w:t>
      </w:r>
      <w:r w:rsidRPr="008F7F42">
        <w:rPr>
          <w:rFonts w:hint="cs"/>
          <w:rtl/>
        </w:rPr>
        <w:t xml:space="preserve">. </w:t>
      </w:r>
      <w:r w:rsidRPr="008F7F42">
        <w:rPr>
          <w:rtl/>
        </w:rPr>
        <w:t>أما نشر المجلات، فقد اتسم بالاستقرار: ففي عام</w:t>
      </w:r>
      <w:r w:rsidR="008F7F42">
        <w:rPr>
          <w:rFonts w:hint="cs"/>
          <w:rtl/>
        </w:rPr>
        <w:t> </w:t>
      </w:r>
      <w:r w:rsidRPr="008F7F42">
        <w:rPr>
          <w:rtl/>
        </w:rPr>
        <w:t>2006، كان 97,2 في المائة من الفرنسيين يقرؤون على الأقل مجلة واحدة في الشهر، وهذا رقم قياسي عالمي</w:t>
      </w:r>
      <w:r w:rsidRPr="008F7F42">
        <w:rPr>
          <w:rStyle w:val="EndnoteReference"/>
          <w:rtl/>
        </w:rPr>
        <w:t>(</w:t>
      </w:r>
      <w:r w:rsidRPr="008F7F42">
        <w:rPr>
          <w:rStyle w:val="EndnoteReference"/>
          <w:rtl/>
        </w:rPr>
        <w:endnoteReference w:id="153"/>
      </w:r>
      <w:r w:rsidRPr="008F7F42">
        <w:rPr>
          <w:rStyle w:val="EndnoteReference"/>
          <w:rtl/>
        </w:rPr>
        <w:t>)</w:t>
      </w:r>
      <w:r w:rsidRPr="008F7F42">
        <w:rPr>
          <w:rFonts w:hint="cs"/>
          <w:rtl/>
        </w:rPr>
        <w:t>.</w:t>
      </w:r>
    </w:p>
    <w:p w:rsidR="00944A3C" w:rsidRPr="00746503" w:rsidRDefault="00944A3C" w:rsidP="00F85901">
      <w:pPr>
        <w:pStyle w:val="SingleTxtGA"/>
        <w:spacing w:line="370" w:lineRule="exact"/>
        <w:rPr>
          <w:spacing w:val="-4"/>
          <w:rtl/>
        </w:rPr>
      </w:pPr>
      <w:r w:rsidRPr="00746503">
        <w:rPr>
          <w:rFonts w:hint="cs"/>
          <w:spacing w:val="-4"/>
          <w:rtl/>
        </w:rPr>
        <w:t>116-</w:t>
      </w:r>
      <w:r w:rsidRPr="00746503">
        <w:rPr>
          <w:rFonts w:hint="cs"/>
          <w:spacing w:val="-4"/>
          <w:rtl/>
        </w:rPr>
        <w:tab/>
      </w:r>
      <w:r w:rsidRPr="00746503">
        <w:rPr>
          <w:rFonts w:hint="cs"/>
          <w:spacing w:val="-4"/>
          <w:u w:val="single"/>
          <w:rtl/>
        </w:rPr>
        <w:t>التلفزيون</w:t>
      </w:r>
      <w:r w:rsidRPr="00746503">
        <w:rPr>
          <w:rFonts w:hint="cs"/>
          <w:spacing w:val="-4"/>
          <w:rtl/>
        </w:rPr>
        <w:t xml:space="preserve">. </w:t>
      </w:r>
      <w:r w:rsidRPr="00746503">
        <w:rPr>
          <w:spacing w:val="-4"/>
          <w:rtl/>
        </w:rPr>
        <w:t xml:space="preserve">في نهاية عام 2014، كان ثمة 33 قناة وطنية و46 قناة محلية (أي 3 قنوات أقل بالمقارنة مع عام 2013) تبث برامجها عبر </w:t>
      </w:r>
      <w:r w:rsidRPr="00746503">
        <w:rPr>
          <w:rFonts w:hint="cs"/>
          <w:spacing w:val="-4"/>
          <w:rtl/>
        </w:rPr>
        <w:t xml:space="preserve">نظام </w:t>
      </w:r>
      <w:r w:rsidRPr="00746503">
        <w:rPr>
          <w:spacing w:val="-4"/>
          <w:rtl/>
        </w:rPr>
        <w:t>التلفزيون الرقمي الأرضي "</w:t>
      </w:r>
      <w:r w:rsidRPr="00746503">
        <w:rPr>
          <w:spacing w:val="-4"/>
          <w:szCs w:val="36"/>
        </w:rPr>
        <w:t>TNT</w:t>
      </w:r>
      <w:r w:rsidRPr="00746503">
        <w:rPr>
          <w:spacing w:val="-4"/>
          <w:rtl/>
        </w:rPr>
        <w:t xml:space="preserve">" في فرنسا </w:t>
      </w:r>
      <w:r w:rsidRPr="00746503">
        <w:rPr>
          <w:spacing w:val="-4"/>
          <w:rtl/>
        </w:rPr>
        <w:lastRenderedPageBreak/>
        <w:t>المتروبولية</w:t>
      </w:r>
      <w:r w:rsidRPr="00746503">
        <w:rPr>
          <w:rFonts w:hint="cs"/>
          <w:spacing w:val="-4"/>
          <w:rtl/>
        </w:rPr>
        <w:t xml:space="preserve">. </w:t>
      </w:r>
      <w:r w:rsidRPr="00746503">
        <w:rPr>
          <w:spacing w:val="-4"/>
          <w:rtl/>
        </w:rPr>
        <w:t>وعلى شبكات البث الأخرى، بلغ عدد القنوات التي اعتمدها المجلس الأعلى للوسائط السمعية البصرية أو تعاقد معها 208 قنوات وطنية (</w:t>
      </w:r>
      <w:r w:rsidR="00F85901">
        <w:rPr>
          <w:rFonts w:hint="cs"/>
          <w:spacing w:val="-4"/>
          <w:rtl/>
        </w:rPr>
        <w:t>+</w:t>
      </w:r>
      <w:r w:rsidRPr="00746503">
        <w:rPr>
          <w:spacing w:val="-4"/>
          <w:rtl/>
        </w:rPr>
        <w:t>3) و87 قناة محلية (</w:t>
      </w:r>
      <w:r w:rsidR="00F85901">
        <w:rPr>
          <w:rFonts w:hint="cs"/>
          <w:spacing w:val="-4"/>
          <w:rtl/>
        </w:rPr>
        <w:t>-</w:t>
      </w:r>
      <w:r w:rsidRPr="00746503">
        <w:rPr>
          <w:spacing w:val="-4"/>
          <w:rtl/>
        </w:rPr>
        <w:t>19)</w:t>
      </w:r>
      <w:r w:rsidRPr="00746503">
        <w:rPr>
          <w:rStyle w:val="EndnoteReference"/>
          <w:spacing w:val="-4"/>
          <w:rtl/>
        </w:rPr>
        <w:t>(</w:t>
      </w:r>
      <w:r w:rsidRPr="00746503">
        <w:rPr>
          <w:rStyle w:val="EndnoteReference"/>
          <w:spacing w:val="-4"/>
          <w:rtl/>
        </w:rPr>
        <w:endnoteReference w:id="154"/>
      </w:r>
      <w:r w:rsidRPr="00746503">
        <w:rPr>
          <w:rStyle w:val="EndnoteReference"/>
          <w:spacing w:val="-4"/>
          <w:rtl/>
        </w:rPr>
        <w:t>)</w:t>
      </w:r>
      <w:r w:rsidRPr="00746503">
        <w:rPr>
          <w:rFonts w:hint="cs"/>
          <w:spacing w:val="-4"/>
          <w:rtl/>
        </w:rPr>
        <w:t>.</w:t>
      </w:r>
    </w:p>
    <w:p w:rsidR="00944A3C" w:rsidRPr="005D0C50" w:rsidRDefault="00944A3C" w:rsidP="00317979">
      <w:pPr>
        <w:pStyle w:val="SingleTxtGA"/>
        <w:spacing w:line="370" w:lineRule="exact"/>
        <w:rPr>
          <w:rtl/>
        </w:rPr>
      </w:pPr>
      <w:r w:rsidRPr="005D0C50">
        <w:rPr>
          <w:rFonts w:hint="cs"/>
          <w:rtl/>
        </w:rPr>
        <w:t>117-</w:t>
      </w:r>
      <w:r w:rsidRPr="005D0C50">
        <w:rPr>
          <w:rFonts w:hint="cs"/>
          <w:rtl/>
        </w:rPr>
        <w:tab/>
      </w:r>
      <w:r w:rsidRPr="005D0C50">
        <w:rPr>
          <w:rtl/>
        </w:rPr>
        <w:t>وفي عام 2014، كان لدى جميع الأسر المعيشية الفرنسية تقريب</w:t>
      </w:r>
      <w:r w:rsidR="00B028D3">
        <w:rPr>
          <w:rtl/>
        </w:rPr>
        <w:t xml:space="preserve">اً </w:t>
      </w:r>
      <w:r w:rsidRPr="005D0C50">
        <w:rPr>
          <w:rtl/>
        </w:rPr>
        <w:t>(95,7 في المائة) جهاز تلفاز واحد على الأقل</w:t>
      </w:r>
      <w:r w:rsidRPr="005D0C50">
        <w:rPr>
          <w:rFonts w:hint="cs"/>
          <w:rtl/>
        </w:rPr>
        <w:t xml:space="preserve">. </w:t>
      </w:r>
      <w:r w:rsidRPr="005D0C50">
        <w:rPr>
          <w:rtl/>
        </w:rPr>
        <w:t>وكان لدى ما يزيد قليل</w:t>
      </w:r>
      <w:r w:rsidR="00B028D3">
        <w:rPr>
          <w:rtl/>
        </w:rPr>
        <w:t xml:space="preserve">اً </w:t>
      </w:r>
      <w:r w:rsidRPr="005D0C50">
        <w:rPr>
          <w:rtl/>
        </w:rPr>
        <w:t>عن نصف الأسر المعيشية أكثر من جهاز تلفاز واحد، غير أن معدل تعدد الأجهزة تناقص منذ خمس سنوات</w:t>
      </w:r>
      <w:r>
        <w:rPr>
          <w:rStyle w:val="EndnoteReference"/>
          <w:spacing w:val="2"/>
          <w:rtl/>
        </w:rPr>
        <w:t>(</w:t>
      </w:r>
      <w:r w:rsidRPr="005D0C50">
        <w:rPr>
          <w:rStyle w:val="EndnoteReference"/>
          <w:spacing w:val="2"/>
          <w:rtl/>
        </w:rPr>
        <w:endnoteReference w:id="155"/>
      </w:r>
      <w:r>
        <w:rPr>
          <w:rStyle w:val="EndnoteReference"/>
          <w:spacing w:val="2"/>
          <w:rtl/>
        </w:rPr>
        <w:t>)</w:t>
      </w:r>
      <w:r w:rsidRPr="005D0C50">
        <w:rPr>
          <w:rFonts w:hint="cs"/>
          <w:rtl/>
        </w:rPr>
        <w:t>.</w:t>
      </w:r>
    </w:p>
    <w:p w:rsidR="00944A3C" w:rsidRPr="005D0C50" w:rsidRDefault="00944A3C" w:rsidP="00317979">
      <w:pPr>
        <w:pStyle w:val="SingleTxtGA"/>
        <w:spacing w:line="370" w:lineRule="exact"/>
        <w:rPr>
          <w:rtl/>
        </w:rPr>
      </w:pPr>
      <w:r w:rsidRPr="005D0C50">
        <w:rPr>
          <w:rFonts w:hint="cs"/>
          <w:rtl/>
        </w:rPr>
        <w:t>118-</w:t>
      </w:r>
      <w:r w:rsidRPr="005D0C50">
        <w:rPr>
          <w:rFonts w:hint="cs"/>
          <w:rtl/>
        </w:rPr>
        <w:tab/>
      </w:r>
      <w:r w:rsidRPr="005D0C50">
        <w:rPr>
          <w:rtl/>
        </w:rPr>
        <w:t>وفي عام 2014، بلغ متوسط مشاهدة الفرنسيين للتلفزيون 3 ساعات و41 دقيقة في اليوم، أي 5 دقائق أقل من عام 2013 و9 دقائق أقل من عام 2012</w:t>
      </w:r>
      <w:r>
        <w:rPr>
          <w:rStyle w:val="EndnoteReference"/>
          <w:spacing w:val="2"/>
          <w:rtl/>
        </w:rPr>
        <w:t>(</w:t>
      </w:r>
      <w:r w:rsidRPr="005D0C50">
        <w:rPr>
          <w:rStyle w:val="EndnoteReference"/>
          <w:spacing w:val="2"/>
          <w:rtl/>
        </w:rPr>
        <w:endnoteReference w:id="156"/>
      </w:r>
      <w:r>
        <w:rPr>
          <w:rStyle w:val="EndnoteReference"/>
          <w:spacing w:val="2"/>
          <w:rtl/>
        </w:rPr>
        <w:t>)</w:t>
      </w:r>
      <w:r w:rsidRPr="005D0C50">
        <w:rPr>
          <w:rtl/>
        </w:rPr>
        <w:t>. ولا تزال القناة الفرنسية الأولى</w:t>
      </w:r>
      <w:r w:rsidRPr="005D0C50">
        <w:rPr>
          <w:rFonts w:hint="cs"/>
          <w:rtl/>
        </w:rPr>
        <w:t xml:space="preserve"> هي</w:t>
      </w:r>
      <w:r w:rsidRPr="005D0C50">
        <w:rPr>
          <w:rtl/>
        </w:rPr>
        <w:t xml:space="preserve"> الأكثر مشاهدة بفارق كبير في فرنسا حيث استأثرت بنسبة 22,9 في المائة من المشاهدين في عام 2014</w:t>
      </w:r>
      <w:r w:rsidRPr="005D0C50">
        <w:rPr>
          <w:rFonts w:hint="cs"/>
          <w:rtl/>
        </w:rPr>
        <w:t xml:space="preserve">. </w:t>
      </w:r>
      <w:r w:rsidRPr="005D0C50">
        <w:rPr>
          <w:rtl/>
        </w:rPr>
        <w:t>غير أن القناة الخاصة الأولى فقدت حوالي 10 نقاط من نسبة المشاهدة منذ إنشاء اثنتي عشرة قناة مجانية جديدة تبث عبر نظام البث التلفزيوني الرقمي الأرضي في عام 2005</w:t>
      </w:r>
      <w:r w:rsidRPr="005D0C50">
        <w:rPr>
          <w:rFonts w:hint="cs"/>
          <w:rtl/>
        </w:rPr>
        <w:t xml:space="preserve">. </w:t>
      </w:r>
      <w:r w:rsidRPr="005D0C50">
        <w:rPr>
          <w:rtl/>
        </w:rPr>
        <w:t>وقناة فرانس 2 هي ثاني أكثر القنوات مشاهدة، بنسبة 14,1 في المائة من المشاهدين، وقناة م6 (</w:t>
      </w:r>
      <w:r w:rsidRPr="00746503">
        <w:rPr>
          <w:szCs w:val="20"/>
        </w:rPr>
        <w:t>M6</w:t>
      </w:r>
      <w:r w:rsidRPr="005D0C50">
        <w:rPr>
          <w:rtl/>
        </w:rPr>
        <w:t>) هي الثالثة، بنسبة 10,1 في المائة</w:t>
      </w:r>
      <w:r w:rsidRPr="005D0C50">
        <w:rPr>
          <w:rFonts w:hint="cs"/>
          <w:rtl/>
        </w:rPr>
        <w:t xml:space="preserve">. </w:t>
      </w:r>
      <w:r w:rsidRPr="005D0C50">
        <w:rPr>
          <w:rtl/>
        </w:rPr>
        <w:t>أما نسبة مشاهدة قنوات التلفزيون الرقمي الأرضي الجديدة التي أُطلق بثها في عام 2005 (عدا القنوات المحلية)، فقد تزايدت حتى عام 2012 (22 في المائة)، لتتسم بالاستقرار في عام 2013 ثم بالانخفاض في عام 2014 (21 في المائة)</w:t>
      </w:r>
      <w:r>
        <w:rPr>
          <w:rStyle w:val="EndnoteReference"/>
          <w:spacing w:val="2"/>
          <w:rtl/>
        </w:rPr>
        <w:t>(</w:t>
      </w:r>
      <w:r w:rsidRPr="005D0C50">
        <w:rPr>
          <w:rStyle w:val="EndnoteReference"/>
          <w:spacing w:val="2"/>
          <w:rtl/>
        </w:rPr>
        <w:endnoteReference w:id="157"/>
      </w:r>
      <w:r>
        <w:rPr>
          <w:rStyle w:val="EndnoteReference"/>
          <w:spacing w:val="2"/>
          <w:rtl/>
        </w:rPr>
        <w:t>)</w:t>
      </w:r>
      <w:r w:rsidRPr="005D0C50">
        <w:rPr>
          <w:rFonts w:hint="cs"/>
          <w:rtl/>
        </w:rPr>
        <w:t>.</w:t>
      </w:r>
    </w:p>
    <w:p w:rsidR="00944A3C" w:rsidRPr="005D0C50" w:rsidRDefault="00944A3C" w:rsidP="00317979">
      <w:pPr>
        <w:pStyle w:val="SingleTxtGA"/>
        <w:spacing w:line="370" w:lineRule="exact"/>
        <w:rPr>
          <w:rtl/>
        </w:rPr>
      </w:pPr>
      <w:r w:rsidRPr="005D0C50">
        <w:rPr>
          <w:rFonts w:hint="cs"/>
          <w:rtl/>
        </w:rPr>
        <w:t>119-</w:t>
      </w:r>
      <w:r w:rsidRPr="005D0C50">
        <w:rPr>
          <w:rFonts w:hint="cs"/>
          <w:rtl/>
        </w:rPr>
        <w:tab/>
      </w:r>
      <w:r w:rsidRPr="005D0C50">
        <w:rPr>
          <w:rtl/>
        </w:rPr>
        <w:t>وفي عام 2012، بثت القنوات الوطنية المجانية برامج فاقت مدتها 000 160 ساعة</w:t>
      </w:r>
      <w:r>
        <w:rPr>
          <w:rStyle w:val="EndnoteReference"/>
          <w:spacing w:val="2"/>
          <w:rtl/>
        </w:rPr>
        <w:t>(</w:t>
      </w:r>
      <w:r w:rsidRPr="005D0C50">
        <w:rPr>
          <w:rStyle w:val="EndnoteReference"/>
          <w:spacing w:val="2"/>
          <w:rtl/>
        </w:rPr>
        <w:endnoteReference w:id="158"/>
      </w:r>
      <w:r>
        <w:rPr>
          <w:rStyle w:val="EndnoteReference"/>
          <w:spacing w:val="2"/>
          <w:rtl/>
        </w:rPr>
        <w:t>)</w:t>
      </w:r>
      <w:r w:rsidRPr="005D0C50">
        <w:rPr>
          <w:rFonts w:hint="cs"/>
          <w:rtl/>
        </w:rPr>
        <w:t>.</w:t>
      </w:r>
    </w:p>
    <w:p w:rsidR="00944A3C" w:rsidRPr="005D0C50" w:rsidRDefault="00944A3C" w:rsidP="00317979">
      <w:pPr>
        <w:pStyle w:val="SingleTxtGA"/>
        <w:spacing w:line="370" w:lineRule="exact"/>
        <w:rPr>
          <w:rtl/>
        </w:rPr>
      </w:pPr>
      <w:r w:rsidRPr="005D0C50">
        <w:rPr>
          <w:rFonts w:hint="cs"/>
          <w:rtl/>
        </w:rPr>
        <w:t>120-</w:t>
      </w:r>
      <w:r w:rsidRPr="005D0C50">
        <w:rPr>
          <w:rFonts w:hint="cs"/>
          <w:rtl/>
        </w:rPr>
        <w:tab/>
      </w:r>
      <w:r w:rsidRPr="005D0C50">
        <w:rPr>
          <w:u w:val="single"/>
          <w:rtl/>
        </w:rPr>
        <w:t>الإذاعة</w:t>
      </w:r>
      <w:r w:rsidRPr="005D0C50">
        <w:rPr>
          <w:rFonts w:hint="cs"/>
          <w:rtl/>
        </w:rPr>
        <w:t xml:space="preserve">. </w:t>
      </w:r>
      <w:r w:rsidRPr="005D0C50">
        <w:rPr>
          <w:rtl/>
        </w:rPr>
        <w:t>فرنسا أحد أفضل البلدان من حيث توافر الإذاعات التي تعمل بالتضمين الترددي</w:t>
      </w:r>
      <w:r w:rsidRPr="005D0C50">
        <w:rPr>
          <w:rFonts w:hint="cs"/>
          <w:rtl/>
        </w:rPr>
        <w:t xml:space="preserve">. </w:t>
      </w:r>
      <w:r w:rsidRPr="005D0C50">
        <w:rPr>
          <w:rtl/>
        </w:rPr>
        <w:t>ويدل تنوعها الكبير (عامة/خاصة، وطنية/محلية) وعددها على وجود تنظيم متوازن يراعي تنوع الطلب</w:t>
      </w:r>
      <w:r w:rsidRPr="005D0C50">
        <w:rPr>
          <w:rFonts w:hint="cs"/>
          <w:rtl/>
        </w:rPr>
        <w:t>.</w:t>
      </w:r>
    </w:p>
    <w:p w:rsidR="00944A3C" w:rsidRPr="005D0C50" w:rsidRDefault="00944A3C" w:rsidP="00317979">
      <w:pPr>
        <w:pStyle w:val="SingleTxtGA"/>
        <w:spacing w:line="370" w:lineRule="exact"/>
        <w:rPr>
          <w:rtl/>
        </w:rPr>
      </w:pPr>
      <w:r w:rsidRPr="005D0C50">
        <w:rPr>
          <w:rFonts w:hint="cs"/>
          <w:rtl/>
        </w:rPr>
        <w:t>121-</w:t>
      </w:r>
      <w:r w:rsidRPr="005D0C50">
        <w:rPr>
          <w:rFonts w:hint="cs"/>
          <w:rtl/>
        </w:rPr>
        <w:tab/>
      </w:r>
      <w:r w:rsidRPr="005D0C50">
        <w:rPr>
          <w:rtl/>
        </w:rPr>
        <w:t>وفي عام 2014، كان</w:t>
      </w:r>
      <w:r w:rsidRPr="005D0C50">
        <w:rPr>
          <w:rFonts w:hint="cs"/>
          <w:rtl/>
        </w:rPr>
        <w:t>ت</w:t>
      </w:r>
      <w:r w:rsidRPr="005D0C50">
        <w:rPr>
          <w:rtl/>
        </w:rPr>
        <w:t xml:space="preserve"> 854 </w:t>
      </w:r>
      <w:r w:rsidRPr="005D0C50">
        <w:rPr>
          <w:rFonts w:hint="cs"/>
          <w:rtl/>
        </w:rPr>
        <w:t xml:space="preserve">محطة </w:t>
      </w:r>
      <w:r w:rsidRPr="005D0C50">
        <w:rPr>
          <w:rtl/>
        </w:rPr>
        <w:t>خاصة تستخدم ترددات يوفرها المجلس الأعلى للوسائط السمعية البصرية (أكثر من 000 5 تردد في المجموع)، منها 5 إذاعات وطنية عامة و25 إذاعة وطنية مواضيعية</w:t>
      </w:r>
      <w:r w:rsidRPr="005D0C50">
        <w:rPr>
          <w:rFonts w:hint="cs"/>
          <w:rtl/>
        </w:rPr>
        <w:t xml:space="preserve">. </w:t>
      </w:r>
      <w:r w:rsidRPr="005D0C50">
        <w:rPr>
          <w:rtl/>
        </w:rPr>
        <w:t>وبالتالي، تمثل القنوات الوطنية 4 في المائة من الإذاعات الخاصة وتستخدم 51 في المائة من الترددات المخصصة لهذه القنوات</w:t>
      </w:r>
      <w:r w:rsidRPr="005D0C50">
        <w:rPr>
          <w:rFonts w:hint="cs"/>
          <w:rtl/>
        </w:rPr>
        <w:t xml:space="preserve">. </w:t>
      </w:r>
      <w:r w:rsidRPr="005D0C50">
        <w:rPr>
          <w:rtl/>
        </w:rPr>
        <w:t>وتمثل القنوات المجتمعية 68 في المائة من الإذاعات، وتستخدم 21 في المائة من الترددات</w:t>
      </w:r>
      <w:r w:rsidRPr="005D0C50">
        <w:rPr>
          <w:rFonts w:hint="cs"/>
          <w:rtl/>
        </w:rPr>
        <w:t xml:space="preserve">. </w:t>
      </w:r>
      <w:r w:rsidRPr="005D0C50">
        <w:rPr>
          <w:rtl/>
        </w:rPr>
        <w:t>وتتقاسم الإذاعات السبع المكونة لمجموعة إذاعة فرنسا 400 2 تردد تقريب</w:t>
      </w:r>
      <w:r w:rsidR="0031739C">
        <w:rPr>
          <w:rtl/>
        </w:rPr>
        <w:t>اً،</w:t>
      </w:r>
      <w:r w:rsidRPr="005D0C50">
        <w:rPr>
          <w:rtl/>
        </w:rPr>
        <w:t xml:space="preserve"> تستأثر إذاعة فرانس أنتير برُبعها</w:t>
      </w:r>
      <w:r>
        <w:rPr>
          <w:rStyle w:val="EndnoteReference"/>
          <w:spacing w:val="2"/>
          <w:rtl/>
        </w:rPr>
        <w:t>(</w:t>
      </w:r>
      <w:r w:rsidRPr="005D0C50">
        <w:rPr>
          <w:rStyle w:val="EndnoteReference"/>
          <w:spacing w:val="2"/>
          <w:rtl/>
        </w:rPr>
        <w:endnoteReference w:id="159"/>
      </w:r>
      <w:r>
        <w:rPr>
          <w:rStyle w:val="EndnoteReference"/>
          <w:spacing w:val="2"/>
          <w:rtl/>
        </w:rPr>
        <w:t>)</w:t>
      </w:r>
      <w:r w:rsidRPr="005D0C50">
        <w:rPr>
          <w:rFonts w:hint="cs"/>
          <w:rtl/>
        </w:rPr>
        <w:t>.</w:t>
      </w:r>
    </w:p>
    <w:p w:rsidR="00944A3C" w:rsidRPr="005D0C50" w:rsidRDefault="00944A3C" w:rsidP="00317979">
      <w:pPr>
        <w:pStyle w:val="SingleTxtGA"/>
        <w:spacing w:line="370" w:lineRule="exact"/>
        <w:rPr>
          <w:rtl/>
        </w:rPr>
      </w:pPr>
      <w:r w:rsidRPr="005D0C50">
        <w:rPr>
          <w:rFonts w:hint="cs"/>
          <w:rtl/>
        </w:rPr>
        <w:t>122-</w:t>
      </w:r>
      <w:r w:rsidRPr="005D0C50">
        <w:rPr>
          <w:rFonts w:hint="cs"/>
          <w:rtl/>
        </w:rPr>
        <w:tab/>
        <w:t xml:space="preserve">وكانت </w:t>
      </w:r>
      <w:r w:rsidRPr="005D0C50">
        <w:rPr>
          <w:rtl/>
        </w:rPr>
        <w:t>قناة ر.</w:t>
      </w:r>
      <w:r w:rsidR="008F7F42">
        <w:rPr>
          <w:rFonts w:hint="cs"/>
          <w:rtl/>
        </w:rPr>
        <w:t xml:space="preserve"> </w:t>
      </w:r>
      <w:r w:rsidRPr="005D0C50">
        <w:rPr>
          <w:rtl/>
        </w:rPr>
        <w:t>ت.</w:t>
      </w:r>
      <w:r w:rsidR="008F7F42">
        <w:rPr>
          <w:rFonts w:hint="cs"/>
          <w:rtl/>
        </w:rPr>
        <w:t xml:space="preserve"> </w:t>
      </w:r>
      <w:r w:rsidRPr="005D0C50">
        <w:rPr>
          <w:rtl/>
        </w:rPr>
        <w:t>ل. (</w:t>
      </w:r>
      <w:r w:rsidRPr="00746503">
        <w:rPr>
          <w:szCs w:val="20"/>
        </w:rPr>
        <w:t>RTL</w:t>
      </w:r>
      <w:r w:rsidRPr="005D0C50">
        <w:rPr>
          <w:rtl/>
        </w:rPr>
        <w:t xml:space="preserve">) </w:t>
      </w:r>
      <w:r w:rsidRPr="005D0C50">
        <w:rPr>
          <w:rFonts w:hint="cs"/>
          <w:rtl/>
        </w:rPr>
        <w:t xml:space="preserve">هي </w:t>
      </w:r>
      <w:r w:rsidRPr="005D0C50">
        <w:rPr>
          <w:rtl/>
        </w:rPr>
        <w:t>الإذاعة الأولى في فرنسا من حيث نسبة الاستماع، بين شهري أيلول/سبتمبر وتشرين الأول/أكتوبر 2014 (11,6 في المائة)</w:t>
      </w:r>
      <w:r w:rsidRPr="005D0C50">
        <w:rPr>
          <w:rFonts w:hint="cs"/>
          <w:rtl/>
        </w:rPr>
        <w:t xml:space="preserve">. </w:t>
      </w:r>
      <w:r w:rsidRPr="005D0C50">
        <w:rPr>
          <w:rtl/>
        </w:rPr>
        <w:t>وتلتها إذاعة فرانس أنتير (9,2 في المائة) وإذاعة أوروبا 1 (7,5 في المائة)</w:t>
      </w:r>
      <w:r w:rsidRPr="005D0C50">
        <w:rPr>
          <w:rFonts w:hint="cs"/>
          <w:rtl/>
        </w:rPr>
        <w:t xml:space="preserve">. </w:t>
      </w:r>
      <w:r w:rsidRPr="005D0C50">
        <w:rPr>
          <w:rtl/>
        </w:rPr>
        <w:t xml:space="preserve">واستأثرت الإذاعات العامة بحوالي 41 في المائة من نسب الاستماع خلال تلك الفترة، مقابل 33 في المائة للإذاعات الموسيقية و15 في المائة </w:t>
      </w:r>
      <w:r w:rsidRPr="005D0C50">
        <w:rPr>
          <w:rFonts w:hint="cs"/>
          <w:rtl/>
        </w:rPr>
        <w:t xml:space="preserve">للإذاعات </w:t>
      </w:r>
      <w:r w:rsidRPr="005D0C50">
        <w:rPr>
          <w:rtl/>
        </w:rPr>
        <w:t>المحلية</w:t>
      </w:r>
      <w:r>
        <w:rPr>
          <w:rStyle w:val="EndnoteReference"/>
          <w:spacing w:val="2"/>
          <w:rtl/>
        </w:rPr>
        <w:t>(</w:t>
      </w:r>
      <w:r w:rsidRPr="005D0C50">
        <w:rPr>
          <w:rStyle w:val="EndnoteReference"/>
          <w:spacing w:val="2"/>
          <w:rtl/>
        </w:rPr>
        <w:endnoteReference w:id="160"/>
      </w:r>
      <w:r>
        <w:rPr>
          <w:rStyle w:val="EndnoteReference"/>
          <w:spacing w:val="2"/>
          <w:rtl/>
        </w:rPr>
        <w:t>)</w:t>
      </w:r>
      <w:r w:rsidRPr="005D0C50">
        <w:rPr>
          <w:rFonts w:hint="cs"/>
          <w:rtl/>
        </w:rPr>
        <w:t>.</w:t>
      </w:r>
    </w:p>
    <w:p w:rsidR="00944A3C" w:rsidRPr="005D0C50" w:rsidRDefault="00944A3C" w:rsidP="00317979">
      <w:pPr>
        <w:pStyle w:val="SingleTxtGA"/>
        <w:spacing w:line="370" w:lineRule="exact"/>
        <w:rPr>
          <w:rtl/>
        </w:rPr>
      </w:pPr>
      <w:r w:rsidRPr="005D0C50">
        <w:rPr>
          <w:rFonts w:hint="cs"/>
          <w:rtl/>
        </w:rPr>
        <w:t>123-</w:t>
      </w:r>
      <w:r w:rsidRPr="005D0C50">
        <w:rPr>
          <w:rFonts w:hint="cs"/>
          <w:rtl/>
        </w:rPr>
        <w:tab/>
      </w:r>
      <w:r w:rsidRPr="005D0C50">
        <w:rPr>
          <w:rtl/>
        </w:rPr>
        <w:t>وفي شهري أيلول/سبتمبر وتشرين الأول/أكتوبر 2014، استمع الفرنسيون إلى الإذاعة مدة متوس</w:t>
      </w:r>
      <w:r w:rsidRPr="005D0C50">
        <w:rPr>
          <w:rFonts w:hint="cs"/>
          <w:rtl/>
        </w:rPr>
        <w:t>ط</w:t>
      </w:r>
      <w:r w:rsidRPr="005D0C50">
        <w:rPr>
          <w:rtl/>
        </w:rPr>
        <w:t>ها ساعتان و50 دقيقة في اليوم، وهي مدة اتسمت بالاستقرار النسبي منذ عشر سنوات</w:t>
      </w:r>
      <w:r>
        <w:rPr>
          <w:rStyle w:val="EndnoteReference"/>
          <w:spacing w:val="2"/>
          <w:rtl/>
        </w:rPr>
        <w:t>(</w:t>
      </w:r>
      <w:r w:rsidRPr="005D0C50">
        <w:rPr>
          <w:rStyle w:val="EndnoteReference"/>
          <w:spacing w:val="2"/>
          <w:rtl/>
        </w:rPr>
        <w:endnoteReference w:id="161"/>
      </w:r>
      <w:r>
        <w:rPr>
          <w:rStyle w:val="EndnoteReference"/>
          <w:spacing w:val="2"/>
          <w:rtl/>
        </w:rPr>
        <w:t>)</w:t>
      </w:r>
      <w:r w:rsidRPr="005D0C50">
        <w:rPr>
          <w:rFonts w:hint="cs"/>
          <w:rtl/>
        </w:rPr>
        <w:t>.</w:t>
      </w:r>
    </w:p>
    <w:p w:rsidR="00944A3C" w:rsidRPr="00F403AE" w:rsidRDefault="00944A3C" w:rsidP="00746503">
      <w:pPr>
        <w:pStyle w:val="SingleTxtGA"/>
        <w:rPr>
          <w:spacing w:val="-2"/>
          <w:rtl/>
        </w:rPr>
      </w:pPr>
      <w:r w:rsidRPr="00F403AE">
        <w:rPr>
          <w:rFonts w:hint="cs"/>
          <w:spacing w:val="-2"/>
          <w:rtl/>
        </w:rPr>
        <w:lastRenderedPageBreak/>
        <w:t>124-</w:t>
      </w:r>
      <w:r w:rsidRPr="00F403AE">
        <w:rPr>
          <w:rFonts w:hint="cs"/>
          <w:spacing w:val="-2"/>
          <w:rtl/>
        </w:rPr>
        <w:tab/>
      </w:r>
      <w:r w:rsidRPr="00F403AE">
        <w:rPr>
          <w:spacing w:val="-2"/>
          <w:u w:val="single"/>
          <w:rtl/>
        </w:rPr>
        <w:t>الإنترنت</w:t>
      </w:r>
      <w:r w:rsidRPr="00F403AE">
        <w:rPr>
          <w:rFonts w:hint="cs"/>
          <w:spacing w:val="-2"/>
          <w:rtl/>
        </w:rPr>
        <w:t xml:space="preserve">. </w:t>
      </w:r>
      <w:r w:rsidRPr="00F403AE">
        <w:rPr>
          <w:spacing w:val="-2"/>
          <w:rtl/>
        </w:rPr>
        <w:t>في عام 2013، بلغ عدد مستخدمي الإنترنت في فرنسا 41,2 مليون مستخدم</w:t>
      </w:r>
      <w:r w:rsidRPr="00F403AE">
        <w:rPr>
          <w:rStyle w:val="EndnoteReference"/>
          <w:spacing w:val="-2"/>
          <w:rtl/>
        </w:rPr>
        <w:t>(</w:t>
      </w:r>
      <w:r w:rsidRPr="00F403AE">
        <w:rPr>
          <w:rStyle w:val="EndnoteReference"/>
          <w:spacing w:val="-2"/>
          <w:rtl/>
        </w:rPr>
        <w:endnoteReference w:id="162"/>
      </w:r>
      <w:r w:rsidRPr="00F403AE">
        <w:rPr>
          <w:rStyle w:val="EndnoteReference"/>
          <w:spacing w:val="-2"/>
          <w:rtl/>
        </w:rPr>
        <w:t>)</w:t>
      </w:r>
      <w:r w:rsidRPr="00F403AE">
        <w:rPr>
          <w:rFonts w:hint="cs"/>
          <w:spacing w:val="-2"/>
          <w:rtl/>
        </w:rPr>
        <w:t xml:space="preserve">. </w:t>
      </w:r>
      <w:r w:rsidRPr="00F403AE">
        <w:rPr>
          <w:spacing w:val="-2"/>
          <w:rtl/>
        </w:rPr>
        <w:t>وفي عام 2014، كان لدى 82 في المائة من الفرنسيين البالغين أكثر من 12 سنة من العمر حاسوب (مقابل 74 في المائة في عام 2009) وكذلك خدمة الإنترنت المتاحة بالتوصيل العريض الحزمة في جميع الحالات تقريب</w:t>
      </w:r>
      <w:r w:rsidR="00B028D3" w:rsidRPr="00F403AE">
        <w:rPr>
          <w:spacing w:val="-2"/>
          <w:rtl/>
        </w:rPr>
        <w:t xml:space="preserve">اً </w:t>
      </w:r>
      <w:r w:rsidRPr="00F403AE">
        <w:rPr>
          <w:spacing w:val="-2"/>
          <w:rtl/>
        </w:rPr>
        <w:t>(98 في المائة)؛</w:t>
      </w:r>
      <w:r w:rsidRPr="00F403AE">
        <w:rPr>
          <w:rFonts w:hint="cs"/>
          <w:spacing w:val="-2"/>
          <w:rtl/>
        </w:rPr>
        <w:t xml:space="preserve"> </w:t>
      </w:r>
      <w:r w:rsidRPr="00F403AE">
        <w:rPr>
          <w:spacing w:val="-2"/>
          <w:rtl/>
        </w:rPr>
        <w:t>ولم تكن نسبتهم سوى شخصين من كل ثلاثة أشخاص في عام 2009</w:t>
      </w:r>
      <w:r w:rsidRPr="00F403AE">
        <w:rPr>
          <w:rFonts w:hint="cs"/>
          <w:spacing w:val="-2"/>
          <w:rtl/>
        </w:rPr>
        <w:t xml:space="preserve">. </w:t>
      </w:r>
      <w:r w:rsidRPr="00F403AE">
        <w:rPr>
          <w:spacing w:val="-2"/>
          <w:rtl/>
        </w:rPr>
        <w:t>وكان لدى فرنسي واحد تقريب</w:t>
      </w:r>
      <w:r w:rsidR="00B028D3" w:rsidRPr="00F403AE">
        <w:rPr>
          <w:spacing w:val="-2"/>
          <w:rtl/>
        </w:rPr>
        <w:t xml:space="preserve">اً </w:t>
      </w:r>
      <w:r w:rsidRPr="00F403AE">
        <w:rPr>
          <w:spacing w:val="-2"/>
          <w:rtl/>
        </w:rPr>
        <w:t>من كل اثنين هاتف ذكي (46 في المائة)، ولدى أكثر من فرنسي واحد من كل أربعة لوحة إليكترونية (29 في المائة)</w:t>
      </w:r>
      <w:r w:rsidRPr="00F403AE">
        <w:rPr>
          <w:rStyle w:val="EndnoteReference"/>
          <w:spacing w:val="-2"/>
          <w:rtl/>
        </w:rPr>
        <w:t>(</w:t>
      </w:r>
      <w:r w:rsidRPr="00F403AE">
        <w:rPr>
          <w:rStyle w:val="EndnoteReference"/>
          <w:spacing w:val="-2"/>
          <w:rtl/>
        </w:rPr>
        <w:endnoteReference w:id="163"/>
      </w:r>
      <w:r w:rsidRPr="00F403AE">
        <w:rPr>
          <w:rStyle w:val="EndnoteReference"/>
          <w:spacing w:val="-2"/>
          <w:rtl/>
        </w:rPr>
        <w:t>)</w:t>
      </w:r>
      <w:r w:rsidRPr="00F403AE">
        <w:rPr>
          <w:rFonts w:hint="cs"/>
          <w:spacing w:val="-2"/>
          <w:rtl/>
        </w:rPr>
        <w:t>.</w:t>
      </w:r>
    </w:p>
    <w:p w:rsidR="00944A3C" w:rsidRPr="00746503" w:rsidRDefault="00944A3C" w:rsidP="00746503">
      <w:pPr>
        <w:pStyle w:val="SingleTxtGA"/>
        <w:rPr>
          <w:spacing w:val="-2"/>
          <w:rtl/>
          <w:lang w:bidi="ar-DZ"/>
        </w:rPr>
      </w:pPr>
      <w:r w:rsidRPr="00746503">
        <w:rPr>
          <w:rFonts w:hint="cs"/>
          <w:spacing w:val="-2"/>
          <w:rtl/>
        </w:rPr>
        <w:t>125-</w:t>
      </w:r>
      <w:r w:rsidRPr="00746503">
        <w:rPr>
          <w:rFonts w:hint="cs"/>
          <w:spacing w:val="-2"/>
          <w:rtl/>
        </w:rPr>
        <w:tab/>
      </w:r>
      <w:r w:rsidRPr="00746503">
        <w:rPr>
          <w:spacing w:val="-2"/>
          <w:rtl/>
        </w:rPr>
        <w:t>ووفق</w:t>
      </w:r>
      <w:r w:rsidR="00B028D3">
        <w:rPr>
          <w:spacing w:val="-2"/>
          <w:rtl/>
        </w:rPr>
        <w:t xml:space="preserve">اً </w:t>
      </w:r>
      <w:r w:rsidRPr="00746503">
        <w:rPr>
          <w:spacing w:val="-2"/>
          <w:rtl/>
        </w:rPr>
        <w:t xml:space="preserve">لدراسة أجراها المعهد الوطني للإحصاء والبحوث الاقتصادية، كان ثلاثةٌ من كل أربعة أشخاص </w:t>
      </w:r>
      <w:r w:rsidRPr="00746503">
        <w:rPr>
          <w:rFonts w:hint="cs"/>
          <w:spacing w:val="-2"/>
          <w:rtl/>
        </w:rPr>
        <w:t>من ال</w:t>
      </w:r>
      <w:r w:rsidRPr="00746503">
        <w:rPr>
          <w:spacing w:val="-2"/>
          <w:rtl/>
        </w:rPr>
        <w:t xml:space="preserve">مقيمين في فرنسا المتروبولية قد استخدموا، في عام 2012، شبكة الإنترنت خلال الأشهر الثلاثة الأخيرة، مقابل 56 في المائة </w:t>
      </w:r>
      <w:r w:rsidRPr="00746503">
        <w:rPr>
          <w:rFonts w:hint="cs"/>
          <w:spacing w:val="-2"/>
          <w:rtl/>
        </w:rPr>
        <w:t xml:space="preserve">فقط </w:t>
      </w:r>
      <w:r w:rsidRPr="00746503">
        <w:rPr>
          <w:spacing w:val="-2"/>
          <w:rtl/>
        </w:rPr>
        <w:t>في عام 2007</w:t>
      </w:r>
      <w:r w:rsidRPr="00746503">
        <w:rPr>
          <w:rFonts w:hint="cs"/>
          <w:spacing w:val="-2"/>
          <w:rtl/>
        </w:rPr>
        <w:t xml:space="preserve">. </w:t>
      </w:r>
      <w:r w:rsidRPr="00746503">
        <w:rPr>
          <w:spacing w:val="-2"/>
          <w:rtl/>
        </w:rPr>
        <w:t xml:space="preserve">وتقلصت الفجوة الرقمية بين الفئات الاجتماعية: فقد كان جميع </w:t>
      </w:r>
      <w:r w:rsidRPr="00746503">
        <w:rPr>
          <w:rFonts w:hint="cs"/>
          <w:spacing w:val="-2"/>
          <w:rtl/>
        </w:rPr>
        <w:t xml:space="preserve">الموظفين </w:t>
      </w:r>
      <w:r w:rsidRPr="00746503">
        <w:rPr>
          <w:spacing w:val="-2"/>
          <w:rtl/>
        </w:rPr>
        <w:t>تقريب</w:t>
      </w:r>
      <w:r w:rsidR="00B028D3">
        <w:rPr>
          <w:spacing w:val="-2"/>
          <w:rtl/>
        </w:rPr>
        <w:t xml:space="preserve">اً </w:t>
      </w:r>
      <w:r w:rsidRPr="00746503">
        <w:rPr>
          <w:spacing w:val="-2"/>
          <w:rtl/>
        </w:rPr>
        <w:t>يستخدمون الإنترنت منذ عام 2007</w:t>
      </w:r>
      <w:r w:rsidRPr="00746503">
        <w:rPr>
          <w:rFonts w:hint="cs"/>
          <w:spacing w:val="-2"/>
          <w:rtl/>
        </w:rPr>
        <w:t xml:space="preserve">؛ </w:t>
      </w:r>
      <w:r w:rsidRPr="00746503">
        <w:rPr>
          <w:spacing w:val="-2"/>
          <w:rtl/>
        </w:rPr>
        <w:t>وكان أربعة عمال من كل خمسة يستخدمونه في عام 2012، مقابل عامل واحد من كل اثنين قبل خمس سنوات</w:t>
      </w:r>
      <w:r w:rsidRPr="00746503">
        <w:rPr>
          <w:rFonts w:hint="cs"/>
          <w:spacing w:val="-2"/>
          <w:rtl/>
        </w:rPr>
        <w:t xml:space="preserve">. </w:t>
      </w:r>
      <w:r w:rsidRPr="00746503">
        <w:rPr>
          <w:spacing w:val="-2"/>
          <w:rtl/>
        </w:rPr>
        <w:t xml:space="preserve">ولا تزال ثمة اختلافات في نهج الاستخدام بحسب السن، </w:t>
      </w:r>
      <w:r w:rsidRPr="00746503">
        <w:rPr>
          <w:rFonts w:hint="cs"/>
          <w:spacing w:val="-2"/>
          <w:rtl/>
        </w:rPr>
        <w:t xml:space="preserve">ويبقى </w:t>
      </w:r>
      <w:r w:rsidRPr="00746503">
        <w:rPr>
          <w:spacing w:val="-2"/>
          <w:rtl/>
        </w:rPr>
        <w:t xml:space="preserve">الأشخاص الأصغر سنّاً </w:t>
      </w:r>
      <w:r w:rsidRPr="00746503">
        <w:rPr>
          <w:rFonts w:hint="cs"/>
          <w:spacing w:val="-2"/>
          <w:rtl/>
        </w:rPr>
        <w:t>مهيئين لذلك</w:t>
      </w:r>
      <w:r w:rsidRPr="00746503">
        <w:rPr>
          <w:spacing w:val="-2"/>
          <w:rtl/>
        </w:rPr>
        <w:t xml:space="preserve"> أكثر من غيرهم، ولكن استخدام الإنترنت أصبح أمر</w:t>
      </w:r>
      <w:r w:rsidR="00B028D3">
        <w:rPr>
          <w:spacing w:val="-2"/>
          <w:rtl/>
        </w:rPr>
        <w:t xml:space="preserve">اً </w:t>
      </w:r>
      <w:r w:rsidRPr="00746503">
        <w:rPr>
          <w:spacing w:val="-2"/>
          <w:rtl/>
        </w:rPr>
        <w:t>عاديا</w:t>
      </w:r>
      <w:r w:rsidR="00BD70FF">
        <w:rPr>
          <w:rFonts w:hint="cs"/>
          <w:spacing w:val="-2"/>
          <w:rtl/>
        </w:rPr>
        <w:t>ً</w:t>
      </w:r>
      <w:r w:rsidRPr="00746503">
        <w:rPr>
          <w:rFonts w:hint="cs"/>
          <w:spacing w:val="-2"/>
          <w:rtl/>
        </w:rPr>
        <w:t>. و</w:t>
      </w:r>
      <w:r w:rsidRPr="00746503">
        <w:rPr>
          <w:spacing w:val="-2"/>
          <w:rtl/>
        </w:rPr>
        <w:t>يتزايد استخدام العديد من الوظائف المتاحة على شبكة الإنترنت</w:t>
      </w:r>
      <w:r w:rsidRPr="00746503">
        <w:rPr>
          <w:rFonts w:hint="cs"/>
          <w:spacing w:val="-2"/>
          <w:rtl/>
        </w:rPr>
        <w:t>. وفي هذا الصدد، يت</w:t>
      </w:r>
      <w:r w:rsidRPr="00746503">
        <w:rPr>
          <w:spacing w:val="-2"/>
          <w:rtl/>
        </w:rPr>
        <w:t>زا</w:t>
      </w:r>
      <w:r w:rsidRPr="00746503">
        <w:rPr>
          <w:rFonts w:hint="cs"/>
          <w:spacing w:val="-2"/>
          <w:rtl/>
        </w:rPr>
        <w:t>ي</w:t>
      </w:r>
      <w:r w:rsidRPr="00746503">
        <w:rPr>
          <w:spacing w:val="-2"/>
          <w:rtl/>
        </w:rPr>
        <w:t>د</w:t>
      </w:r>
      <w:r w:rsidRPr="00746503">
        <w:rPr>
          <w:rFonts w:hint="cs"/>
          <w:spacing w:val="-2"/>
          <w:rtl/>
        </w:rPr>
        <w:t xml:space="preserve"> الإقبال على عمليات الشراء وكذلك </w:t>
      </w:r>
      <w:r w:rsidRPr="00746503">
        <w:rPr>
          <w:spacing w:val="-2"/>
          <w:rtl/>
        </w:rPr>
        <w:t>البيع على الإنترنت خلال السنوات الأخيرة</w:t>
      </w:r>
      <w:r w:rsidRPr="00746503">
        <w:rPr>
          <w:rStyle w:val="EndnoteReference"/>
          <w:spacing w:val="-2"/>
          <w:rtl/>
        </w:rPr>
        <w:t>(</w:t>
      </w:r>
      <w:r w:rsidRPr="00746503">
        <w:rPr>
          <w:rStyle w:val="EndnoteReference"/>
          <w:spacing w:val="-2"/>
          <w:rtl/>
        </w:rPr>
        <w:endnoteReference w:id="164"/>
      </w:r>
      <w:r w:rsidRPr="00746503">
        <w:rPr>
          <w:rStyle w:val="EndnoteReference"/>
          <w:spacing w:val="-2"/>
          <w:rtl/>
        </w:rPr>
        <w:t>)</w:t>
      </w:r>
      <w:r w:rsidRPr="00746503">
        <w:rPr>
          <w:rFonts w:hint="cs"/>
          <w:spacing w:val="-2"/>
          <w:rtl/>
        </w:rPr>
        <w:t>.</w:t>
      </w:r>
    </w:p>
    <w:p w:rsidR="00944A3C" w:rsidRDefault="00944A3C" w:rsidP="00746503">
      <w:pPr>
        <w:pStyle w:val="SingleTxtGA"/>
        <w:rPr>
          <w:rtl/>
        </w:rPr>
      </w:pPr>
      <w:r w:rsidRPr="005D0C50">
        <w:rPr>
          <w:rFonts w:hint="cs"/>
          <w:rtl/>
        </w:rPr>
        <w:t>126-</w:t>
      </w:r>
      <w:r w:rsidRPr="005D0C50">
        <w:rPr>
          <w:rFonts w:hint="cs"/>
          <w:rtl/>
        </w:rPr>
        <w:tab/>
      </w:r>
      <w:r w:rsidRPr="005D0C50">
        <w:rPr>
          <w:rtl/>
        </w:rPr>
        <w:t>ويواكب التطوير المتسارع لشبكة الإنترنت المحمول تلك التطورات: ففي عام 2012، كان 40 في المائة من الأشخاص المقيمين في فرنسا قد تصفحوا بالفعل شبكة الإنترنت، خارج منازلهم، من خلال حاسوب محمول أو هاتف محمول أو جهاز يدوي، في حين لم تتجاوز نسبتهم 10 في المائة قبل خمس سنوات</w:t>
      </w:r>
      <w:r w:rsidRPr="005D0C50">
        <w:rPr>
          <w:rFonts w:hint="cs"/>
          <w:rtl/>
        </w:rPr>
        <w:t>.</w:t>
      </w:r>
    </w:p>
    <w:p w:rsidR="00944A3C" w:rsidRPr="005D0C50" w:rsidRDefault="00944A3C" w:rsidP="00F403AE">
      <w:pPr>
        <w:pStyle w:val="H1GA"/>
        <w:rPr>
          <w:rtl/>
        </w:rPr>
      </w:pPr>
      <w:r w:rsidRPr="005D0C50">
        <w:rPr>
          <w:rtl/>
        </w:rPr>
        <w:tab/>
      </w:r>
      <w:bookmarkStart w:id="8" w:name="_Toc508623278"/>
      <w:r w:rsidRPr="005D0C50">
        <w:rPr>
          <w:rtl/>
        </w:rPr>
        <w:t>باء-</w:t>
      </w:r>
      <w:r w:rsidRPr="005D0C50">
        <w:rPr>
          <w:rtl/>
        </w:rPr>
        <w:tab/>
        <w:t>الإطار المؤسسي: الفصل بين السلطات</w:t>
      </w:r>
      <w:bookmarkEnd w:id="8"/>
    </w:p>
    <w:p w:rsidR="00944A3C" w:rsidRPr="005D0C50" w:rsidRDefault="00944A3C" w:rsidP="00162F1A">
      <w:pPr>
        <w:pStyle w:val="H23GA"/>
        <w:rPr>
          <w:b w:val="0"/>
          <w:bCs w:val="0"/>
          <w:sz w:val="30"/>
          <w:rtl/>
        </w:rPr>
      </w:pPr>
      <w:r w:rsidRPr="005D0C50">
        <w:rPr>
          <w:rFonts w:hint="cs"/>
          <w:sz w:val="30"/>
          <w:rtl/>
        </w:rPr>
        <w:tab/>
        <w:t>1</w:t>
      </w:r>
      <w:r w:rsidRPr="005D0C50">
        <w:rPr>
          <w:sz w:val="30"/>
          <w:rtl/>
        </w:rPr>
        <w:t>-</w:t>
      </w:r>
      <w:r w:rsidRPr="005D0C50">
        <w:rPr>
          <w:sz w:val="30"/>
          <w:rtl/>
        </w:rPr>
        <w:tab/>
      </w:r>
      <w:r w:rsidRPr="00162F1A">
        <w:rPr>
          <w:rtl/>
        </w:rPr>
        <w:t>السلطة</w:t>
      </w:r>
      <w:r w:rsidRPr="005D0C50">
        <w:rPr>
          <w:sz w:val="30"/>
          <w:rtl/>
        </w:rPr>
        <w:t xml:space="preserve"> التنفيذية</w:t>
      </w:r>
    </w:p>
    <w:p w:rsidR="00944A3C" w:rsidRPr="005D0C50" w:rsidRDefault="00944A3C" w:rsidP="00162F1A">
      <w:pPr>
        <w:pStyle w:val="H23GA"/>
        <w:rPr>
          <w:rFonts w:hint="cs"/>
          <w:b w:val="0"/>
          <w:bCs w:val="0"/>
          <w:sz w:val="30"/>
          <w:rtl/>
          <w:lang w:bidi="ar-DZ"/>
        </w:rPr>
      </w:pPr>
      <w:r w:rsidRPr="005D0C50">
        <w:rPr>
          <w:rFonts w:hint="cs"/>
          <w:sz w:val="30"/>
          <w:rtl/>
        </w:rPr>
        <w:tab/>
        <w:t>(أ)</w:t>
      </w:r>
      <w:r w:rsidRPr="005D0C50">
        <w:rPr>
          <w:sz w:val="30"/>
          <w:rtl/>
        </w:rPr>
        <w:tab/>
      </w:r>
      <w:r w:rsidRPr="00162F1A">
        <w:rPr>
          <w:rtl/>
        </w:rPr>
        <w:t>رئيس</w:t>
      </w:r>
      <w:r w:rsidRPr="005D0C50">
        <w:rPr>
          <w:sz w:val="30"/>
          <w:rtl/>
        </w:rPr>
        <w:t xml:space="preserve"> الدولة</w:t>
      </w:r>
      <w:r w:rsidRPr="00B928BF">
        <w:rPr>
          <w:rStyle w:val="EndnoteReference"/>
          <w:b w:val="0"/>
          <w:bCs w:val="0"/>
          <w:sz w:val="30"/>
          <w:rtl/>
        </w:rPr>
        <w:t>(</w:t>
      </w:r>
      <w:r w:rsidRPr="00B928BF">
        <w:rPr>
          <w:rStyle w:val="EndnoteReference"/>
          <w:b w:val="0"/>
          <w:bCs w:val="0"/>
          <w:sz w:val="30"/>
          <w:rtl/>
        </w:rPr>
        <w:endnoteReference w:id="165"/>
      </w:r>
      <w:r w:rsidRPr="00B928BF">
        <w:rPr>
          <w:rStyle w:val="EndnoteReference"/>
          <w:b w:val="0"/>
          <w:bCs w:val="0"/>
          <w:sz w:val="30"/>
          <w:rtl/>
        </w:rPr>
        <w:t>)</w:t>
      </w:r>
    </w:p>
    <w:p w:rsidR="00944A3C" w:rsidRPr="00A10A96" w:rsidRDefault="00944A3C" w:rsidP="00944A3C">
      <w:pPr>
        <w:pStyle w:val="SingleTxtGA"/>
        <w:rPr>
          <w:rtl/>
        </w:rPr>
      </w:pPr>
      <w:r w:rsidRPr="00A10A96">
        <w:rPr>
          <w:rFonts w:hint="cs"/>
          <w:rtl/>
        </w:rPr>
        <w:t>127</w:t>
      </w:r>
      <w:r w:rsidRPr="00A10A96">
        <w:rPr>
          <w:rtl/>
        </w:rPr>
        <w:t>-</w:t>
      </w:r>
      <w:r w:rsidRPr="00A10A96">
        <w:rPr>
          <w:rtl/>
        </w:rPr>
        <w:tab/>
        <w:t>يُنتخب رئيس الجمهورية، وهو رئيس الدولة، بالاقتراع العام المباشر لولاية مدتها خمس سنوات</w:t>
      </w:r>
      <w:r w:rsidRPr="00A10A96">
        <w:rPr>
          <w:rFonts w:hint="cs"/>
          <w:rtl/>
        </w:rPr>
        <w:t xml:space="preserve">؛ </w:t>
      </w:r>
      <w:r w:rsidRPr="00A10A96">
        <w:rPr>
          <w:rtl/>
        </w:rPr>
        <w:t xml:space="preserve">ولا يجوز له أن يمارس مهامه أكثر من </w:t>
      </w:r>
      <w:r w:rsidRPr="00A10A96">
        <w:rPr>
          <w:rFonts w:hint="cs"/>
          <w:rtl/>
        </w:rPr>
        <w:t>و</w:t>
      </w:r>
      <w:r w:rsidRPr="00A10A96">
        <w:rPr>
          <w:rtl/>
        </w:rPr>
        <w:t>لايتين متتاليتين (المادة 6 من الدستور)</w:t>
      </w:r>
      <w:r w:rsidRPr="00A10A96">
        <w:rPr>
          <w:rFonts w:hint="cs"/>
          <w:rtl/>
        </w:rPr>
        <w:t xml:space="preserve">؛ </w:t>
      </w:r>
      <w:r w:rsidRPr="00A10A96">
        <w:rPr>
          <w:rtl/>
        </w:rPr>
        <w:t xml:space="preserve">ويجري الاقتراع وفق نظام فائز </w:t>
      </w:r>
      <w:r w:rsidRPr="00A10A96">
        <w:rPr>
          <w:rFonts w:hint="cs"/>
          <w:rtl/>
        </w:rPr>
        <w:t xml:space="preserve">واحد </w:t>
      </w:r>
      <w:r w:rsidRPr="00A10A96">
        <w:rPr>
          <w:rtl/>
        </w:rPr>
        <w:t>بالأغلبية في جولتين (المادة 7)</w:t>
      </w:r>
      <w:r w:rsidRPr="00A10A96">
        <w:rPr>
          <w:rFonts w:hint="cs"/>
          <w:rtl/>
        </w:rPr>
        <w:t xml:space="preserve">. </w:t>
      </w:r>
      <w:r w:rsidRPr="00A10A96">
        <w:rPr>
          <w:rtl/>
        </w:rPr>
        <w:t>ويتمثل دور رئيس الجمهورية في أن يضمن، بتحكيمه، السير العادي لعمل السلطات العامة واستمرارية الدولة (المادة 5)</w:t>
      </w:r>
      <w:r w:rsidRPr="00A10A96">
        <w:rPr>
          <w:rFonts w:hint="cs"/>
          <w:rtl/>
        </w:rPr>
        <w:t xml:space="preserve">. </w:t>
      </w:r>
      <w:r w:rsidRPr="00A10A96">
        <w:rPr>
          <w:rtl/>
        </w:rPr>
        <w:t>وهو ضامن الاستقلال الوطني والسلامة الإقليمية واحترام المعاهدات (المادة 5)، واستقلال السلطة القضائية (المادة 64)</w:t>
      </w:r>
      <w:r w:rsidRPr="00A10A96">
        <w:rPr>
          <w:rFonts w:hint="cs"/>
          <w:rtl/>
        </w:rPr>
        <w:t>.</w:t>
      </w:r>
    </w:p>
    <w:p w:rsidR="00944A3C" w:rsidRPr="00A10A96" w:rsidRDefault="00944A3C" w:rsidP="00944A3C">
      <w:pPr>
        <w:pStyle w:val="SingleTxtGA"/>
        <w:rPr>
          <w:rtl/>
        </w:rPr>
      </w:pPr>
      <w:r w:rsidRPr="00A10A96">
        <w:rPr>
          <w:rFonts w:hint="cs"/>
          <w:rtl/>
        </w:rPr>
        <w:t>128-</w:t>
      </w:r>
      <w:r w:rsidRPr="00A10A96">
        <w:rPr>
          <w:rFonts w:hint="cs"/>
          <w:rtl/>
        </w:rPr>
        <w:tab/>
      </w:r>
      <w:r w:rsidRPr="00A10A96">
        <w:rPr>
          <w:rtl/>
        </w:rPr>
        <w:t>ولهذا الغرض، يتمتع بصلاحيات مختلفة، قد تكون خاصة</w:t>
      </w:r>
      <w:r w:rsidRPr="00A10A96">
        <w:rPr>
          <w:rFonts w:hint="cs"/>
          <w:rtl/>
        </w:rPr>
        <w:t xml:space="preserve"> به</w:t>
      </w:r>
      <w:r w:rsidRPr="00A10A96">
        <w:rPr>
          <w:rtl/>
        </w:rPr>
        <w:t xml:space="preserve"> أو مشتركة</w:t>
      </w:r>
      <w:r w:rsidRPr="00A10A96">
        <w:rPr>
          <w:rFonts w:hint="cs"/>
          <w:rtl/>
        </w:rPr>
        <w:t>،</w:t>
      </w:r>
      <w:r w:rsidRPr="00A10A96">
        <w:rPr>
          <w:rtl/>
        </w:rPr>
        <w:t xml:space="preserve"> </w:t>
      </w:r>
      <w:r w:rsidRPr="00A10A96">
        <w:rPr>
          <w:rFonts w:hint="cs"/>
          <w:rtl/>
        </w:rPr>
        <w:t xml:space="preserve">حيث </w:t>
      </w:r>
      <w:r w:rsidRPr="00A10A96">
        <w:rPr>
          <w:rtl/>
        </w:rPr>
        <w:t>تتطلب تدخل هيئة أخرى</w:t>
      </w:r>
      <w:r w:rsidRPr="00A10A96">
        <w:rPr>
          <w:rFonts w:hint="cs"/>
          <w:rtl/>
        </w:rPr>
        <w:t>.</w:t>
      </w:r>
    </w:p>
    <w:p w:rsidR="00944A3C" w:rsidRPr="00A10A96" w:rsidRDefault="00944A3C" w:rsidP="005714DA">
      <w:pPr>
        <w:pStyle w:val="H4GA"/>
        <w:rPr>
          <w:rtl/>
        </w:rPr>
      </w:pPr>
      <w:r w:rsidRPr="00A10A96">
        <w:rPr>
          <w:rFonts w:hint="cs"/>
          <w:rtl/>
        </w:rPr>
        <w:tab/>
      </w:r>
      <w:r w:rsidR="005714DA">
        <w:rPr>
          <w:rFonts w:hint="cs"/>
          <w:rtl/>
        </w:rPr>
        <w:t>‘</w:t>
      </w:r>
      <w:r w:rsidRPr="00A10A96">
        <w:rPr>
          <w:rFonts w:hint="cs"/>
          <w:rtl/>
        </w:rPr>
        <w:t>1</w:t>
      </w:r>
      <w:r w:rsidR="005714DA">
        <w:rPr>
          <w:rFonts w:hint="cs"/>
          <w:rtl/>
        </w:rPr>
        <w:t>‘</w:t>
      </w:r>
      <w:r w:rsidRPr="00A10A96">
        <w:rPr>
          <w:rtl/>
        </w:rPr>
        <w:tab/>
      </w:r>
      <w:r w:rsidRPr="00A10A96">
        <w:rPr>
          <w:rFonts w:hint="cs"/>
          <w:rtl/>
        </w:rPr>
        <w:t>الصلاحيات الخاصة</w:t>
      </w:r>
    </w:p>
    <w:p w:rsidR="00944A3C" w:rsidRPr="00A10A96" w:rsidRDefault="00944A3C" w:rsidP="00317979">
      <w:pPr>
        <w:pStyle w:val="SingleTxtGA"/>
        <w:spacing w:line="370" w:lineRule="exact"/>
        <w:rPr>
          <w:rtl/>
        </w:rPr>
      </w:pPr>
      <w:r w:rsidRPr="00A10A96">
        <w:rPr>
          <w:rFonts w:hint="cs"/>
          <w:rtl/>
        </w:rPr>
        <w:t>129</w:t>
      </w:r>
      <w:r w:rsidRPr="00A10A96">
        <w:rPr>
          <w:rtl/>
        </w:rPr>
        <w:t>-</w:t>
      </w:r>
      <w:r w:rsidRPr="00A10A96">
        <w:rPr>
          <w:rtl/>
        </w:rPr>
        <w:tab/>
        <w:t>يتعلق الأمر بصلاحيات يمارسها رئيس الجمهورية من دون توقيع رئيس الوزراء، وعند الاقتضاء، الوزير أو الوزراء الآخرين المعنيين</w:t>
      </w:r>
      <w:r w:rsidRPr="00A10A96">
        <w:rPr>
          <w:rFonts w:hint="cs"/>
          <w:rtl/>
        </w:rPr>
        <w:t>.</w:t>
      </w:r>
    </w:p>
    <w:p w:rsidR="00944A3C" w:rsidRPr="00A10A96" w:rsidRDefault="00944A3C" w:rsidP="00317979">
      <w:pPr>
        <w:pStyle w:val="H56GA"/>
        <w:spacing w:line="370" w:lineRule="exact"/>
        <w:rPr>
          <w:rtl/>
        </w:rPr>
      </w:pPr>
      <w:r w:rsidRPr="00A10A96">
        <w:rPr>
          <w:rFonts w:hint="cs"/>
          <w:rtl/>
        </w:rPr>
        <w:lastRenderedPageBreak/>
        <w:tab/>
      </w:r>
      <w:r w:rsidRPr="00A10A96">
        <w:rPr>
          <w:rtl/>
        </w:rPr>
        <w:tab/>
      </w:r>
      <w:r w:rsidRPr="00A10A96">
        <w:rPr>
          <w:rFonts w:hint="cs"/>
          <w:rtl/>
        </w:rPr>
        <w:t>صلاحيات الضمان والتحكيم</w:t>
      </w:r>
    </w:p>
    <w:p w:rsidR="00944A3C" w:rsidRPr="00A10A96" w:rsidRDefault="00944A3C" w:rsidP="00317979">
      <w:pPr>
        <w:pStyle w:val="SingleTxtGA"/>
        <w:spacing w:line="370" w:lineRule="exact"/>
        <w:rPr>
          <w:rtl/>
        </w:rPr>
      </w:pPr>
      <w:r w:rsidRPr="00A10A96">
        <w:rPr>
          <w:rFonts w:hint="cs"/>
          <w:rtl/>
        </w:rPr>
        <w:t>130</w:t>
      </w:r>
      <w:r w:rsidRPr="00A10A96">
        <w:rPr>
          <w:rtl/>
        </w:rPr>
        <w:t>-</w:t>
      </w:r>
      <w:r w:rsidRPr="00A10A96">
        <w:rPr>
          <w:rtl/>
        </w:rPr>
        <w:tab/>
        <w:t>في المسائل الدستورية: يكفل رئيس الجمهورية احترام الدستور (المادة 5)، ويتمتع، من حيث الممارسة العملية، بصلاحية تفسيره (مثلا</w:t>
      </w:r>
      <w:r w:rsidR="00DD60A1">
        <w:rPr>
          <w:rFonts w:hint="cs"/>
          <w:rtl/>
        </w:rPr>
        <w:t>ً</w:t>
      </w:r>
      <w:r w:rsidRPr="00A10A96">
        <w:rPr>
          <w:rtl/>
        </w:rPr>
        <w:t>: الاستفتاء بشأن مراجعة الدستور، ورفض توقيع الأوامر خلال فترة التعايش)</w:t>
      </w:r>
      <w:r w:rsidRPr="00A10A96">
        <w:rPr>
          <w:rFonts w:hint="cs"/>
          <w:rtl/>
        </w:rPr>
        <w:t xml:space="preserve">. </w:t>
      </w:r>
      <w:r w:rsidRPr="00A10A96">
        <w:rPr>
          <w:rtl/>
        </w:rPr>
        <w:t>ويعين ثلاثةً من أعضاء المجلس الدستوري (المادة 56) ويجوز له اللجوء إلى هذا المجلس للتحقق من دستورية قانون أو معاهدة ما (المادتان 54 و61)</w:t>
      </w:r>
      <w:r w:rsidRPr="00A10A96">
        <w:rPr>
          <w:rFonts w:hint="cs"/>
          <w:rtl/>
        </w:rPr>
        <w:t>.</w:t>
      </w:r>
    </w:p>
    <w:p w:rsidR="00944A3C" w:rsidRPr="00A10A96" w:rsidRDefault="00944A3C" w:rsidP="00317979">
      <w:pPr>
        <w:pStyle w:val="SingleTxtGA"/>
        <w:spacing w:line="370" w:lineRule="exact"/>
        <w:rPr>
          <w:rtl/>
        </w:rPr>
      </w:pPr>
      <w:r w:rsidRPr="00A10A96">
        <w:rPr>
          <w:rFonts w:hint="cs"/>
          <w:rtl/>
        </w:rPr>
        <w:t>131-</w:t>
      </w:r>
      <w:r w:rsidRPr="00A10A96">
        <w:rPr>
          <w:rFonts w:hint="cs"/>
          <w:rtl/>
        </w:rPr>
        <w:tab/>
      </w:r>
      <w:r w:rsidRPr="00A10A96">
        <w:rPr>
          <w:rtl/>
        </w:rPr>
        <w:t>في المسائل القضائية: رئيس الجمهورية هو الضامن لاستقلال السلطة القضائية</w:t>
      </w:r>
      <w:r w:rsidRPr="00A10A96">
        <w:rPr>
          <w:rFonts w:hint="cs"/>
          <w:rtl/>
        </w:rPr>
        <w:t xml:space="preserve">؛ </w:t>
      </w:r>
      <w:r w:rsidRPr="00A10A96">
        <w:rPr>
          <w:rtl/>
        </w:rPr>
        <w:t>ويساعده المجلس الأعلى للقضاء</w:t>
      </w:r>
      <w:r w:rsidRPr="00A10A96">
        <w:rPr>
          <w:rFonts w:hint="cs"/>
          <w:rtl/>
        </w:rPr>
        <w:t xml:space="preserve"> (المادة 64).</w:t>
      </w:r>
    </w:p>
    <w:p w:rsidR="00944A3C" w:rsidRPr="00A10A96" w:rsidRDefault="00944A3C" w:rsidP="00317979">
      <w:pPr>
        <w:pStyle w:val="H56GA"/>
        <w:spacing w:line="370" w:lineRule="exact"/>
        <w:rPr>
          <w:rtl/>
        </w:rPr>
      </w:pPr>
      <w:r w:rsidRPr="00A10A96">
        <w:rPr>
          <w:rFonts w:hint="cs"/>
          <w:rtl/>
        </w:rPr>
        <w:tab/>
      </w:r>
      <w:r w:rsidRPr="00A10A96">
        <w:rPr>
          <w:rFonts w:hint="cs"/>
          <w:rtl/>
        </w:rPr>
        <w:tab/>
      </w:r>
      <w:r w:rsidRPr="00A10A96">
        <w:rPr>
          <w:rtl/>
        </w:rPr>
        <w:t>الصلاحيات الاستثنائية (المادة 16)</w:t>
      </w:r>
    </w:p>
    <w:p w:rsidR="00944A3C" w:rsidRPr="00A10A96" w:rsidRDefault="00944A3C" w:rsidP="00317979">
      <w:pPr>
        <w:pStyle w:val="SingleTxtGA"/>
        <w:spacing w:line="370" w:lineRule="exact"/>
        <w:rPr>
          <w:rtl/>
        </w:rPr>
      </w:pPr>
      <w:r w:rsidRPr="00A10A96">
        <w:rPr>
          <w:rFonts w:hint="cs"/>
          <w:rtl/>
        </w:rPr>
        <w:t>132</w:t>
      </w:r>
      <w:r w:rsidRPr="00A10A96">
        <w:rPr>
          <w:rtl/>
        </w:rPr>
        <w:t>-</w:t>
      </w:r>
      <w:r w:rsidRPr="00A10A96">
        <w:rPr>
          <w:rtl/>
        </w:rPr>
        <w:tab/>
        <w:t>لا يجوز لرئيس الجمهورية أن يستخدم هذه الصلاحيات إلا في حالة وجود تهديد خطير وفوري لمؤسسات الجمهورية، أو لاستقلال الدولة، أو لسلامة إقليمها، أو لتنفيذ التزاماتها الدولية، وفي حالة وجوب وقف السير العادي لعمل السلطات الدستورية العامة</w:t>
      </w:r>
      <w:r w:rsidRPr="00A10A96">
        <w:rPr>
          <w:rFonts w:hint="cs"/>
          <w:rtl/>
        </w:rPr>
        <w:t xml:space="preserve">. </w:t>
      </w:r>
      <w:r w:rsidRPr="00A10A96">
        <w:rPr>
          <w:rtl/>
        </w:rPr>
        <w:t>وفي حالة تطبيق المادة 16، يتخذ رئيس الجمهورية التدابير التي تقتضيها الظروف، لإتاحة السلطات العامة الوسائلَ اللازمة لإنجاز مهمتها</w:t>
      </w:r>
      <w:r w:rsidRPr="00A10A96">
        <w:rPr>
          <w:rFonts w:hint="cs"/>
          <w:rtl/>
        </w:rPr>
        <w:t>.</w:t>
      </w:r>
    </w:p>
    <w:p w:rsidR="00944A3C" w:rsidRPr="00A10A96" w:rsidRDefault="00944A3C" w:rsidP="00317979">
      <w:pPr>
        <w:pStyle w:val="H56GA"/>
        <w:spacing w:line="370" w:lineRule="exact"/>
        <w:rPr>
          <w:rtl/>
        </w:rPr>
      </w:pPr>
      <w:r w:rsidRPr="00A10A96">
        <w:rPr>
          <w:rFonts w:hint="cs"/>
          <w:rtl/>
        </w:rPr>
        <w:tab/>
      </w:r>
      <w:r w:rsidRPr="00A10A96">
        <w:rPr>
          <w:rFonts w:hint="cs"/>
          <w:rtl/>
        </w:rPr>
        <w:tab/>
      </w:r>
      <w:r w:rsidRPr="00A10A96">
        <w:rPr>
          <w:rtl/>
        </w:rPr>
        <w:t xml:space="preserve">الصلاحيات </w:t>
      </w:r>
      <w:r w:rsidRPr="00A10A96">
        <w:rPr>
          <w:rFonts w:hint="cs"/>
          <w:rtl/>
        </w:rPr>
        <w:t xml:space="preserve">المتصلة </w:t>
      </w:r>
      <w:r w:rsidRPr="00A10A96">
        <w:rPr>
          <w:rtl/>
        </w:rPr>
        <w:t>بالعلاقات مع المؤسسات الأخرى</w:t>
      </w:r>
    </w:p>
    <w:p w:rsidR="00944A3C" w:rsidRPr="00A10A96" w:rsidRDefault="00944A3C" w:rsidP="00317979">
      <w:pPr>
        <w:pStyle w:val="SingleTxtGA"/>
        <w:spacing w:line="370" w:lineRule="exact"/>
        <w:rPr>
          <w:rtl/>
        </w:rPr>
      </w:pPr>
      <w:r w:rsidRPr="00A10A96">
        <w:rPr>
          <w:rFonts w:hint="cs"/>
          <w:rtl/>
        </w:rPr>
        <w:t>133</w:t>
      </w:r>
      <w:r w:rsidRPr="00A10A96">
        <w:rPr>
          <w:rtl/>
        </w:rPr>
        <w:t>-</w:t>
      </w:r>
      <w:r w:rsidRPr="00A10A96">
        <w:rPr>
          <w:rtl/>
        </w:rPr>
        <w:tab/>
        <w:t>العلاقة مع الحكومة: يعين رئيس الجمهورية رئيس الوزراء وينهي مهامه (المادة 8)</w:t>
      </w:r>
      <w:r w:rsidRPr="00A10A96">
        <w:rPr>
          <w:rFonts w:hint="cs"/>
          <w:rtl/>
        </w:rPr>
        <w:t xml:space="preserve">؛ </w:t>
      </w:r>
      <w:r w:rsidRPr="00A10A96">
        <w:rPr>
          <w:rtl/>
        </w:rPr>
        <w:t>ويدعو إلى انعقاد مجلس الوزراء ويوافق على جدول أعماله ويرأسه (المادة 9)</w:t>
      </w:r>
      <w:r w:rsidRPr="00A10A96">
        <w:rPr>
          <w:rFonts w:hint="cs"/>
          <w:rtl/>
        </w:rPr>
        <w:t>.</w:t>
      </w:r>
    </w:p>
    <w:p w:rsidR="00944A3C" w:rsidRPr="00A10A96" w:rsidRDefault="00944A3C" w:rsidP="00317979">
      <w:pPr>
        <w:pStyle w:val="SingleTxtGA"/>
        <w:spacing w:line="370" w:lineRule="exact"/>
        <w:rPr>
          <w:rtl/>
        </w:rPr>
      </w:pPr>
      <w:r w:rsidRPr="00A10A96">
        <w:rPr>
          <w:rFonts w:hint="cs"/>
          <w:rtl/>
        </w:rPr>
        <w:t>134-</w:t>
      </w:r>
      <w:r w:rsidRPr="00A10A96">
        <w:rPr>
          <w:rFonts w:hint="cs"/>
          <w:rtl/>
        </w:rPr>
        <w:tab/>
        <w:t xml:space="preserve">العلاقة </w:t>
      </w:r>
      <w:r w:rsidRPr="00A10A96">
        <w:rPr>
          <w:rtl/>
        </w:rPr>
        <w:t>مع البرلمان: يتواصل رئيس الجمهورية مع البرلمان من خلال رسائل ويجوز له أن يخاطب البرلمان في جلسة مشتركة بين مجلسيه (المادة 18)</w:t>
      </w:r>
      <w:r w:rsidRPr="00A10A96">
        <w:rPr>
          <w:rFonts w:hint="cs"/>
          <w:rtl/>
        </w:rPr>
        <w:t xml:space="preserve">. </w:t>
      </w:r>
      <w:r w:rsidRPr="00A10A96">
        <w:rPr>
          <w:rtl/>
        </w:rPr>
        <w:t>ويجوز له أن يعلن، بوصفه سيد القرار في هذا الشأن، حل الجمعية الوطنية، وإن كان ملزم</w:t>
      </w:r>
      <w:r w:rsidR="0031739C">
        <w:rPr>
          <w:rtl/>
        </w:rPr>
        <w:t>اً،</w:t>
      </w:r>
      <w:r w:rsidRPr="00A10A96">
        <w:rPr>
          <w:rtl/>
        </w:rPr>
        <w:t xml:space="preserve"> قبل القيام بذلك، بالتشاور مع رئيسي المجلسين ورئيس الوزراء (المادة 12)</w:t>
      </w:r>
      <w:r w:rsidRPr="00A10A96">
        <w:rPr>
          <w:rFonts w:hint="cs"/>
          <w:rtl/>
        </w:rPr>
        <w:t>.</w:t>
      </w:r>
    </w:p>
    <w:p w:rsidR="00944A3C" w:rsidRPr="00A10A96" w:rsidRDefault="00944A3C" w:rsidP="005714DA">
      <w:pPr>
        <w:pStyle w:val="H4GA"/>
        <w:spacing w:line="370" w:lineRule="exact"/>
        <w:rPr>
          <w:rtl/>
        </w:rPr>
      </w:pPr>
      <w:r w:rsidRPr="00A10A96">
        <w:rPr>
          <w:rFonts w:hint="cs"/>
          <w:rtl/>
        </w:rPr>
        <w:tab/>
      </w:r>
      <w:r w:rsidR="005714DA">
        <w:rPr>
          <w:rFonts w:hint="cs"/>
          <w:rtl/>
        </w:rPr>
        <w:t>‘</w:t>
      </w:r>
      <w:r w:rsidRPr="00A10A96">
        <w:rPr>
          <w:rFonts w:hint="cs"/>
          <w:rtl/>
        </w:rPr>
        <w:t>2</w:t>
      </w:r>
      <w:r w:rsidR="005714DA">
        <w:rPr>
          <w:rFonts w:hint="cs"/>
          <w:rtl/>
        </w:rPr>
        <w:t>‘</w:t>
      </w:r>
      <w:r w:rsidRPr="00A10A96">
        <w:rPr>
          <w:rtl/>
        </w:rPr>
        <w:tab/>
      </w:r>
      <w:r w:rsidRPr="00A10A96">
        <w:rPr>
          <w:rFonts w:hint="cs"/>
          <w:rtl/>
        </w:rPr>
        <w:t>الصلاحيات المشتركة</w:t>
      </w:r>
    </w:p>
    <w:p w:rsidR="00944A3C" w:rsidRPr="00A10A96" w:rsidRDefault="00944A3C" w:rsidP="00317979">
      <w:pPr>
        <w:pStyle w:val="SingleTxtGA"/>
        <w:spacing w:line="370" w:lineRule="exact"/>
        <w:rPr>
          <w:rtl/>
        </w:rPr>
      </w:pPr>
      <w:r w:rsidRPr="00A10A96">
        <w:rPr>
          <w:rFonts w:hint="cs"/>
          <w:rtl/>
        </w:rPr>
        <w:t>135</w:t>
      </w:r>
      <w:r w:rsidRPr="00A10A96">
        <w:rPr>
          <w:rtl/>
        </w:rPr>
        <w:t>-</w:t>
      </w:r>
      <w:r w:rsidRPr="00A10A96">
        <w:rPr>
          <w:rtl/>
        </w:rPr>
        <w:tab/>
        <w:t xml:space="preserve">يتعلق الأمر بالصلاحيات التي لا يجوز لرئيس الجمهورية أن يمارسها إلا بموافقة رئيس الوزراء، وعند الاقتضاء، الوزير أو الوزراء الآخرين المعنيين، أو </w:t>
      </w:r>
      <w:r w:rsidRPr="00A10A96">
        <w:rPr>
          <w:rFonts w:hint="cs"/>
          <w:rtl/>
        </w:rPr>
        <w:t xml:space="preserve">بمشاركة </w:t>
      </w:r>
      <w:r w:rsidRPr="00A10A96">
        <w:rPr>
          <w:rtl/>
        </w:rPr>
        <w:t>هيئة أخرى</w:t>
      </w:r>
      <w:r w:rsidRPr="00A10A96">
        <w:rPr>
          <w:rFonts w:hint="cs"/>
          <w:rtl/>
        </w:rPr>
        <w:t>.</w:t>
      </w:r>
    </w:p>
    <w:p w:rsidR="00944A3C" w:rsidRPr="00A10A96" w:rsidRDefault="00944A3C" w:rsidP="00317979">
      <w:pPr>
        <w:pStyle w:val="H56GA"/>
        <w:spacing w:line="370" w:lineRule="exact"/>
        <w:rPr>
          <w:rtl/>
        </w:rPr>
      </w:pPr>
      <w:r w:rsidRPr="00A10A96">
        <w:rPr>
          <w:rFonts w:hint="cs"/>
          <w:rtl/>
        </w:rPr>
        <w:tab/>
      </w:r>
      <w:r w:rsidRPr="00A10A96">
        <w:rPr>
          <w:rFonts w:hint="cs"/>
          <w:rtl/>
        </w:rPr>
        <w:tab/>
      </w:r>
      <w:r w:rsidRPr="00A10A96">
        <w:rPr>
          <w:rtl/>
        </w:rPr>
        <w:t>الصلاحيات الدبلوماسية والعسكرية</w:t>
      </w:r>
    </w:p>
    <w:p w:rsidR="00944A3C" w:rsidRPr="00A10A96" w:rsidRDefault="00944A3C" w:rsidP="00317979">
      <w:pPr>
        <w:pStyle w:val="SingleTxtGA"/>
        <w:spacing w:line="370" w:lineRule="exact"/>
        <w:rPr>
          <w:rtl/>
        </w:rPr>
      </w:pPr>
      <w:r w:rsidRPr="00A10A96">
        <w:rPr>
          <w:rFonts w:hint="cs"/>
          <w:rtl/>
        </w:rPr>
        <w:t>136</w:t>
      </w:r>
      <w:r w:rsidRPr="00A10A96">
        <w:rPr>
          <w:rtl/>
        </w:rPr>
        <w:t>-</w:t>
      </w:r>
      <w:r w:rsidRPr="00A10A96">
        <w:rPr>
          <w:rtl/>
        </w:rPr>
        <w:tab/>
        <w:t>يجري التفاوض بشأن المعاهدات باسمه وهو الذي يصدق عليها، وعند الاقتضاء، بعد موافقة البرلمان (المادة 52)</w:t>
      </w:r>
      <w:r w:rsidRPr="00A10A96">
        <w:rPr>
          <w:rFonts w:hint="cs"/>
          <w:rtl/>
        </w:rPr>
        <w:t xml:space="preserve">. </w:t>
      </w:r>
      <w:r w:rsidRPr="00A10A96">
        <w:rPr>
          <w:rtl/>
        </w:rPr>
        <w:t>ويعتمد السفراء</w:t>
      </w:r>
      <w:r w:rsidRPr="00A10A96">
        <w:rPr>
          <w:rFonts w:hint="cs"/>
          <w:rtl/>
        </w:rPr>
        <w:t>َ</w:t>
      </w:r>
      <w:r w:rsidRPr="00A10A96">
        <w:rPr>
          <w:rtl/>
        </w:rPr>
        <w:t xml:space="preserve"> (المادة 14).</w:t>
      </w:r>
      <w:r w:rsidRPr="00A10A96">
        <w:rPr>
          <w:rFonts w:hint="cs"/>
          <w:rtl/>
        </w:rPr>
        <w:t xml:space="preserve"> </w:t>
      </w:r>
      <w:r w:rsidRPr="00A10A96">
        <w:rPr>
          <w:rtl/>
        </w:rPr>
        <w:t xml:space="preserve">ورئيس الجمهورية هو قائد القوات المسلحة (المادة 15)، ولكن الحكومة </w:t>
      </w:r>
      <w:r w:rsidRPr="00A10A96">
        <w:rPr>
          <w:rFonts w:hint="cs"/>
          <w:rtl/>
        </w:rPr>
        <w:t xml:space="preserve">تضع هذه </w:t>
      </w:r>
      <w:r w:rsidRPr="00A10A96">
        <w:rPr>
          <w:rtl/>
        </w:rPr>
        <w:t xml:space="preserve">القوات </w:t>
      </w:r>
      <w:r w:rsidRPr="00A10A96">
        <w:rPr>
          <w:rFonts w:hint="cs"/>
          <w:rtl/>
        </w:rPr>
        <w:t xml:space="preserve">تحت تصرفها </w:t>
      </w:r>
      <w:r w:rsidRPr="00A10A96">
        <w:rPr>
          <w:rtl/>
        </w:rPr>
        <w:t>لإنجاز عملها (المادة</w:t>
      </w:r>
      <w:r w:rsidR="00B028D3" w:rsidRPr="00A10A96">
        <w:rPr>
          <w:rFonts w:hint="cs"/>
          <w:rtl/>
        </w:rPr>
        <w:t> </w:t>
      </w:r>
      <w:r w:rsidRPr="00A10A96">
        <w:rPr>
          <w:rtl/>
        </w:rPr>
        <w:t>20)</w:t>
      </w:r>
      <w:r w:rsidRPr="00A10A96">
        <w:rPr>
          <w:rFonts w:hint="cs"/>
          <w:rtl/>
        </w:rPr>
        <w:t>،</w:t>
      </w:r>
      <w:r w:rsidRPr="00A10A96">
        <w:rPr>
          <w:rtl/>
        </w:rPr>
        <w:t xml:space="preserve"> ولا ينبغي إعلان حالة الحرب إلا بموافقة البرلمان (المادة 35)</w:t>
      </w:r>
      <w:r w:rsidRPr="00A10A96">
        <w:rPr>
          <w:rFonts w:hint="cs"/>
          <w:rtl/>
        </w:rPr>
        <w:t xml:space="preserve">. </w:t>
      </w:r>
      <w:r w:rsidRPr="00A10A96">
        <w:rPr>
          <w:rtl/>
        </w:rPr>
        <w:t>ويرأس مجالس ولجان الدفاع الوطني (المادة 15)، ولكن يجوز، استثنائي</w:t>
      </w:r>
      <w:r w:rsidR="0031739C">
        <w:rPr>
          <w:rtl/>
        </w:rPr>
        <w:t>اً،</w:t>
      </w:r>
      <w:r w:rsidRPr="00A10A96">
        <w:rPr>
          <w:rtl/>
        </w:rPr>
        <w:t xml:space="preserve"> أن ينوب عنه رئيس الوزراء (المادة</w:t>
      </w:r>
      <w:r w:rsidR="00B028D3" w:rsidRPr="00A10A96">
        <w:rPr>
          <w:rFonts w:hint="cs"/>
          <w:rtl/>
        </w:rPr>
        <w:t> </w:t>
      </w:r>
      <w:r w:rsidRPr="00A10A96">
        <w:rPr>
          <w:rtl/>
        </w:rPr>
        <w:t>21)</w:t>
      </w:r>
      <w:r w:rsidRPr="00A10A96">
        <w:rPr>
          <w:rFonts w:hint="cs"/>
          <w:rtl/>
        </w:rPr>
        <w:t>.</w:t>
      </w:r>
    </w:p>
    <w:p w:rsidR="00944A3C" w:rsidRPr="00A10A96" w:rsidRDefault="00944A3C" w:rsidP="00F403AE">
      <w:pPr>
        <w:pStyle w:val="H56GA"/>
        <w:rPr>
          <w:rtl/>
        </w:rPr>
      </w:pPr>
      <w:r w:rsidRPr="00A10A96">
        <w:rPr>
          <w:rFonts w:hint="cs"/>
          <w:rtl/>
        </w:rPr>
        <w:lastRenderedPageBreak/>
        <w:tab/>
      </w:r>
      <w:r w:rsidRPr="00A10A96">
        <w:rPr>
          <w:rFonts w:hint="cs"/>
          <w:rtl/>
        </w:rPr>
        <w:tab/>
      </w:r>
      <w:r w:rsidRPr="00A10A96">
        <w:rPr>
          <w:rtl/>
        </w:rPr>
        <w:t>الصلاحيات المتصلة بالعلاقات مع الحكومة</w:t>
      </w:r>
    </w:p>
    <w:p w:rsidR="00944A3C" w:rsidRPr="00A10A96" w:rsidRDefault="00944A3C" w:rsidP="00A10A96">
      <w:pPr>
        <w:pStyle w:val="SingleTxtGA"/>
        <w:rPr>
          <w:rtl/>
        </w:rPr>
      </w:pPr>
      <w:r w:rsidRPr="00A10A96">
        <w:rPr>
          <w:rFonts w:hint="cs"/>
          <w:rtl/>
        </w:rPr>
        <w:t>137</w:t>
      </w:r>
      <w:r w:rsidRPr="00A10A96">
        <w:rPr>
          <w:rtl/>
        </w:rPr>
        <w:t>-</w:t>
      </w:r>
      <w:r w:rsidRPr="00A10A96">
        <w:rPr>
          <w:rtl/>
        </w:rPr>
        <w:tab/>
        <w:t>بناء على اقتراح من رئيس الوزراء، يعين رئيس الجمهورية الوزراء وينهي مهامهم (المادة</w:t>
      </w:r>
      <w:r w:rsidR="00A10A96" w:rsidRPr="00A10A96">
        <w:rPr>
          <w:rFonts w:hint="cs"/>
          <w:rtl/>
        </w:rPr>
        <w:t> </w:t>
      </w:r>
      <w:r w:rsidRPr="00A10A96">
        <w:rPr>
          <w:rtl/>
        </w:rPr>
        <w:t>8)</w:t>
      </w:r>
      <w:r w:rsidRPr="00A10A96">
        <w:rPr>
          <w:rFonts w:hint="cs"/>
          <w:rtl/>
        </w:rPr>
        <w:t xml:space="preserve">. </w:t>
      </w:r>
      <w:r w:rsidRPr="00A10A96">
        <w:rPr>
          <w:rtl/>
        </w:rPr>
        <w:t>ويعين موظفي ال</w:t>
      </w:r>
      <w:r w:rsidRPr="00A10A96">
        <w:rPr>
          <w:rFonts w:hint="cs"/>
          <w:rtl/>
        </w:rPr>
        <w:t>د</w:t>
      </w:r>
      <w:r w:rsidRPr="00A10A96">
        <w:rPr>
          <w:rtl/>
        </w:rPr>
        <w:t>ولة المدنيين والعسكريين، أحيان</w:t>
      </w:r>
      <w:r w:rsidR="00B028D3" w:rsidRPr="00A10A96">
        <w:rPr>
          <w:rtl/>
        </w:rPr>
        <w:t xml:space="preserve">اً </w:t>
      </w:r>
      <w:r w:rsidRPr="00A10A96">
        <w:rPr>
          <w:rtl/>
        </w:rPr>
        <w:t>بناء على قرار يُتخذ في مجلس الوزراء، وأحيان</w:t>
      </w:r>
      <w:r w:rsidR="00B028D3" w:rsidRPr="00A10A96">
        <w:rPr>
          <w:rtl/>
        </w:rPr>
        <w:t xml:space="preserve">اً </w:t>
      </w:r>
      <w:r w:rsidRPr="00A10A96">
        <w:rPr>
          <w:rtl/>
        </w:rPr>
        <w:t>بعد استشارة اللجان الدائمة المختصة التابعة لمجلسي البرلمان (المادة 13)</w:t>
      </w:r>
      <w:r w:rsidRPr="00A10A96">
        <w:rPr>
          <w:rFonts w:hint="cs"/>
          <w:rtl/>
        </w:rPr>
        <w:t>.</w:t>
      </w:r>
    </w:p>
    <w:p w:rsidR="00944A3C" w:rsidRPr="00A10A96" w:rsidRDefault="00944A3C" w:rsidP="00944A3C">
      <w:pPr>
        <w:pStyle w:val="SingleTxtGA"/>
        <w:rPr>
          <w:rtl/>
        </w:rPr>
      </w:pPr>
      <w:r w:rsidRPr="00A10A96">
        <w:rPr>
          <w:rFonts w:hint="cs"/>
          <w:rtl/>
        </w:rPr>
        <w:t>138-</w:t>
      </w:r>
      <w:r w:rsidRPr="00A10A96">
        <w:rPr>
          <w:rFonts w:hint="cs"/>
          <w:rtl/>
        </w:rPr>
        <w:tab/>
      </w:r>
      <w:r w:rsidRPr="00A10A96">
        <w:rPr>
          <w:rtl/>
        </w:rPr>
        <w:t>ويوقع الأوامر والمراسي</w:t>
      </w:r>
      <w:r w:rsidRPr="00A10A96">
        <w:rPr>
          <w:rFonts w:hint="cs"/>
          <w:rtl/>
        </w:rPr>
        <w:t>م</w:t>
      </w:r>
      <w:r w:rsidRPr="00A10A96">
        <w:rPr>
          <w:rtl/>
        </w:rPr>
        <w:t xml:space="preserve"> التي يجري التداول بشأنها في مجلس الوزراء (المادة 13)</w:t>
      </w:r>
      <w:r w:rsidRPr="00A10A96">
        <w:rPr>
          <w:rFonts w:hint="cs"/>
          <w:rtl/>
        </w:rPr>
        <w:t>.</w:t>
      </w:r>
    </w:p>
    <w:p w:rsidR="00944A3C" w:rsidRPr="00A10A96" w:rsidRDefault="00944A3C" w:rsidP="00B928BF">
      <w:pPr>
        <w:pStyle w:val="H56GA"/>
        <w:rPr>
          <w:rtl/>
        </w:rPr>
      </w:pPr>
      <w:r w:rsidRPr="00A10A96">
        <w:rPr>
          <w:rFonts w:hint="cs"/>
          <w:rtl/>
        </w:rPr>
        <w:tab/>
      </w:r>
      <w:r w:rsidRPr="00A10A96">
        <w:rPr>
          <w:rFonts w:hint="cs"/>
          <w:rtl/>
        </w:rPr>
        <w:tab/>
      </w:r>
      <w:r w:rsidRPr="00A10A96">
        <w:rPr>
          <w:rtl/>
        </w:rPr>
        <w:t>الصلاحيات المتصلة بالعلاقات مع البرلمان</w:t>
      </w:r>
    </w:p>
    <w:p w:rsidR="00944A3C" w:rsidRPr="00A10A96" w:rsidRDefault="00944A3C" w:rsidP="00944A3C">
      <w:pPr>
        <w:pStyle w:val="SingleTxtGA"/>
        <w:rPr>
          <w:rtl/>
        </w:rPr>
      </w:pPr>
      <w:r w:rsidRPr="00A10A96">
        <w:rPr>
          <w:rFonts w:hint="cs"/>
          <w:rtl/>
        </w:rPr>
        <w:t>139</w:t>
      </w:r>
      <w:r w:rsidRPr="00A10A96">
        <w:rPr>
          <w:rtl/>
        </w:rPr>
        <w:t>-</w:t>
      </w:r>
      <w:r w:rsidRPr="00A10A96">
        <w:rPr>
          <w:rtl/>
        </w:rPr>
        <w:tab/>
        <w:t xml:space="preserve">يجوز لرئيس الجمهورية أن يدعو البرلمان إلى عقد </w:t>
      </w:r>
      <w:r w:rsidRPr="00A10A96">
        <w:rPr>
          <w:rFonts w:hint="cs"/>
          <w:rtl/>
        </w:rPr>
        <w:t xml:space="preserve">دورة </w:t>
      </w:r>
      <w:r w:rsidRPr="00A10A96">
        <w:rPr>
          <w:rtl/>
        </w:rPr>
        <w:t xml:space="preserve">استثنائية، بطلب من رئيس الوزراء أو أغلبية الأعضاء المكونين للجمعية الوطنية (المادة 29). </w:t>
      </w:r>
      <w:r w:rsidRPr="00A10A96">
        <w:rPr>
          <w:rFonts w:hint="cs"/>
          <w:rtl/>
        </w:rPr>
        <w:t>و</w:t>
      </w:r>
      <w:r w:rsidRPr="00A10A96">
        <w:rPr>
          <w:rtl/>
        </w:rPr>
        <w:t>يفتتح جميع دورات البرلمان الاستثنائية ويختتمها (المادة 30)</w:t>
      </w:r>
      <w:r w:rsidRPr="00A10A96">
        <w:rPr>
          <w:rFonts w:hint="cs"/>
          <w:rtl/>
        </w:rPr>
        <w:t xml:space="preserve">. </w:t>
      </w:r>
      <w:r w:rsidRPr="00A10A96">
        <w:rPr>
          <w:rtl/>
        </w:rPr>
        <w:t>ويجوز له أن يطلب إليه إعادة مناقشة القوانين المصوت عليها، قبل سنها (المادة 10)</w:t>
      </w:r>
      <w:r w:rsidRPr="00A10A96">
        <w:rPr>
          <w:rFonts w:hint="cs"/>
          <w:rtl/>
        </w:rPr>
        <w:t>.</w:t>
      </w:r>
    </w:p>
    <w:p w:rsidR="00944A3C" w:rsidRPr="00A10A96" w:rsidRDefault="00944A3C" w:rsidP="00B928BF">
      <w:pPr>
        <w:pStyle w:val="H56GA"/>
        <w:rPr>
          <w:rtl/>
        </w:rPr>
      </w:pPr>
      <w:r w:rsidRPr="00A10A96">
        <w:rPr>
          <w:rFonts w:hint="cs"/>
          <w:rtl/>
        </w:rPr>
        <w:tab/>
      </w:r>
      <w:r w:rsidRPr="00A10A96">
        <w:rPr>
          <w:rFonts w:hint="cs"/>
          <w:rtl/>
        </w:rPr>
        <w:tab/>
      </w:r>
      <w:r w:rsidRPr="00A10A96">
        <w:rPr>
          <w:rtl/>
        </w:rPr>
        <w:t>الصلاحيات المتصلة بالعلاقات مع السلطة القضائية</w:t>
      </w:r>
    </w:p>
    <w:p w:rsidR="00944A3C" w:rsidRPr="00A10A96" w:rsidRDefault="00944A3C" w:rsidP="00A82765">
      <w:pPr>
        <w:pStyle w:val="SingleTxtGA"/>
        <w:rPr>
          <w:rtl/>
        </w:rPr>
      </w:pPr>
      <w:r w:rsidRPr="00A10A96">
        <w:rPr>
          <w:rFonts w:hint="cs"/>
          <w:rtl/>
        </w:rPr>
        <w:t>140</w:t>
      </w:r>
      <w:r w:rsidRPr="00A10A96">
        <w:rPr>
          <w:rtl/>
        </w:rPr>
        <w:t>-</w:t>
      </w:r>
      <w:r w:rsidRPr="00A10A96">
        <w:rPr>
          <w:rtl/>
        </w:rPr>
        <w:tab/>
        <w:t>يجوز لرئيس الجمهورية أن يصدر العفو بصفة فردية (المادة 17)</w:t>
      </w:r>
      <w:r w:rsidRPr="00A10A96">
        <w:rPr>
          <w:rFonts w:hint="cs"/>
          <w:rtl/>
        </w:rPr>
        <w:t>.</w:t>
      </w:r>
    </w:p>
    <w:p w:rsidR="00944A3C" w:rsidRPr="00A10A96" w:rsidRDefault="00944A3C" w:rsidP="00A82765">
      <w:pPr>
        <w:pStyle w:val="H56GA"/>
        <w:rPr>
          <w:rtl/>
        </w:rPr>
      </w:pPr>
      <w:r w:rsidRPr="00A10A96">
        <w:rPr>
          <w:rFonts w:hint="cs"/>
          <w:rtl/>
        </w:rPr>
        <w:tab/>
      </w:r>
      <w:r w:rsidRPr="00A10A96">
        <w:rPr>
          <w:rFonts w:hint="cs"/>
          <w:rtl/>
        </w:rPr>
        <w:tab/>
      </w:r>
      <w:r w:rsidRPr="00A10A96">
        <w:rPr>
          <w:rtl/>
        </w:rPr>
        <w:t>الصلاحيات المتصلة بالعلاقات مع الشعب: الاستفتاء</w:t>
      </w:r>
    </w:p>
    <w:p w:rsidR="00944A3C" w:rsidRPr="00A10A96" w:rsidRDefault="00944A3C" w:rsidP="00944A3C">
      <w:pPr>
        <w:pStyle w:val="SingleTxtGA"/>
        <w:rPr>
          <w:rtl/>
        </w:rPr>
      </w:pPr>
      <w:r w:rsidRPr="00A10A96">
        <w:rPr>
          <w:rFonts w:hint="cs"/>
          <w:rtl/>
        </w:rPr>
        <w:t>141</w:t>
      </w:r>
      <w:r w:rsidRPr="00A10A96">
        <w:rPr>
          <w:rtl/>
        </w:rPr>
        <w:t>-</w:t>
      </w:r>
      <w:r w:rsidRPr="00A10A96">
        <w:rPr>
          <w:rtl/>
        </w:rPr>
        <w:tab/>
        <w:t xml:space="preserve">الاستفتاء الدستوري: </w:t>
      </w:r>
      <w:r w:rsidRPr="00A10A96">
        <w:rPr>
          <w:rFonts w:hint="cs"/>
          <w:rtl/>
        </w:rPr>
        <w:t>ي</w:t>
      </w:r>
      <w:r w:rsidRPr="00A10A96">
        <w:rPr>
          <w:rtl/>
        </w:rPr>
        <w:t xml:space="preserve">عود </w:t>
      </w:r>
      <w:r w:rsidRPr="00A10A96">
        <w:rPr>
          <w:rFonts w:hint="cs"/>
          <w:rtl/>
        </w:rPr>
        <w:t xml:space="preserve">أمر </w:t>
      </w:r>
      <w:r w:rsidRPr="00A10A96">
        <w:rPr>
          <w:rtl/>
        </w:rPr>
        <w:t xml:space="preserve">مبادرة مراجعة الدستور بصورة مشتركة </w:t>
      </w:r>
      <w:r w:rsidRPr="00A10A96">
        <w:rPr>
          <w:rFonts w:hint="cs"/>
          <w:rtl/>
        </w:rPr>
        <w:t xml:space="preserve">إلى </w:t>
      </w:r>
      <w:r w:rsidRPr="00A10A96">
        <w:rPr>
          <w:rtl/>
        </w:rPr>
        <w:t xml:space="preserve">رئيس الجمهورية، </w:t>
      </w:r>
      <w:r w:rsidRPr="00A10A96">
        <w:rPr>
          <w:rFonts w:hint="cs"/>
          <w:rtl/>
        </w:rPr>
        <w:t>ب</w:t>
      </w:r>
      <w:r w:rsidRPr="00A10A96">
        <w:rPr>
          <w:rtl/>
        </w:rPr>
        <w:t>اقتراح من رئيس الوزراء</w:t>
      </w:r>
      <w:r w:rsidRPr="00A10A96">
        <w:rPr>
          <w:rFonts w:hint="cs"/>
          <w:rtl/>
        </w:rPr>
        <w:t xml:space="preserve">، </w:t>
      </w:r>
      <w:r w:rsidRPr="00A10A96">
        <w:rPr>
          <w:rtl/>
        </w:rPr>
        <w:t>و</w:t>
      </w:r>
      <w:r w:rsidRPr="00A10A96">
        <w:rPr>
          <w:rFonts w:hint="cs"/>
          <w:rtl/>
        </w:rPr>
        <w:t xml:space="preserve">إلى </w:t>
      </w:r>
      <w:r w:rsidRPr="00A10A96">
        <w:rPr>
          <w:rtl/>
        </w:rPr>
        <w:t>أعضاء البرلمان (المادة 89)</w:t>
      </w:r>
      <w:r w:rsidRPr="00A10A96">
        <w:rPr>
          <w:rFonts w:hint="cs"/>
          <w:rtl/>
        </w:rPr>
        <w:t xml:space="preserve">. </w:t>
      </w:r>
      <w:r w:rsidRPr="00A10A96">
        <w:rPr>
          <w:rtl/>
        </w:rPr>
        <w:t>ومن حيث المبدأ، يصوت البرلمان على مشروع المراجعة ويوافق عليه الشعب من خلال الاستفتاء</w:t>
      </w:r>
      <w:r w:rsidRPr="00A10A96">
        <w:rPr>
          <w:rFonts w:hint="cs"/>
          <w:rtl/>
        </w:rPr>
        <w:t>.</w:t>
      </w:r>
      <w:r w:rsidRPr="00A10A96">
        <w:rPr>
          <w:rtl/>
        </w:rPr>
        <w:t xml:space="preserve"> غير أنه يجوز لرئيس الجمهورية أن يصدر قرار</w:t>
      </w:r>
      <w:r w:rsidR="00B028D3" w:rsidRPr="00A10A96">
        <w:rPr>
          <w:rtl/>
        </w:rPr>
        <w:t xml:space="preserve">اً </w:t>
      </w:r>
      <w:r w:rsidRPr="00A10A96">
        <w:rPr>
          <w:rtl/>
        </w:rPr>
        <w:t>بأن يعتمد البرلمان في جلسة مشتركة بين مجلسيه مشروع المراجعة بصفة نهائية، بأغلبية ثلاثة أخماس الأصوات المدلى بها</w:t>
      </w:r>
      <w:r w:rsidRPr="00A10A96">
        <w:rPr>
          <w:rFonts w:hint="cs"/>
          <w:rtl/>
        </w:rPr>
        <w:t xml:space="preserve">. </w:t>
      </w:r>
      <w:r w:rsidRPr="00A10A96">
        <w:rPr>
          <w:rtl/>
        </w:rPr>
        <w:t>وثمة قيود على صلاحية مراجعة الدستور: فلا يجوز أن تمس المراجعة بسلامة الإقليم (المادة 89، الفقرة 4)، ولا أن تفضي إلى تغيير الشكل الجمهوري للحكم (المادة 89، الفقرة 5)</w:t>
      </w:r>
      <w:r w:rsidRPr="00A10A96">
        <w:rPr>
          <w:rFonts w:hint="cs"/>
          <w:rtl/>
        </w:rPr>
        <w:t>.</w:t>
      </w:r>
    </w:p>
    <w:p w:rsidR="00944A3C" w:rsidRPr="00A10A96" w:rsidRDefault="00944A3C" w:rsidP="00A82765">
      <w:pPr>
        <w:pStyle w:val="SingleTxtGA"/>
        <w:rPr>
          <w:rtl/>
        </w:rPr>
      </w:pPr>
      <w:r w:rsidRPr="00A10A96">
        <w:rPr>
          <w:rFonts w:hint="cs"/>
          <w:rtl/>
        </w:rPr>
        <w:t>142-</w:t>
      </w:r>
      <w:r w:rsidRPr="00A10A96">
        <w:rPr>
          <w:rFonts w:hint="cs"/>
          <w:rtl/>
        </w:rPr>
        <w:tab/>
      </w:r>
      <w:r w:rsidRPr="00A10A96">
        <w:rPr>
          <w:rtl/>
        </w:rPr>
        <w:t>الاستفتاء التشريعي: يجوز لرئيس الجمهورية، باقتراح من الحكومة أو من مجلسي البرلمان، أن يَعرض للاستفتاء أي مشروع قانون يتعلق بتنظيم السلطات العامة، أو بالإصلاحات المتصلة بالسياسة الاقتصادية أو الاجتماعية أو البيئية للدولة وبالخدمات العامة التي تواكبها، أو</w:t>
      </w:r>
      <w:r w:rsidR="00A82765">
        <w:t> </w:t>
      </w:r>
      <w:r w:rsidRPr="00A10A96">
        <w:rPr>
          <w:rtl/>
        </w:rPr>
        <w:t xml:space="preserve">يرمي إلى </w:t>
      </w:r>
      <w:r w:rsidRPr="00A10A96">
        <w:rPr>
          <w:rFonts w:hint="cs"/>
          <w:rtl/>
        </w:rPr>
        <w:t>الإذن ب</w:t>
      </w:r>
      <w:r w:rsidRPr="00A10A96">
        <w:rPr>
          <w:rtl/>
        </w:rPr>
        <w:t>التصديق على المعاهدات التي، وإن لم تتعارض مع الدستور، قد تكون لها آثار على سير عمل المؤسسات (المادة 11)</w:t>
      </w:r>
      <w:r w:rsidRPr="00A10A96">
        <w:rPr>
          <w:rFonts w:hint="cs"/>
          <w:rtl/>
        </w:rPr>
        <w:t>.</w:t>
      </w:r>
    </w:p>
    <w:p w:rsidR="00944A3C" w:rsidRPr="00A10A96" w:rsidRDefault="00944A3C" w:rsidP="00944A3C">
      <w:pPr>
        <w:pStyle w:val="SingleTxtGA"/>
        <w:rPr>
          <w:rtl/>
        </w:rPr>
      </w:pPr>
      <w:r w:rsidRPr="00A10A96">
        <w:rPr>
          <w:rFonts w:hint="cs"/>
          <w:rtl/>
        </w:rPr>
        <w:t>143-</w:t>
      </w:r>
      <w:r w:rsidRPr="00A10A96">
        <w:rPr>
          <w:rFonts w:hint="cs"/>
          <w:rtl/>
        </w:rPr>
        <w:tab/>
      </w:r>
      <w:r w:rsidRPr="00A10A96">
        <w:rPr>
          <w:rtl/>
          <w:lang w:val="fr-CH"/>
        </w:rPr>
        <w:t>استفتاء المبادرة المشتركة: يجوز تنظيم استفتاء بشأن أحد المواضيع المشار إليها في الفقرة السابقة بمبادرة من خُمس أعضاء البرلمان، مدعومٍ بعُشر الناخبين المسجلين في القوائم الانتخابية (المادة 11)</w:t>
      </w:r>
      <w:r w:rsidRPr="00A10A96">
        <w:rPr>
          <w:rFonts w:hint="cs"/>
          <w:rtl/>
        </w:rPr>
        <w:t>.</w:t>
      </w:r>
    </w:p>
    <w:p w:rsidR="00944A3C" w:rsidRPr="00A10A96" w:rsidRDefault="00944A3C" w:rsidP="00A82765">
      <w:pPr>
        <w:pStyle w:val="SingleTxtGA"/>
        <w:rPr>
          <w:rtl/>
        </w:rPr>
      </w:pPr>
      <w:r w:rsidRPr="00A10A96">
        <w:rPr>
          <w:rFonts w:hint="cs"/>
          <w:rtl/>
        </w:rPr>
        <w:t>144-</w:t>
      </w:r>
      <w:r w:rsidRPr="00A10A96">
        <w:rPr>
          <w:rFonts w:hint="cs"/>
          <w:rtl/>
        </w:rPr>
        <w:tab/>
      </w:r>
      <w:r w:rsidRPr="00A10A96">
        <w:rPr>
          <w:rtl/>
        </w:rPr>
        <w:t>الاستفتاء بشأن المعاهدات: يجوز لرئيس الجمهورية أن يعرض سواء على البرلمان أو</w:t>
      </w:r>
      <w:r w:rsidR="00A82765">
        <w:rPr>
          <w:rFonts w:hint="cs"/>
          <w:rtl/>
        </w:rPr>
        <w:t> </w:t>
      </w:r>
      <w:r w:rsidRPr="00A10A96">
        <w:rPr>
          <w:rtl/>
        </w:rPr>
        <w:t>على الشعب، من خلال الاستفتاء، مشاريع القوانين التي تجيز التصديق على معاهدة تتعلق بانضمام دولة ما إلى الاتحاد الأوروبي (المادة 88-5)</w:t>
      </w:r>
      <w:r w:rsidRPr="00A10A96">
        <w:rPr>
          <w:rFonts w:hint="cs"/>
          <w:rtl/>
        </w:rPr>
        <w:t>.</w:t>
      </w:r>
    </w:p>
    <w:p w:rsidR="00944A3C" w:rsidRPr="00A10A96" w:rsidRDefault="00944A3C" w:rsidP="00B028D3">
      <w:pPr>
        <w:pStyle w:val="SingleTxtGA"/>
        <w:rPr>
          <w:rtl/>
        </w:rPr>
      </w:pPr>
      <w:r w:rsidRPr="00A10A96">
        <w:rPr>
          <w:rFonts w:hint="cs"/>
          <w:rtl/>
        </w:rPr>
        <w:lastRenderedPageBreak/>
        <w:t>145-</w:t>
      </w:r>
      <w:r w:rsidRPr="00A10A96">
        <w:rPr>
          <w:rFonts w:hint="cs"/>
          <w:rtl/>
        </w:rPr>
        <w:tab/>
      </w:r>
      <w:r w:rsidRPr="00A10A96">
        <w:rPr>
          <w:rtl/>
        </w:rPr>
        <w:t>الاستفتاءات المحلية: يجوز لرئيس الجمهورية أن يستشير الناخبين في إحدى الجماعات الإقليمية لما وراء البحار بشأن مسألة تتعلق بتنظيمها أو اختصاصاتها أو نظامها التشريعي أو</w:t>
      </w:r>
      <w:r w:rsidR="00B028D3" w:rsidRPr="00A10A96">
        <w:rPr>
          <w:rFonts w:hint="cs"/>
          <w:rtl/>
        </w:rPr>
        <w:t> </w:t>
      </w:r>
      <w:r w:rsidRPr="00A10A96">
        <w:rPr>
          <w:rtl/>
        </w:rPr>
        <w:t>بتغيير وضعها (المادة 72-4)</w:t>
      </w:r>
      <w:r w:rsidRPr="00A10A96">
        <w:rPr>
          <w:rFonts w:hint="cs"/>
          <w:rtl/>
        </w:rPr>
        <w:t>.</w:t>
      </w:r>
    </w:p>
    <w:p w:rsidR="00944A3C" w:rsidRPr="00A10A96" w:rsidRDefault="00944A3C" w:rsidP="00A82765">
      <w:pPr>
        <w:pStyle w:val="H23GA"/>
        <w:rPr>
          <w:rtl/>
        </w:rPr>
      </w:pPr>
      <w:r w:rsidRPr="00A10A96">
        <w:rPr>
          <w:rFonts w:hint="cs"/>
          <w:rtl/>
        </w:rPr>
        <w:tab/>
        <w:t>(ب)</w:t>
      </w:r>
      <w:r w:rsidRPr="00A10A96">
        <w:rPr>
          <w:rtl/>
        </w:rPr>
        <w:tab/>
      </w:r>
      <w:r w:rsidRPr="00A10A96">
        <w:rPr>
          <w:rFonts w:hint="cs"/>
          <w:rtl/>
        </w:rPr>
        <w:t>الحكومة</w:t>
      </w:r>
    </w:p>
    <w:p w:rsidR="00944A3C" w:rsidRPr="00A10A96" w:rsidRDefault="00944A3C" w:rsidP="00F403AE">
      <w:pPr>
        <w:pStyle w:val="SingleTxtGA"/>
        <w:spacing w:line="360" w:lineRule="exact"/>
        <w:rPr>
          <w:rtl/>
        </w:rPr>
      </w:pPr>
      <w:r w:rsidRPr="00A10A96">
        <w:rPr>
          <w:rFonts w:hint="cs"/>
          <w:rtl/>
        </w:rPr>
        <w:t>146</w:t>
      </w:r>
      <w:r w:rsidRPr="00A10A96">
        <w:rPr>
          <w:rtl/>
        </w:rPr>
        <w:t>-</w:t>
      </w:r>
      <w:r w:rsidRPr="00A10A96">
        <w:rPr>
          <w:rtl/>
        </w:rPr>
        <w:tab/>
        <w:t>تتألف الحكومة، وهي الهيئة الثانية للسلطة التشريعية، من وزراء يعينهم رئيس الجمهورية باقتراح من رئيس الوزراء، ومن أمناء الدولة، وغيرهم</w:t>
      </w:r>
      <w:r w:rsidRPr="00A10A96">
        <w:rPr>
          <w:rFonts w:hint="cs"/>
          <w:rtl/>
        </w:rPr>
        <w:t>. و</w:t>
      </w:r>
      <w:r w:rsidRPr="00A10A96">
        <w:rPr>
          <w:rtl/>
        </w:rPr>
        <w:t>الحكومة هيئة جماعية</w:t>
      </w:r>
      <w:r w:rsidRPr="00A10A96">
        <w:rPr>
          <w:rFonts w:hint="cs"/>
          <w:rtl/>
        </w:rPr>
        <w:t xml:space="preserve">. </w:t>
      </w:r>
      <w:r w:rsidRPr="00A10A96">
        <w:rPr>
          <w:rtl/>
        </w:rPr>
        <w:t xml:space="preserve">ومسؤوليتها أمام البرلمان جماعية </w:t>
      </w:r>
      <w:r w:rsidRPr="00A10A96">
        <w:rPr>
          <w:rFonts w:hint="cs"/>
          <w:rtl/>
        </w:rPr>
        <w:t xml:space="preserve">ومرتبطة </w:t>
      </w:r>
      <w:r w:rsidRPr="00A10A96">
        <w:rPr>
          <w:rtl/>
        </w:rPr>
        <w:t>بسياستها العامة</w:t>
      </w:r>
      <w:r w:rsidRPr="00A10A96">
        <w:rPr>
          <w:rFonts w:hint="cs"/>
          <w:rtl/>
        </w:rPr>
        <w:t>.</w:t>
      </w:r>
    </w:p>
    <w:p w:rsidR="00944A3C" w:rsidRPr="00A10A96" w:rsidRDefault="00944A3C" w:rsidP="00944A3C">
      <w:pPr>
        <w:pStyle w:val="SingleTxtGA"/>
        <w:rPr>
          <w:rtl/>
        </w:rPr>
      </w:pPr>
      <w:r w:rsidRPr="00A10A96">
        <w:rPr>
          <w:rFonts w:hint="cs"/>
          <w:rtl/>
        </w:rPr>
        <w:t>147-</w:t>
      </w:r>
      <w:r w:rsidRPr="00A10A96">
        <w:rPr>
          <w:rFonts w:hint="cs"/>
          <w:rtl/>
        </w:rPr>
        <w:tab/>
      </w:r>
      <w:r w:rsidRPr="00A10A96">
        <w:rPr>
          <w:rtl/>
        </w:rPr>
        <w:t>وتحدد الحكومة سياسة الدولة وتوجهها وتعتمد لهذا الغرض على الإدارة العامة والقوات المسلحة (المادة 20)</w:t>
      </w:r>
      <w:r w:rsidRPr="00A10A96">
        <w:rPr>
          <w:rFonts w:hint="cs"/>
          <w:rtl/>
        </w:rPr>
        <w:t xml:space="preserve">. </w:t>
      </w:r>
      <w:r w:rsidRPr="00A10A96">
        <w:rPr>
          <w:rtl/>
        </w:rPr>
        <w:t>ويوجه رئيس الوزراء عمل الحكومة</w:t>
      </w:r>
      <w:r w:rsidRPr="00A10A96">
        <w:rPr>
          <w:rFonts w:hint="cs"/>
          <w:rtl/>
        </w:rPr>
        <w:t xml:space="preserve">؛ </w:t>
      </w:r>
      <w:r w:rsidRPr="00A10A96">
        <w:rPr>
          <w:rtl/>
        </w:rPr>
        <w:t>فإليه تعود السلطة التنظيمية، رهن</w:t>
      </w:r>
      <w:r w:rsidR="00B028D3" w:rsidRPr="00A10A96">
        <w:rPr>
          <w:rtl/>
        </w:rPr>
        <w:t xml:space="preserve">اً </w:t>
      </w:r>
      <w:r w:rsidRPr="00A10A96">
        <w:rPr>
          <w:rtl/>
        </w:rPr>
        <w:t>باختصاصات رئيس الجمهورية (المادة 21)</w:t>
      </w:r>
      <w:r w:rsidRPr="00A10A96">
        <w:rPr>
          <w:rFonts w:hint="cs"/>
          <w:rtl/>
        </w:rPr>
        <w:t xml:space="preserve">. </w:t>
      </w:r>
      <w:r w:rsidRPr="00A10A96">
        <w:rPr>
          <w:rtl/>
        </w:rPr>
        <w:t>واقتراح القوانين من اختصاص الحكومة وأعضاء البرلمان معاً (المادة 39)</w:t>
      </w:r>
      <w:r w:rsidRPr="00A10A96">
        <w:rPr>
          <w:rFonts w:hint="cs"/>
          <w:rtl/>
        </w:rPr>
        <w:t xml:space="preserve">. </w:t>
      </w:r>
      <w:r w:rsidRPr="00A10A96">
        <w:rPr>
          <w:rtl/>
        </w:rPr>
        <w:t>وتعد الحكومة قوانين المالية وتنفذها</w:t>
      </w:r>
      <w:r w:rsidRPr="00A10A96">
        <w:rPr>
          <w:rFonts w:hint="cs"/>
          <w:rtl/>
        </w:rPr>
        <w:t xml:space="preserve">. </w:t>
      </w:r>
      <w:r w:rsidRPr="00A10A96">
        <w:rPr>
          <w:rtl/>
        </w:rPr>
        <w:t>وتقترح اللجوء إلى الاستفتاء التشريعي (المادة 11) وتعلن حالة الحصار (المادة 36)</w:t>
      </w:r>
      <w:r w:rsidRPr="00A10A96">
        <w:rPr>
          <w:rFonts w:hint="cs"/>
          <w:rtl/>
        </w:rPr>
        <w:t>.</w:t>
      </w:r>
    </w:p>
    <w:p w:rsidR="00944A3C" w:rsidRPr="00A10A96" w:rsidRDefault="00944A3C" w:rsidP="00A82765">
      <w:pPr>
        <w:pStyle w:val="H23GA"/>
        <w:rPr>
          <w:rtl/>
        </w:rPr>
      </w:pPr>
      <w:r w:rsidRPr="00A10A96">
        <w:rPr>
          <w:rFonts w:hint="cs"/>
          <w:rtl/>
        </w:rPr>
        <w:tab/>
        <w:t>2</w:t>
      </w:r>
      <w:r w:rsidRPr="00A10A96">
        <w:rPr>
          <w:rtl/>
        </w:rPr>
        <w:t>-</w:t>
      </w:r>
      <w:r w:rsidRPr="00A10A96">
        <w:rPr>
          <w:rtl/>
        </w:rPr>
        <w:tab/>
        <w:t xml:space="preserve">السلطة </w:t>
      </w:r>
      <w:r w:rsidRPr="00A10A96">
        <w:rPr>
          <w:rFonts w:hint="cs"/>
          <w:rtl/>
        </w:rPr>
        <w:t>التشريعية</w:t>
      </w:r>
    </w:p>
    <w:p w:rsidR="00944A3C" w:rsidRPr="00A10A96" w:rsidRDefault="00944A3C" w:rsidP="00A82765">
      <w:pPr>
        <w:pStyle w:val="SingleTxtGA"/>
        <w:rPr>
          <w:rtl/>
        </w:rPr>
      </w:pPr>
      <w:r w:rsidRPr="00A10A96">
        <w:rPr>
          <w:rFonts w:hint="cs"/>
          <w:rtl/>
        </w:rPr>
        <w:t>148</w:t>
      </w:r>
      <w:r w:rsidRPr="00A10A96">
        <w:rPr>
          <w:rtl/>
        </w:rPr>
        <w:t>-</w:t>
      </w:r>
      <w:r w:rsidRPr="00A10A96">
        <w:rPr>
          <w:rtl/>
        </w:rPr>
        <w:tab/>
        <w:t>السلطة التشريعية من اختصاص البرلمان الذي يتألف من الجمعية الوطنية ومجلس الشيوخ</w:t>
      </w:r>
      <w:r w:rsidRPr="00A10A96">
        <w:rPr>
          <w:rFonts w:hint="cs"/>
          <w:rtl/>
        </w:rPr>
        <w:t xml:space="preserve">. </w:t>
      </w:r>
      <w:r w:rsidRPr="00A10A96">
        <w:rPr>
          <w:rtl/>
        </w:rPr>
        <w:t>وتحدد المادتان 34 و37 من الدستور توزيع الاختصاصات بين السلطة التشريعية والسلطة التنظيمية</w:t>
      </w:r>
      <w:r w:rsidRPr="00A10A96">
        <w:rPr>
          <w:rFonts w:hint="cs"/>
          <w:rtl/>
        </w:rPr>
        <w:t xml:space="preserve">. </w:t>
      </w:r>
      <w:r w:rsidRPr="00A10A96">
        <w:rPr>
          <w:rtl/>
        </w:rPr>
        <w:t>كما يعود إلى البرلمان الاختصاص الحصري في تحديد القواعد المتعلقة بالحقوق المدنية، والضمانات الأساسية المكفولة للمواطنين من أجل ممارسة الحريات العامة، وكذلك في تحديد الجرائم والجنح والعقوبات المنطبقة عليها</w:t>
      </w:r>
      <w:r w:rsidRPr="00A10A96">
        <w:rPr>
          <w:rFonts w:hint="cs"/>
          <w:rtl/>
        </w:rPr>
        <w:t xml:space="preserve">. </w:t>
      </w:r>
      <w:r w:rsidRPr="00A10A96">
        <w:rPr>
          <w:rtl/>
        </w:rPr>
        <w:t>وجلسات البرلمان علنية</w:t>
      </w:r>
      <w:r w:rsidRPr="00A10A96">
        <w:rPr>
          <w:rFonts w:hint="cs"/>
          <w:rtl/>
        </w:rPr>
        <w:t>.</w:t>
      </w:r>
    </w:p>
    <w:p w:rsidR="00944A3C" w:rsidRPr="00A10A96" w:rsidRDefault="00944A3C" w:rsidP="00A82765">
      <w:pPr>
        <w:pStyle w:val="SingleTxtGA"/>
        <w:rPr>
          <w:rtl/>
        </w:rPr>
      </w:pPr>
      <w:r w:rsidRPr="00A10A96">
        <w:rPr>
          <w:rFonts w:hint="cs"/>
          <w:rtl/>
        </w:rPr>
        <w:t>149-</w:t>
      </w:r>
      <w:r w:rsidRPr="00A10A96">
        <w:rPr>
          <w:rFonts w:hint="cs"/>
          <w:rtl/>
        </w:rPr>
        <w:tab/>
      </w:r>
      <w:r w:rsidRPr="00A10A96">
        <w:rPr>
          <w:rtl/>
        </w:rPr>
        <w:t xml:space="preserve">ويراقب البرلمان عمل الحكومة </w:t>
      </w:r>
      <w:r w:rsidRPr="00A10A96">
        <w:rPr>
          <w:rFonts w:hint="cs"/>
          <w:rtl/>
        </w:rPr>
        <w:t>ويقيم ا</w:t>
      </w:r>
      <w:r w:rsidRPr="00A10A96">
        <w:rPr>
          <w:rtl/>
        </w:rPr>
        <w:t>لسياسات العامة (المادة 24)</w:t>
      </w:r>
      <w:r w:rsidRPr="00A10A96">
        <w:rPr>
          <w:rFonts w:hint="cs"/>
          <w:rtl/>
        </w:rPr>
        <w:t>.</w:t>
      </w:r>
    </w:p>
    <w:p w:rsidR="00944A3C" w:rsidRPr="00A10A96" w:rsidRDefault="00944A3C" w:rsidP="00A82765">
      <w:pPr>
        <w:pStyle w:val="H23GA"/>
        <w:rPr>
          <w:rtl/>
        </w:rPr>
      </w:pPr>
      <w:r w:rsidRPr="00A10A96">
        <w:rPr>
          <w:rFonts w:hint="cs"/>
          <w:rtl/>
        </w:rPr>
        <w:tab/>
        <w:t>(أ)</w:t>
      </w:r>
      <w:r w:rsidRPr="00A10A96">
        <w:rPr>
          <w:rtl/>
        </w:rPr>
        <w:tab/>
      </w:r>
      <w:r w:rsidRPr="00A10A96">
        <w:rPr>
          <w:rFonts w:hint="cs"/>
          <w:rtl/>
        </w:rPr>
        <w:t>الجمعية الوطنية</w:t>
      </w:r>
    </w:p>
    <w:p w:rsidR="00944A3C" w:rsidRPr="00A10A96" w:rsidRDefault="00944A3C" w:rsidP="00F403AE">
      <w:pPr>
        <w:pStyle w:val="SingleTxtGA"/>
        <w:spacing w:line="360" w:lineRule="exact"/>
        <w:rPr>
          <w:rtl/>
        </w:rPr>
      </w:pPr>
      <w:r w:rsidRPr="00A10A96">
        <w:rPr>
          <w:rFonts w:hint="cs"/>
          <w:rtl/>
        </w:rPr>
        <w:t>150</w:t>
      </w:r>
      <w:r w:rsidRPr="00A10A96">
        <w:rPr>
          <w:rtl/>
        </w:rPr>
        <w:t>-</w:t>
      </w:r>
      <w:r w:rsidRPr="00A10A96">
        <w:rPr>
          <w:rtl/>
        </w:rPr>
        <w:tab/>
        <w:t>تتألف الجمعية الوطنية من نوابٍ لا يجوز أن يتجاوز عددهم 577 نائب</w:t>
      </w:r>
      <w:r w:rsidR="00B028D3" w:rsidRPr="00A10A96">
        <w:rPr>
          <w:rtl/>
        </w:rPr>
        <w:t xml:space="preserve">اً </w:t>
      </w:r>
      <w:r w:rsidRPr="00A10A96">
        <w:rPr>
          <w:rtl/>
        </w:rPr>
        <w:t>(المادة 24)</w:t>
      </w:r>
      <w:r w:rsidRPr="00A10A96">
        <w:rPr>
          <w:rFonts w:hint="cs"/>
          <w:rtl/>
        </w:rPr>
        <w:t xml:space="preserve">. </w:t>
      </w:r>
      <w:r w:rsidRPr="00A10A96">
        <w:rPr>
          <w:rtl/>
        </w:rPr>
        <w:t>ويُنتخبون كل خمس سنوات -</w:t>
      </w:r>
      <w:r w:rsidR="00A82765">
        <w:rPr>
          <w:rFonts w:hint="cs"/>
          <w:rtl/>
        </w:rPr>
        <w:t xml:space="preserve"> </w:t>
      </w:r>
      <w:r w:rsidRPr="00A10A96">
        <w:rPr>
          <w:rtl/>
        </w:rPr>
        <w:t>عدا في حالات الانتخابات المبكرة بسبب حل الجمعية الوطنية</w:t>
      </w:r>
      <w:r w:rsidR="00A82765">
        <w:rPr>
          <w:rFonts w:hint="eastAsia"/>
          <w:rtl/>
        </w:rPr>
        <w:t> </w:t>
      </w:r>
      <w:r w:rsidRPr="00A10A96">
        <w:rPr>
          <w:rtl/>
        </w:rPr>
        <w:t>- بالاقتراع العام المباشر في دوائر انتخابية محددة داخل كل مقاطعة</w:t>
      </w:r>
      <w:r w:rsidRPr="00A10A96">
        <w:rPr>
          <w:rFonts w:hint="cs"/>
          <w:rtl/>
        </w:rPr>
        <w:t xml:space="preserve">. </w:t>
      </w:r>
      <w:r w:rsidRPr="00A10A96">
        <w:rPr>
          <w:rtl/>
        </w:rPr>
        <w:t>ولكن النواب يمثلون، من الناحية القانونية، البلد بكامله</w:t>
      </w:r>
      <w:r w:rsidRPr="00A10A96">
        <w:rPr>
          <w:rFonts w:hint="cs"/>
          <w:rtl/>
        </w:rPr>
        <w:t>.</w:t>
      </w:r>
    </w:p>
    <w:p w:rsidR="00944A3C" w:rsidRPr="00A10A96" w:rsidRDefault="00944A3C" w:rsidP="00F403AE">
      <w:pPr>
        <w:pStyle w:val="SingleTxtGA"/>
        <w:spacing w:line="360" w:lineRule="exact"/>
        <w:rPr>
          <w:rtl/>
        </w:rPr>
      </w:pPr>
      <w:r w:rsidRPr="00A10A96">
        <w:rPr>
          <w:rFonts w:hint="cs"/>
          <w:rtl/>
        </w:rPr>
        <w:t>151-</w:t>
      </w:r>
      <w:r w:rsidRPr="00A10A96">
        <w:rPr>
          <w:rFonts w:hint="cs"/>
          <w:rtl/>
        </w:rPr>
        <w:tab/>
      </w:r>
      <w:r w:rsidRPr="00A10A96">
        <w:rPr>
          <w:rtl/>
        </w:rPr>
        <w:t xml:space="preserve">ويجري </w:t>
      </w:r>
      <w:r w:rsidRPr="00A10A96">
        <w:rPr>
          <w:rFonts w:hint="cs"/>
          <w:rtl/>
        </w:rPr>
        <w:t xml:space="preserve">الاقتراع </w:t>
      </w:r>
      <w:r w:rsidRPr="00A10A96">
        <w:rPr>
          <w:rtl/>
        </w:rPr>
        <w:t xml:space="preserve">وفق نظام فائز </w:t>
      </w:r>
      <w:r w:rsidRPr="00A10A96">
        <w:rPr>
          <w:rFonts w:hint="cs"/>
          <w:rtl/>
        </w:rPr>
        <w:t xml:space="preserve">واحد </w:t>
      </w:r>
      <w:r w:rsidRPr="00A10A96">
        <w:rPr>
          <w:rtl/>
        </w:rPr>
        <w:t>بالأغلبية في جولتين</w:t>
      </w:r>
      <w:r w:rsidRPr="00A10A96">
        <w:rPr>
          <w:rStyle w:val="EndnoteReference"/>
          <w:rtl/>
        </w:rPr>
        <w:t>(</w:t>
      </w:r>
      <w:r w:rsidRPr="00A10A96">
        <w:rPr>
          <w:rStyle w:val="EndnoteReference"/>
          <w:rtl/>
        </w:rPr>
        <w:endnoteReference w:id="166"/>
      </w:r>
      <w:r w:rsidRPr="00A10A96">
        <w:rPr>
          <w:rStyle w:val="EndnoteReference"/>
          <w:rtl/>
        </w:rPr>
        <w:t>)</w:t>
      </w:r>
      <w:r w:rsidRPr="00A10A96">
        <w:rPr>
          <w:rFonts w:hint="cs"/>
          <w:rtl/>
        </w:rPr>
        <w:t>.</w:t>
      </w:r>
    </w:p>
    <w:p w:rsidR="00944A3C" w:rsidRPr="00A10A96" w:rsidRDefault="00944A3C" w:rsidP="00F403AE">
      <w:pPr>
        <w:pStyle w:val="SingleTxtGA"/>
        <w:spacing w:line="360" w:lineRule="exact"/>
        <w:rPr>
          <w:rtl/>
        </w:rPr>
      </w:pPr>
      <w:r w:rsidRPr="00A10A96">
        <w:rPr>
          <w:rFonts w:hint="cs"/>
          <w:rtl/>
        </w:rPr>
        <w:t>152-</w:t>
      </w:r>
      <w:r w:rsidRPr="00A10A96">
        <w:rPr>
          <w:rFonts w:hint="cs"/>
          <w:rtl/>
        </w:rPr>
        <w:tab/>
      </w:r>
      <w:r w:rsidRPr="00A10A96">
        <w:rPr>
          <w:rtl/>
        </w:rPr>
        <w:t>وتناقش الجمعية الوطنية مقترحات القوانين، التي تقترحها هي ذاتها، ومشاريع القوانين التي تقترحها الحكومة، وتصوت عليها</w:t>
      </w:r>
      <w:r w:rsidRPr="00A10A96">
        <w:rPr>
          <w:rFonts w:hint="cs"/>
          <w:rtl/>
        </w:rPr>
        <w:t xml:space="preserve">. </w:t>
      </w:r>
      <w:r w:rsidRPr="00A10A96">
        <w:rPr>
          <w:rtl/>
        </w:rPr>
        <w:t xml:space="preserve">غير أنه يجوز لها أن تفوض للحكومة الحق في أن تتخذ، من خلال أوامر، تدابير </w:t>
      </w:r>
      <w:r w:rsidRPr="00A10A96">
        <w:rPr>
          <w:rFonts w:hint="cs"/>
          <w:rtl/>
        </w:rPr>
        <w:t xml:space="preserve">تندرج في العادة ضمن </w:t>
      </w:r>
      <w:r w:rsidRPr="00A10A96">
        <w:rPr>
          <w:rtl/>
        </w:rPr>
        <w:t>اختصاصها</w:t>
      </w:r>
      <w:r w:rsidRPr="00A10A96">
        <w:rPr>
          <w:rFonts w:hint="cs"/>
          <w:rtl/>
        </w:rPr>
        <w:t xml:space="preserve">. وتُعتمد </w:t>
      </w:r>
      <w:r w:rsidRPr="00A10A96">
        <w:rPr>
          <w:rtl/>
        </w:rPr>
        <w:t>الأوامر في مجلس الوزراء بعد استشارة مجلس الدولة</w:t>
      </w:r>
      <w:r w:rsidRPr="00A10A96">
        <w:rPr>
          <w:rFonts w:hint="cs"/>
          <w:rtl/>
        </w:rPr>
        <w:t xml:space="preserve">؛ </w:t>
      </w:r>
      <w:r w:rsidRPr="00A10A96">
        <w:rPr>
          <w:rtl/>
        </w:rPr>
        <w:t>ويبدأ نفاذها بمجرد نشرها، ولكنها تصبح لاغية إذا لم يودع مشروع قانون التصديق عليها أمام البرلمان قبل الموعد المحدد بموجب قانون التفويض</w:t>
      </w:r>
      <w:r w:rsidRPr="00A10A96">
        <w:rPr>
          <w:rFonts w:hint="cs"/>
          <w:rtl/>
        </w:rPr>
        <w:t>.</w:t>
      </w:r>
    </w:p>
    <w:p w:rsidR="00944A3C" w:rsidRPr="00A10A96" w:rsidRDefault="00944A3C" w:rsidP="00F403AE">
      <w:pPr>
        <w:pStyle w:val="SingleTxtGA"/>
        <w:spacing w:line="360" w:lineRule="exact"/>
        <w:rPr>
          <w:rtl/>
        </w:rPr>
      </w:pPr>
      <w:r w:rsidRPr="00A10A96">
        <w:rPr>
          <w:rFonts w:hint="cs"/>
          <w:rtl/>
        </w:rPr>
        <w:t>153-</w:t>
      </w:r>
      <w:r w:rsidRPr="00A10A96">
        <w:rPr>
          <w:rFonts w:hint="cs"/>
          <w:rtl/>
        </w:rPr>
        <w:tab/>
        <w:t xml:space="preserve">وتناقش </w:t>
      </w:r>
      <w:r w:rsidRPr="00A10A96">
        <w:rPr>
          <w:rtl/>
        </w:rPr>
        <w:t>الجمعية الوطنية الميزانية وقوانين المالية وتصوت عليها</w:t>
      </w:r>
      <w:r w:rsidRPr="00A10A96">
        <w:rPr>
          <w:rFonts w:hint="cs"/>
          <w:rtl/>
        </w:rPr>
        <w:t xml:space="preserve">؛ </w:t>
      </w:r>
      <w:r w:rsidRPr="00A10A96">
        <w:rPr>
          <w:rtl/>
        </w:rPr>
        <w:t xml:space="preserve">وتراقب </w:t>
      </w:r>
      <w:r w:rsidRPr="00A10A96">
        <w:rPr>
          <w:rFonts w:hint="cs"/>
          <w:rtl/>
        </w:rPr>
        <w:t xml:space="preserve">عمل </w:t>
      </w:r>
      <w:r w:rsidRPr="00A10A96">
        <w:rPr>
          <w:rtl/>
        </w:rPr>
        <w:t xml:space="preserve">الحكومة، من خلال </w:t>
      </w:r>
      <w:r w:rsidRPr="00A10A96">
        <w:rPr>
          <w:rFonts w:hint="cs"/>
          <w:rtl/>
        </w:rPr>
        <w:t xml:space="preserve">مساءلة الوزراء؛ </w:t>
      </w:r>
      <w:r w:rsidRPr="00A10A96">
        <w:rPr>
          <w:rtl/>
        </w:rPr>
        <w:t>وتوافق على التصديق على معاهدات معينة وعلى إعلان حالة الحرب</w:t>
      </w:r>
      <w:r w:rsidRPr="00A10A96">
        <w:rPr>
          <w:rFonts w:hint="cs"/>
          <w:rtl/>
        </w:rPr>
        <w:t xml:space="preserve">. </w:t>
      </w:r>
      <w:r w:rsidRPr="00A10A96">
        <w:rPr>
          <w:rtl/>
        </w:rPr>
        <w:t xml:space="preserve">وتشارك في ممارسة </w:t>
      </w:r>
      <w:r w:rsidRPr="00A10A96">
        <w:rPr>
          <w:rFonts w:hint="cs"/>
          <w:rtl/>
        </w:rPr>
        <w:t xml:space="preserve">صلاحية </w:t>
      </w:r>
      <w:r w:rsidRPr="00A10A96">
        <w:rPr>
          <w:rtl/>
        </w:rPr>
        <w:t>مراجعة الدستور</w:t>
      </w:r>
      <w:r w:rsidRPr="00A10A96">
        <w:rPr>
          <w:rFonts w:hint="cs"/>
          <w:rtl/>
        </w:rPr>
        <w:t xml:space="preserve">؛ </w:t>
      </w:r>
      <w:r w:rsidRPr="00A10A96">
        <w:rPr>
          <w:rtl/>
        </w:rPr>
        <w:t xml:space="preserve">وتمارس معظم </w:t>
      </w:r>
      <w:r w:rsidRPr="00A10A96">
        <w:rPr>
          <w:rFonts w:hint="cs"/>
          <w:rtl/>
        </w:rPr>
        <w:t>هذه ال</w:t>
      </w:r>
      <w:r w:rsidRPr="00A10A96">
        <w:rPr>
          <w:rtl/>
        </w:rPr>
        <w:t>صلاحيات بالاشتراك مع مجلس الشيوخ</w:t>
      </w:r>
      <w:r w:rsidRPr="00A10A96">
        <w:rPr>
          <w:rFonts w:hint="cs"/>
          <w:rtl/>
        </w:rPr>
        <w:t>.</w:t>
      </w:r>
    </w:p>
    <w:p w:rsidR="00944A3C" w:rsidRPr="00A10A96" w:rsidRDefault="00944A3C" w:rsidP="00F403AE">
      <w:pPr>
        <w:pStyle w:val="SingleTxtGA"/>
        <w:spacing w:line="360" w:lineRule="exact"/>
        <w:rPr>
          <w:rtl/>
        </w:rPr>
      </w:pPr>
      <w:r w:rsidRPr="00A10A96">
        <w:rPr>
          <w:rFonts w:hint="cs"/>
          <w:rtl/>
        </w:rPr>
        <w:lastRenderedPageBreak/>
        <w:t>154-</w:t>
      </w:r>
      <w:r w:rsidRPr="00A10A96">
        <w:rPr>
          <w:rFonts w:hint="cs"/>
          <w:rtl/>
        </w:rPr>
        <w:tab/>
      </w:r>
      <w:r w:rsidRPr="00A10A96">
        <w:rPr>
          <w:rtl/>
        </w:rPr>
        <w:t>وفي أعقاب الانتخابات التشريعية التي أُجريت في حزيران/يونيه 2012، انتُخبت 155 امرأة</w:t>
      </w:r>
      <w:r w:rsidRPr="00A10A96">
        <w:rPr>
          <w:rFonts w:hint="cs"/>
          <w:rtl/>
        </w:rPr>
        <w:t xml:space="preserve">. </w:t>
      </w:r>
      <w:r w:rsidRPr="00A10A96">
        <w:rPr>
          <w:rtl/>
        </w:rPr>
        <w:t>وتمثل النساء حالي</w:t>
      </w:r>
      <w:r w:rsidR="00B028D3" w:rsidRPr="00A10A96">
        <w:rPr>
          <w:rtl/>
        </w:rPr>
        <w:t xml:space="preserve">اً </w:t>
      </w:r>
      <w:r w:rsidRPr="00A10A96">
        <w:rPr>
          <w:rtl/>
        </w:rPr>
        <w:t>27 في المائة من النواب، وهو أعلى معدل مسجل</w:t>
      </w:r>
      <w:r w:rsidRPr="00A10A96">
        <w:rPr>
          <w:rFonts w:hint="cs"/>
          <w:rtl/>
        </w:rPr>
        <w:t xml:space="preserve"> </w:t>
      </w:r>
      <w:r w:rsidRPr="00A10A96">
        <w:rPr>
          <w:rtl/>
        </w:rPr>
        <w:t>حتى الآن</w:t>
      </w:r>
      <w:r w:rsidRPr="00A10A96">
        <w:rPr>
          <w:rStyle w:val="EndnoteReference"/>
          <w:rtl/>
        </w:rPr>
        <w:t>(</w:t>
      </w:r>
      <w:r w:rsidRPr="00A10A96">
        <w:rPr>
          <w:rStyle w:val="EndnoteReference"/>
          <w:rtl/>
        </w:rPr>
        <w:endnoteReference w:id="167"/>
      </w:r>
      <w:r w:rsidRPr="00A10A96">
        <w:rPr>
          <w:rStyle w:val="EndnoteReference"/>
          <w:rtl/>
        </w:rPr>
        <w:t>)</w:t>
      </w:r>
      <w:r w:rsidRPr="00A10A96">
        <w:rPr>
          <w:rtl/>
        </w:rPr>
        <w:t>، حيث كن يمثلن 19,5 في المائة في عام 2007، و13 في المائة في عام 2002، و9,5 في المائة في عام 1997</w:t>
      </w:r>
      <w:r w:rsidRPr="00A10A96">
        <w:rPr>
          <w:rFonts w:hint="cs"/>
          <w:rtl/>
        </w:rPr>
        <w:t>.</w:t>
      </w:r>
    </w:p>
    <w:p w:rsidR="00944A3C" w:rsidRPr="00A10A96" w:rsidRDefault="00944A3C" w:rsidP="00A82765">
      <w:pPr>
        <w:pStyle w:val="H23GA"/>
        <w:rPr>
          <w:rtl/>
        </w:rPr>
      </w:pPr>
      <w:r w:rsidRPr="00A10A96">
        <w:rPr>
          <w:rFonts w:hint="cs"/>
          <w:rtl/>
        </w:rPr>
        <w:tab/>
        <w:t>(ب)</w:t>
      </w:r>
      <w:r w:rsidRPr="00A10A96">
        <w:rPr>
          <w:rtl/>
        </w:rPr>
        <w:tab/>
      </w:r>
      <w:r w:rsidRPr="00A10A96">
        <w:rPr>
          <w:rFonts w:hint="cs"/>
          <w:rtl/>
        </w:rPr>
        <w:t>مجلس الشيوخ</w:t>
      </w:r>
    </w:p>
    <w:p w:rsidR="00944A3C" w:rsidRPr="00A10A96" w:rsidRDefault="00944A3C" w:rsidP="00944A3C">
      <w:pPr>
        <w:pStyle w:val="SingleTxtGA"/>
        <w:rPr>
          <w:rtl/>
        </w:rPr>
      </w:pPr>
      <w:r w:rsidRPr="00A10A96">
        <w:rPr>
          <w:rFonts w:hint="cs"/>
          <w:rtl/>
        </w:rPr>
        <w:t>155</w:t>
      </w:r>
      <w:r w:rsidRPr="00A10A96">
        <w:rPr>
          <w:rtl/>
        </w:rPr>
        <w:t>-</w:t>
      </w:r>
      <w:r w:rsidRPr="00A10A96">
        <w:rPr>
          <w:rtl/>
        </w:rPr>
        <w:tab/>
        <w:t>يُنتخب أعضاء مجلس الشيوخ البالغ عددهم 348 عضو</w:t>
      </w:r>
      <w:r w:rsidR="00B028D3" w:rsidRPr="00A10A96">
        <w:rPr>
          <w:rtl/>
        </w:rPr>
        <w:t xml:space="preserve">اً </w:t>
      </w:r>
      <w:r w:rsidRPr="00A10A96">
        <w:rPr>
          <w:rtl/>
        </w:rPr>
        <w:t xml:space="preserve">لولاية مدتها ست سنوات بالاقتراع العام </w:t>
      </w:r>
      <w:r w:rsidRPr="00A10A96">
        <w:rPr>
          <w:rFonts w:hint="cs"/>
          <w:rtl/>
        </w:rPr>
        <w:t xml:space="preserve">غير </w:t>
      </w:r>
      <w:r w:rsidRPr="00A10A96">
        <w:rPr>
          <w:rtl/>
        </w:rPr>
        <w:t xml:space="preserve">المباشر، أي بتصويت 000 150 ناخب من الناخبين الكبار (النواب، وأعضاء مجلس الشيوخ، والمستشارون على صعيد المناطق، والمستشارون على صعيد المقاطعات، والمستشارون في جمعية كل من كورسيكا وغيانا ومارتينيك، </w:t>
      </w:r>
      <w:r w:rsidRPr="00A10A96">
        <w:rPr>
          <w:rFonts w:hint="cs"/>
          <w:rtl/>
        </w:rPr>
        <w:t xml:space="preserve">ومندوبو </w:t>
      </w:r>
      <w:r w:rsidRPr="00A10A96">
        <w:rPr>
          <w:rtl/>
        </w:rPr>
        <w:t>مجالس البلديات)</w:t>
      </w:r>
      <w:r w:rsidRPr="00A10A96">
        <w:rPr>
          <w:rFonts w:hint="cs"/>
          <w:rtl/>
        </w:rPr>
        <w:t xml:space="preserve">. </w:t>
      </w:r>
      <w:r w:rsidRPr="00A10A96">
        <w:rPr>
          <w:rtl/>
        </w:rPr>
        <w:t>وهؤلاء الناخ</w:t>
      </w:r>
      <w:r w:rsidR="00DD60A1">
        <w:rPr>
          <w:rtl/>
        </w:rPr>
        <w:t>بون الكبار هم الوحيدون الملزَمو</w:t>
      </w:r>
      <w:r w:rsidR="00DD60A1">
        <w:rPr>
          <w:rFonts w:hint="cs"/>
          <w:rtl/>
        </w:rPr>
        <w:t>ن</w:t>
      </w:r>
      <w:r w:rsidRPr="00A10A96">
        <w:rPr>
          <w:rtl/>
        </w:rPr>
        <w:t xml:space="preserve"> بالتصويت، تحت طائلة دفع غرامة قدرها 100 يورو</w:t>
      </w:r>
      <w:r w:rsidRPr="00A10A96">
        <w:rPr>
          <w:rFonts w:hint="cs"/>
          <w:rtl/>
        </w:rPr>
        <w:t>.</w:t>
      </w:r>
    </w:p>
    <w:p w:rsidR="00944A3C" w:rsidRPr="00A10A96" w:rsidRDefault="00944A3C" w:rsidP="00944A3C">
      <w:pPr>
        <w:pStyle w:val="SingleTxtGA"/>
        <w:rPr>
          <w:rtl/>
        </w:rPr>
      </w:pPr>
      <w:r w:rsidRPr="00A10A96">
        <w:rPr>
          <w:rFonts w:hint="cs"/>
          <w:rtl/>
        </w:rPr>
        <w:t>156-</w:t>
      </w:r>
      <w:r w:rsidRPr="00A10A96">
        <w:rPr>
          <w:rFonts w:hint="cs"/>
          <w:rtl/>
        </w:rPr>
        <w:tab/>
      </w:r>
      <w:r w:rsidRPr="00A10A96">
        <w:rPr>
          <w:rtl/>
        </w:rPr>
        <w:t xml:space="preserve">ويكفل مجلس الشيوخ تمثيل الجماعات المحلية للجمهورية، ويختلف عدد ممثلي كل جماعة </w:t>
      </w:r>
      <w:r w:rsidRPr="00A10A96">
        <w:rPr>
          <w:rFonts w:hint="cs"/>
          <w:rtl/>
        </w:rPr>
        <w:t xml:space="preserve">بحسب </w:t>
      </w:r>
      <w:r w:rsidRPr="00A10A96">
        <w:rPr>
          <w:rtl/>
        </w:rPr>
        <w:t>عدد سكانها</w:t>
      </w:r>
      <w:r w:rsidRPr="00A10A96">
        <w:rPr>
          <w:rFonts w:hint="cs"/>
          <w:rtl/>
        </w:rPr>
        <w:t xml:space="preserve">. </w:t>
      </w:r>
      <w:r w:rsidRPr="00A10A96">
        <w:rPr>
          <w:rtl/>
        </w:rPr>
        <w:t>ويتوقف نظام الاقتراع على عدد أعضاء مجلس الشيوخ الذين ينبغي انتخابهم في كل دائرة انتخابية: إما الاقتراع وفق نظام فائز واحد أو عدة فائ</w:t>
      </w:r>
      <w:r w:rsidRPr="00A10A96">
        <w:rPr>
          <w:rFonts w:hint="cs"/>
          <w:rtl/>
        </w:rPr>
        <w:t>ز</w:t>
      </w:r>
      <w:r w:rsidRPr="00A10A96">
        <w:rPr>
          <w:rtl/>
        </w:rPr>
        <w:t>ين بالأغلبية في جولتين (انتخاب عضو واحد أو عضوين في مجلس الشيوخ)، أو الاقتراع وفق نظام التمثيل النسبي بالقائمة (انتخاب ثلاثة أعضاء أو أكثر)</w:t>
      </w:r>
      <w:r w:rsidRPr="00A10A96">
        <w:rPr>
          <w:rFonts w:hint="cs"/>
          <w:rtl/>
        </w:rPr>
        <w:t>.</w:t>
      </w:r>
    </w:p>
    <w:p w:rsidR="00944A3C" w:rsidRPr="00A10A96" w:rsidRDefault="00944A3C" w:rsidP="00944A3C">
      <w:pPr>
        <w:pStyle w:val="SingleTxtGA"/>
        <w:rPr>
          <w:rtl/>
        </w:rPr>
      </w:pPr>
      <w:r w:rsidRPr="00A10A96">
        <w:rPr>
          <w:rFonts w:hint="cs"/>
          <w:rtl/>
        </w:rPr>
        <w:t>157-</w:t>
      </w:r>
      <w:r w:rsidRPr="00A10A96">
        <w:rPr>
          <w:rFonts w:hint="cs"/>
          <w:rtl/>
        </w:rPr>
        <w:tab/>
      </w:r>
      <w:r w:rsidRPr="00A10A96">
        <w:rPr>
          <w:rtl/>
        </w:rPr>
        <w:t>ويشارك مجلس الشيوخ في ممارسة جميع الصلاحيات التي يخولها الدستور للبرلمان، باعتباره جزء</w:t>
      </w:r>
      <w:r w:rsidR="00B028D3" w:rsidRPr="00A10A96">
        <w:rPr>
          <w:rtl/>
        </w:rPr>
        <w:t xml:space="preserve">اً </w:t>
      </w:r>
      <w:r w:rsidRPr="00A10A96">
        <w:rPr>
          <w:rtl/>
        </w:rPr>
        <w:t>منه</w:t>
      </w:r>
      <w:r w:rsidRPr="00A10A96">
        <w:rPr>
          <w:rFonts w:hint="cs"/>
          <w:rtl/>
        </w:rPr>
        <w:t xml:space="preserve">. </w:t>
      </w:r>
      <w:r w:rsidRPr="00A10A96">
        <w:rPr>
          <w:rtl/>
        </w:rPr>
        <w:t>ويتمتع أعضا</w:t>
      </w:r>
      <w:r w:rsidRPr="00A10A96">
        <w:rPr>
          <w:rFonts w:hint="cs"/>
          <w:rtl/>
        </w:rPr>
        <w:t>ؤه</w:t>
      </w:r>
      <w:r w:rsidRPr="00A10A96">
        <w:rPr>
          <w:rtl/>
        </w:rPr>
        <w:t>، على غرار أعضاء الحكومة والنواب، بصلاحية اقتراح القوانين</w:t>
      </w:r>
      <w:r w:rsidRPr="00A10A96">
        <w:rPr>
          <w:rFonts w:hint="cs"/>
          <w:rtl/>
        </w:rPr>
        <w:t xml:space="preserve">. </w:t>
      </w:r>
      <w:r w:rsidRPr="00A10A96">
        <w:rPr>
          <w:rtl/>
        </w:rPr>
        <w:t>ويناقش مجلس الشيوخ القوانين ويصوت عليها</w:t>
      </w:r>
      <w:r w:rsidRPr="00A10A96">
        <w:rPr>
          <w:rFonts w:hint="cs"/>
          <w:rtl/>
        </w:rPr>
        <w:t xml:space="preserve">. </w:t>
      </w:r>
      <w:r w:rsidRPr="00A10A96">
        <w:rPr>
          <w:rtl/>
        </w:rPr>
        <w:t xml:space="preserve">غير أنه، في حالة عدم اتفاق مجلس الشيوخ والجمعية الوطنية، يجوز للحكومة أن تطلب إلى الجمعية الوطنية إصدار </w:t>
      </w:r>
      <w:r w:rsidRPr="00A10A96">
        <w:rPr>
          <w:rFonts w:hint="cs"/>
          <w:rtl/>
        </w:rPr>
        <w:t>ال</w:t>
      </w:r>
      <w:r w:rsidRPr="00A10A96">
        <w:rPr>
          <w:rtl/>
        </w:rPr>
        <w:t xml:space="preserve">قرار </w:t>
      </w:r>
      <w:r w:rsidRPr="00A10A96">
        <w:rPr>
          <w:rFonts w:hint="cs"/>
          <w:rtl/>
        </w:rPr>
        <w:t>ال</w:t>
      </w:r>
      <w:r w:rsidRPr="00A10A96">
        <w:rPr>
          <w:rtl/>
        </w:rPr>
        <w:t>نهائي</w:t>
      </w:r>
      <w:r w:rsidRPr="00A10A96">
        <w:rPr>
          <w:rFonts w:hint="cs"/>
          <w:rtl/>
        </w:rPr>
        <w:t xml:space="preserve">. </w:t>
      </w:r>
      <w:r w:rsidRPr="00A10A96">
        <w:rPr>
          <w:rtl/>
        </w:rPr>
        <w:t>ويشارك مجلس الشيوخ في المراقبة البرلمانية لعمل الحكومة، ولكن لا يجوز له ممارسة هذه المراقبة من خلال مساءلة الحكومة</w:t>
      </w:r>
      <w:r w:rsidRPr="00A10A96">
        <w:rPr>
          <w:rFonts w:hint="cs"/>
          <w:rtl/>
        </w:rPr>
        <w:t>.</w:t>
      </w:r>
    </w:p>
    <w:p w:rsidR="00944A3C" w:rsidRPr="00A10A96" w:rsidRDefault="00944A3C" w:rsidP="00A82765">
      <w:pPr>
        <w:pStyle w:val="H23GA"/>
        <w:rPr>
          <w:rtl/>
        </w:rPr>
      </w:pPr>
      <w:r w:rsidRPr="00A10A96">
        <w:rPr>
          <w:rFonts w:hint="cs"/>
          <w:rtl/>
        </w:rPr>
        <w:tab/>
        <w:t>3</w:t>
      </w:r>
      <w:r w:rsidRPr="00A10A96">
        <w:rPr>
          <w:rtl/>
        </w:rPr>
        <w:t>-</w:t>
      </w:r>
      <w:r w:rsidRPr="00A10A96">
        <w:rPr>
          <w:rtl/>
        </w:rPr>
        <w:tab/>
        <w:t>التوازن المؤسسي</w:t>
      </w:r>
    </w:p>
    <w:p w:rsidR="00944A3C" w:rsidRPr="00A10A96" w:rsidRDefault="00944A3C" w:rsidP="00944A3C">
      <w:pPr>
        <w:pStyle w:val="SingleTxtGA"/>
        <w:rPr>
          <w:rtl/>
        </w:rPr>
      </w:pPr>
      <w:r w:rsidRPr="00A10A96">
        <w:rPr>
          <w:rFonts w:hint="cs"/>
          <w:rtl/>
        </w:rPr>
        <w:t>158</w:t>
      </w:r>
      <w:r w:rsidRPr="00A10A96">
        <w:rPr>
          <w:rtl/>
        </w:rPr>
        <w:t>-</w:t>
      </w:r>
      <w:r w:rsidRPr="00A10A96">
        <w:rPr>
          <w:rtl/>
        </w:rPr>
        <w:tab/>
        <w:t>يكفل الدستور المؤرخ 4 تشرين الأول/أكتوبر 1958 التوازن المؤسسي من خلال الفصل المرن بين السلطتين التشريعية والتنفيذية</w:t>
      </w:r>
      <w:r w:rsidRPr="00A10A96">
        <w:rPr>
          <w:rFonts w:hint="cs"/>
          <w:rtl/>
        </w:rPr>
        <w:t>.</w:t>
      </w:r>
    </w:p>
    <w:p w:rsidR="00944A3C" w:rsidRPr="00A10A96" w:rsidRDefault="00944A3C" w:rsidP="00944A3C">
      <w:pPr>
        <w:pStyle w:val="SingleTxtGA"/>
        <w:rPr>
          <w:rtl/>
        </w:rPr>
      </w:pPr>
      <w:r w:rsidRPr="00A10A96">
        <w:rPr>
          <w:rFonts w:hint="cs"/>
          <w:rtl/>
        </w:rPr>
        <w:t>159-</w:t>
      </w:r>
      <w:r w:rsidRPr="00A10A96">
        <w:rPr>
          <w:rFonts w:hint="cs"/>
          <w:rtl/>
        </w:rPr>
        <w:tab/>
      </w:r>
      <w:r w:rsidRPr="00A10A96">
        <w:rPr>
          <w:rtl/>
        </w:rPr>
        <w:t xml:space="preserve">فمن جهة، يجوز للسلطة التشريعية </w:t>
      </w:r>
      <w:r w:rsidRPr="00A10A96">
        <w:rPr>
          <w:rFonts w:hint="cs"/>
          <w:rtl/>
        </w:rPr>
        <w:t>م</w:t>
      </w:r>
      <w:r w:rsidRPr="00A10A96">
        <w:rPr>
          <w:rtl/>
        </w:rPr>
        <w:t>سا</w:t>
      </w:r>
      <w:r w:rsidRPr="00A10A96">
        <w:rPr>
          <w:rFonts w:hint="cs"/>
          <w:rtl/>
        </w:rPr>
        <w:t>ء</w:t>
      </w:r>
      <w:r w:rsidRPr="00A10A96">
        <w:rPr>
          <w:rtl/>
        </w:rPr>
        <w:t>ل</w:t>
      </w:r>
      <w:r w:rsidRPr="00A10A96">
        <w:rPr>
          <w:rFonts w:hint="cs"/>
          <w:rtl/>
        </w:rPr>
        <w:t>ة</w:t>
      </w:r>
      <w:r w:rsidRPr="00A10A96">
        <w:rPr>
          <w:rtl/>
        </w:rPr>
        <w:t xml:space="preserve"> السلطة التنفيذية</w:t>
      </w:r>
      <w:r w:rsidRPr="00A10A96">
        <w:rPr>
          <w:rFonts w:hint="cs"/>
          <w:rtl/>
        </w:rPr>
        <w:t>.</w:t>
      </w:r>
    </w:p>
    <w:p w:rsidR="00944A3C" w:rsidRPr="00A10A96" w:rsidRDefault="00944A3C" w:rsidP="00944A3C">
      <w:pPr>
        <w:pStyle w:val="SingleTxtGA"/>
        <w:rPr>
          <w:rtl/>
        </w:rPr>
      </w:pPr>
      <w:r w:rsidRPr="00A10A96">
        <w:rPr>
          <w:rFonts w:hint="cs"/>
          <w:rtl/>
        </w:rPr>
        <w:t>160-</w:t>
      </w:r>
      <w:r w:rsidRPr="00A10A96">
        <w:rPr>
          <w:rFonts w:hint="cs"/>
          <w:rtl/>
        </w:rPr>
        <w:tab/>
      </w:r>
      <w:r w:rsidRPr="00A10A96">
        <w:rPr>
          <w:rtl/>
        </w:rPr>
        <w:t>وثمة إجراءان معتادان يتيحان مساءلة الحكومة: ملتمس الرقابة وحجب الثقة (الباب الخامس)</w:t>
      </w:r>
      <w:r w:rsidRPr="00A10A96">
        <w:rPr>
          <w:rFonts w:hint="cs"/>
          <w:rtl/>
        </w:rPr>
        <w:t xml:space="preserve">. </w:t>
      </w:r>
      <w:r w:rsidRPr="00A10A96">
        <w:rPr>
          <w:rtl/>
        </w:rPr>
        <w:t>فالجمعية الوطنية تسائل الحكومة من خلال ملتمسٍ للرقابة وحجب الثقة</w:t>
      </w:r>
      <w:r w:rsidRPr="00A10A96">
        <w:rPr>
          <w:rFonts w:hint="cs"/>
          <w:rtl/>
        </w:rPr>
        <w:t xml:space="preserve">؛ </w:t>
      </w:r>
      <w:r w:rsidRPr="00A10A96">
        <w:rPr>
          <w:rtl/>
        </w:rPr>
        <w:t>ويُلزم اعتماده رئيس الوزراء بتقديم استقالة الحكومة إلى رئيس الجمهورية</w:t>
      </w:r>
      <w:r w:rsidRPr="00A10A96">
        <w:rPr>
          <w:rFonts w:hint="cs"/>
          <w:rtl/>
        </w:rPr>
        <w:t xml:space="preserve">. </w:t>
      </w:r>
      <w:r w:rsidRPr="00A10A96">
        <w:rPr>
          <w:rtl/>
        </w:rPr>
        <w:t>أما بخصوص مسألة الثقة، فالحكومة هي التي تتخذ المبادرة فيما يتعلق بتحمل مسؤوليتها</w:t>
      </w:r>
      <w:r w:rsidRPr="00A10A96">
        <w:rPr>
          <w:rFonts w:hint="cs"/>
          <w:rtl/>
        </w:rPr>
        <w:t xml:space="preserve">. </w:t>
      </w:r>
      <w:r w:rsidRPr="00A10A96">
        <w:rPr>
          <w:rtl/>
        </w:rPr>
        <w:t>ويجوز لها أن تفعل ذلك بشأن برنامجها وبشأن بيان السياسة العامة</w:t>
      </w:r>
      <w:r w:rsidRPr="00A10A96">
        <w:rPr>
          <w:rFonts w:hint="cs"/>
          <w:rtl/>
        </w:rPr>
        <w:t xml:space="preserve">. </w:t>
      </w:r>
      <w:r w:rsidRPr="00A10A96">
        <w:rPr>
          <w:rtl/>
        </w:rPr>
        <w:t>وفي هذه الحالة، ينبغي لها أن تستقيل إذا لم تحصل على تأييد الأغلبية</w:t>
      </w:r>
      <w:r w:rsidRPr="00A10A96">
        <w:rPr>
          <w:rFonts w:hint="cs"/>
          <w:rtl/>
        </w:rPr>
        <w:t xml:space="preserve">. </w:t>
      </w:r>
      <w:r w:rsidRPr="00A10A96">
        <w:rPr>
          <w:rtl/>
        </w:rPr>
        <w:t>ويجوز لها أيض</w:t>
      </w:r>
      <w:r w:rsidR="00B028D3" w:rsidRPr="00A10A96">
        <w:rPr>
          <w:rtl/>
        </w:rPr>
        <w:t xml:space="preserve">اً </w:t>
      </w:r>
      <w:r w:rsidRPr="00A10A96">
        <w:rPr>
          <w:rtl/>
        </w:rPr>
        <w:t>أن تفعل ذلك، مرة واحدة في كل دورة برلمانية، بخصوص اعتماد نص ما: وسي</w:t>
      </w:r>
      <w:r w:rsidRPr="00A10A96">
        <w:rPr>
          <w:rFonts w:hint="cs"/>
          <w:rtl/>
        </w:rPr>
        <w:t>ُع</w:t>
      </w:r>
      <w:r w:rsidRPr="00A10A96">
        <w:rPr>
          <w:rtl/>
        </w:rPr>
        <w:t>تبر هذا النص معتمداً ما لم يجر التصويت على ملتمس بحجب الثقة، يقدَّم خلال الساعات</w:t>
      </w:r>
      <w:r w:rsidR="00D4138D">
        <w:rPr>
          <w:rtl/>
        </w:rPr>
        <w:t xml:space="preserve"> الـ </w:t>
      </w:r>
      <w:r w:rsidRPr="00A10A96">
        <w:rPr>
          <w:rtl/>
        </w:rPr>
        <w:t>24 التي تلي تقديم النص</w:t>
      </w:r>
      <w:r w:rsidRPr="00A10A96">
        <w:rPr>
          <w:rFonts w:hint="cs"/>
          <w:rtl/>
        </w:rPr>
        <w:t>.</w:t>
      </w:r>
    </w:p>
    <w:p w:rsidR="00944A3C" w:rsidRPr="00A10A96" w:rsidRDefault="00944A3C" w:rsidP="00944A3C">
      <w:pPr>
        <w:pStyle w:val="SingleTxtGA"/>
        <w:rPr>
          <w:rtl/>
        </w:rPr>
      </w:pPr>
      <w:r w:rsidRPr="00A10A96">
        <w:rPr>
          <w:rFonts w:hint="cs"/>
          <w:rtl/>
        </w:rPr>
        <w:lastRenderedPageBreak/>
        <w:t>161-</w:t>
      </w:r>
      <w:r w:rsidRPr="00A10A96">
        <w:rPr>
          <w:rFonts w:hint="cs"/>
          <w:rtl/>
        </w:rPr>
        <w:tab/>
        <w:t>ويجوز أيض</w:t>
      </w:r>
      <w:r w:rsidR="00B028D3" w:rsidRPr="00A10A96">
        <w:rPr>
          <w:rFonts w:hint="cs"/>
          <w:rtl/>
        </w:rPr>
        <w:t xml:space="preserve">اً </w:t>
      </w:r>
      <w:r w:rsidRPr="00A10A96">
        <w:rPr>
          <w:rFonts w:hint="cs"/>
          <w:rtl/>
        </w:rPr>
        <w:t xml:space="preserve">مساءلة </w:t>
      </w:r>
      <w:r w:rsidRPr="00A10A96">
        <w:rPr>
          <w:rtl/>
        </w:rPr>
        <w:t>رئيس الجمهورية</w:t>
      </w:r>
      <w:r w:rsidRPr="00A10A96">
        <w:rPr>
          <w:rFonts w:hint="cs"/>
          <w:rtl/>
        </w:rPr>
        <w:t xml:space="preserve">. </w:t>
      </w:r>
      <w:r w:rsidRPr="00A10A96">
        <w:rPr>
          <w:rtl/>
        </w:rPr>
        <w:t>ففي حالة الإخلال بواجباته بما يتنافى بوضوح مع ممارسة ولايته، يجوز للبرلمان، بوصفه محكمة عليا، أن يعزله (المادة 68)</w:t>
      </w:r>
      <w:r w:rsidRPr="00A10A96">
        <w:rPr>
          <w:rFonts w:hint="cs"/>
          <w:rtl/>
        </w:rPr>
        <w:t>.</w:t>
      </w:r>
    </w:p>
    <w:p w:rsidR="00944A3C" w:rsidRPr="00317979" w:rsidRDefault="00944A3C" w:rsidP="00B028D3">
      <w:pPr>
        <w:pStyle w:val="SingleTxtGA"/>
        <w:rPr>
          <w:spacing w:val="-2"/>
          <w:rtl/>
        </w:rPr>
      </w:pPr>
      <w:r w:rsidRPr="00317979">
        <w:rPr>
          <w:rFonts w:hint="cs"/>
          <w:spacing w:val="-2"/>
          <w:rtl/>
        </w:rPr>
        <w:t>162-</w:t>
      </w:r>
      <w:r w:rsidRPr="00317979">
        <w:rPr>
          <w:rFonts w:hint="cs"/>
          <w:spacing w:val="-2"/>
          <w:rtl/>
        </w:rPr>
        <w:tab/>
      </w:r>
      <w:r w:rsidRPr="00317979">
        <w:rPr>
          <w:spacing w:val="-2"/>
          <w:rtl/>
        </w:rPr>
        <w:t>ومن جهة أخرى، يجوز للسلطة التنفيذية مساءلة السلطة التشريعية</w:t>
      </w:r>
      <w:r w:rsidRPr="00317979">
        <w:rPr>
          <w:rFonts w:hint="cs"/>
          <w:spacing w:val="-2"/>
          <w:rtl/>
        </w:rPr>
        <w:t xml:space="preserve">. </w:t>
      </w:r>
      <w:r w:rsidRPr="00317979">
        <w:rPr>
          <w:spacing w:val="-2"/>
          <w:rtl/>
        </w:rPr>
        <w:t>وبالفعل، يملك رئيس الجمهورية حق حل الجمعية الوطنية (المادة 12)، الذي يمارسه من دون موافقة أي هيئة أخرى</w:t>
      </w:r>
      <w:r w:rsidRPr="00317979">
        <w:rPr>
          <w:rFonts w:hint="cs"/>
          <w:spacing w:val="-2"/>
          <w:rtl/>
        </w:rPr>
        <w:t xml:space="preserve">. </w:t>
      </w:r>
      <w:r w:rsidRPr="00317979">
        <w:rPr>
          <w:spacing w:val="-2"/>
          <w:rtl/>
        </w:rPr>
        <w:t>وفي حالة حل الجمعية الوطنية، تُجرى انتخابات عامة في أجل أدناه 20 يوم</w:t>
      </w:r>
      <w:r w:rsidR="00B028D3" w:rsidRPr="00317979">
        <w:rPr>
          <w:spacing w:val="-2"/>
          <w:rtl/>
        </w:rPr>
        <w:t xml:space="preserve">اً </w:t>
      </w:r>
      <w:r w:rsidRPr="00317979">
        <w:rPr>
          <w:spacing w:val="-2"/>
          <w:rtl/>
        </w:rPr>
        <w:t>وأقصاه</w:t>
      </w:r>
      <w:r w:rsidR="00B028D3" w:rsidRPr="00317979">
        <w:rPr>
          <w:rFonts w:hint="cs"/>
          <w:spacing w:val="-2"/>
          <w:rtl/>
        </w:rPr>
        <w:t> </w:t>
      </w:r>
      <w:r w:rsidRPr="00317979">
        <w:rPr>
          <w:spacing w:val="-2"/>
          <w:rtl/>
        </w:rPr>
        <w:t>40 يوم</w:t>
      </w:r>
      <w:r w:rsidR="00B028D3" w:rsidRPr="00317979">
        <w:rPr>
          <w:spacing w:val="-2"/>
          <w:rtl/>
        </w:rPr>
        <w:t xml:space="preserve">اً </w:t>
      </w:r>
      <w:r w:rsidRPr="00317979">
        <w:rPr>
          <w:spacing w:val="-2"/>
          <w:rtl/>
        </w:rPr>
        <w:t>بعد ذلك</w:t>
      </w:r>
      <w:r w:rsidRPr="00317979">
        <w:rPr>
          <w:rFonts w:hint="cs"/>
          <w:spacing w:val="-2"/>
          <w:rtl/>
        </w:rPr>
        <w:t xml:space="preserve">. </w:t>
      </w:r>
      <w:r w:rsidRPr="00317979">
        <w:rPr>
          <w:spacing w:val="-2"/>
          <w:rtl/>
        </w:rPr>
        <w:t>ولا يجوز حل الجمعية الوطنية الجديدة خلال السنة التالية لانتخابها</w:t>
      </w:r>
      <w:r w:rsidRPr="00317979">
        <w:rPr>
          <w:rFonts w:hint="cs"/>
          <w:spacing w:val="-2"/>
          <w:rtl/>
        </w:rPr>
        <w:t>.</w:t>
      </w:r>
    </w:p>
    <w:p w:rsidR="00944A3C" w:rsidRPr="00A10A96" w:rsidRDefault="00944A3C" w:rsidP="00A82765">
      <w:pPr>
        <w:pStyle w:val="H1GA"/>
        <w:rPr>
          <w:rtl/>
        </w:rPr>
      </w:pPr>
      <w:r w:rsidRPr="00A10A96">
        <w:rPr>
          <w:rtl/>
        </w:rPr>
        <w:tab/>
      </w:r>
      <w:bookmarkStart w:id="9" w:name="_Toc508623279"/>
      <w:r w:rsidRPr="00A10A96">
        <w:rPr>
          <w:rtl/>
        </w:rPr>
        <w:t>جيم-</w:t>
      </w:r>
      <w:r w:rsidRPr="00A10A96">
        <w:rPr>
          <w:rtl/>
        </w:rPr>
        <w:tab/>
        <w:t>الهيئات القضائية</w:t>
      </w:r>
      <w:bookmarkEnd w:id="9"/>
    </w:p>
    <w:p w:rsidR="00944A3C" w:rsidRPr="00A10A96" w:rsidRDefault="00944A3C" w:rsidP="00A82765">
      <w:pPr>
        <w:pStyle w:val="H23GA"/>
        <w:rPr>
          <w:rtl/>
        </w:rPr>
      </w:pPr>
      <w:r w:rsidRPr="00A10A96">
        <w:rPr>
          <w:rFonts w:hint="cs"/>
          <w:rtl/>
        </w:rPr>
        <w:tab/>
        <w:t>1</w:t>
      </w:r>
      <w:r w:rsidRPr="00A10A96">
        <w:rPr>
          <w:rtl/>
        </w:rPr>
        <w:t>-</w:t>
      </w:r>
      <w:r w:rsidRPr="00A10A96">
        <w:rPr>
          <w:rtl/>
        </w:rPr>
        <w:tab/>
        <w:t>التنظيم القضائي الفرنسي</w:t>
      </w:r>
    </w:p>
    <w:p w:rsidR="00944A3C" w:rsidRPr="00A10A96" w:rsidRDefault="00944A3C" w:rsidP="00944A3C">
      <w:pPr>
        <w:pStyle w:val="SingleTxtGA"/>
        <w:rPr>
          <w:rtl/>
        </w:rPr>
      </w:pPr>
      <w:r w:rsidRPr="00A10A96">
        <w:rPr>
          <w:rFonts w:hint="cs"/>
          <w:rtl/>
        </w:rPr>
        <w:t>163</w:t>
      </w:r>
      <w:r w:rsidRPr="00A10A96">
        <w:rPr>
          <w:rtl/>
        </w:rPr>
        <w:t>-</w:t>
      </w:r>
      <w:r w:rsidRPr="00A10A96">
        <w:rPr>
          <w:rtl/>
        </w:rPr>
        <w:tab/>
        <w:t>لدى فرنسا نظامان قضائيان: القضاء العادي، لتسوية المنازعات بين الأفراد أو لإصدار عقوبات على مرتكبي مخالفات القوانين الجنائية</w:t>
      </w:r>
      <w:r w:rsidRPr="00A10A96">
        <w:rPr>
          <w:rFonts w:hint="cs"/>
          <w:rtl/>
        </w:rPr>
        <w:t xml:space="preserve">؛ </w:t>
      </w:r>
      <w:r w:rsidRPr="00A10A96">
        <w:rPr>
          <w:rtl/>
        </w:rPr>
        <w:t xml:space="preserve">والقضاء الإداري، لتسوية المنازعات بين الإدارة </w:t>
      </w:r>
      <w:r w:rsidRPr="00A10A96">
        <w:rPr>
          <w:rFonts w:hint="cs"/>
          <w:rtl/>
        </w:rPr>
        <w:t xml:space="preserve">والخاضعين لها. </w:t>
      </w:r>
      <w:r w:rsidRPr="00A10A96">
        <w:rPr>
          <w:rtl/>
        </w:rPr>
        <w:t>ويوجد داخل كل نظام من هذين النظامين محاكم من در</w:t>
      </w:r>
      <w:r w:rsidRPr="00A10A96">
        <w:rPr>
          <w:rFonts w:hint="cs"/>
          <w:rtl/>
        </w:rPr>
        <w:t>ج</w:t>
      </w:r>
      <w:r w:rsidRPr="00A10A96">
        <w:rPr>
          <w:rtl/>
        </w:rPr>
        <w:t>تين ومحكمة للنقض</w:t>
      </w:r>
      <w:r w:rsidRPr="00A10A96">
        <w:rPr>
          <w:rFonts w:hint="cs"/>
          <w:rtl/>
        </w:rPr>
        <w:t>.</w:t>
      </w:r>
    </w:p>
    <w:p w:rsidR="00944A3C" w:rsidRPr="005D0C50" w:rsidRDefault="00944A3C" w:rsidP="00A82765">
      <w:pPr>
        <w:pStyle w:val="H23GA"/>
        <w:spacing w:after="240"/>
        <w:rPr>
          <w:rtl/>
        </w:rPr>
      </w:pPr>
      <w:r w:rsidRPr="005D0C50">
        <w:rPr>
          <w:rFonts w:hint="cs"/>
          <w:rtl/>
        </w:rPr>
        <w:tab/>
        <w:t>(أ)</w:t>
      </w:r>
      <w:r w:rsidRPr="005D0C50">
        <w:rPr>
          <w:rtl/>
        </w:rPr>
        <w:tab/>
        <w:t>رسم بياني للتسلسل الهرمي للمحاكم في فرنسا</w:t>
      </w:r>
      <w:r w:rsidRPr="00A82765">
        <w:rPr>
          <w:rStyle w:val="EndnoteReference"/>
          <w:b w:val="0"/>
          <w:bCs w:val="0"/>
          <w:sz w:val="30"/>
          <w:rtl/>
        </w:rPr>
        <w:t>(</w:t>
      </w:r>
      <w:r w:rsidRPr="00A82765">
        <w:rPr>
          <w:rStyle w:val="EndnoteReference"/>
          <w:b w:val="0"/>
          <w:bCs w:val="0"/>
          <w:sz w:val="30"/>
          <w:rtl/>
        </w:rPr>
        <w:endnoteReference w:id="168"/>
      </w:r>
      <w:r w:rsidRPr="00A82765">
        <w:rPr>
          <w:rStyle w:val="EndnoteReference"/>
          <w:b w:val="0"/>
          <w:bCs w:val="0"/>
          <w:sz w:val="30"/>
          <w:rtl/>
        </w:rPr>
        <w:t>)</w:t>
      </w:r>
    </w:p>
    <w:p w:rsidR="00944A3C" w:rsidRPr="005D0C50" w:rsidRDefault="00944A3C" w:rsidP="00944A3C">
      <w:pPr>
        <w:pStyle w:val="SingleTxtG"/>
        <w:rPr>
          <w:lang w:val="fr-FR"/>
        </w:rPr>
      </w:pPr>
      <w:r w:rsidRPr="005D0C50">
        <w:rPr>
          <w:noProof/>
          <w:lang w:val="en-US" w:eastAsia="zh-CN"/>
        </w:rPr>
        <w:drawing>
          <wp:inline distT="0" distB="0" distL="0" distR="0" wp14:anchorId="48B1C800" wp14:editId="6752734D">
            <wp:extent cx="4692650" cy="2895600"/>
            <wp:effectExtent l="0" t="0" r="0" b="0"/>
            <wp:docPr id="4" name="Picture 4" descr="http://www.justice.gouv.fr/art_pix/schema_ojf_eraso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justice.gouv.fr/art_pix/schema_ojf_eraso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0" cy="2895600"/>
                    </a:xfrm>
                    <a:prstGeom prst="rect">
                      <a:avLst/>
                    </a:prstGeom>
                    <a:noFill/>
                    <a:ln>
                      <a:noFill/>
                    </a:ln>
                  </pic:spPr>
                </pic:pic>
              </a:graphicData>
            </a:graphic>
          </wp:inline>
        </w:drawing>
      </w:r>
    </w:p>
    <w:p w:rsidR="00944A3C" w:rsidRPr="00A10A96" w:rsidRDefault="00944A3C" w:rsidP="00317979">
      <w:pPr>
        <w:pStyle w:val="SingleTxtGA"/>
        <w:spacing w:before="360"/>
        <w:rPr>
          <w:rtl/>
        </w:rPr>
      </w:pPr>
      <w:r w:rsidRPr="005D0C50">
        <w:rPr>
          <w:rFonts w:hint="cs"/>
          <w:spacing w:val="2"/>
          <w:rtl/>
        </w:rPr>
        <w:t>164</w:t>
      </w:r>
      <w:r w:rsidRPr="00A10A96">
        <w:rPr>
          <w:rtl/>
        </w:rPr>
        <w:t>-</w:t>
      </w:r>
      <w:r w:rsidRPr="00A10A96">
        <w:rPr>
          <w:rtl/>
        </w:rPr>
        <w:tab/>
        <w:t>يلاحظ أنه، بالإضافة إلى محاكم النظام الإداري المبينة أعلاه، توجد محاكم إدارية متخصصة: الدوائر الإقليمية للحسابات، ومحكمة تدقيق الحسابات، ومحكمة تنظيم الميزانية والشؤون المالية، ومحاكم القضايا المهنية</w:t>
      </w:r>
      <w:r w:rsidRPr="00A10A96">
        <w:rPr>
          <w:rStyle w:val="EndnoteReference"/>
          <w:rtl/>
        </w:rPr>
        <w:t>(</w:t>
      </w:r>
      <w:r w:rsidRPr="00A10A96">
        <w:rPr>
          <w:rStyle w:val="EndnoteReference"/>
          <w:rtl/>
        </w:rPr>
        <w:endnoteReference w:id="169"/>
      </w:r>
      <w:r w:rsidRPr="00A10A96">
        <w:rPr>
          <w:rStyle w:val="EndnoteReference"/>
          <w:rtl/>
        </w:rPr>
        <w:t>)</w:t>
      </w:r>
      <w:r w:rsidRPr="00A10A96">
        <w:rPr>
          <w:rtl/>
        </w:rPr>
        <w:t xml:space="preserve">، والمحكمة الوطنية المعنية بالحق في اللجوء، ولجنة المقاطعة للمساعدة الاجتماعية، والقسم التأديبي المعني </w:t>
      </w:r>
      <w:r w:rsidRPr="00A10A96">
        <w:rPr>
          <w:rFonts w:hint="cs"/>
          <w:rtl/>
        </w:rPr>
        <w:t xml:space="preserve">بالهيئات </w:t>
      </w:r>
      <w:r w:rsidRPr="00A10A96">
        <w:rPr>
          <w:rtl/>
        </w:rPr>
        <w:t>المهنية، وما إلى ذلك</w:t>
      </w:r>
      <w:r w:rsidRPr="00A10A96">
        <w:rPr>
          <w:rStyle w:val="EndnoteReference"/>
          <w:rtl/>
        </w:rPr>
        <w:t>(</w:t>
      </w:r>
      <w:r w:rsidRPr="00A10A96">
        <w:rPr>
          <w:rStyle w:val="EndnoteReference"/>
          <w:rtl/>
        </w:rPr>
        <w:endnoteReference w:id="170"/>
      </w:r>
      <w:r w:rsidRPr="00A10A96">
        <w:rPr>
          <w:rStyle w:val="EndnoteReference"/>
          <w:rtl/>
        </w:rPr>
        <w:t>)</w:t>
      </w:r>
      <w:r w:rsidRPr="00A10A96">
        <w:rPr>
          <w:rFonts w:hint="cs"/>
          <w:rtl/>
        </w:rPr>
        <w:t>.</w:t>
      </w:r>
    </w:p>
    <w:p w:rsidR="00944A3C" w:rsidRPr="00A10A96" w:rsidRDefault="00944A3C" w:rsidP="00F403AE">
      <w:pPr>
        <w:pStyle w:val="H23GA"/>
        <w:rPr>
          <w:rtl/>
        </w:rPr>
      </w:pPr>
      <w:r w:rsidRPr="00A10A96">
        <w:rPr>
          <w:rFonts w:hint="cs"/>
          <w:rtl/>
        </w:rPr>
        <w:lastRenderedPageBreak/>
        <w:tab/>
        <w:t>(ب)</w:t>
      </w:r>
      <w:r w:rsidRPr="00A10A96">
        <w:rPr>
          <w:rtl/>
        </w:rPr>
        <w:tab/>
      </w:r>
      <w:r w:rsidRPr="00A10A96">
        <w:rPr>
          <w:rFonts w:hint="cs"/>
          <w:rtl/>
        </w:rPr>
        <w:t>القضاء العادي</w:t>
      </w:r>
    </w:p>
    <w:p w:rsidR="00944A3C" w:rsidRPr="00A10A96" w:rsidRDefault="00944A3C" w:rsidP="005714DA">
      <w:pPr>
        <w:pStyle w:val="H4GA"/>
        <w:rPr>
          <w:rtl/>
        </w:rPr>
      </w:pPr>
      <w:r w:rsidRPr="00A10A96">
        <w:rPr>
          <w:rFonts w:hint="cs"/>
          <w:rtl/>
        </w:rPr>
        <w:tab/>
      </w:r>
      <w:r w:rsidR="005714DA">
        <w:rPr>
          <w:rFonts w:hint="cs"/>
          <w:rtl/>
        </w:rPr>
        <w:t>‘</w:t>
      </w:r>
      <w:r w:rsidRPr="00A10A96">
        <w:rPr>
          <w:rFonts w:hint="cs"/>
          <w:rtl/>
        </w:rPr>
        <w:t>1</w:t>
      </w:r>
      <w:r w:rsidR="005714DA">
        <w:rPr>
          <w:rFonts w:hint="cs"/>
          <w:rtl/>
        </w:rPr>
        <w:t>‘</w:t>
      </w:r>
      <w:r w:rsidRPr="00A10A96">
        <w:rPr>
          <w:rFonts w:hint="cs"/>
          <w:rtl/>
        </w:rPr>
        <w:tab/>
      </w:r>
      <w:r w:rsidRPr="00A10A96">
        <w:rPr>
          <w:rtl/>
        </w:rPr>
        <w:t xml:space="preserve">اختصاصات محاكم </w:t>
      </w:r>
      <w:r w:rsidRPr="00A10A96">
        <w:rPr>
          <w:rFonts w:hint="cs"/>
          <w:rtl/>
        </w:rPr>
        <w:t>القضاء العادي</w:t>
      </w:r>
    </w:p>
    <w:p w:rsidR="00944A3C" w:rsidRPr="00A10A96" w:rsidRDefault="00944A3C" w:rsidP="00317979">
      <w:pPr>
        <w:pStyle w:val="SingleTxtGA"/>
        <w:spacing w:line="370" w:lineRule="exact"/>
        <w:rPr>
          <w:rtl/>
        </w:rPr>
      </w:pPr>
      <w:r w:rsidRPr="00A10A96">
        <w:rPr>
          <w:rFonts w:hint="cs"/>
          <w:rtl/>
        </w:rPr>
        <w:t>165</w:t>
      </w:r>
      <w:r w:rsidRPr="00A10A96">
        <w:rPr>
          <w:rtl/>
        </w:rPr>
        <w:t>-</w:t>
      </w:r>
      <w:r w:rsidRPr="00A10A96">
        <w:rPr>
          <w:rtl/>
        </w:rPr>
        <w:tab/>
        <w:t>تختص محاكم القضا</w:t>
      </w:r>
      <w:r w:rsidRPr="00A10A96">
        <w:rPr>
          <w:rFonts w:hint="cs"/>
          <w:rtl/>
        </w:rPr>
        <w:t>ء العادي</w:t>
      </w:r>
      <w:r w:rsidRPr="00A10A96">
        <w:rPr>
          <w:rtl/>
        </w:rPr>
        <w:t xml:space="preserve"> </w:t>
      </w:r>
      <w:r w:rsidRPr="00A10A96">
        <w:rPr>
          <w:rFonts w:hint="cs"/>
          <w:rtl/>
        </w:rPr>
        <w:t>ب</w:t>
      </w:r>
      <w:r w:rsidRPr="00A10A96">
        <w:rPr>
          <w:rtl/>
        </w:rPr>
        <w:t xml:space="preserve">تسوية المنازعات بين الأفراد في القضايا المدنية، </w:t>
      </w:r>
      <w:r w:rsidRPr="00A10A96">
        <w:rPr>
          <w:rFonts w:hint="cs"/>
          <w:rtl/>
        </w:rPr>
        <w:t xml:space="preserve">وفي إصدار </w:t>
      </w:r>
      <w:r w:rsidRPr="00A10A96">
        <w:rPr>
          <w:rtl/>
        </w:rPr>
        <w:t>العقوبات على مرتكبي المخالفات</w:t>
      </w:r>
      <w:r w:rsidRPr="00A10A96">
        <w:rPr>
          <w:rFonts w:hint="cs"/>
          <w:rtl/>
        </w:rPr>
        <w:t>.</w:t>
      </w:r>
    </w:p>
    <w:p w:rsidR="00944A3C" w:rsidRPr="00317979" w:rsidRDefault="00944A3C" w:rsidP="00317979">
      <w:pPr>
        <w:pStyle w:val="SingleTxtGA"/>
        <w:spacing w:line="370" w:lineRule="exact"/>
        <w:rPr>
          <w:spacing w:val="-2"/>
          <w:rtl/>
        </w:rPr>
      </w:pPr>
      <w:r w:rsidRPr="00317979">
        <w:rPr>
          <w:rFonts w:hint="cs"/>
          <w:spacing w:val="-2"/>
          <w:rtl/>
        </w:rPr>
        <w:t>166-</w:t>
      </w:r>
      <w:r w:rsidRPr="00317979">
        <w:rPr>
          <w:rFonts w:hint="cs"/>
          <w:spacing w:val="-2"/>
          <w:rtl/>
        </w:rPr>
        <w:tab/>
      </w:r>
      <w:r w:rsidRPr="00317979">
        <w:rPr>
          <w:spacing w:val="-2"/>
          <w:rtl/>
        </w:rPr>
        <w:t>وتفصل المحاكم المدنية في المنازعات بين الأفراد وتأمر بجبر الضرر الحاصل، ولكنها لا</w:t>
      </w:r>
      <w:r w:rsidR="00BF5086" w:rsidRPr="00317979">
        <w:rPr>
          <w:rFonts w:hint="cs"/>
          <w:spacing w:val="-2"/>
          <w:rtl/>
        </w:rPr>
        <w:t> </w:t>
      </w:r>
      <w:r w:rsidRPr="00317979">
        <w:rPr>
          <w:spacing w:val="-2"/>
          <w:rtl/>
        </w:rPr>
        <w:t>تصدر عقوبات</w:t>
      </w:r>
      <w:r w:rsidRPr="00317979">
        <w:rPr>
          <w:rFonts w:hint="cs"/>
          <w:spacing w:val="-2"/>
          <w:rtl/>
        </w:rPr>
        <w:t xml:space="preserve">. </w:t>
      </w:r>
      <w:r w:rsidRPr="00317979">
        <w:rPr>
          <w:spacing w:val="-2"/>
          <w:rtl/>
        </w:rPr>
        <w:t>وتنظر المحاكم المتخصصة في المنازعات بين الأجراء وأرباب العمل، والمنازعات بين التجار، والمنازعات بين مؤسسات الضمان الاجتماعي والأشخاص المنتسبين إليها، والمنازعات بين مالكي</w:t>
      </w:r>
      <w:r w:rsidRPr="00317979">
        <w:rPr>
          <w:rFonts w:hint="cs"/>
          <w:spacing w:val="-2"/>
          <w:rtl/>
        </w:rPr>
        <w:t xml:space="preserve"> الأراضي</w:t>
      </w:r>
      <w:r w:rsidRPr="00317979">
        <w:rPr>
          <w:spacing w:val="-2"/>
          <w:rtl/>
        </w:rPr>
        <w:t xml:space="preserve"> والمزارعين</w:t>
      </w:r>
      <w:r w:rsidRPr="00317979">
        <w:rPr>
          <w:rFonts w:hint="cs"/>
          <w:spacing w:val="-2"/>
          <w:rtl/>
        </w:rPr>
        <w:t xml:space="preserve">. </w:t>
      </w:r>
      <w:r w:rsidRPr="00317979">
        <w:rPr>
          <w:spacing w:val="-2"/>
          <w:rtl/>
        </w:rPr>
        <w:t>وبعض قضاة هذه المحاكم قضاة غير محترفين، وليسوا بالتالي مؤهلين لإصدار الأحكام</w:t>
      </w:r>
      <w:r w:rsidRPr="00317979">
        <w:rPr>
          <w:rFonts w:hint="cs"/>
          <w:spacing w:val="-2"/>
          <w:rtl/>
        </w:rPr>
        <w:t xml:space="preserve">. </w:t>
      </w:r>
      <w:r w:rsidRPr="00317979">
        <w:rPr>
          <w:spacing w:val="-2"/>
          <w:rtl/>
        </w:rPr>
        <w:t>و</w:t>
      </w:r>
      <w:r w:rsidRPr="00317979">
        <w:rPr>
          <w:rFonts w:hint="cs"/>
          <w:spacing w:val="-2"/>
          <w:rtl/>
        </w:rPr>
        <w:t xml:space="preserve">تتألف </w:t>
      </w:r>
      <w:r w:rsidRPr="00317979">
        <w:rPr>
          <w:spacing w:val="-2"/>
          <w:rtl/>
        </w:rPr>
        <w:t xml:space="preserve">هذه المحاكم </w:t>
      </w:r>
      <w:r w:rsidRPr="00317979">
        <w:rPr>
          <w:rFonts w:hint="cs"/>
          <w:spacing w:val="-2"/>
          <w:rtl/>
        </w:rPr>
        <w:t xml:space="preserve">من قضاة </w:t>
      </w:r>
      <w:r w:rsidRPr="00317979">
        <w:rPr>
          <w:spacing w:val="-2"/>
          <w:rtl/>
        </w:rPr>
        <w:t>غير محترفين، إما كُلهم (محكمة العمل، والمحكمة التجارية) أو بعضهم (محكمة قضايا الضمان الاجتماعي، والمحكمة المشتركة لقضايا عقود الإيجار في الأرياف)</w:t>
      </w:r>
      <w:r w:rsidRPr="00317979">
        <w:rPr>
          <w:rFonts w:hint="cs"/>
          <w:spacing w:val="-2"/>
          <w:rtl/>
        </w:rPr>
        <w:t xml:space="preserve">. </w:t>
      </w:r>
      <w:r w:rsidRPr="00317979">
        <w:rPr>
          <w:spacing w:val="-2"/>
          <w:rtl/>
        </w:rPr>
        <w:t xml:space="preserve">وتختص المحاكم الجنائية </w:t>
      </w:r>
      <w:r w:rsidRPr="00317979">
        <w:rPr>
          <w:rFonts w:hint="cs"/>
          <w:spacing w:val="-2"/>
          <w:rtl/>
        </w:rPr>
        <w:t>ب</w:t>
      </w:r>
      <w:r w:rsidRPr="00317979">
        <w:rPr>
          <w:spacing w:val="-2"/>
          <w:rtl/>
        </w:rPr>
        <w:t>محاكمة الأشخاص المتهمين بارتكاب مخالفة للقوانين الجنائية (مخالفة أو جنحة أو جريمة) ويجوز لها أن تصدر عقوبات تختلف بحسب خطورة المخالفة، وتتراوح بين الغرامة وعقوبة السجن مدى الحياة مع إلزامية قضاء مدة محددة منها</w:t>
      </w:r>
      <w:r w:rsidRPr="00317979">
        <w:rPr>
          <w:rFonts w:hint="cs"/>
          <w:spacing w:val="-2"/>
          <w:rtl/>
        </w:rPr>
        <w:t>.</w:t>
      </w:r>
    </w:p>
    <w:p w:rsidR="00944A3C" w:rsidRPr="00A10A96" w:rsidRDefault="00944A3C" w:rsidP="00317979">
      <w:pPr>
        <w:pStyle w:val="SingleTxtGA"/>
        <w:spacing w:line="370" w:lineRule="exact"/>
        <w:rPr>
          <w:rtl/>
        </w:rPr>
      </w:pPr>
      <w:r w:rsidRPr="00A10A96">
        <w:rPr>
          <w:rFonts w:hint="cs"/>
          <w:rtl/>
        </w:rPr>
        <w:t>167-</w:t>
      </w:r>
      <w:r w:rsidRPr="00A10A96">
        <w:rPr>
          <w:rFonts w:hint="cs"/>
          <w:rtl/>
        </w:rPr>
        <w:tab/>
      </w:r>
      <w:r w:rsidRPr="00A10A96">
        <w:rPr>
          <w:rtl/>
        </w:rPr>
        <w:t xml:space="preserve">وبفضل إمكانية التقاضي على درجتين، يجوز للمتقاضي أن يستأنف القرار الصادر عن </w:t>
      </w:r>
      <w:r w:rsidRPr="00A10A96">
        <w:rPr>
          <w:rFonts w:hint="cs"/>
          <w:rtl/>
        </w:rPr>
        <w:t xml:space="preserve">محكمة </w:t>
      </w:r>
      <w:r w:rsidRPr="00A10A96">
        <w:rPr>
          <w:rtl/>
        </w:rPr>
        <w:t>من محاكم القضاء العادي أمام محكمة أخرى من نفس النظام</w:t>
      </w:r>
      <w:r w:rsidRPr="00A10A96">
        <w:rPr>
          <w:rFonts w:hint="cs"/>
          <w:rtl/>
        </w:rPr>
        <w:t xml:space="preserve">. </w:t>
      </w:r>
      <w:r w:rsidRPr="00A10A96">
        <w:rPr>
          <w:rtl/>
        </w:rPr>
        <w:t>وهذه الهيئة القضائية هي محكمة الاستئناف، إلا إذا كانت المحكمة الابتدائية محكمةَ جنايات، وهي الحالة التي تجري فيها إعادة المحاكمة أمام محكمة جنايات أخرى</w:t>
      </w:r>
      <w:r w:rsidRPr="00A10A96">
        <w:rPr>
          <w:rFonts w:hint="cs"/>
          <w:rtl/>
        </w:rPr>
        <w:t xml:space="preserve">. </w:t>
      </w:r>
      <w:r w:rsidRPr="00A10A96">
        <w:rPr>
          <w:rtl/>
        </w:rPr>
        <w:t>وتعيد محكمة الاستئناف النظر في القضية من حيث الوقائع والأسس القانونية</w:t>
      </w:r>
      <w:r w:rsidRPr="00A10A96">
        <w:rPr>
          <w:rFonts w:hint="cs"/>
          <w:rtl/>
        </w:rPr>
        <w:t xml:space="preserve">. </w:t>
      </w:r>
      <w:r w:rsidRPr="00A10A96">
        <w:rPr>
          <w:rtl/>
        </w:rPr>
        <w:t>ويجوز للطرف الذي يرى أن قرار محكمة الاستئناف لا يتوافق مع القواعد القانونية أن يقدم طعن</w:t>
      </w:r>
      <w:r w:rsidR="000A5694">
        <w:rPr>
          <w:rtl/>
        </w:rPr>
        <w:t xml:space="preserve">اً </w:t>
      </w:r>
      <w:r w:rsidRPr="00A10A96">
        <w:rPr>
          <w:rtl/>
        </w:rPr>
        <w:t>أمام محكمة النقض</w:t>
      </w:r>
      <w:r w:rsidRPr="00A10A96">
        <w:rPr>
          <w:rFonts w:hint="cs"/>
          <w:rtl/>
        </w:rPr>
        <w:t xml:space="preserve">. </w:t>
      </w:r>
      <w:r w:rsidRPr="00A10A96">
        <w:rPr>
          <w:rtl/>
        </w:rPr>
        <w:t>ولا تعيد هذه المحكمة المحاكمة في القضية ولكنها تتحقق من توافق القرار المطعون فيه مع القواعد القانونية</w:t>
      </w:r>
      <w:r w:rsidRPr="00A10A96">
        <w:rPr>
          <w:rFonts w:hint="cs"/>
          <w:rtl/>
        </w:rPr>
        <w:t>.</w:t>
      </w:r>
    </w:p>
    <w:p w:rsidR="00944A3C" w:rsidRPr="00A10A96" w:rsidRDefault="00BF5086" w:rsidP="00317979">
      <w:pPr>
        <w:pStyle w:val="H56GA"/>
        <w:spacing w:line="370" w:lineRule="exact"/>
        <w:rPr>
          <w:rtl/>
        </w:rPr>
      </w:pPr>
      <w:r>
        <w:rPr>
          <w:rtl/>
        </w:rPr>
        <w:tab/>
      </w:r>
      <w:r>
        <w:rPr>
          <w:rtl/>
        </w:rPr>
        <w:tab/>
      </w:r>
      <w:r w:rsidR="00944A3C" w:rsidRPr="00A10A96">
        <w:rPr>
          <w:rtl/>
        </w:rPr>
        <w:t>المحاكم المدنية الابتدائية</w:t>
      </w:r>
    </w:p>
    <w:p w:rsidR="00944A3C" w:rsidRPr="00A10A96" w:rsidRDefault="00944A3C" w:rsidP="00317979">
      <w:pPr>
        <w:pStyle w:val="SingleTxtGA"/>
        <w:spacing w:line="370" w:lineRule="exact"/>
        <w:rPr>
          <w:rtl/>
        </w:rPr>
      </w:pPr>
      <w:r w:rsidRPr="00A10A96">
        <w:rPr>
          <w:rFonts w:hint="cs"/>
          <w:rtl/>
        </w:rPr>
        <w:t>168</w:t>
      </w:r>
      <w:r w:rsidRPr="00A10A96">
        <w:rPr>
          <w:rtl/>
        </w:rPr>
        <w:t>-</w:t>
      </w:r>
      <w:r w:rsidRPr="00A10A96">
        <w:rPr>
          <w:rtl/>
        </w:rPr>
        <w:tab/>
        <w:t>تشمل محاكم القضاء العادي المحاكم الابتدائية، العامة أو المتخصصة</w:t>
      </w:r>
      <w:r w:rsidRPr="00A10A96">
        <w:rPr>
          <w:rFonts w:hint="cs"/>
          <w:rtl/>
        </w:rPr>
        <w:t>.</w:t>
      </w:r>
    </w:p>
    <w:p w:rsidR="00944A3C" w:rsidRPr="00A10A96" w:rsidRDefault="00944A3C" w:rsidP="00317979">
      <w:pPr>
        <w:pStyle w:val="SingleTxtGA"/>
        <w:spacing w:line="370" w:lineRule="exact"/>
        <w:rPr>
          <w:rtl/>
        </w:rPr>
      </w:pPr>
      <w:r w:rsidRPr="00A10A96">
        <w:rPr>
          <w:rFonts w:hint="cs"/>
          <w:rtl/>
        </w:rPr>
        <w:t>169-</w:t>
      </w:r>
      <w:r w:rsidRPr="00A10A96">
        <w:rPr>
          <w:rFonts w:hint="cs"/>
          <w:rtl/>
        </w:rPr>
        <w:tab/>
      </w:r>
      <w:r w:rsidRPr="00A10A96">
        <w:rPr>
          <w:rtl/>
        </w:rPr>
        <w:t>ومن بين المحاكم المدنية غير المتخصصة، ما يلي</w:t>
      </w:r>
      <w:r w:rsidRPr="00A10A96">
        <w:rPr>
          <w:rStyle w:val="EndnoteReference"/>
          <w:rtl/>
        </w:rPr>
        <w:t>(</w:t>
      </w:r>
      <w:r w:rsidRPr="00A10A96">
        <w:rPr>
          <w:rStyle w:val="EndnoteReference"/>
          <w:rtl/>
        </w:rPr>
        <w:endnoteReference w:id="171"/>
      </w:r>
      <w:r w:rsidRPr="00A10A96">
        <w:rPr>
          <w:rStyle w:val="EndnoteReference"/>
          <w:rtl/>
        </w:rPr>
        <w:t>)</w:t>
      </w:r>
      <w:r w:rsidRPr="00A10A96">
        <w:rPr>
          <w:rFonts w:hint="cs"/>
          <w:rtl/>
        </w:rPr>
        <w:t>:</w:t>
      </w:r>
    </w:p>
    <w:p w:rsidR="00944A3C" w:rsidRPr="00A10A96" w:rsidRDefault="00944A3C" w:rsidP="00317979">
      <w:pPr>
        <w:pStyle w:val="Bullet1GA"/>
        <w:bidi/>
        <w:spacing w:line="370" w:lineRule="exact"/>
      </w:pPr>
      <w:r w:rsidRPr="00A10A96">
        <w:rPr>
          <w:rtl/>
        </w:rPr>
        <w:t>المحاكم المحلية، وهي هيئات قضائية مختصة في المنازعات التي يقل فيها المبلغ المطالب به عن 000 4 يورو</w:t>
      </w:r>
      <w:r w:rsidRPr="00A10A96">
        <w:rPr>
          <w:rFonts w:hint="cs"/>
          <w:rtl/>
        </w:rPr>
        <w:t>؛</w:t>
      </w:r>
    </w:p>
    <w:p w:rsidR="00944A3C" w:rsidRPr="00A10A96" w:rsidRDefault="00944A3C" w:rsidP="00317979">
      <w:pPr>
        <w:pStyle w:val="Bullet1GA"/>
        <w:bidi/>
        <w:spacing w:line="370" w:lineRule="exact"/>
      </w:pPr>
      <w:r w:rsidRPr="00A10A96">
        <w:rPr>
          <w:rtl/>
        </w:rPr>
        <w:t xml:space="preserve">محاكم الدرجة الأولى، وهي هيئات قضائية مختصة في المنازعات التي يتراوح فيها المبلغ المطالب به بين 000 4 يورو و000 10 يورو، وفي المنازعات المتعلقة بالائتمانات الاستهلاكية، والمنازعات بين المستأجرين والمالكين، والمنازعات المتصلة بانتخابات الهيئات المهنية وبممارسة </w:t>
      </w:r>
      <w:r w:rsidRPr="00A10A96">
        <w:rPr>
          <w:rFonts w:hint="cs"/>
          <w:rtl/>
        </w:rPr>
        <w:t>حقوق الارتفاق؛</w:t>
      </w:r>
    </w:p>
    <w:p w:rsidR="00944A3C" w:rsidRPr="004414B5" w:rsidRDefault="00944A3C" w:rsidP="00317979">
      <w:pPr>
        <w:pStyle w:val="Bullet1GA"/>
        <w:bidi/>
        <w:spacing w:line="370" w:lineRule="exact"/>
        <w:rPr>
          <w:spacing w:val="-2"/>
          <w:rtl/>
        </w:rPr>
      </w:pPr>
      <w:r w:rsidRPr="004414B5">
        <w:rPr>
          <w:spacing w:val="-2"/>
          <w:rtl/>
        </w:rPr>
        <w:t>محاكم الدرجة العليا، هي محاكم القانون العام المختصة في جميع المنازعات التي يفوق فيها المبلغ المطالب به 000 10 يورو، وفي المنازعات التي لا يحصر القانون النظر فيها على هيئة قضائية متخصصة</w:t>
      </w:r>
      <w:r w:rsidRPr="004414B5">
        <w:rPr>
          <w:rFonts w:hint="cs"/>
          <w:spacing w:val="-2"/>
          <w:rtl/>
        </w:rPr>
        <w:t xml:space="preserve">. </w:t>
      </w:r>
      <w:r w:rsidRPr="004414B5">
        <w:rPr>
          <w:spacing w:val="-2"/>
          <w:rtl/>
        </w:rPr>
        <w:t>ولديها أيض</w:t>
      </w:r>
      <w:r w:rsidR="000A5694">
        <w:rPr>
          <w:spacing w:val="-2"/>
          <w:rtl/>
        </w:rPr>
        <w:t xml:space="preserve">اً </w:t>
      </w:r>
      <w:r w:rsidRPr="004414B5">
        <w:rPr>
          <w:spacing w:val="-2"/>
          <w:rtl/>
        </w:rPr>
        <w:t>الاختصاص الحصري في منازعات معينة، بصرف النظر عن المبلغ المطالب به، في قضايا الأسرة، والأحوال الشخصية، والقانون العقاري، وبراءات الاختراع، ودعاوى الحيازة</w:t>
      </w:r>
      <w:r w:rsidRPr="004414B5">
        <w:rPr>
          <w:rFonts w:hint="cs"/>
          <w:spacing w:val="-2"/>
          <w:rtl/>
        </w:rPr>
        <w:t>.</w:t>
      </w:r>
    </w:p>
    <w:p w:rsidR="00944A3C" w:rsidRPr="00A10A96" w:rsidRDefault="00944A3C" w:rsidP="00944A3C">
      <w:pPr>
        <w:pStyle w:val="SingleTxtGA"/>
        <w:rPr>
          <w:rtl/>
        </w:rPr>
      </w:pPr>
      <w:r w:rsidRPr="00A10A96">
        <w:rPr>
          <w:rFonts w:hint="cs"/>
          <w:rtl/>
        </w:rPr>
        <w:lastRenderedPageBreak/>
        <w:t>170-</w:t>
      </w:r>
      <w:r w:rsidRPr="00A10A96">
        <w:rPr>
          <w:rFonts w:hint="cs"/>
          <w:rtl/>
        </w:rPr>
        <w:tab/>
      </w:r>
      <w:r w:rsidRPr="00A10A96">
        <w:rPr>
          <w:rtl/>
        </w:rPr>
        <w:t>وتشمل المحاكم المتخصصة ما يلي</w:t>
      </w:r>
      <w:r w:rsidRPr="00A10A96">
        <w:rPr>
          <w:rFonts w:hint="cs"/>
          <w:rtl/>
        </w:rPr>
        <w:t>:</w:t>
      </w:r>
    </w:p>
    <w:p w:rsidR="00944A3C" w:rsidRPr="00A10A96" w:rsidRDefault="00944A3C" w:rsidP="004414B5">
      <w:pPr>
        <w:pStyle w:val="Bullet1GA"/>
        <w:bidi/>
      </w:pPr>
      <w:r w:rsidRPr="00A10A96">
        <w:rPr>
          <w:rtl/>
        </w:rPr>
        <w:t>المحاكم التجارية: هيئات قضائية محترفة متخصصة، تتألف من قضاة منتخبين باقتراع من جولتين</w:t>
      </w:r>
      <w:r w:rsidRPr="00A10A96">
        <w:rPr>
          <w:rFonts w:hint="cs"/>
          <w:rtl/>
        </w:rPr>
        <w:t>؛</w:t>
      </w:r>
    </w:p>
    <w:p w:rsidR="00944A3C" w:rsidRPr="00A10A96" w:rsidRDefault="00944A3C" w:rsidP="004414B5">
      <w:pPr>
        <w:pStyle w:val="Bullet1GA"/>
        <w:bidi/>
      </w:pPr>
      <w:r w:rsidRPr="00A10A96">
        <w:rPr>
          <w:rtl/>
        </w:rPr>
        <w:t>محاكم العمل: هيئات قضائية منتخبة ومشتركة، تسوي، عن طريق التوفيق، المنازعات التي قد تنشأ عن أي عقد عمل بين أرباب العمل أو ممثليهم والأُجراء</w:t>
      </w:r>
      <w:r w:rsidRPr="00A10A96">
        <w:rPr>
          <w:rFonts w:hint="cs"/>
          <w:rtl/>
        </w:rPr>
        <w:t xml:space="preserve">. </w:t>
      </w:r>
      <w:r w:rsidRPr="00A10A96">
        <w:rPr>
          <w:rtl/>
        </w:rPr>
        <w:t>وتصدر أحكام</w:t>
      </w:r>
      <w:r w:rsidR="000A5694">
        <w:rPr>
          <w:rtl/>
        </w:rPr>
        <w:t xml:space="preserve">اً </w:t>
      </w:r>
      <w:r w:rsidRPr="00A10A96">
        <w:rPr>
          <w:rtl/>
        </w:rPr>
        <w:t>في المنازعات التي لم تنجح فيها مساعي التوفيق</w:t>
      </w:r>
      <w:r w:rsidRPr="00A10A96">
        <w:rPr>
          <w:rFonts w:hint="cs"/>
          <w:rtl/>
        </w:rPr>
        <w:t>؛</w:t>
      </w:r>
    </w:p>
    <w:p w:rsidR="00944A3C" w:rsidRPr="00A10A96" w:rsidRDefault="00944A3C" w:rsidP="004414B5">
      <w:pPr>
        <w:pStyle w:val="Bullet1GA"/>
        <w:bidi/>
      </w:pPr>
      <w:r w:rsidRPr="00A10A96">
        <w:rPr>
          <w:rtl/>
        </w:rPr>
        <w:t xml:space="preserve">محاكم قضايا الضمان الاجتماعي: تحكم في المنازعات الذي تنشأ عن تنفيذ قوانين الضمان الاجتماعي ولوائحه التنظيمية </w:t>
      </w:r>
      <w:r w:rsidRPr="00A10A96">
        <w:rPr>
          <w:rFonts w:hint="cs"/>
          <w:rtl/>
        </w:rPr>
        <w:t>و</w:t>
      </w:r>
      <w:r w:rsidRPr="00A10A96">
        <w:rPr>
          <w:rtl/>
        </w:rPr>
        <w:t>التي لا تندرج، بحكم طبيعتها، ضمن اختصاصات هيئة أخرى لتسوية المنازعات</w:t>
      </w:r>
      <w:r w:rsidRPr="00A10A96">
        <w:rPr>
          <w:rFonts w:hint="cs"/>
          <w:rtl/>
        </w:rPr>
        <w:t>؛</w:t>
      </w:r>
    </w:p>
    <w:p w:rsidR="00944A3C" w:rsidRPr="00A10A96" w:rsidRDefault="00944A3C" w:rsidP="004414B5">
      <w:pPr>
        <w:pStyle w:val="Bullet1GA"/>
        <w:bidi/>
        <w:rPr>
          <w:rtl/>
        </w:rPr>
      </w:pPr>
      <w:r w:rsidRPr="00A10A96">
        <w:rPr>
          <w:rtl/>
        </w:rPr>
        <w:t>المحاكم المشتركة لقضايا عقود الإيجار في الأرياف التي تختص في المنازعات بين المؤجرين والمستأجرين في الأرياف والمتعلقة بتنفيذ البابين 1 و4 من قانون الشؤون الريفية</w:t>
      </w:r>
      <w:r w:rsidRPr="00A10A96">
        <w:rPr>
          <w:rFonts w:hint="cs"/>
          <w:rtl/>
        </w:rPr>
        <w:t>.</w:t>
      </w:r>
    </w:p>
    <w:p w:rsidR="00944A3C" w:rsidRPr="00A10A96" w:rsidRDefault="004414B5" w:rsidP="004414B5">
      <w:pPr>
        <w:pStyle w:val="H56GA"/>
        <w:rPr>
          <w:rtl/>
        </w:rPr>
      </w:pPr>
      <w:r>
        <w:rPr>
          <w:rtl/>
        </w:rPr>
        <w:tab/>
      </w:r>
      <w:r>
        <w:rPr>
          <w:rtl/>
        </w:rPr>
        <w:tab/>
      </w:r>
      <w:r w:rsidR="00944A3C" w:rsidRPr="00A10A96">
        <w:rPr>
          <w:rtl/>
        </w:rPr>
        <w:t>المحاكم الجنائية الابتدائية</w:t>
      </w:r>
    </w:p>
    <w:p w:rsidR="00944A3C" w:rsidRPr="00A10A96" w:rsidRDefault="00944A3C" w:rsidP="00944A3C">
      <w:pPr>
        <w:pStyle w:val="SingleTxtGA"/>
        <w:rPr>
          <w:rtl/>
        </w:rPr>
      </w:pPr>
      <w:r w:rsidRPr="00A10A96">
        <w:rPr>
          <w:rFonts w:hint="cs"/>
          <w:rtl/>
        </w:rPr>
        <w:t>171</w:t>
      </w:r>
      <w:r w:rsidRPr="00A10A96">
        <w:rPr>
          <w:rtl/>
        </w:rPr>
        <w:t>-</w:t>
      </w:r>
      <w:r w:rsidRPr="00A10A96">
        <w:rPr>
          <w:rtl/>
        </w:rPr>
        <w:tab/>
        <w:t>قاضي التحقيق قاض من قضاة محكمة الدرجة العليا يضطلع بجمع المعلومات اللازمة بشأن الأفعال المعروضة عليه</w:t>
      </w:r>
      <w:r w:rsidRPr="00A10A96">
        <w:rPr>
          <w:rFonts w:hint="cs"/>
          <w:rtl/>
        </w:rPr>
        <w:t xml:space="preserve">. </w:t>
      </w:r>
      <w:r w:rsidRPr="00A10A96">
        <w:rPr>
          <w:rtl/>
        </w:rPr>
        <w:t>وإذا تبين، بعد التحقيق، أن شخص</w:t>
      </w:r>
      <w:r w:rsidR="000A5694">
        <w:rPr>
          <w:rtl/>
        </w:rPr>
        <w:t xml:space="preserve">اً </w:t>
      </w:r>
      <w:r w:rsidRPr="00A10A96">
        <w:rPr>
          <w:rtl/>
        </w:rPr>
        <w:t>ما شارك في ارتكاب هذه الأفعال، وُجهت إليه التهمة للتأكد مما إذا كان ثمة أدلة كافية لإحالته على هيئة قضائية لمحاكمته</w:t>
      </w:r>
      <w:r w:rsidRPr="00A10A96">
        <w:rPr>
          <w:rFonts w:hint="cs"/>
          <w:rtl/>
        </w:rPr>
        <w:t xml:space="preserve">. </w:t>
      </w:r>
      <w:r w:rsidRPr="00A10A96">
        <w:rPr>
          <w:rtl/>
        </w:rPr>
        <w:t>وقد يكون التحقيق إلزامي</w:t>
      </w:r>
      <w:r w:rsidR="000A5694">
        <w:rPr>
          <w:rtl/>
        </w:rPr>
        <w:t xml:space="preserve">اً </w:t>
      </w:r>
      <w:r w:rsidRPr="00A10A96">
        <w:rPr>
          <w:rtl/>
        </w:rPr>
        <w:t>أو اختياري</w:t>
      </w:r>
      <w:r w:rsidR="000A5694">
        <w:rPr>
          <w:rtl/>
        </w:rPr>
        <w:t xml:space="preserve">اً </w:t>
      </w:r>
      <w:r w:rsidRPr="00A10A96">
        <w:rPr>
          <w:rtl/>
        </w:rPr>
        <w:t>أو غير وارد، بحسب خطورة الأفعال</w:t>
      </w:r>
      <w:r w:rsidRPr="00A10A96">
        <w:rPr>
          <w:rFonts w:hint="cs"/>
          <w:rtl/>
        </w:rPr>
        <w:t xml:space="preserve">. </w:t>
      </w:r>
      <w:r w:rsidRPr="00A10A96">
        <w:rPr>
          <w:rtl/>
        </w:rPr>
        <w:t>والقاضي المعني بالنظر في طلبات الإفراج والاحتجاز من كبار القضاة، يتدخل خلال مرحلة التحقيق ليصدر قرار</w:t>
      </w:r>
      <w:r w:rsidR="000A5694">
        <w:rPr>
          <w:rtl/>
        </w:rPr>
        <w:t xml:space="preserve">اً </w:t>
      </w:r>
      <w:r w:rsidRPr="00A10A96">
        <w:rPr>
          <w:rtl/>
        </w:rPr>
        <w:t>باحتجاز المتهم أو الإفراج عنه، إذا كان قيد الحبس الاحتياطي</w:t>
      </w:r>
      <w:r w:rsidRPr="00A10A96">
        <w:rPr>
          <w:rFonts w:hint="cs"/>
          <w:rtl/>
        </w:rPr>
        <w:t>.</w:t>
      </w:r>
    </w:p>
    <w:p w:rsidR="00944A3C" w:rsidRPr="00A10A96" w:rsidRDefault="00944A3C" w:rsidP="00944A3C">
      <w:pPr>
        <w:pStyle w:val="SingleTxtGA"/>
        <w:rPr>
          <w:rtl/>
        </w:rPr>
      </w:pPr>
      <w:r w:rsidRPr="00A10A96">
        <w:rPr>
          <w:rFonts w:hint="cs"/>
          <w:rtl/>
        </w:rPr>
        <w:t>172-</w:t>
      </w:r>
      <w:r w:rsidRPr="00A10A96">
        <w:rPr>
          <w:rFonts w:hint="cs"/>
          <w:rtl/>
        </w:rPr>
        <w:tab/>
      </w:r>
      <w:r w:rsidRPr="00A10A96">
        <w:rPr>
          <w:rtl/>
        </w:rPr>
        <w:t xml:space="preserve">ويختص قاضي </w:t>
      </w:r>
      <w:r w:rsidRPr="00A10A96">
        <w:rPr>
          <w:rFonts w:hint="cs"/>
          <w:rtl/>
        </w:rPr>
        <w:t>القرب ب</w:t>
      </w:r>
      <w:r w:rsidRPr="00A10A96">
        <w:rPr>
          <w:rtl/>
        </w:rPr>
        <w:t xml:space="preserve">إصدار الأحكام بشأن المخالفات المتعلقة بالفئات الأربع الأولى، وتختص محكمة الشرطة، وهي هيئة خاصة تابعة لمحكمة الدرجة الأولى مؤلفة من قاض وحيد، </w:t>
      </w:r>
      <w:r w:rsidRPr="00A10A96">
        <w:rPr>
          <w:rFonts w:hint="cs"/>
          <w:rtl/>
        </w:rPr>
        <w:t>ب</w:t>
      </w:r>
      <w:r w:rsidRPr="00A10A96">
        <w:rPr>
          <w:rtl/>
        </w:rPr>
        <w:t>النظر في المخالفات التي تكون درجة خطورتها أعلى</w:t>
      </w:r>
      <w:r w:rsidRPr="00A10A96">
        <w:rPr>
          <w:rFonts w:hint="cs"/>
          <w:rtl/>
        </w:rPr>
        <w:t xml:space="preserve">. </w:t>
      </w:r>
      <w:r w:rsidRPr="00A10A96">
        <w:rPr>
          <w:rtl/>
        </w:rPr>
        <w:t xml:space="preserve">وتختص محكمة القضايا الإصلاحية، وهي هيئة خاصة تابعة لمحكمة الدرجة العليا، في </w:t>
      </w:r>
      <w:r w:rsidRPr="00A10A96">
        <w:rPr>
          <w:rFonts w:hint="cs"/>
          <w:rtl/>
        </w:rPr>
        <w:t>ب</w:t>
      </w:r>
      <w:r w:rsidRPr="00A10A96">
        <w:rPr>
          <w:rtl/>
        </w:rPr>
        <w:t>إصدار الأحكام في الجنح</w:t>
      </w:r>
      <w:r w:rsidRPr="00A10A96">
        <w:rPr>
          <w:rFonts w:hint="cs"/>
          <w:rtl/>
        </w:rPr>
        <w:t>،</w:t>
      </w:r>
      <w:r w:rsidRPr="00A10A96">
        <w:rPr>
          <w:rtl/>
        </w:rPr>
        <w:t xml:space="preserve"> في حين تبت محكمة الجنايات في الجرائم</w:t>
      </w:r>
      <w:r w:rsidRPr="00A10A96">
        <w:rPr>
          <w:rFonts w:hint="cs"/>
          <w:rtl/>
        </w:rPr>
        <w:t>.</w:t>
      </w:r>
    </w:p>
    <w:p w:rsidR="00944A3C" w:rsidRPr="00A10A96" w:rsidRDefault="00944A3C" w:rsidP="00944A3C">
      <w:pPr>
        <w:pStyle w:val="SingleTxtGA"/>
        <w:rPr>
          <w:rtl/>
        </w:rPr>
      </w:pPr>
      <w:r w:rsidRPr="00A10A96">
        <w:rPr>
          <w:rFonts w:hint="cs"/>
          <w:rtl/>
        </w:rPr>
        <w:t>173-</w:t>
      </w:r>
      <w:r w:rsidRPr="00A10A96">
        <w:rPr>
          <w:rFonts w:hint="cs"/>
          <w:rtl/>
        </w:rPr>
        <w:tab/>
      </w:r>
      <w:r w:rsidRPr="00A10A96">
        <w:rPr>
          <w:rtl/>
        </w:rPr>
        <w:t>ومحكمة الجنايات هيئة قضائية غير دائمة تنعقد إما في مقر محكمة الاستئناف أو في مقر محكمة الدرجة العليا في عاصمة المقاطعة</w:t>
      </w:r>
      <w:r w:rsidRPr="00A10A96">
        <w:rPr>
          <w:rFonts w:hint="cs"/>
          <w:rtl/>
        </w:rPr>
        <w:t xml:space="preserve">. </w:t>
      </w:r>
      <w:r w:rsidRPr="00A10A96">
        <w:rPr>
          <w:rtl/>
        </w:rPr>
        <w:t>وهي مختصة في البت في الجرائم التي يرتكبها الأشخاص البالغون والقاصرون الذين تتراوح أعمارهم بين 16 و18 سنة، ولكنها تخضع لقواعد مختلفة فيما يتعلق بتركيبتها وبإصدار ال</w:t>
      </w:r>
      <w:r w:rsidRPr="00A10A96">
        <w:rPr>
          <w:rFonts w:hint="cs"/>
          <w:rtl/>
        </w:rPr>
        <w:t>عق</w:t>
      </w:r>
      <w:r w:rsidRPr="00A10A96">
        <w:rPr>
          <w:rtl/>
        </w:rPr>
        <w:t>وبات (انظر أدناه)</w:t>
      </w:r>
      <w:r w:rsidRPr="00A10A96">
        <w:rPr>
          <w:rFonts w:hint="cs"/>
          <w:rtl/>
        </w:rPr>
        <w:t xml:space="preserve">. </w:t>
      </w:r>
      <w:r w:rsidRPr="00A10A96">
        <w:rPr>
          <w:rtl/>
        </w:rPr>
        <w:t>وتتألف محكمة الجنايات، في المرحلة الابتدائية، من ثلاثة قضاة محترفين وستة محلفين يُختارون بالقرعة</w:t>
      </w:r>
      <w:r w:rsidRPr="00A10A96">
        <w:rPr>
          <w:rFonts w:hint="cs"/>
          <w:rtl/>
        </w:rPr>
        <w:t xml:space="preserve">. </w:t>
      </w:r>
      <w:r w:rsidRPr="00A10A96">
        <w:rPr>
          <w:rtl/>
        </w:rPr>
        <w:t>ويحاكَم مرتكبو الجرائم الإرهابية أو العسكرية أو المتعلقة بالاتجار بالمخدرات أمام محكمة جنايات خاصة</w:t>
      </w:r>
      <w:r w:rsidRPr="00A10A96">
        <w:rPr>
          <w:rFonts w:hint="cs"/>
          <w:rtl/>
        </w:rPr>
        <w:t xml:space="preserve">. </w:t>
      </w:r>
      <w:r w:rsidRPr="00A10A96">
        <w:rPr>
          <w:rtl/>
        </w:rPr>
        <w:t xml:space="preserve">ويُستعاض </w:t>
      </w:r>
      <w:r w:rsidRPr="00A10A96">
        <w:rPr>
          <w:rFonts w:hint="cs"/>
          <w:rtl/>
        </w:rPr>
        <w:t xml:space="preserve">فيها </w:t>
      </w:r>
      <w:r w:rsidRPr="00A10A96">
        <w:rPr>
          <w:rtl/>
        </w:rPr>
        <w:t>عن المحلفين بقضاة محترفين</w:t>
      </w:r>
      <w:r w:rsidRPr="00A10A96">
        <w:rPr>
          <w:rFonts w:hint="cs"/>
          <w:rtl/>
        </w:rPr>
        <w:t>.</w:t>
      </w:r>
    </w:p>
    <w:p w:rsidR="00944A3C" w:rsidRPr="00A10A96" w:rsidRDefault="00944A3C" w:rsidP="00944A3C">
      <w:pPr>
        <w:pStyle w:val="SingleTxtGA"/>
        <w:rPr>
          <w:rtl/>
        </w:rPr>
      </w:pPr>
      <w:r w:rsidRPr="00A10A96">
        <w:rPr>
          <w:rFonts w:hint="cs"/>
          <w:rtl/>
        </w:rPr>
        <w:t>174-</w:t>
      </w:r>
      <w:r w:rsidRPr="00A10A96">
        <w:rPr>
          <w:rFonts w:hint="cs"/>
          <w:rtl/>
        </w:rPr>
        <w:tab/>
      </w:r>
      <w:r w:rsidRPr="00A10A96">
        <w:rPr>
          <w:rtl/>
        </w:rPr>
        <w:t>وثمة محاكم متخصصة مكلفة بمحاكمة القاصرين</w:t>
      </w:r>
      <w:r w:rsidRPr="00A10A96">
        <w:rPr>
          <w:rFonts w:hint="cs"/>
          <w:rtl/>
        </w:rPr>
        <w:t>:</w:t>
      </w:r>
    </w:p>
    <w:p w:rsidR="00944A3C" w:rsidRPr="00317979" w:rsidRDefault="00944A3C" w:rsidP="000A5694">
      <w:pPr>
        <w:pStyle w:val="Bullet1GA"/>
        <w:bidi/>
      </w:pPr>
      <w:r w:rsidRPr="00317979">
        <w:rPr>
          <w:rtl/>
        </w:rPr>
        <w:t xml:space="preserve">محكمة الأحداث، تتألف من قاضي الأحداث وقاضيين مساعدين يُختارون من بين أشخاص يبلغون ثلاثين سنة أو أكثر من العمر مشهود لهم بالكفاءة </w:t>
      </w:r>
      <w:r w:rsidRPr="00317979">
        <w:rPr>
          <w:rtl/>
        </w:rPr>
        <w:lastRenderedPageBreak/>
        <w:t>فيما</w:t>
      </w:r>
      <w:r w:rsidR="000A5694" w:rsidRPr="00317979">
        <w:rPr>
          <w:rFonts w:hint="cs"/>
          <w:rtl/>
        </w:rPr>
        <w:t> </w:t>
      </w:r>
      <w:r w:rsidRPr="00317979">
        <w:rPr>
          <w:rtl/>
        </w:rPr>
        <w:t>يتعلق بقضايا الطفل</w:t>
      </w:r>
      <w:r w:rsidRPr="00317979">
        <w:rPr>
          <w:rFonts w:hint="cs"/>
          <w:rtl/>
        </w:rPr>
        <w:t xml:space="preserve">. </w:t>
      </w:r>
      <w:r w:rsidRPr="00317979">
        <w:rPr>
          <w:rtl/>
        </w:rPr>
        <w:t>وتملك اختصاص إصدار الأحكام بشأن المخالفات الأكثر خطورة والجنح التي يرتكبها أي شخص يقل عمره عن 18 سنة، والجرائم التي يرتكبها أشخاص يبلغون على الأقل 16 سنة من العمر لدى حدوث الوقائع</w:t>
      </w:r>
      <w:r w:rsidR="00323F71">
        <w:rPr>
          <w:rFonts w:hint="cs"/>
          <w:rtl/>
        </w:rPr>
        <w:t>؛</w:t>
      </w:r>
    </w:p>
    <w:p w:rsidR="00944A3C" w:rsidRPr="00A10A96" w:rsidRDefault="00944A3C" w:rsidP="004414B5">
      <w:pPr>
        <w:pStyle w:val="Bullet1GA"/>
        <w:bidi/>
      </w:pPr>
      <w:r w:rsidRPr="00A10A96">
        <w:rPr>
          <w:rtl/>
        </w:rPr>
        <w:t>قاضي الأحداث: لديه نفس اختصاص محكمة الأحداث، ولكن لا يجوز له إصدار عقوبات</w:t>
      </w:r>
      <w:r w:rsidR="00323F71">
        <w:rPr>
          <w:rFonts w:hint="cs"/>
          <w:rtl/>
        </w:rPr>
        <w:t>؛</w:t>
      </w:r>
    </w:p>
    <w:p w:rsidR="00944A3C" w:rsidRPr="006937DF" w:rsidRDefault="00944A3C" w:rsidP="004414B5">
      <w:pPr>
        <w:pStyle w:val="Bullet1GA"/>
        <w:bidi/>
        <w:rPr>
          <w:spacing w:val="-5"/>
          <w:rtl/>
        </w:rPr>
      </w:pPr>
      <w:r w:rsidRPr="006937DF">
        <w:rPr>
          <w:spacing w:val="-5"/>
          <w:rtl/>
        </w:rPr>
        <w:t>محكمة جنايات الأحداث: تتألف من ثلاثة قضاة هم: رئيس محكمة الجنايات وقاضيان مساعدان، في العادة من قضاة الأحداث</w:t>
      </w:r>
      <w:r w:rsidRPr="006937DF">
        <w:rPr>
          <w:rFonts w:hint="cs"/>
          <w:spacing w:val="-5"/>
          <w:rtl/>
        </w:rPr>
        <w:t xml:space="preserve">. </w:t>
      </w:r>
      <w:r w:rsidRPr="006937DF">
        <w:rPr>
          <w:spacing w:val="-5"/>
          <w:rtl/>
        </w:rPr>
        <w:t>و</w:t>
      </w:r>
      <w:r w:rsidRPr="006937DF">
        <w:rPr>
          <w:rFonts w:hint="cs"/>
          <w:spacing w:val="-5"/>
          <w:rtl/>
        </w:rPr>
        <w:t>ه</w:t>
      </w:r>
      <w:r w:rsidRPr="006937DF">
        <w:rPr>
          <w:spacing w:val="-5"/>
          <w:rtl/>
        </w:rPr>
        <w:t>ي مختصة في القضايا الجنائية المتعلقة بالأشخاص المتراوحة أعمارهم بين 16 و18 سنة لدى حدوث الوقائع</w:t>
      </w:r>
      <w:r w:rsidRPr="006937DF">
        <w:rPr>
          <w:rFonts w:hint="cs"/>
          <w:spacing w:val="-5"/>
          <w:rtl/>
        </w:rPr>
        <w:t>.</w:t>
      </w:r>
    </w:p>
    <w:p w:rsidR="00944A3C" w:rsidRPr="00A10A96" w:rsidRDefault="006937DF" w:rsidP="006937DF">
      <w:pPr>
        <w:pStyle w:val="H56GA"/>
        <w:rPr>
          <w:rtl/>
        </w:rPr>
      </w:pPr>
      <w:r>
        <w:rPr>
          <w:rtl/>
        </w:rPr>
        <w:tab/>
      </w:r>
      <w:r>
        <w:rPr>
          <w:rtl/>
        </w:rPr>
        <w:tab/>
      </w:r>
      <w:r w:rsidR="00944A3C" w:rsidRPr="00A10A96">
        <w:rPr>
          <w:rtl/>
        </w:rPr>
        <w:t xml:space="preserve">المحاكم </w:t>
      </w:r>
      <w:r w:rsidR="00944A3C" w:rsidRPr="00A10A96">
        <w:rPr>
          <w:rFonts w:hint="cs"/>
          <w:rtl/>
        </w:rPr>
        <w:t>العسكرية</w:t>
      </w:r>
    </w:p>
    <w:p w:rsidR="00944A3C" w:rsidRPr="00A10A96" w:rsidRDefault="00944A3C" w:rsidP="00944A3C">
      <w:pPr>
        <w:pStyle w:val="SingleTxtGA"/>
        <w:rPr>
          <w:rtl/>
        </w:rPr>
      </w:pPr>
      <w:r w:rsidRPr="00A10A96">
        <w:rPr>
          <w:rFonts w:hint="cs"/>
          <w:rtl/>
        </w:rPr>
        <w:t>175</w:t>
      </w:r>
      <w:r w:rsidRPr="00A10A96">
        <w:rPr>
          <w:rtl/>
        </w:rPr>
        <w:t>-</w:t>
      </w:r>
      <w:r w:rsidRPr="00A10A96">
        <w:rPr>
          <w:rtl/>
        </w:rPr>
        <w:tab/>
        <w:t>في القضايا المدنية، تضطلع محاكم القوات المسلحة بمهمة القضاء العسكري فيما يتعلق بالقوات المسلحة المتمركزة خارج فرنسا</w:t>
      </w:r>
      <w:r w:rsidRPr="00A10A96">
        <w:rPr>
          <w:rFonts w:hint="cs"/>
          <w:rtl/>
        </w:rPr>
        <w:t>.</w:t>
      </w:r>
    </w:p>
    <w:p w:rsidR="00944A3C" w:rsidRPr="00A10A96" w:rsidRDefault="00944A3C" w:rsidP="00944A3C">
      <w:pPr>
        <w:pStyle w:val="SingleTxtGA"/>
        <w:rPr>
          <w:rtl/>
        </w:rPr>
      </w:pPr>
      <w:r w:rsidRPr="00A10A96">
        <w:rPr>
          <w:rFonts w:hint="cs"/>
          <w:rtl/>
        </w:rPr>
        <w:t>176-</w:t>
      </w:r>
      <w:r w:rsidRPr="00A10A96">
        <w:rPr>
          <w:rFonts w:hint="cs"/>
          <w:rtl/>
        </w:rPr>
        <w:tab/>
      </w:r>
      <w:r w:rsidRPr="00A10A96">
        <w:rPr>
          <w:rtl/>
        </w:rPr>
        <w:t>وفي القضايا الجنائية في أوقات السلم، تملك محكمة للقضايا الإصلاحية ومحكمة للجنايات تُشكَّلان خصيص</w:t>
      </w:r>
      <w:r w:rsidR="000A5694">
        <w:rPr>
          <w:rtl/>
        </w:rPr>
        <w:t xml:space="preserve">اً </w:t>
      </w:r>
      <w:r w:rsidRPr="00A10A96">
        <w:rPr>
          <w:rtl/>
        </w:rPr>
        <w:t>اختصاص إصدار الأحكام</w:t>
      </w:r>
      <w:r w:rsidRPr="00A10A96">
        <w:rPr>
          <w:rFonts w:hint="cs"/>
          <w:rtl/>
        </w:rPr>
        <w:t>،</w:t>
      </w:r>
      <w:r w:rsidRPr="00A10A96">
        <w:rPr>
          <w:rtl/>
        </w:rPr>
        <w:t xml:space="preserve"> داخل دائرة ولاية كل محكمة استئناف</w:t>
      </w:r>
      <w:r w:rsidRPr="00A10A96">
        <w:rPr>
          <w:rFonts w:hint="cs"/>
          <w:rtl/>
        </w:rPr>
        <w:t>،</w:t>
      </w:r>
      <w:r w:rsidRPr="00A10A96">
        <w:rPr>
          <w:rtl/>
        </w:rPr>
        <w:t xml:space="preserve"> بشأن الجرائم والجنح العسكرية أو التي يرتكبها عسكريون (قانون القضاء العسكري)، وبشأن الجرائم والجنح المرتكبة ضد أمن الدولة (قانون الإجراءات الجنائية)</w:t>
      </w:r>
      <w:r w:rsidRPr="00A10A96">
        <w:rPr>
          <w:rFonts w:hint="cs"/>
          <w:rtl/>
        </w:rPr>
        <w:t>.</w:t>
      </w:r>
    </w:p>
    <w:p w:rsidR="00944A3C" w:rsidRPr="00A10A96" w:rsidRDefault="00944A3C" w:rsidP="00944A3C">
      <w:pPr>
        <w:pStyle w:val="SingleTxtGA"/>
        <w:rPr>
          <w:rtl/>
        </w:rPr>
      </w:pPr>
      <w:r w:rsidRPr="00A10A96">
        <w:rPr>
          <w:rFonts w:hint="cs"/>
          <w:rtl/>
        </w:rPr>
        <w:t>177-</w:t>
      </w:r>
      <w:r w:rsidRPr="00A10A96">
        <w:rPr>
          <w:rFonts w:hint="cs"/>
          <w:rtl/>
        </w:rPr>
        <w:tab/>
      </w:r>
      <w:r w:rsidRPr="00A10A96">
        <w:rPr>
          <w:rtl/>
        </w:rPr>
        <w:t>وفي أوقات الحرب، يجوز تشكيل محاكم إقليمية للقوات المسلحة ومحاكم عسكرية للقوات المسلحة، على التوالي لممارسة القضاء العسكري داخل إقليم فرنسا وخارجه</w:t>
      </w:r>
      <w:r w:rsidRPr="00A10A96">
        <w:rPr>
          <w:rFonts w:hint="cs"/>
          <w:rtl/>
        </w:rPr>
        <w:t>.</w:t>
      </w:r>
    </w:p>
    <w:p w:rsidR="00944A3C" w:rsidRPr="00A10A96" w:rsidRDefault="006937DF" w:rsidP="006937DF">
      <w:pPr>
        <w:pStyle w:val="H56GA"/>
        <w:rPr>
          <w:rtl/>
        </w:rPr>
      </w:pPr>
      <w:r>
        <w:rPr>
          <w:rtl/>
        </w:rPr>
        <w:tab/>
      </w:r>
      <w:r>
        <w:rPr>
          <w:rtl/>
        </w:rPr>
        <w:tab/>
      </w:r>
      <w:r w:rsidR="00944A3C" w:rsidRPr="00A10A96">
        <w:rPr>
          <w:rtl/>
        </w:rPr>
        <w:t>محاكم الاستئناف والهيئات الخاصة التابعة لها، محاكم الدرجة العليا</w:t>
      </w:r>
    </w:p>
    <w:p w:rsidR="00944A3C" w:rsidRPr="00A10A96" w:rsidRDefault="00944A3C" w:rsidP="00944A3C">
      <w:pPr>
        <w:pStyle w:val="SingleTxtGA"/>
        <w:rPr>
          <w:rtl/>
        </w:rPr>
      </w:pPr>
      <w:r w:rsidRPr="00A10A96">
        <w:rPr>
          <w:rFonts w:hint="cs"/>
          <w:rtl/>
        </w:rPr>
        <w:t>178</w:t>
      </w:r>
      <w:r w:rsidRPr="00A10A96">
        <w:rPr>
          <w:rtl/>
        </w:rPr>
        <w:t>-</w:t>
      </w:r>
      <w:r w:rsidRPr="00A10A96">
        <w:rPr>
          <w:rtl/>
        </w:rPr>
        <w:tab/>
        <w:t>محاكم الاستئناف هي الهيئات القضائية الوحيدة المختصة في البت في القرارات القابلة للاستئناف الصادرة عن جميع المحاكم المدنية أو الجنائية الابتدائية، العادية أو المتخصصة، داخل ولاياتها القضائية</w:t>
      </w:r>
      <w:r w:rsidRPr="00A10A96">
        <w:rPr>
          <w:rFonts w:hint="cs"/>
          <w:rtl/>
        </w:rPr>
        <w:t>.</w:t>
      </w:r>
    </w:p>
    <w:p w:rsidR="00944A3C" w:rsidRPr="00A10A96" w:rsidRDefault="00944A3C" w:rsidP="00944A3C">
      <w:pPr>
        <w:pStyle w:val="SingleTxtGA"/>
        <w:rPr>
          <w:rtl/>
        </w:rPr>
      </w:pPr>
      <w:r w:rsidRPr="00A10A96">
        <w:rPr>
          <w:rFonts w:hint="cs"/>
          <w:rtl/>
        </w:rPr>
        <w:t>179-</w:t>
      </w:r>
      <w:r w:rsidRPr="00A10A96">
        <w:rPr>
          <w:rFonts w:hint="cs"/>
          <w:rtl/>
        </w:rPr>
        <w:tab/>
      </w:r>
      <w:r w:rsidRPr="00A10A96">
        <w:rPr>
          <w:rtl/>
        </w:rPr>
        <w:t>ودائرة التحقيقات هيئة متخصصة تابعة لمحكمة الاستئناف</w:t>
      </w:r>
      <w:r w:rsidRPr="00A10A96">
        <w:rPr>
          <w:rFonts w:hint="cs"/>
          <w:rtl/>
        </w:rPr>
        <w:t xml:space="preserve">. </w:t>
      </w:r>
      <w:r w:rsidRPr="00A10A96">
        <w:rPr>
          <w:rtl/>
        </w:rPr>
        <w:t>وتنظر في مشروعية إجراءات التحقيق وتبت في طلبات الاستئناف المقدمة ضد الأوامر القضائية التي يصدرها قاضي التحقيق</w:t>
      </w:r>
      <w:r w:rsidRPr="00A10A96">
        <w:rPr>
          <w:rFonts w:hint="cs"/>
          <w:rtl/>
        </w:rPr>
        <w:t xml:space="preserve">. </w:t>
      </w:r>
      <w:r w:rsidRPr="00A10A96">
        <w:rPr>
          <w:rtl/>
        </w:rPr>
        <w:t>كما تنظر في طلبات الاستئناف المقدمة ضد الأوامر التي يصدرها القاضي المعني بالنظر في طلبات الإفراج والاحتجاز</w:t>
      </w:r>
      <w:r w:rsidRPr="00A10A96">
        <w:rPr>
          <w:rFonts w:hint="cs"/>
          <w:rtl/>
        </w:rPr>
        <w:t>.</w:t>
      </w:r>
    </w:p>
    <w:p w:rsidR="00944A3C" w:rsidRPr="009C1D4D" w:rsidRDefault="00944A3C" w:rsidP="00944A3C">
      <w:pPr>
        <w:pStyle w:val="SingleTxtGA"/>
        <w:rPr>
          <w:spacing w:val="-4"/>
          <w:rtl/>
        </w:rPr>
      </w:pPr>
      <w:r w:rsidRPr="00A10A96">
        <w:rPr>
          <w:rFonts w:hint="cs"/>
          <w:rtl/>
        </w:rPr>
        <w:t>180-</w:t>
      </w:r>
      <w:r w:rsidRPr="009C1D4D">
        <w:rPr>
          <w:rFonts w:hint="cs"/>
          <w:spacing w:val="-4"/>
          <w:rtl/>
        </w:rPr>
        <w:tab/>
      </w:r>
      <w:r w:rsidRPr="009C1D4D">
        <w:rPr>
          <w:spacing w:val="-4"/>
          <w:rtl/>
        </w:rPr>
        <w:t xml:space="preserve">ودائرة استئناف </w:t>
      </w:r>
      <w:r w:rsidRPr="009C1D4D">
        <w:rPr>
          <w:rFonts w:hint="cs"/>
          <w:spacing w:val="-4"/>
          <w:rtl/>
        </w:rPr>
        <w:t xml:space="preserve">القضايا </w:t>
      </w:r>
      <w:r w:rsidRPr="009C1D4D">
        <w:rPr>
          <w:spacing w:val="-4"/>
          <w:rtl/>
        </w:rPr>
        <w:t>الإصلاحية هيئة متخصصة تابعة لمحكمة الاستئناف تنظر في طلبات الاستئناف المقدمة ضد الأحكام الصادرة عن محكمة الشرطة ومحكمة القضايا الإصلاحية</w:t>
      </w:r>
      <w:r w:rsidRPr="009C1D4D">
        <w:rPr>
          <w:rFonts w:hint="cs"/>
          <w:spacing w:val="-4"/>
          <w:rtl/>
        </w:rPr>
        <w:t>.</w:t>
      </w:r>
    </w:p>
    <w:p w:rsidR="00944A3C" w:rsidRPr="00A10A96" w:rsidRDefault="00944A3C" w:rsidP="00944A3C">
      <w:pPr>
        <w:pStyle w:val="SingleTxtGA"/>
        <w:rPr>
          <w:rtl/>
        </w:rPr>
      </w:pPr>
      <w:r w:rsidRPr="00A10A96">
        <w:rPr>
          <w:rFonts w:hint="cs"/>
          <w:rtl/>
        </w:rPr>
        <w:t>181-</w:t>
      </w:r>
      <w:r w:rsidRPr="00A10A96">
        <w:rPr>
          <w:rFonts w:hint="cs"/>
          <w:rtl/>
        </w:rPr>
        <w:tab/>
      </w:r>
      <w:r w:rsidRPr="00A10A96">
        <w:rPr>
          <w:rtl/>
        </w:rPr>
        <w:t>ومنذ 1 كانون الثاني/يناير 2001، يجوز الطعن في القرارات الصادرة عن محكمة الجنايات</w:t>
      </w:r>
      <w:r w:rsidRPr="00A10A96">
        <w:rPr>
          <w:rFonts w:hint="cs"/>
          <w:rtl/>
        </w:rPr>
        <w:t xml:space="preserve">. </w:t>
      </w:r>
      <w:r w:rsidRPr="00A10A96">
        <w:rPr>
          <w:rtl/>
        </w:rPr>
        <w:t>ويقدَّم طلب الاستئناف إلى محكمة جنايات أخرى، مؤلفة في هذه الحالة من تسعة محلفين، تعيد النظر في القضية من حيث الوقائع والأسس القانونية</w:t>
      </w:r>
      <w:r w:rsidRPr="00A10A96">
        <w:rPr>
          <w:rFonts w:hint="cs"/>
          <w:rtl/>
        </w:rPr>
        <w:t xml:space="preserve">. </w:t>
      </w:r>
      <w:r w:rsidRPr="00A10A96">
        <w:rPr>
          <w:rtl/>
        </w:rPr>
        <w:t xml:space="preserve">كما يجوز الطعن بالنقض في الحكم الصادر عن محكمة الجنايات التي تعتبر "محكمة </w:t>
      </w:r>
      <w:r w:rsidRPr="00A10A96">
        <w:rPr>
          <w:rFonts w:hint="cs"/>
          <w:rtl/>
        </w:rPr>
        <w:t>ال</w:t>
      </w:r>
      <w:r w:rsidRPr="00A10A96">
        <w:rPr>
          <w:rtl/>
        </w:rPr>
        <w:t>استئناف"</w:t>
      </w:r>
      <w:r w:rsidRPr="00A10A96">
        <w:rPr>
          <w:rStyle w:val="EndnoteReference"/>
          <w:rtl/>
        </w:rPr>
        <w:t>(</w:t>
      </w:r>
      <w:r w:rsidRPr="00A10A96">
        <w:rPr>
          <w:rStyle w:val="EndnoteReference"/>
          <w:rtl/>
        </w:rPr>
        <w:endnoteReference w:id="172"/>
      </w:r>
      <w:r w:rsidRPr="00A10A96">
        <w:rPr>
          <w:rStyle w:val="EndnoteReference"/>
          <w:rtl/>
        </w:rPr>
        <w:t>)</w:t>
      </w:r>
      <w:r w:rsidRPr="00A10A96">
        <w:rPr>
          <w:rFonts w:hint="cs"/>
          <w:rtl/>
        </w:rPr>
        <w:t>.</w:t>
      </w:r>
    </w:p>
    <w:p w:rsidR="00944A3C" w:rsidRPr="00A10A96" w:rsidRDefault="006937DF" w:rsidP="00317979">
      <w:pPr>
        <w:pStyle w:val="H56GA"/>
        <w:spacing w:line="364" w:lineRule="exact"/>
        <w:rPr>
          <w:rtl/>
        </w:rPr>
      </w:pPr>
      <w:r>
        <w:rPr>
          <w:rtl/>
        </w:rPr>
        <w:lastRenderedPageBreak/>
        <w:tab/>
      </w:r>
      <w:r>
        <w:rPr>
          <w:rtl/>
        </w:rPr>
        <w:tab/>
      </w:r>
      <w:r w:rsidR="00944A3C" w:rsidRPr="00A10A96">
        <w:rPr>
          <w:rtl/>
        </w:rPr>
        <w:t>محكمة النقض، المحكمة العليا</w:t>
      </w:r>
    </w:p>
    <w:p w:rsidR="00944A3C" w:rsidRPr="00A10A96" w:rsidRDefault="00944A3C" w:rsidP="00317979">
      <w:pPr>
        <w:pStyle w:val="SingleTxtGA"/>
        <w:spacing w:line="364" w:lineRule="exact"/>
        <w:rPr>
          <w:rtl/>
        </w:rPr>
      </w:pPr>
      <w:r w:rsidRPr="00A10A96">
        <w:rPr>
          <w:rFonts w:hint="cs"/>
          <w:rtl/>
        </w:rPr>
        <w:t>182</w:t>
      </w:r>
      <w:r w:rsidRPr="00A10A96">
        <w:rPr>
          <w:rtl/>
        </w:rPr>
        <w:t>-</w:t>
      </w:r>
      <w:r w:rsidRPr="00A10A96">
        <w:rPr>
          <w:rtl/>
        </w:rPr>
        <w:tab/>
      </w:r>
      <w:r w:rsidRPr="00A10A96">
        <w:rPr>
          <w:rFonts w:hint="cs"/>
          <w:rtl/>
        </w:rPr>
        <w:t xml:space="preserve">هي </w:t>
      </w:r>
      <w:r w:rsidRPr="00A10A96">
        <w:rPr>
          <w:rtl/>
        </w:rPr>
        <w:t>هيئة قضائية توجد في قمة الهرم القضائي، يتمثل دورها في كفالة التفسير الدقيق والموحد للقانون من خلال المراقبة التي تمارسها، بحكم القانون، للقرارات النهائية</w:t>
      </w:r>
      <w:r w:rsidRPr="00A10A96">
        <w:rPr>
          <w:rFonts w:hint="cs"/>
          <w:rtl/>
        </w:rPr>
        <w:t>.</w:t>
      </w:r>
    </w:p>
    <w:p w:rsidR="00944A3C" w:rsidRPr="00A10A96" w:rsidRDefault="006937DF" w:rsidP="005714DA">
      <w:pPr>
        <w:pStyle w:val="H4GA"/>
        <w:spacing w:line="364" w:lineRule="exact"/>
        <w:rPr>
          <w:rtl/>
        </w:rPr>
      </w:pPr>
      <w:r>
        <w:rPr>
          <w:rtl/>
        </w:rPr>
        <w:tab/>
      </w:r>
      <w:r w:rsidR="005714DA">
        <w:rPr>
          <w:rFonts w:hint="cs"/>
          <w:rtl/>
        </w:rPr>
        <w:t>‘</w:t>
      </w:r>
      <w:r w:rsidR="00944A3C" w:rsidRPr="00A10A96">
        <w:rPr>
          <w:rFonts w:hint="cs"/>
          <w:rtl/>
        </w:rPr>
        <w:t>2</w:t>
      </w:r>
      <w:r w:rsidR="005714DA">
        <w:rPr>
          <w:rFonts w:hint="cs"/>
          <w:rtl/>
        </w:rPr>
        <w:t>‘</w:t>
      </w:r>
      <w:r w:rsidR="00944A3C" w:rsidRPr="00A10A96">
        <w:rPr>
          <w:rFonts w:hint="cs"/>
          <w:rtl/>
        </w:rPr>
        <w:tab/>
      </w:r>
      <w:r w:rsidR="00944A3C" w:rsidRPr="00A10A96">
        <w:rPr>
          <w:rtl/>
        </w:rPr>
        <w:t>مبدأ استقلال السلطة القضائية (الباب الثامن من الدستور)</w:t>
      </w:r>
    </w:p>
    <w:p w:rsidR="00944A3C" w:rsidRPr="00A10A96" w:rsidRDefault="00944A3C" w:rsidP="00317979">
      <w:pPr>
        <w:pStyle w:val="SingleTxtGA"/>
        <w:spacing w:line="364" w:lineRule="exact"/>
        <w:rPr>
          <w:rtl/>
        </w:rPr>
      </w:pPr>
      <w:r w:rsidRPr="00A10A96">
        <w:rPr>
          <w:rFonts w:hint="cs"/>
          <w:rtl/>
        </w:rPr>
        <w:t>183</w:t>
      </w:r>
      <w:r w:rsidRPr="00A10A96">
        <w:rPr>
          <w:rtl/>
        </w:rPr>
        <w:t>-</w:t>
      </w:r>
      <w:r w:rsidRPr="00A10A96">
        <w:rPr>
          <w:rtl/>
        </w:rPr>
        <w:tab/>
        <w:t xml:space="preserve">إن استقلال السلطة القضائية، وهو مبدأ ذو </w:t>
      </w:r>
      <w:r w:rsidRPr="00A10A96">
        <w:rPr>
          <w:rFonts w:hint="cs"/>
          <w:rtl/>
        </w:rPr>
        <w:t xml:space="preserve">قيمة </w:t>
      </w:r>
      <w:r w:rsidRPr="00A10A96">
        <w:rPr>
          <w:rtl/>
        </w:rPr>
        <w:t>دستورية، مكفول بموجب الدستور (المادة 64)</w:t>
      </w:r>
      <w:r w:rsidRPr="00A10A96">
        <w:rPr>
          <w:rFonts w:hint="cs"/>
          <w:rtl/>
        </w:rPr>
        <w:t xml:space="preserve">. </w:t>
      </w:r>
      <w:r w:rsidRPr="00A10A96">
        <w:rPr>
          <w:rtl/>
        </w:rPr>
        <w:t>ويرتبط استقلال السلطة القضائية أساس</w:t>
      </w:r>
      <w:r w:rsidR="000A5694">
        <w:rPr>
          <w:rtl/>
        </w:rPr>
        <w:t xml:space="preserve">اً </w:t>
      </w:r>
      <w:r w:rsidRPr="00A10A96">
        <w:rPr>
          <w:rtl/>
        </w:rPr>
        <w:t>بوضع القضاة، ولا سيما قضاة المحاكم</w:t>
      </w:r>
      <w:r w:rsidRPr="00A10A96">
        <w:rPr>
          <w:rFonts w:hint="cs"/>
          <w:rtl/>
        </w:rPr>
        <w:t>.</w:t>
      </w:r>
    </w:p>
    <w:p w:rsidR="00944A3C" w:rsidRPr="00A10A96" w:rsidRDefault="00944A3C" w:rsidP="00317979">
      <w:pPr>
        <w:pStyle w:val="SingleTxtGA"/>
        <w:spacing w:line="364" w:lineRule="exact"/>
        <w:rPr>
          <w:rtl/>
        </w:rPr>
      </w:pPr>
      <w:r w:rsidRPr="00A10A96">
        <w:rPr>
          <w:rFonts w:hint="cs"/>
          <w:rtl/>
        </w:rPr>
        <w:t>184-</w:t>
      </w:r>
      <w:r w:rsidRPr="00A10A96">
        <w:rPr>
          <w:rFonts w:hint="cs"/>
          <w:rtl/>
        </w:rPr>
        <w:tab/>
      </w:r>
      <w:r w:rsidRPr="00A10A96">
        <w:rPr>
          <w:rtl/>
        </w:rPr>
        <w:t>ولا يجوز عزل قضاة المحاكم، وتكفل لهم المادة 64 من الدستور ثبات الوظيفة، وهو ما</w:t>
      </w:r>
      <w:r w:rsidR="000A5694">
        <w:rPr>
          <w:rFonts w:hint="cs"/>
          <w:rtl/>
        </w:rPr>
        <w:t> </w:t>
      </w:r>
      <w:r w:rsidRPr="00A10A96">
        <w:rPr>
          <w:rtl/>
        </w:rPr>
        <w:t>تشير إليه المادة 4 من الأمر رقم 58-1270 المعد</w:t>
      </w:r>
      <w:r w:rsidRPr="00A10A96">
        <w:rPr>
          <w:rFonts w:hint="cs"/>
          <w:rtl/>
        </w:rPr>
        <w:t>َّ</w:t>
      </w:r>
      <w:r w:rsidRPr="00A10A96">
        <w:rPr>
          <w:rtl/>
        </w:rPr>
        <w:t xml:space="preserve">ل </w:t>
      </w:r>
      <w:r w:rsidRPr="00A10A96">
        <w:rPr>
          <w:rFonts w:hint="cs"/>
          <w:rtl/>
        </w:rPr>
        <w:t xml:space="preserve">بشأن </w:t>
      </w:r>
      <w:r w:rsidRPr="00A10A96">
        <w:rPr>
          <w:rtl/>
        </w:rPr>
        <w:t>وضع القضاة المؤرخ 22 كانون الأول/ديسمبر 1958</w:t>
      </w:r>
      <w:r w:rsidRPr="00A10A96">
        <w:rPr>
          <w:rFonts w:hint="cs"/>
          <w:rtl/>
        </w:rPr>
        <w:t xml:space="preserve">. </w:t>
      </w:r>
      <w:r w:rsidRPr="00A10A96">
        <w:rPr>
          <w:rtl/>
        </w:rPr>
        <w:t>وبالتالي، لا يجوز تعيين قاض من قضاة المحاكم في مكان آخر، من دون موافقته، حتى لو تعلق الأمر بترقية</w:t>
      </w:r>
      <w:r w:rsidRPr="00A10A96">
        <w:rPr>
          <w:rFonts w:hint="cs"/>
          <w:rtl/>
        </w:rPr>
        <w:t xml:space="preserve">. </w:t>
      </w:r>
      <w:r w:rsidRPr="00A10A96">
        <w:rPr>
          <w:rtl/>
        </w:rPr>
        <w:t>وعلاوة على ذلك، لا يجوز أن يتلقى القضاة المعنيون تعليمات من أي جهة، ويتخذون قراراتهم بكل حرية خلال ممارسة مهامهم، ضمن الحدود التي ينص عليها القانون، ويجوز للمتقاضي في معظم الحالات أن يطعن في هذه القرارات</w:t>
      </w:r>
      <w:r w:rsidRPr="00A10A96">
        <w:rPr>
          <w:rFonts w:hint="cs"/>
          <w:rtl/>
        </w:rPr>
        <w:t>.</w:t>
      </w:r>
    </w:p>
    <w:p w:rsidR="00944A3C" w:rsidRPr="00A10A96" w:rsidRDefault="00944A3C" w:rsidP="00317979">
      <w:pPr>
        <w:pStyle w:val="SingleTxtGA"/>
        <w:spacing w:line="364" w:lineRule="exact"/>
        <w:rPr>
          <w:rtl/>
        </w:rPr>
      </w:pPr>
      <w:r w:rsidRPr="00A10A96">
        <w:rPr>
          <w:rFonts w:hint="cs"/>
          <w:rtl/>
        </w:rPr>
        <w:t>185-</w:t>
      </w:r>
      <w:r w:rsidRPr="00A10A96">
        <w:rPr>
          <w:rFonts w:hint="cs"/>
          <w:rtl/>
        </w:rPr>
        <w:tab/>
      </w:r>
      <w:r w:rsidRPr="00A10A96">
        <w:rPr>
          <w:rtl/>
        </w:rPr>
        <w:t xml:space="preserve">وتتعلق المادة 5 من الأمر المؤرخ 22 كانون الأول/ديسمبر 1958 </w:t>
      </w:r>
      <w:r w:rsidRPr="00A10A96">
        <w:rPr>
          <w:rFonts w:hint="cs"/>
          <w:rtl/>
        </w:rPr>
        <w:t>بممثلي النيابة العامة. و</w:t>
      </w:r>
      <w:r w:rsidRPr="00A10A96">
        <w:rPr>
          <w:rtl/>
        </w:rPr>
        <w:t>هم ليسوا قضاة</w:t>
      </w:r>
      <w:r w:rsidRPr="00A10A96">
        <w:rPr>
          <w:rFonts w:hint="cs"/>
          <w:rtl/>
        </w:rPr>
        <w:t xml:space="preserve">. </w:t>
      </w:r>
      <w:r w:rsidRPr="00A10A96">
        <w:rPr>
          <w:rtl/>
        </w:rPr>
        <w:t>وبوصفهم أعضاء في النيابة العامة، فهم يباشرون إجراءات الدعوى العامة ويطالبون بتطبيق القانون</w:t>
      </w:r>
      <w:r w:rsidRPr="00A10A96">
        <w:rPr>
          <w:rFonts w:hint="cs"/>
          <w:rtl/>
        </w:rPr>
        <w:t xml:space="preserve">. </w:t>
      </w:r>
      <w:r w:rsidRPr="00A10A96">
        <w:rPr>
          <w:rtl/>
        </w:rPr>
        <w:t>ويتدخلون في القضايا الجنائية دفاع</w:t>
      </w:r>
      <w:r w:rsidR="000A5694">
        <w:rPr>
          <w:rtl/>
        </w:rPr>
        <w:t xml:space="preserve">اً </w:t>
      </w:r>
      <w:r w:rsidRPr="00A10A96">
        <w:rPr>
          <w:rtl/>
        </w:rPr>
        <w:t xml:space="preserve">عن مصلحة المجتمع، وفي القضايا المدنية </w:t>
      </w:r>
      <w:r w:rsidRPr="00A10A96">
        <w:rPr>
          <w:rFonts w:hint="cs"/>
          <w:rtl/>
        </w:rPr>
        <w:t>دفاع</w:t>
      </w:r>
      <w:r w:rsidR="000A5694">
        <w:rPr>
          <w:rFonts w:hint="cs"/>
          <w:rtl/>
        </w:rPr>
        <w:t xml:space="preserve">اً </w:t>
      </w:r>
      <w:r w:rsidRPr="00A10A96">
        <w:rPr>
          <w:rtl/>
        </w:rPr>
        <w:t>عن النظام العام</w:t>
      </w:r>
      <w:r w:rsidRPr="00A10A96">
        <w:rPr>
          <w:rFonts w:hint="cs"/>
          <w:rtl/>
        </w:rPr>
        <w:t>. وهم أيض</w:t>
      </w:r>
      <w:r w:rsidR="000A5694">
        <w:rPr>
          <w:rFonts w:hint="cs"/>
          <w:rtl/>
        </w:rPr>
        <w:t xml:space="preserve">اً </w:t>
      </w:r>
      <w:r w:rsidRPr="00A10A96">
        <w:rPr>
          <w:rtl/>
        </w:rPr>
        <w:t>مكلفون بتنفيذ السياسة الجنائية للحكومة</w:t>
      </w:r>
      <w:r w:rsidRPr="00A10A96">
        <w:rPr>
          <w:rFonts w:hint="cs"/>
          <w:rtl/>
        </w:rPr>
        <w:t xml:space="preserve">. </w:t>
      </w:r>
      <w:r w:rsidRPr="00A10A96">
        <w:rPr>
          <w:rtl/>
        </w:rPr>
        <w:t>وبالتالي، ينص الأمر المؤرخ 22 كانون الأول/ديسمبر 1958 على أن ممثلي النيابة يعملون تحت إشراف ومراقبة رؤسائهم (المدعي العام للجمهورية بالنسبة لمحاكم الدرجة العليا، والمدعي العام بالنسبة لمحاكم الاستئناف ومحكمة النقض) وتحت سلطة وزير العدل</w:t>
      </w:r>
      <w:r w:rsidRPr="00A10A96">
        <w:rPr>
          <w:rFonts w:hint="cs"/>
          <w:rtl/>
        </w:rPr>
        <w:t xml:space="preserve">. </w:t>
      </w:r>
      <w:r w:rsidRPr="00A10A96">
        <w:rPr>
          <w:rtl/>
        </w:rPr>
        <w:t>غير أنه منذ 25 تموز/</w:t>
      </w:r>
      <w:r w:rsidR="009C1D4D">
        <w:rPr>
          <w:rFonts w:hint="cs"/>
          <w:rtl/>
        </w:rPr>
        <w:t xml:space="preserve"> </w:t>
      </w:r>
      <w:r w:rsidRPr="00A10A96">
        <w:rPr>
          <w:rtl/>
        </w:rPr>
        <w:t>يوليه</w:t>
      </w:r>
      <w:r w:rsidR="009C1D4D">
        <w:rPr>
          <w:rFonts w:hint="cs"/>
          <w:rtl/>
        </w:rPr>
        <w:t> </w:t>
      </w:r>
      <w:r w:rsidRPr="00A10A96">
        <w:rPr>
          <w:rtl/>
        </w:rPr>
        <w:t>2013، لم يعد من الجائز أن يتلقوا تعليمات من أي جهة في القضايا الفردية</w:t>
      </w:r>
      <w:r w:rsidRPr="00A10A96">
        <w:rPr>
          <w:rStyle w:val="EndnoteReference"/>
          <w:rtl/>
        </w:rPr>
        <w:t>(</w:t>
      </w:r>
      <w:r w:rsidRPr="00A10A96">
        <w:rPr>
          <w:rStyle w:val="EndnoteReference"/>
          <w:rtl/>
        </w:rPr>
        <w:endnoteReference w:id="173"/>
      </w:r>
      <w:r w:rsidRPr="00A10A96">
        <w:rPr>
          <w:rStyle w:val="EndnoteReference"/>
          <w:rtl/>
        </w:rPr>
        <w:t>)</w:t>
      </w:r>
      <w:r w:rsidRPr="00A10A96">
        <w:rPr>
          <w:rtl/>
        </w:rPr>
        <w:t>، ويجوز لهم إبداء آرائهم بكل حرية خلال جلسات الاستماع</w:t>
      </w:r>
      <w:r w:rsidRPr="00A10A96">
        <w:rPr>
          <w:rFonts w:hint="cs"/>
          <w:rtl/>
        </w:rPr>
        <w:t>.</w:t>
      </w:r>
    </w:p>
    <w:p w:rsidR="00944A3C" w:rsidRPr="00A10A96" w:rsidRDefault="006937DF" w:rsidP="005714DA">
      <w:pPr>
        <w:pStyle w:val="H4GA"/>
        <w:spacing w:line="364" w:lineRule="exact"/>
        <w:rPr>
          <w:rtl/>
        </w:rPr>
      </w:pPr>
      <w:r>
        <w:rPr>
          <w:rtl/>
        </w:rPr>
        <w:tab/>
      </w:r>
      <w:r w:rsidR="005714DA">
        <w:rPr>
          <w:rFonts w:hint="cs"/>
          <w:rtl/>
        </w:rPr>
        <w:t>‘</w:t>
      </w:r>
      <w:r w:rsidR="00944A3C" w:rsidRPr="00A10A96">
        <w:rPr>
          <w:rFonts w:hint="cs"/>
          <w:rtl/>
        </w:rPr>
        <w:t>3</w:t>
      </w:r>
      <w:r w:rsidR="005714DA">
        <w:rPr>
          <w:rFonts w:hint="cs"/>
          <w:rtl/>
        </w:rPr>
        <w:t>‘</w:t>
      </w:r>
      <w:r w:rsidR="00944A3C" w:rsidRPr="00A10A96">
        <w:rPr>
          <w:rFonts w:hint="cs"/>
          <w:rtl/>
        </w:rPr>
        <w:tab/>
      </w:r>
      <w:r w:rsidR="00944A3C" w:rsidRPr="00A10A96">
        <w:rPr>
          <w:rtl/>
        </w:rPr>
        <w:t xml:space="preserve">المجلس </w:t>
      </w:r>
      <w:r w:rsidR="00944A3C" w:rsidRPr="00A10A96">
        <w:rPr>
          <w:rFonts w:hint="cs"/>
          <w:rtl/>
        </w:rPr>
        <w:t xml:space="preserve">الأعلى </w:t>
      </w:r>
      <w:r w:rsidR="00944A3C" w:rsidRPr="00A10A96">
        <w:rPr>
          <w:rtl/>
        </w:rPr>
        <w:t>للقضاء</w:t>
      </w:r>
    </w:p>
    <w:p w:rsidR="00944A3C" w:rsidRPr="006937DF" w:rsidRDefault="00944A3C" w:rsidP="00317979">
      <w:pPr>
        <w:pStyle w:val="SingleTxtGA"/>
        <w:spacing w:line="364" w:lineRule="exact"/>
        <w:rPr>
          <w:spacing w:val="-3"/>
          <w:rtl/>
        </w:rPr>
      </w:pPr>
      <w:r w:rsidRPr="00A10A96">
        <w:rPr>
          <w:rFonts w:hint="cs"/>
          <w:rtl/>
        </w:rPr>
        <w:t>186</w:t>
      </w:r>
      <w:r w:rsidRPr="006937DF">
        <w:rPr>
          <w:spacing w:val="-3"/>
          <w:rtl/>
        </w:rPr>
        <w:t>-</w:t>
      </w:r>
      <w:r w:rsidRPr="006937DF">
        <w:rPr>
          <w:spacing w:val="-3"/>
          <w:rtl/>
        </w:rPr>
        <w:tab/>
        <w:t>يشارك المجلس الأعلى للقضاء، المنشأ بموجب الدستور، في تعيين القضاة من خلال تقديم اقتراح إلى رئيس الجمهورية (عندما يتعلق الأمر بقضاة محكمة النقض، أو بالرئيس الأول لمحكمة الاستئناف أو رئيس محكمة الدرجة العليا)، أو إصدار رأي موافق (عندما يتعلق الأمر بالقضاة الآخرين) أو رأي عادي (عندما يتعلق الأمر بأعضاء النيابة العامة، باستثناء المدعين العامين)</w:t>
      </w:r>
      <w:r w:rsidRPr="006937DF">
        <w:rPr>
          <w:rFonts w:hint="cs"/>
          <w:spacing w:val="-3"/>
          <w:rtl/>
        </w:rPr>
        <w:t>.</w:t>
      </w:r>
    </w:p>
    <w:p w:rsidR="00944A3C" w:rsidRPr="00A10A96" w:rsidRDefault="00944A3C" w:rsidP="00317979">
      <w:pPr>
        <w:pStyle w:val="SingleTxtGA"/>
        <w:spacing w:line="364" w:lineRule="exact"/>
        <w:rPr>
          <w:rtl/>
        </w:rPr>
      </w:pPr>
      <w:r w:rsidRPr="00A10A96">
        <w:rPr>
          <w:rFonts w:hint="cs"/>
          <w:rtl/>
        </w:rPr>
        <w:t>187-</w:t>
      </w:r>
      <w:r w:rsidRPr="00A10A96">
        <w:rPr>
          <w:rFonts w:hint="cs"/>
          <w:rtl/>
        </w:rPr>
        <w:tab/>
      </w:r>
      <w:r w:rsidRPr="00A10A96">
        <w:rPr>
          <w:rtl/>
        </w:rPr>
        <w:t>ولوزير العدل وحده أن يباشر الإجراءات التأديبية</w:t>
      </w:r>
      <w:r w:rsidRPr="00A10A96">
        <w:rPr>
          <w:rFonts w:hint="cs"/>
          <w:rtl/>
        </w:rPr>
        <w:t xml:space="preserve">. </w:t>
      </w:r>
      <w:r w:rsidRPr="00A10A96">
        <w:rPr>
          <w:rtl/>
        </w:rPr>
        <w:t xml:space="preserve">وينص الدستور بصيغته </w:t>
      </w:r>
      <w:r w:rsidRPr="00A10A96">
        <w:rPr>
          <w:rFonts w:hint="cs"/>
          <w:rtl/>
        </w:rPr>
        <w:t xml:space="preserve">المنبثقة عن </w:t>
      </w:r>
      <w:r w:rsidRPr="00A10A96">
        <w:rPr>
          <w:rtl/>
        </w:rPr>
        <w:t>القانون الدستوري رقم 93-952 المؤرخ 27 تموز/يوليه 1993 بشأن تنقيح الدستور، والقانون التنظيمي المؤرخ 5 شباط/فبراير 1994 المعدل للنظام الأساسي للقضاء، على أن المجلس الأعلى للقضاء يتدخل في المسائل التأديبية، مُتبع</w:t>
      </w:r>
      <w:r w:rsidR="000A5694">
        <w:rPr>
          <w:rtl/>
        </w:rPr>
        <w:t xml:space="preserve">اً </w:t>
      </w:r>
      <w:r w:rsidRPr="00A10A96">
        <w:rPr>
          <w:rtl/>
        </w:rPr>
        <w:t>نهجين مختلفين بحسب ما إذا كان الأمر يتعلق بقاض أو بممثل للنيابة العامة</w:t>
      </w:r>
      <w:r w:rsidRPr="00A10A96">
        <w:rPr>
          <w:rFonts w:hint="cs"/>
          <w:rtl/>
        </w:rPr>
        <w:t xml:space="preserve">. </w:t>
      </w:r>
      <w:r w:rsidRPr="00A10A96">
        <w:rPr>
          <w:rtl/>
        </w:rPr>
        <w:t>وتجري إجراءات المحاكمة الحضورية في جلسة سرية</w:t>
      </w:r>
      <w:r w:rsidRPr="00A10A96">
        <w:rPr>
          <w:rFonts w:hint="cs"/>
          <w:rtl/>
        </w:rPr>
        <w:t xml:space="preserve">. وتبت </w:t>
      </w:r>
      <w:r w:rsidRPr="00A10A96">
        <w:rPr>
          <w:rtl/>
        </w:rPr>
        <w:t>هيئة المجلس الأعلى للقضاء المختصة في شؤون قضاة المحاكم</w:t>
      </w:r>
      <w:r w:rsidRPr="00A10A96">
        <w:rPr>
          <w:rFonts w:hint="cs"/>
          <w:rtl/>
        </w:rPr>
        <w:t>،</w:t>
      </w:r>
      <w:r w:rsidRPr="00A10A96">
        <w:rPr>
          <w:rtl/>
        </w:rPr>
        <w:t xml:space="preserve"> </w:t>
      </w:r>
      <w:r w:rsidRPr="00A10A96">
        <w:rPr>
          <w:rFonts w:hint="cs"/>
          <w:rtl/>
        </w:rPr>
        <w:t xml:space="preserve">بوصفها </w:t>
      </w:r>
      <w:r w:rsidRPr="00A10A96">
        <w:rPr>
          <w:rtl/>
        </w:rPr>
        <w:t>المجلس التأديبي</w:t>
      </w:r>
      <w:r w:rsidRPr="00A10A96">
        <w:rPr>
          <w:rFonts w:hint="cs"/>
          <w:rtl/>
        </w:rPr>
        <w:t>،</w:t>
      </w:r>
      <w:r w:rsidRPr="00A10A96">
        <w:rPr>
          <w:rtl/>
        </w:rPr>
        <w:t xml:space="preserve"> </w:t>
      </w:r>
      <w:r w:rsidRPr="00A10A96">
        <w:rPr>
          <w:rFonts w:hint="cs"/>
          <w:rtl/>
        </w:rPr>
        <w:t xml:space="preserve">في القضايا المتعلقة بهم. </w:t>
      </w:r>
      <w:r w:rsidRPr="00A10A96">
        <w:rPr>
          <w:rtl/>
        </w:rPr>
        <w:t xml:space="preserve">وقرارها قابل </w:t>
      </w:r>
      <w:r w:rsidRPr="00A10A96">
        <w:rPr>
          <w:rFonts w:hint="cs"/>
          <w:rtl/>
        </w:rPr>
        <w:t xml:space="preserve">للطعن </w:t>
      </w:r>
      <w:r w:rsidRPr="00A10A96">
        <w:rPr>
          <w:rtl/>
        </w:rPr>
        <w:t>أمام مجلس الدولة</w:t>
      </w:r>
      <w:r w:rsidRPr="00A10A96">
        <w:rPr>
          <w:rFonts w:hint="cs"/>
          <w:rtl/>
        </w:rPr>
        <w:t xml:space="preserve">. </w:t>
      </w:r>
      <w:r w:rsidRPr="00A10A96">
        <w:rPr>
          <w:rtl/>
        </w:rPr>
        <w:t>وتبدي هيئة المجلس الأعلى للقضاء المختصة في شؤون أعضاء النيابة العامة رأيها بشأن العقوبات التأديبية المتعلقة بهم</w:t>
      </w:r>
      <w:r w:rsidRPr="00A10A96">
        <w:rPr>
          <w:rFonts w:hint="cs"/>
          <w:rtl/>
        </w:rPr>
        <w:t xml:space="preserve">. </w:t>
      </w:r>
      <w:r w:rsidRPr="00A10A96">
        <w:rPr>
          <w:rtl/>
        </w:rPr>
        <w:t>والقرار الذي يتخذه وزير العدل قابل للطعن أمام مجلس الدولة</w:t>
      </w:r>
      <w:r w:rsidRPr="00A10A96">
        <w:rPr>
          <w:rFonts w:hint="cs"/>
          <w:rtl/>
        </w:rPr>
        <w:t>.</w:t>
      </w:r>
    </w:p>
    <w:p w:rsidR="00944A3C" w:rsidRPr="00A10A96" w:rsidRDefault="00944A3C" w:rsidP="009C1D4D">
      <w:pPr>
        <w:pStyle w:val="H23GA"/>
        <w:rPr>
          <w:rtl/>
        </w:rPr>
      </w:pPr>
      <w:r w:rsidRPr="00A10A96">
        <w:rPr>
          <w:rFonts w:hint="cs"/>
          <w:rtl/>
        </w:rPr>
        <w:lastRenderedPageBreak/>
        <w:tab/>
        <w:t>(ج)</w:t>
      </w:r>
      <w:r w:rsidRPr="00A10A96">
        <w:rPr>
          <w:rtl/>
        </w:rPr>
        <w:tab/>
      </w:r>
      <w:r w:rsidRPr="00A10A96">
        <w:rPr>
          <w:rFonts w:hint="cs"/>
          <w:rtl/>
        </w:rPr>
        <w:t>القضاء الإداري</w:t>
      </w:r>
    </w:p>
    <w:p w:rsidR="00944A3C" w:rsidRPr="00A10A96" w:rsidRDefault="00944A3C" w:rsidP="00944A3C">
      <w:pPr>
        <w:pStyle w:val="SingleTxtGA"/>
        <w:rPr>
          <w:rtl/>
        </w:rPr>
      </w:pPr>
      <w:r w:rsidRPr="00A10A96">
        <w:rPr>
          <w:rFonts w:hint="cs"/>
          <w:rtl/>
        </w:rPr>
        <w:t>188</w:t>
      </w:r>
      <w:r w:rsidRPr="00A10A96">
        <w:rPr>
          <w:rtl/>
        </w:rPr>
        <w:t>-</w:t>
      </w:r>
      <w:r w:rsidRPr="00A10A96">
        <w:rPr>
          <w:rtl/>
        </w:rPr>
        <w:tab/>
        <w:t xml:space="preserve">يصدر كل من المحاكم الإدارية ومحاكم الاستئناف الإدارية ومجلس الدولة الأحكام في المنازعات بين الأفراد والسلطات العامة (الحكومة أو الجماعات </w:t>
      </w:r>
      <w:r w:rsidRPr="00A10A96">
        <w:rPr>
          <w:rFonts w:hint="cs"/>
          <w:rtl/>
        </w:rPr>
        <w:t xml:space="preserve">الإقليمية </w:t>
      </w:r>
      <w:r w:rsidRPr="00A10A96">
        <w:rPr>
          <w:rtl/>
        </w:rPr>
        <w:t>أو الهيئات المستقلة أو المؤسسات العامة)</w:t>
      </w:r>
      <w:r w:rsidRPr="00A10A96">
        <w:rPr>
          <w:rFonts w:hint="cs"/>
          <w:rtl/>
        </w:rPr>
        <w:t xml:space="preserve">. </w:t>
      </w:r>
      <w:r w:rsidRPr="00A10A96">
        <w:rPr>
          <w:rtl/>
        </w:rPr>
        <w:t>وتكفل مراقبة الإدارة احترام</w:t>
      </w:r>
      <w:r w:rsidRPr="00A10A96">
        <w:rPr>
          <w:rFonts w:hint="cs"/>
          <w:rtl/>
        </w:rPr>
        <w:t>َ</w:t>
      </w:r>
      <w:r w:rsidRPr="00A10A96">
        <w:rPr>
          <w:rtl/>
        </w:rPr>
        <w:t xml:space="preserve"> مبدأ الشرعية، وهو أساس القانون الإداري وشرط</w:t>
      </w:r>
      <w:r w:rsidRPr="00A10A96">
        <w:rPr>
          <w:rFonts w:hint="cs"/>
          <w:rtl/>
        </w:rPr>
        <w:t>ٌ</w:t>
      </w:r>
      <w:r w:rsidRPr="00A10A96">
        <w:rPr>
          <w:rtl/>
        </w:rPr>
        <w:t xml:space="preserve"> لا بد منه لسيادة القانون</w:t>
      </w:r>
      <w:r w:rsidRPr="00A10A96">
        <w:rPr>
          <w:rFonts w:hint="cs"/>
          <w:rtl/>
        </w:rPr>
        <w:t xml:space="preserve">. </w:t>
      </w:r>
      <w:r w:rsidRPr="00A10A96">
        <w:rPr>
          <w:rtl/>
        </w:rPr>
        <w:t>وقد كرس القانون المؤرخ 16 و24 آب/أغسطس 1790 مبدأ الفصل بين السلطات الإدارية والقضائية</w:t>
      </w:r>
      <w:r w:rsidRPr="00A10A96">
        <w:rPr>
          <w:rFonts w:hint="cs"/>
          <w:rtl/>
        </w:rPr>
        <w:t>.</w:t>
      </w:r>
      <w:r w:rsidRPr="00A10A96">
        <w:rPr>
          <w:rtl/>
        </w:rPr>
        <w:t xml:space="preserve"> ويعني هذا المبدأ أن مراقبة الإدارة ليست من اختصاص الهيئات القضائية بل من اختصاص المحاكم الإدارية</w:t>
      </w:r>
      <w:r w:rsidRPr="00A10A96">
        <w:rPr>
          <w:rFonts w:hint="cs"/>
          <w:rtl/>
        </w:rPr>
        <w:t xml:space="preserve">. </w:t>
      </w:r>
      <w:r w:rsidRPr="00A10A96">
        <w:rPr>
          <w:rtl/>
        </w:rPr>
        <w:t xml:space="preserve">وثنائية النظام القضائي هذه نتيجة منطقية للتقسيم الرئيسي للقانون الفرنسي إلى قانون خاص وقانون عام، </w:t>
      </w:r>
      <w:r w:rsidRPr="00A10A96">
        <w:rPr>
          <w:rFonts w:hint="cs"/>
          <w:rtl/>
        </w:rPr>
        <w:t xml:space="preserve">وتجسد </w:t>
      </w:r>
      <w:r w:rsidRPr="00A10A96">
        <w:rPr>
          <w:rtl/>
        </w:rPr>
        <w:t>المفهوم الفرنسي للفصل بين السلطات</w:t>
      </w:r>
      <w:r w:rsidRPr="00A10A96">
        <w:rPr>
          <w:rFonts w:hint="cs"/>
          <w:rtl/>
        </w:rPr>
        <w:t>.</w:t>
      </w:r>
    </w:p>
    <w:p w:rsidR="00944A3C" w:rsidRPr="00A10A96" w:rsidRDefault="00944A3C" w:rsidP="00944A3C">
      <w:pPr>
        <w:pStyle w:val="SingleTxtGA"/>
        <w:rPr>
          <w:rtl/>
        </w:rPr>
      </w:pPr>
      <w:r w:rsidRPr="00A10A96">
        <w:rPr>
          <w:rFonts w:hint="cs"/>
          <w:rtl/>
        </w:rPr>
        <w:t>189-</w:t>
      </w:r>
      <w:r w:rsidRPr="00A10A96">
        <w:rPr>
          <w:rFonts w:hint="cs"/>
          <w:rtl/>
        </w:rPr>
        <w:tab/>
      </w:r>
      <w:r w:rsidRPr="00A10A96">
        <w:rPr>
          <w:rtl/>
        </w:rPr>
        <w:t>والمجلس الأعلى للدولة، وهو المحكمة الإدارية العليا، أول محكمة إدارية</w:t>
      </w:r>
      <w:r w:rsidRPr="00A10A96">
        <w:rPr>
          <w:rFonts w:hint="cs"/>
          <w:rtl/>
        </w:rPr>
        <w:t>،</w:t>
      </w:r>
      <w:r w:rsidRPr="00A10A96">
        <w:rPr>
          <w:rtl/>
        </w:rPr>
        <w:t xml:space="preserve"> </w:t>
      </w:r>
      <w:r w:rsidRPr="00A10A96">
        <w:rPr>
          <w:rFonts w:hint="cs"/>
          <w:rtl/>
        </w:rPr>
        <w:t xml:space="preserve">وقد </w:t>
      </w:r>
      <w:r w:rsidRPr="00A10A96">
        <w:rPr>
          <w:rtl/>
        </w:rPr>
        <w:t>أنشئت في عام 1799</w:t>
      </w:r>
      <w:r w:rsidRPr="00A10A96">
        <w:rPr>
          <w:rFonts w:hint="cs"/>
          <w:rtl/>
        </w:rPr>
        <w:t xml:space="preserve">. </w:t>
      </w:r>
      <w:r w:rsidRPr="00A10A96">
        <w:rPr>
          <w:rtl/>
        </w:rPr>
        <w:t>وقبل عام 1872، كان القضاء يوصف بأنه مقيد: فقد كانت قرارات مجلس الدولة لا تنفذ ما لم يوقع عليها رئيس الدولة</w:t>
      </w:r>
      <w:r w:rsidRPr="00A10A96">
        <w:rPr>
          <w:rFonts w:hint="cs"/>
          <w:rtl/>
        </w:rPr>
        <w:t xml:space="preserve">. </w:t>
      </w:r>
      <w:r w:rsidRPr="00A10A96">
        <w:rPr>
          <w:rtl/>
        </w:rPr>
        <w:t>وبصدور القانون المؤرخ 24 أيار/مايو 1872، كُرس بشكل نهائي نظام القضاء المفوض: فقد أصبحت قرارات مجلس الدولة نافذة منذ لحظة تلاوتها، ولم يعد من اللازم أن يوقع عليها رئيس الدولة</w:t>
      </w:r>
      <w:r w:rsidRPr="00A10A96">
        <w:rPr>
          <w:rStyle w:val="EndnoteReference"/>
          <w:rtl/>
        </w:rPr>
        <w:t>(</w:t>
      </w:r>
      <w:r w:rsidRPr="00A10A96">
        <w:rPr>
          <w:rStyle w:val="EndnoteReference"/>
          <w:rtl/>
        </w:rPr>
        <w:endnoteReference w:id="174"/>
      </w:r>
      <w:r w:rsidRPr="00A10A96">
        <w:rPr>
          <w:rStyle w:val="EndnoteReference"/>
          <w:rtl/>
        </w:rPr>
        <w:t>)</w:t>
      </w:r>
      <w:r w:rsidRPr="00A10A96">
        <w:rPr>
          <w:rFonts w:hint="cs"/>
          <w:rtl/>
        </w:rPr>
        <w:t xml:space="preserve">. </w:t>
      </w:r>
      <w:r w:rsidRPr="00A10A96">
        <w:rPr>
          <w:rtl/>
        </w:rPr>
        <w:t xml:space="preserve">ومنذ ذلك الحين، يصدر القاضي الإداري نفسه القرارات، </w:t>
      </w:r>
      <w:r w:rsidRPr="00323F71">
        <w:rPr>
          <w:i/>
          <w:iCs/>
          <w:rtl/>
        </w:rPr>
        <w:t>"باسم الشعب الفرنسي"</w:t>
      </w:r>
      <w:r w:rsidRPr="00A10A96">
        <w:rPr>
          <w:rFonts w:hint="cs"/>
          <w:rtl/>
        </w:rPr>
        <w:t xml:space="preserve">. </w:t>
      </w:r>
      <w:r w:rsidRPr="00A10A96">
        <w:rPr>
          <w:rtl/>
        </w:rPr>
        <w:t xml:space="preserve">وقد أدرج المجلس الدستوري </w:t>
      </w:r>
      <w:r w:rsidRPr="00A10A96">
        <w:rPr>
          <w:rFonts w:hint="cs"/>
          <w:rtl/>
        </w:rPr>
        <w:t>ال</w:t>
      </w:r>
      <w:r w:rsidRPr="00A10A96">
        <w:rPr>
          <w:rtl/>
        </w:rPr>
        <w:t xml:space="preserve">مبادئ </w:t>
      </w:r>
      <w:r w:rsidRPr="00A10A96">
        <w:rPr>
          <w:rFonts w:hint="cs"/>
          <w:rtl/>
        </w:rPr>
        <w:t>المتعلقة ب</w:t>
      </w:r>
      <w:r w:rsidRPr="00A10A96">
        <w:rPr>
          <w:rtl/>
        </w:rPr>
        <w:t xml:space="preserve">استقلال القضاء الإداري (القرار رقم 80-119 </w:t>
      </w:r>
      <w:r w:rsidRPr="00A10A96">
        <w:t>DC</w:t>
      </w:r>
      <w:r w:rsidRPr="00A10A96">
        <w:rPr>
          <w:rtl/>
        </w:rPr>
        <w:t xml:space="preserve"> المؤرخ 22 تموز/يوليه 1980، الفقرة 6) و</w:t>
      </w:r>
      <w:r w:rsidRPr="00A10A96">
        <w:rPr>
          <w:rFonts w:hint="cs"/>
          <w:rtl/>
        </w:rPr>
        <w:t>ب</w:t>
      </w:r>
      <w:r w:rsidRPr="00A10A96">
        <w:rPr>
          <w:rtl/>
        </w:rPr>
        <w:t>اختصاص</w:t>
      </w:r>
      <w:r w:rsidRPr="00A10A96">
        <w:rPr>
          <w:rFonts w:hint="cs"/>
          <w:rtl/>
        </w:rPr>
        <w:t>ه</w:t>
      </w:r>
      <w:r w:rsidRPr="00A10A96">
        <w:rPr>
          <w:rtl/>
        </w:rPr>
        <w:t xml:space="preserve"> الحصري في إلغاء قرارات السلطة السيادية (القرار رقم 86-224 </w:t>
      </w:r>
      <w:r w:rsidRPr="00A10A96">
        <w:t>DC</w:t>
      </w:r>
      <w:r w:rsidRPr="00A10A96">
        <w:rPr>
          <w:rtl/>
        </w:rPr>
        <w:t xml:space="preserve"> المؤرخ 23 كانون الثاني/يناير 1987، الفقرة 15) في "مجموعة القوانين الدستورية" من خلال الاعتراف لها بقيمة المبدأ الأساسي الذي تعترف به قوانين الجمهورية</w:t>
      </w:r>
      <w:r w:rsidRPr="00A10A96">
        <w:rPr>
          <w:rFonts w:hint="cs"/>
          <w:rtl/>
        </w:rPr>
        <w:t xml:space="preserve">. </w:t>
      </w:r>
      <w:r w:rsidRPr="00A10A96">
        <w:rPr>
          <w:rtl/>
        </w:rPr>
        <w:t>وبالإضافة إلى هذا الإصلاح الجوهري، واصلت التحسينات</w:t>
      </w:r>
      <w:r w:rsidRPr="00A10A96">
        <w:rPr>
          <w:rFonts w:hint="cs"/>
          <w:rtl/>
        </w:rPr>
        <w:t>ُ</w:t>
      </w:r>
      <w:r w:rsidRPr="00A10A96">
        <w:rPr>
          <w:rtl/>
        </w:rPr>
        <w:t xml:space="preserve"> التي توالت منذ عام 1872، التشريعية أو التنظيمية أو القضائية، مسار التقدم الذي عزز استقلال القضاء الإداري ونوعيته (التوظيف، ووضع أعضاء المحاكم الإدارية، وتنظيم هيئات المنازعات وتركيبتها، وما إلى ذلك)</w:t>
      </w:r>
      <w:r w:rsidRPr="00A10A96">
        <w:rPr>
          <w:rFonts w:hint="cs"/>
          <w:rtl/>
        </w:rPr>
        <w:t xml:space="preserve">. </w:t>
      </w:r>
      <w:r w:rsidRPr="00A10A96">
        <w:rPr>
          <w:rtl/>
        </w:rPr>
        <w:t>ولا تقوض هذا الاستقلالَ ممارسةُ مجلس الدولة لمهام إدارية بوصفه مجلس السلطة التنفيذية</w:t>
      </w:r>
      <w:r w:rsidRPr="00A10A96">
        <w:rPr>
          <w:rFonts w:hint="cs"/>
          <w:rtl/>
        </w:rPr>
        <w:t>،</w:t>
      </w:r>
      <w:r w:rsidRPr="00A10A96">
        <w:rPr>
          <w:rtl/>
        </w:rPr>
        <w:t xml:space="preserve"> لأنه لا يجوز لأعضا</w:t>
      </w:r>
      <w:r w:rsidRPr="00A10A96">
        <w:rPr>
          <w:rFonts w:hint="cs"/>
          <w:rtl/>
        </w:rPr>
        <w:t>ئه</w:t>
      </w:r>
      <w:r w:rsidRPr="00A10A96">
        <w:rPr>
          <w:rtl/>
        </w:rPr>
        <w:t xml:space="preserve"> الذين كان لهم دور في مناقشة رأي ما (الوظيفة الإدارية) المشاركة في إصدار الأحكام بشأن الطعون المقدمة ضد القرارات المتخذة على أساس ذلك الرأي (الوظيفة القضائية)</w:t>
      </w:r>
      <w:r w:rsidRPr="00A10A96">
        <w:rPr>
          <w:rStyle w:val="EndnoteReference"/>
          <w:rtl/>
        </w:rPr>
        <w:t>(</w:t>
      </w:r>
      <w:r w:rsidRPr="00A10A96">
        <w:rPr>
          <w:rStyle w:val="EndnoteReference"/>
          <w:rtl/>
        </w:rPr>
        <w:endnoteReference w:id="175"/>
      </w:r>
      <w:r w:rsidRPr="00A10A96">
        <w:rPr>
          <w:rStyle w:val="EndnoteReference"/>
          <w:rtl/>
        </w:rPr>
        <w:t>)</w:t>
      </w:r>
      <w:r w:rsidRPr="00A10A96">
        <w:rPr>
          <w:rFonts w:hint="cs"/>
          <w:rtl/>
        </w:rPr>
        <w:t>.</w:t>
      </w:r>
    </w:p>
    <w:p w:rsidR="00944A3C" w:rsidRPr="00A10A96" w:rsidRDefault="00944A3C" w:rsidP="00944A3C">
      <w:pPr>
        <w:pStyle w:val="SingleTxtGA"/>
        <w:rPr>
          <w:rtl/>
        </w:rPr>
      </w:pPr>
      <w:r w:rsidRPr="00A10A96">
        <w:rPr>
          <w:rFonts w:hint="cs"/>
          <w:rtl/>
        </w:rPr>
        <w:t>190-</w:t>
      </w:r>
      <w:r w:rsidRPr="00A10A96">
        <w:rPr>
          <w:rFonts w:hint="cs"/>
          <w:rtl/>
        </w:rPr>
        <w:tab/>
      </w:r>
      <w:r w:rsidRPr="00A10A96">
        <w:rPr>
          <w:rtl/>
        </w:rPr>
        <w:t>ومنذ عام 1889، شهد تنظيم القضاء الإداري تغيرات مهمة</w:t>
      </w:r>
      <w:r w:rsidRPr="00A10A96">
        <w:rPr>
          <w:rFonts w:hint="cs"/>
          <w:rtl/>
        </w:rPr>
        <w:t xml:space="preserve">. </w:t>
      </w:r>
      <w:r w:rsidRPr="00A10A96">
        <w:rPr>
          <w:rtl/>
        </w:rPr>
        <w:t>ومنذ عام 1953، نُقل اختصاص النظر ابتدائي</w:t>
      </w:r>
      <w:r w:rsidR="000A5694">
        <w:rPr>
          <w:rtl/>
        </w:rPr>
        <w:t xml:space="preserve">اً </w:t>
      </w:r>
      <w:r w:rsidRPr="00A10A96">
        <w:rPr>
          <w:rtl/>
        </w:rPr>
        <w:t>في قضايا القانون العام من مجلس الدولة إلى المحاكم الإدارية، ونُقل منذ عام 1987 اختصاص النظر في قضايا القانون العام في مرحلة الاستئناف من مجلس الدولة إلى محاكم الاستئناف الإدارية</w:t>
      </w:r>
      <w:r w:rsidRPr="00A10A96">
        <w:rPr>
          <w:rFonts w:hint="cs"/>
          <w:rtl/>
        </w:rPr>
        <w:t xml:space="preserve">. </w:t>
      </w:r>
      <w:r w:rsidRPr="00A10A96">
        <w:rPr>
          <w:rtl/>
        </w:rPr>
        <w:t>ومنذئذ، أصبح مجلس الدولة بالأساس محكمة للنقض</w:t>
      </w:r>
      <w:r w:rsidRPr="00A10A96">
        <w:rPr>
          <w:rFonts w:hint="cs"/>
          <w:rtl/>
        </w:rPr>
        <w:t xml:space="preserve">. </w:t>
      </w:r>
      <w:r w:rsidRPr="00A10A96">
        <w:rPr>
          <w:rtl/>
        </w:rPr>
        <w:t>ويصدر بالتالي قرارات نهائية بشأن الطعون المقدمة ضد قرارات محاكم الاستئناف الإدارية، وقرارات المحاكم الإدارية المتخصصة، والقرارات التي تتخذها المحاكم الإدارية في بعض المنازعات البسيطة أو المتكررة المحددة بموجب مرسوم (المنازعات المتعلقة برخص السياقة أو بالمعاشات أو بتصنيف الموظفين أو تقييمهم، وما إلى ذلك)</w:t>
      </w:r>
      <w:r w:rsidRPr="00A10A96">
        <w:rPr>
          <w:rStyle w:val="EndnoteReference"/>
          <w:rtl/>
        </w:rPr>
        <w:t>(</w:t>
      </w:r>
      <w:r w:rsidRPr="00A10A96">
        <w:rPr>
          <w:rStyle w:val="EndnoteReference"/>
          <w:rtl/>
        </w:rPr>
        <w:endnoteReference w:id="176"/>
      </w:r>
      <w:r w:rsidRPr="00A10A96">
        <w:rPr>
          <w:rStyle w:val="EndnoteReference"/>
          <w:rtl/>
        </w:rPr>
        <w:t>)</w:t>
      </w:r>
      <w:r w:rsidRPr="00A10A96">
        <w:rPr>
          <w:rFonts w:hint="cs"/>
          <w:rtl/>
        </w:rPr>
        <w:t xml:space="preserve">. </w:t>
      </w:r>
      <w:r w:rsidRPr="00A10A96">
        <w:rPr>
          <w:rtl/>
        </w:rPr>
        <w:t>ويصدر أحكامه ابتدائي</w:t>
      </w:r>
      <w:r w:rsidR="000A5694">
        <w:rPr>
          <w:rtl/>
        </w:rPr>
        <w:t xml:space="preserve">اً </w:t>
      </w:r>
      <w:r w:rsidRPr="00A10A96">
        <w:rPr>
          <w:rtl/>
        </w:rPr>
        <w:t>ونهائي</w:t>
      </w:r>
      <w:r w:rsidR="000A5694">
        <w:rPr>
          <w:rtl/>
        </w:rPr>
        <w:t xml:space="preserve">اً </w:t>
      </w:r>
      <w:r w:rsidRPr="00A10A96">
        <w:rPr>
          <w:rtl/>
        </w:rPr>
        <w:t>في بعض المجالات التي يحددها القانون (على سبيل المثال، الطعن في المراسيم، والقرارات التنظيمية التي يتخذها الوزراء، والمنازعات المتعلقة بالانتخابات الإقليمية والأوروبية)</w:t>
      </w:r>
      <w:r w:rsidRPr="00A10A96">
        <w:rPr>
          <w:rStyle w:val="EndnoteReference"/>
          <w:rtl/>
        </w:rPr>
        <w:t>(</w:t>
      </w:r>
      <w:r w:rsidRPr="00A10A96">
        <w:rPr>
          <w:rStyle w:val="EndnoteReference"/>
          <w:rtl/>
        </w:rPr>
        <w:endnoteReference w:id="177"/>
      </w:r>
      <w:r w:rsidRPr="00A10A96">
        <w:rPr>
          <w:rStyle w:val="EndnoteReference"/>
          <w:rtl/>
        </w:rPr>
        <w:t>)</w:t>
      </w:r>
      <w:r w:rsidRPr="00A10A96">
        <w:rPr>
          <w:rFonts w:hint="cs"/>
          <w:rtl/>
        </w:rPr>
        <w:t xml:space="preserve">. </w:t>
      </w:r>
      <w:r w:rsidRPr="00A10A96">
        <w:rPr>
          <w:rtl/>
        </w:rPr>
        <w:t xml:space="preserve">وعلاوة على ذلك، يقتصر اختصاصه كهيئة استئناف على المنازعات المتعلقة بانتخابات البلديات والكانتونات وعلى النظر في </w:t>
      </w:r>
      <w:r w:rsidRPr="00A10A96">
        <w:rPr>
          <w:rtl/>
        </w:rPr>
        <w:lastRenderedPageBreak/>
        <w:t>المسائل التمهيدية فيما يتعلق بتفسير أو تقييم مشروعية القرارات التي تندرج ضمن اختصاص المحاكم الإدارية الابتدائية</w:t>
      </w:r>
      <w:r w:rsidRPr="00A10A96">
        <w:rPr>
          <w:rStyle w:val="EndnoteReference"/>
          <w:rtl/>
        </w:rPr>
        <w:t>(</w:t>
      </w:r>
      <w:r w:rsidRPr="00A10A96">
        <w:rPr>
          <w:rStyle w:val="EndnoteReference"/>
          <w:rtl/>
        </w:rPr>
        <w:endnoteReference w:id="178"/>
      </w:r>
      <w:r w:rsidRPr="00A10A96">
        <w:rPr>
          <w:rStyle w:val="EndnoteReference"/>
          <w:rtl/>
        </w:rPr>
        <w:t>)</w:t>
      </w:r>
      <w:r w:rsidRPr="00A10A96">
        <w:rPr>
          <w:rFonts w:hint="cs"/>
          <w:rtl/>
        </w:rPr>
        <w:t>.</w:t>
      </w:r>
    </w:p>
    <w:p w:rsidR="00944A3C" w:rsidRPr="00A10A96" w:rsidRDefault="00944A3C" w:rsidP="00944A3C">
      <w:pPr>
        <w:pStyle w:val="SingleTxtGA"/>
        <w:rPr>
          <w:rtl/>
        </w:rPr>
      </w:pPr>
      <w:r w:rsidRPr="00A10A96">
        <w:rPr>
          <w:rFonts w:hint="cs"/>
          <w:rtl/>
        </w:rPr>
        <w:t>191-</w:t>
      </w:r>
      <w:r w:rsidRPr="00A10A96">
        <w:rPr>
          <w:rFonts w:hint="cs"/>
          <w:rtl/>
        </w:rPr>
        <w:tab/>
      </w:r>
      <w:r w:rsidRPr="00A10A96">
        <w:rPr>
          <w:rtl/>
        </w:rPr>
        <w:t>وتندرج بعض المنازعات المحددة ضمن اختصاص المحاكم الإدارية المتخصصة في المرحلة الابتدائية ثم مرحلة الاستئناف</w:t>
      </w:r>
      <w:r w:rsidRPr="00A10A96">
        <w:rPr>
          <w:rFonts w:hint="cs"/>
          <w:rtl/>
        </w:rPr>
        <w:t>:</w:t>
      </w:r>
    </w:p>
    <w:p w:rsidR="00944A3C" w:rsidRPr="00A10A96" w:rsidRDefault="00944A3C" w:rsidP="009C1D4D">
      <w:pPr>
        <w:pStyle w:val="Bullet1GA"/>
        <w:bidi/>
      </w:pPr>
      <w:r w:rsidRPr="00A10A96">
        <w:rPr>
          <w:rtl/>
        </w:rPr>
        <w:t>يصدر كل من المجلس الأعلى للقضاء والدوائر التأديبية المعنية بالهيئات المهنية قرارات تأديبية بشأن سلوك المنتسبين إلى بعض المهن (المهندسون المعماريون، ومراجعو الحسابات، والأطباء، وأطباء الأسنان، والصيادلة، والقابلات، والأطباء البيطريون ...)</w:t>
      </w:r>
      <w:r w:rsidRPr="00A10A96">
        <w:rPr>
          <w:rFonts w:hint="cs"/>
          <w:rtl/>
        </w:rPr>
        <w:t>؛</w:t>
      </w:r>
    </w:p>
    <w:p w:rsidR="00944A3C" w:rsidRPr="009C1D4D" w:rsidRDefault="00944A3C" w:rsidP="009C1D4D">
      <w:pPr>
        <w:pStyle w:val="Bullet1GA"/>
        <w:bidi/>
        <w:rPr>
          <w:spacing w:val="-6"/>
        </w:rPr>
      </w:pPr>
      <w:r w:rsidRPr="009C1D4D">
        <w:rPr>
          <w:spacing w:val="-6"/>
          <w:rtl/>
        </w:rPr>
        <w:t>تبت لجان المقاطعات واللجنة المركزية للمساعدة الاجتماعية، وكذلك محاكم المقاطعات والمحاكم الإقليمية في القضايا الاجتماعية مثل معاشات العجز العسكرية؛</w:t>
      </w:r>
    </w:p>
    <w:p w:rsidR="00944A3C" w:rsidRPr="00A10A96" w:rsidRDefault="00944A3C" w:rsidP="009C1D4D">
      <w:pPr>
        <w:pStyle w:val="Bullet1GA"/>
        <w:bidi/>
      </w:pPr>
      <w:r w:rsidRPr="00A10A96">
        <w:rPr>
          <w:rtl/>
        </w:rPr>
        <w:t>تنظر المحكمة الوطنية المعنية بالحق في اللجوء في قرارات المكتب الفرنسي لحماية اللاجئين وعديمي الجنسية، المتخذة في مجال الحماية الدولية</w:t>
      </w:r>
      <w:r w:rsidRPr="00A10A96">
        <w:rPr>
          <w:rFonts w:hint="cs"/>
          <w:rtl/>
        </w:rPr>
        <w:t>؛</w:t>
      </w:r>
    </w:p>
    <w:p w:rsidR="00944A3C" w:rsidRPr="00A10A96" w:rsidRDefault="00944A3C" w:rsidP="009C1D4D">
      <w:pPr>
        <w:pStyle w:val="Bullet1GA"/>
        <w:bidi/>
        <w:rPr>
          <w:rtl/>
        </w:rPr>
      </w:pPr>
      <w:r w:rsidRPr="00A10A96">
        <w:rPr>
          <w:rtl/>
        </w:rPr>
        <w:t xml:space="preserve">الدوائر الإقليمية للحسابات ومحكمة تدقيق الحسابات ولجنة العقوبات المعنية بهيئة </w:t>
      </w:r>
      <w:r w:rsidRPr="00A10A96">
        <w:rPr>
          <w:rFonts w:hint="cs"/>
          <w:rtl/>
        </w:rPr>
        <w:t>ال</w:t>
      </w:r>
      <w:r w:rsidRPr="00A10A96">
        <w:rPr>
          <w:rtl/>
        </w:rPr>
        <w:t>أسواق المال</w:t>
      </w:r>
      <w:r w:rsidRPr="00A10A96">
        <w:rPr>
          <w:rFonts w:hint="cs"/>
          <w:rtl/>
        </w:rPr>
        <w:t>ية</w:t>
      </w:r>
      <w:r w:rsidRPr="00A10A96">
        <w:rPr>
          <w:rtl/>
        </w:rPr>
        <w:t xml:space="preserve"> هيئات قضائية مالية</w:t>
      </w:r>
      <w:r w:rsidRPr="00A10A96">
        <w:rPr>
          <w:rStyle w:val="EndnoteReference"/>
          <w:rtl/>
        </w:rPr>
        <w:t>(</w:t>
      </w:r>
      <w:r w:rsidRPr="00A10A96">
        <w:rPr>
          <w:rStyle w:val="EndnoteReference"/>
          <w:rtl/>
        </w:rPr>
        <w:endnoteReference w:id="179"/>
      </w:r>
      <w:r w:rsidRPr="00A10A96">
        <w:rPr>
          <w:rStyle w:val="EndnoteReference"/>
          <w:rtl/>
        </w:rPr>
        <w:t>)</w:t>
      </w:r>
      <w:r w:rsidRPr="00A10A96">
        <w:rPr>
          <w:rFonts w:hint="cs"/>
          <w:rtl/>
        </w:rPr>
        <w:t>.</w:t>
      </w:r>
    </w:p>
    <w:p w:rsidR="00944A3C" w:rsidRPr="00A10A96" w:rsidRDefault="00944A3C" w:rsidP="009C1D4D">
      <w:pPr>
        <w:pStyle w:val="SingleTxtGA"/>
        <w:rPr>
          <w:rtl/>
        </w:rPr>
      </w:pPr>
      <w:r w:rsidRPr="00A10A96">
        <w:rPr>
          <w:rFonts w:hint="cs"/>
          <w:rtl/>
        </w:rPr>
        <w:t>192-</w:t>
      </w:r>
      <w:r w:rsidRPr="00A10A96">
        <w:rPr>
          <w:rFonts w:hint="cs"/>
          <w:rtl/>
        </w:rPr>
        <w:tab/>
      </w:r>
      <w:r w:rsidRPr="00A10A96">
        <w:rPr>
          <w:rtl/>
        </w:rPr>
        <w:t>ويجوز الطعن في القرارات الصادرة عنها أمام مجلس الدولة</w:t>
      </w:r>
      <w:r w:rsidRPr="00A10A96">
        <w:rPr>
          <w:rFonts w:hint="cs"/>
          <w:rtl/>
        </w:rPr>
        <w:t>.</w:t>
      </w:r>
    </w:p>
    <w:p w:rsidR="00944A3C" w:rsidRPr="00A10A96" w:rsidRDefault="00944A3C" w:rsidP="009C1D4D">
      <w:pPr>
        <w:pStyle w:val="H23GA"/>
        <w:rPr>
          <w:rtl/>
        </w:rPr>
      </w:pPr>
      <w:r w:rsidRPr="00A10A96">
        <w:rPr>
          <w:rFonts w:hint="cs"/>
          <w:rtl/>
        </w:rPr>
        <w:tab/>
        <w:t>2</w:t>
      </w:r>
      <w:r w:rsidRPr="00A10A96">
        <w:rPr>
          <w:rtl/>
        </w:rPr>
        <w:t>-</w:t>
      </w:r>
      <w:r w:rsidRPr="00A10A96">
        <w:rPr>
          <w:rtl/>
        </w:rPr>
        <w:tab/>
        <w:t>المحاكم الخاصة</w:t>
      </w:r>
    </w:p>
    <w:p w:rsidR="00944A3C" w:rsidRPr="00A10A96" w:rsidRDefault="00944A3C" w:rsidP="00944A3C">
      <w:pPr>
        <w:pStyle w:val="SingleTxtGA"/>
        <w:rPr>
          <w:rtl/>
        </w:rPr>
      </w:pPr>
      <w:r w:rsidRPr="00A10A96">
        <w:rPr>
          <w:rFonts w:hint="cs"/>
          <w:rtl/>
        </w:rPr>
        <w:t>193</w:t>
      </w:r>
      <w:r w:rsidRPr="00A10A96">
        <w:rPr>
          <w:rtl/>
        </w:rPr>
        <w:t>-</w:t>
      </w:r>
      <w:r w:rsidRPr="00A10A96">
        <w:rPr>
          <w:rtl/>
        </w:rPr>
        <w:tab/>
        <w:t xml:space="preserve">لا </w:t>
      </w:r>
      <w:r w:rsidRPr="00A10A96">
        <w:rPr>
          <w:rFonts w:hint="cs"/>
          <w:rtl/>
        </w:rPr>
        <w:t>ي</w:t>
      </w:r>
      <w:r w:rsidRPr="00A10A96">
        <w:rPr>
          <w:rtl/>
        </w:rPr>
        <w:t>ندرج بعض الهيئات القضائية لا ضمن القضاء العادي ولا القضاء الإداري</w:t>
      </w:r>
      <w:r w:rsidRPr="00A10A96">
        <w:rPr>
          <w:rFonts w:hint="cs"/>
          <w:rtl/>
        </w:rPr>
        <w:t>.</w:t>
      </w:r>
    </w:p>
    <w:p w:rsidR="00944A3C" w:rsidRPr="00A10A96" w:rsidRDefault="00944A3C" w:rsidP="009C1D4D">
      <w:pPr>
        <w:pStyle w:val="H23GA"/>
        <w:rPr>
          <w:rtl/>
        </w:rPr>
      </w:pPr>
      <w:r w:rsidRPr="00A10A96">
        <w:rPr>
          <w:rFonts w:hint="cs"/>
          <w:rtl/>
        </w:rPr>
        <w:tab/>
        <w:t>(أ)</w:t>
      </w:r>
      <w:r w:rsidRPr="00A10A96">
        <w:rPr>
          <w:rtl/>
        </w:rPr>
        <w:tab/>
        <w:t>محكمة النزاعات</w:t>
      </w:r>
    </w:p>
    <w:p w:rsidR="00944A3C" w:rsidRPr="00A10A96" w:rsidRDefault="00944A3C" w:rsidP="007833BF">
      <w:pPr>
        <w:pStyle w:val="SingleTxtGA"/>
        <w:rPr>
          <w:rtl/>
        </w:rPr>
      </w:pPr>
      <w:r w:rsidRPr="00A10A96">
        <w:rPr>
          <w:rFonts w:hint="cs"/>
          <w:rtl/>
        </w:rPr>
        <w:t>194</w:t>
      </w:r>
      <w:r w:rsidRPr="007833BF">
        <w:rPr>
          <w:rtl/>
        </w:rPr>
        <w:t>-</w:t>
      </w:r>
      <w:r w:rsidRPr="007833BF">
        <w:rPr>
          <w:rtl/>
        </w:rPr>
        <w:tab/>
        <w:t>أنشئت محكمة النزاعات بموجب دستور عام 1848</w:t>
      </w:r>
      <w:r w:rsidRPr="007833BF">
        <w:rPr>
          <w:rFonts w:hint="cs"/>
          <w:rtl/>
        </w:rPr>
        <w:t xml:space="preserve">. </w:t>
      </w:r>
      <w:r w:rsidRPr="007833BF">
        <w:rPr>
          <w:rtl/>
        </w:rPr>
        <w:t>وصار ينظمها القانون المؤرخ 24 أيار/مايو 1872</w:t>
      </w:r>
      <w:r w:rsidR="00323F71">
        <w:rPr>
          <w:rFonts w:hint="cs"/>
          <w:rtl/>
        </w:rPr>
        <w:t xml:space="preserve"> </w:t>
      </w:r>
      <w:r w:rsidRPr="007833BF">
        <w:rPr>
          <w:rtl/>
        </w:rPr>
        <w:t>الذي أُدخلت عليه تعديلات مهمة بموجب القانون المؤرخ 16 شباط/</w:t>
      </w:r>
      <w:r w:rsidR="007833BF">
        <w:rPr>
          <w:rFonts w:hint="cs"/>
          <w:rtl/>
        </w:rPr>
        <w:t xml:space="preserve"> </w:t>
      </w:r>
      <w:r w:rsidRPr="007833BF">
        <w:rPr>
          <w:rtl/>
        </w:rPr>
        <w:t>فبراير</w:t>
      </w:r>
      <w:r w:rsidR="007833BF">
        <w:rPr>
          <w:rFonts w:hint="cs"/>
          <w:rtl/>
        </w:rPr>
        <w:t> </w:t>
      </w:r>
      <w:r w:rsidRPr="007833BF">
        <w:rPr>
          <w:rtl/>
        </w:rPr>
        <w:t>2015 المتعلق بتحديث وتبسيط القانون والإجراءات في مجالات العدالة والشؤون الداخلية</w:t>
      </w:r>
      <w:r w:rsidRPr="007833BF">
        <w:rPr>
          <w:rFonts w:hint="cs"/>
          <w:rtl/>
        </w:rPr>
        <w:t xml:space="preserve">. </w:t>
      </w:r>
      <w:r w:rsidRPr="007833BF">
        <w:rPr>
          <w:rtl/>
        </w:rPr>
        <w:t>إنها</w:t>
      </w:r>
      <w:r w:rsidRPr="00A10A96">
        <w:rPr>
          <w:rtl/>
        </w:rPr>
        <w:t xml:space="preserve"> هيئة قضائية مشتركة: فهي تتألف، في هيئتها العادية، من أربعة أعضاء من مجلس الدولة، وأربعة أعضاء من محكمة النقض، وعضوين مناوبين (أحدهما من مجلس الدولة والآخر من محكمة النقض). وفي حالة تساوي الأصوات، وبعد التداول مرة أخرى، تنظر في القضية هيئة موسعة</w:t>
      </w:r>
      <w:r w:rsidRPr="00A10A96">
        <w:rPr>
          <w:rFonts w:hint="cs"/>
          <w:rtl/>
        </w:rPr>
        <w:t xml:space="preserve">. </w:t>
      </w:r>
      <w:r w:rsidRPr="00A10A96">
        <w:rPr>
          <w:rtl/>
        </w:rPr>
        <w:t>وفي هذه الحالة، ينضاف إلى الهيئة العادية عضوان من مجلس الدولة وعضوان من محكمة النقض</w:t>
      </w:r>
      <w:r w:rsidRPr="00A10A96">
        <w:rPr>
          <w:rFonts w:hint="cs"/>
          <w:rtl/>
        </w:rPr>
        <w:t xml:space="preserve">. </w:t>
      </w:r>
      <w:r w:rsidRPr="00A10A96">
        <w:rPr>
          <w:rtl/>
        </w:rPr>
        <w:t xml:space="preserve">وعلاوة على ذلك، يضطلع عضوان من مجلس الدولة يُختاران من بين المقررين </w:t>
      </w:r>
      <w:r w:rsidRPr="007833BF">
        <w:rPr>
          <w:spacing w:val="-4"/>
          <w:rtl/>
        </w:rPr>
        <w:t xml:space="preserve">العامين وعضوان من النيابة العامة </w:t>
      </w:r>
      <w:r w:rsidRPr="007833BF">
        <w:rPr>
          <w:rFonts w:hint="cs"/>
          <w:spacing w:val="-4"/>
          <w:rtl/>
        </w:rPr>
        <w:t>لدى</w:t>
      </w:r>
      <w:r w:rsidRPr="007833BF">
        <w:rPr>
          <w:spacing w:val="-4"/>
          <w:rtl/>
        </w:rPr>
        <w:t xml:space="preserve"> محكمة النقض بمهمة المقرر العام في محكمة النزاعات</w:t>
      </w:r>
      <w:r w:rsidRPr="007833BF">
        <w:rPr>
          <w:rStyle w:val="EndnoteReference"/>
          <w:spacing w:val="-4"/>
          <w:rtl/>
        </w:rPr>
        <w:t>(</w:t>
      </w:r>
      <w:r w:rsidRPr="007833BF">
        <w:rPr>
          <w:rStyle w:val="EndnoteReference"/>
          <w:spacing w:val="-4"/>
          <w:rtl/>
        </w:rPr>
        <w:endnoteReference w:id="180"/>
      </w:r>
      <w:r w:rsidRPr="007833BF">
        <w:rPr>
          <w:rStyle w:val="EndnoteReference"/>
          <w:spacing w:val="-4"/>
          <w:rtl/>
        </w:rPr>
        <w:t>)</w:t>
      </w:r>
      <w:r w:rsidRPr="007833BF">
        <w:rPr>
          <w:rFonts w:hint="cs"/>
          <w:spacing w:val="-4"/>
          <w:rtl/>
        </w:rPr>
        <w:t>.</w:t>
      </w:r>
    </w:p>
    <w:p w:rsidR="00944A3C" w:rsidRPr="00A10A96" w:rsidRDefault="00944A3C" w:rsidP="00944A3C">
      <w:pPr>
        <w:pStyle w:val="SingleTxtGA"/>
        <w:rPr>
          <w:rtl/>
        </w:rPr>
      </w:pPr>
      <w:r w:rsidRPr="00A10A96">
        <w:rPr>
          <w:rFonts w:hint="cs"/>
          <w:rtl/>
        </w:rPr>
        <w:t>195-</w:t>
      </w:r>
      <w:r w:rsidRPr="00A10A96">
        <w:rPr>
          <w:rFonts w:hint="cs"/>
          <w:rtl/>
        </w:rPr>
        <w:tab/>
      </w:r>
      <w:r w:rsidRPr="00A10A96">
        <w:rPr>
          <w:rtl/>
        </w:rPr>
        <w:t xml:space="preserve">وتكفل محكمة النزاعات احترام مبدأ الفصل بين </w:t>
      </w:r>
      <w:r w:rsidRPr="00A10A96">
        <w:rPr>
          <w:rFonts w:hint="cs"/>
          <w:rtl/>
        </w:rPr>
        <w:t xml:space="preserve">السلطات </w:t>
      </w:r>
      <w:r w:rsidRPr="00A10A96">
        <w:rPr>
          <w:rtl/>
        </w:rPr>
        <w:t>الإدارية والقضائية</w:t>
      </w:r>
      <w:r w:rsidRPr="00A10A96">
        <w:rPr>
          <w:rFonts w:hint="cs"/>
          <w:rtl/>
        </w:rPr>
        <w:t xml:space="preserve">. </w:t>
      </w:r>
      <w:r w:rsidRPr="00A10A96">
        <w:rPr>
          <w:rtl/>
        </w:rPr>
        <w:t>وتتمثل مهمتها بالتالي في تسوية قضايا تنازع الاختصاص بين القضاء العادي والقضاء الإداري</w:t>
      </w:r>
      <w:r w:rsidRPr="00A10A96">
        <w:rPr>
          <w:rFonts w:hint="cs"/>
          <w:rtl/>
        </w:rPr>
        <w:t>:</w:t>
      </w:r>
    </w:p>
    <w:p w:rsidR="00944A3C" w:rsidRPr="00323F71" w:rsidRDefault="00944A3C" w:rsidP="00323F71">
      <w:pPr>
        <w:pStyle w:val="Bullet1GA"/>
        <w:bidi/>
      </w:pPr>
      <w:r w:rsidRPr="00323F71">
        <w:rPr>
          <w:rtl/>
        </w:rPr>
        <w:t>في حالة عدم اعتراف أي من هذين النظامين القضائيين بالاختصاص في البت في قضية ما</w:t>
      </w:r>
      <w:r w:rsidRPr="00323F71">
        <w:rPr>
          <w:rFonts w:hint="cs"/>
          <w:rtl/>
        </w:rPr>
        <w:t>؛</w:t>
      </w:r>
    </w:p>
    <w:p w:rsidR="00944A3C" w:rsidRPr="00A10A96" w:rsidRDefault="00944A3C" w:rsidP="00323F71">
      <w:pPr>
        <w:pStyle w:val="Bullet1GA"/>
        <w:bidi/>
      </w:pPr>
      <w:r w:rsidRPr="00A10A96">
        <w:rPr>
          <w:rtl/>
        </w:rPr>
        <w:lastRenderedPageBreak/>
        <w:t>في حالة اعتراض الإدارة، في شخص ممثل الدولة في مقاطعة ما، على اختصاص محكمة من محاكم القضاء العادي في إصدار حكم في قضية معروضة عليها</w:t>
      </w:r>
      <w:r w:rsidRPr="00A10A96">
        <w:rPr>
          <w:rFonts w:hint="cs"/>
          <w:rtl/>
        </w:rPr>
        <w:t>؛</w:t>
      </w:r>
    </w:p>
    <w:p w:rsidR="00944A3C" w:rsidRPr="00CD290E" w:rsidRDefault="00944A3C" w:rsidP="00323F71">
      <w:pPr>
        <w:pStyle w:val="Bullet1GA"/>
        <w:bidi/>
      </w:pPr>
      <w:r w:rsidRPr="00CD290E">
        <w:rPr>
          <w:rtl/>
        </w:rPr>
        <w:t>عندما تحيل إليها محكمة من محاكم أحد النظامين القضائيين مسألة الاختصاص المثارة في نزاع ما</w:t>
      </w:r>
      <w:r w:rsidRPr="00CD290E">
        <w:rPr>
          <w:rFonts w:hint="cs"/>
          <w:rtl/>
        </w:rPr>
        <w:t>؛</w:t>
      </w:r>
    </w:p>
    <w:p w:rsidR="00944A3C" w:rsidRPr="00A10A96" w:rsidRDefault="00944A3C" w:rsidP="00323F71">
      <w:pPr>
        <w:pStyle w:val="Bullet1GA"/>
        <w:bidi/>
        <w:rPr>
          <w:rtl/>
        </w:rPr>
      </w:pPr>
      <w:r w:rsidRPr="00A10A96">
        <w:rPr>
          <w:rtl/>
        </w:rPr>
        <w:t>عندما يكون هذان النظامان قد نظرا في القضية وأصدرا قرارين متعارضين، ما يؤدي إلى إنكار العدالة</w:t>
      </w:r>
      <w:r w:rsidRPr="00A10A96">
        <w:rPr>
          <w:rStyle w:val="EndnoteReference"/>
          <w:rtl/>
        </w:rPr>
        <w:t>(</w:t>
      </w:r>
      <w:r w:rsidRPr="00A10A96">
        <w:rPr>
          <w:rStyle w:val="EndnoteReference"/>
          <w:rtl/>
        </w:rPr>
        <w:endnoteReference w:id="181"/>
      </w:r>
      <w:r w:rsidRPr="00A10A96">
        <w:rPr>
          <w:rStyle w:val="EndnoteReference"/>
          <w:rtl/>
        </w:rPr>
        <w:t>)</w:t>
      </w:r>
      <w:r w:rsidRPr="00A10A96">
        <w:rPr>
          <w:rFonts w:hint="cs"/>
          <w:rtl/>
        </w:rPr>
        <w:t>.</w:t>
      </w:r>
    </w:p>
    <w:p w:rsidR="00944A3C" w:rsidRPr="00A10A96" w:rsidRDefault="00944A3C" w:rsidP="00944A3C">
      <w:pPr>
        <w:pStyle w:val="SingleTxtGA"/>
        <w:rPr>
          <w:rtl/>
        </w:rPr>
      </w:pPr>
      <w:r w:rsidRPr="00A10A96">
        <w:rPr>
          <w:rFonts w:hint="cs"/>
          <w:rtl/>
        </w:rPr>
        <w:t>196-</w:t>
      </w:r>
      <w:r w:rsidRPr="00A10A96">
        <w:rPr>
          <w:rFonts w:hint="cs"/>
          <w:rtl/>
        </w:rPr>
        <w:tab/>
      </w:r>
      <w:r w:rsidRPr="00A10A96">
        <w:rPr>
          <w:rtl/>
        </w:rPr>
        <w:t>يجوز أن يلجأ إلى هذه المحكمة، بحسب الحالة، طرفا الدعوى، أو ممثل الدولة في مقاطعة ما، أو مجلس الدولة، أو محكمة النقض، أو المحكمة التي بتت في القضية بعد إعلان محكمة تابعة للنظام القضائي الآخر عدم اختصاصها إذا رأت بدورها أنها غير مختصة، أو أي محكمة تُعرض عليها منازعة بشأن الحسم في مسألة اختصاص تثير مشكلة خطيرة وتهدد مبدأ الفصل بين نظامي القضاء</w:t>
      </w:r>
      <w:r w:rsidRPr="00A10A96">
        <w:rPr>
          <w:rFonts w:hint="cs"/>
          <w:rtl/>
        </w:rPr>
        <w:t>.</w:t>
      </w:r>
    </w:p>
    <w:p w:rsidR="00944A3C" w:rsidRPr="00A10A96" w:rsidRDefault="00944A3C" w:rsidP="00944A3C">
      <w:pPr>
        <w:pStyle w:val="SingleTxtGA"/>
        <w:rPr>
          <w:rtl/>
        </w:rPr>
      </w:pPr>
      <w:r w:rsidRPr="00A10A96">
        <w:rPr>
          <w:rFonts w:hint="cs"/>
          <w:rtl/>
        </w:rPr>
        <w:t>197-</w:t>
      </w:r>
      <w:r w:rsidRPr="00A10A96">
        <w:rPr>
          <w:rFonts w:hint="cs"/>
          <w:rtl/>
        </w:rPr>
        <w:tab/>
      </w:r>
      <w:r w:rsidRPr="00A10A96">
        <w:rPr>
          <w:rtl/>
        </w:rPr>
        <w:t>وأخير</w:t>
      </w:r>
      <w:r w:rsidR="0031739C">
        <w:rPr>
          <w:rtl/>
        </w:rPr>
        <w:t>اً،</w:t>
      </w:r>
      <w:r w:rsidRPr="00A10A96">
        <w:rPr>
          <w:rtl/>
        </w:rPr>
        <w:t xml:space="preserve"> تملك محكمة النزاعات صلاحية النظر في دعاوى المطالبة بالتعويض عن الضرر الناجم عن الطول المفرط للمدة الإجمالية لإجراءات </w:t>
      </w:r>
      <w:r w:rsidRPr="00A10A96">
        <w:rPr>
          <w:rFonts w:hint="cs"/>
          <w:rtl/>
        </w:rPr>
        <w:t xml:space="preserve">النظر في </w:t>
      </w:r>
      <w:r w:rsidRPr="00A10A96">
        <w:rPr>
          <w:rtl/>
        </w:rPr>
        <w:t>المنازعة نفسها أمام محاكم هذين النظامين القضائيين، بسبب قواعد الاختصاص المنطبقة</w:t>
      </w:r>
      <w:r w:rsidRPr="00A10A96">
        <w:rPr>
          <w:rStyle w:val="EndnoteReference"/>
          <w:rtl/>
        </w:rPr>
        <w:t>(</w:t>
      </w:r>
      <w:r w:rsidRPr="00A10A96">
        <w:rPr>
          <w:rStyle w:val="EndnoteReference"/>
          <w:rtl/>
        </w:rPr>
        <w:endnoteReference w:id="182"/>
      </w:r>
      <w:r w:rsidRPr="00A10A96">
        <w:rPr>
          <w:rStyle w:val="EndnoteReference"/>
          <w:rtl/>
        </w:rPr>
        <w:t>)</w:t>
      </w:r>
      <w:r w:rsidRPr="00A10A96">
        <w:rPr>
          <w:rFonts w:hint="cs"/>
          <w:rtl/>
        </w:rPr>
        <w:t>.</w:t>
      </w:r>
    </w:p>
    <w:p w:rsidR="00944A3C" w:rsidRPr="00A10A96" w:rsidRDefault="00944A3C" w:rsidP="007833BF">
      <w:pPr>
        <w:pStyle w:val="H23GA"/>
        <w:rPr>
          <w:rtl/>
        </w:rPr>
      </w:pPr>
      <w:r w:rsidRPr="00A10A96">
        <w:rPr>
          <w:rFonts w:hint="cs"/>
          <w:rtl/>
        </w:rPr>
        <w:tab/>
        <w:t>(ب)</w:t>
      </w:r>
      <w:r w:rsidRPr="00A10A96">
        <w:rPr>
          <w:rtl/>
        </w:rPr>
        <w:tab/>
        <w:t>المحاكم المخصصة لأعضاء السلطة التنفيذية: محكمة العدل للجمهورية والمحكمة العليا</w:t>
      </w:r>
    </w:p>
    <w:p w:rsidR="00944A3C" w:rsidRPr="00A10A96" w:rsidRDefault="00944A3C" w:rsidP="005714DA">
      <w:pPr>
        <w:pStyle w:val="H4GA"/>
        <w:rPr>
          <w:rtl/>
        </w:rPr>
      </w:pPr>
      <w:r w:rsidRPr="00A10A96">
        <w:rPr>
          <w:rFonts w:hint="cs"/>
          <w:rtl/>
        </w:rPr>
        <w:tab/>
      </w:r>
      <w:r w:rsidR="005714DA">
        <w:rPr>
          <w:rFonts w:hint="cs"/>
          <w:rtl/>
        </w:rPr>
        <w:t>‘</w:t>
      </w:r>
      <w:r w:rsidRPr="00A10A96">
        <w:rPr>
          <w:rFonts w:hint="cs"/>
          <w:rtl/>
        </w:rPr>
        <w:t>1</w:t>
      </w:r>
      <w:r w:rsidR="005714DA">
        <w:rPr>
          <w:rFonts w:hint="cs"/>
          <w:rtl/>
        </w:rPr>
        <w:t>‘</w:t>
      </w:r>
      <w:r w:rsidRPr="00A10A96">
        <w:rPr>
          <w:rFonts w:hint="cs"/>
          <w:rtl/>
        </w:rPr>
        <w:tab/>
      </w:r>
      <w:r w:rsidRPr="00A10A96">
        <w:rPr>
          <w:rtl/>
        </w:rPr>
        <w:t>محكمة العدل للجمهورية (المواد من 68</w:t>
      </w:r>
      <w:r w:rsidRPr="00A10A96">
        <w:rPr>
          <w:rFonts w:hint="cs"/>
          <w:rtl/>
        </w:rPr>
        <w:t>-</w:t>
      </w:r>
      <w:r w:rsidRPr="00A10A96">
        <w:rPr>
          <w:rtl/>
        </w:rPr>
        <w:t>1 إلى 68</w:t>
      </w:r>
      <w:r w:rsidRPr="00A10A96">
        <w:rPr>
          <w:rFonts w:hint="cs"/>
          <w:rtl/>
        </w:rPr>
        <w:t>-</w:t>
      </w:r>
      <w:r w:rsidRPr="00A10A96">
        <w:rPr>
          <w:rtl/>
        </w:rPr>
        <w:t>3 من الباب العاشر من الدستور)</w:t>
      </w:r>
    </w:p>
    <w:p w:rsidR="00944A3C" w:rsidRPr="00A10A96" w:rsidRDefault="00944A3C" w:rsidP="007833BF">
      <w:pPr>
        <w:pStyle w:val="SingleTxtGA"/>
        <w:rPr>
          <w:rtl/>
        </w:rPr>
      </w:pPr>
      <w:r w:rsidRPr="00A10A96">
        <w:rPr>
          <w:rFonts w:hint="cs"/>
          <w:rtl/>
        </w:rPr>
        <w:t>198</w:t>
      </w:r>
      <w:r w:rsidRPr="00A10A96">
        <w:rPr>
          <w:rtl/>
        </w:rPr>
        <w:t>-</w:t>
      </w:r>
      <w:r w:rsidRPr="00A10A96">
        <w:rPr>
          <w:rtl/>
        </w:rPr>
        <w:tab/>
        <w:t>تضطلع محكمة العدل للجمهورية، التي ينظمها القانون التنظيمي رقم 93-1252 المؤرخ 23 تشرين الثاني/نوفمبر 1993، بمحاكمة أعضاء الحكومة عن الأفعال التي يرتكبونها خلال ممارسة مهامهم، والتي تعتبر جرائم أو جنح</w:t>
      </w:r>
      <w:r w:rsidR="000A5694">
        <w:rPr>
          <w:rtl/>
        </w:rPr>
        <w:t xml:space="preserve">اً </w:t>
      </w:r>
      <w:r w:rsidRPr="00A10A96">
        <w:rPr>
          <w:rtl/>
        </w:rPr>
        <w:t>وقت ارتكابها</w:t>
      </w:r>
      <w:r w:rsidRPr="00A10A96">
        <w:rPr>
          <w:rFonts w:hint="cs"/>
          <w:rtl/>
        </w:rPr>
        <w:t>.</w:t>
      </w:r>
    </w:p>
    <w:p w:rsidR="00944A3C" w:rsidRPr="00A10A96" w:rsidRDefault="00944A3C" w:rsidP="007833BF">
      <w:pPr>
        <w:pStyle w:val="SingleTxtGA"/>
        <w:rPr>
          <w:rtl/>
        </w:rPr>
      </w:pPr>
      <w:r w:rsidRPr="00A10A96">
        <w:rPr>
          <w:rFonts w:hint="cs"/>
          <w:rtl/>
        </w:rPr>
        <w:t>199-</w:t>
      </w:r>
      <w:r w:rsidRPr="00A10A96">
        <w:rPr>
          <w:rFonts w:hint="cs"/>
          <w:rtl/>
        </w:rPr>
        <w:tab/>
      </w:r>
      <w:r w:rsidRPr="00A10A96">
        <w:rPr>
          <w:rtl/>
        </w:rPr>
        <w:t>وتتألف محكمة العدل للجمهورية من خمسة عشر قاضيا: ثلاثة قضاة خارج إطار التراتبية الإدارية من قضاة محكمة النقض، يتولى واحد منهم رئاسة محكمة العدل</w:t>
      </w:r>
      <w:r w:rsidRPr="00A10A96">
        <w:rPr>
          <w:rFonts w:hint="cs"/>
          <w:rtl/>
        </w:rPr>
        <w:t xml:space="preserve">؛ </w:t>
      </w:r>
      <w:r w:rsidRPr="00A10A96">
        <w:rPr>
          <w:rtl/>
        </w:rPr>
        <w:t>واثني عشر برلماني</w:t>
      </w:r>
      <w:r w:rsidR="000A5694">
        <w:rPr>
          <w:rtl/>
        </w:rPr>
        <w:t xml:space="preserve">اً </w:t>
      </w:r>
      <w:r w:rsidRPr="00A10A96">
        <w:rPr>
          <w:rtl/>
        </w:rPr>
        <w:t>ينتخبهم كل من الجمعية الوطنية ومجلس الشيوخ، من بين أعضائهما وبعدد متساوٍ، بعد كل تجديد كامل أو جزئي لأعضاء هاتين الهيئتين</w:t>
      </w:r>
      <w:r w:rsidRPr="00A10A96">
        <w:rPr>
          <w:rFonts w:hint="cs"/>
          <w:rtl/>
        </w:rPr>
        <w:t xml:space="preserve">. </w:t>
      </w:r>
      <w:r w:rsidRPr="00A10A96">
        <w:rPr>
          <w:rtl/>
        </w:rPr>
        <w:t xml:space="preserve">ويمارس مهام النيابة العامة في محكمة العدل للجمهورية المدعي العام </w:t>
      </w:r>
      <w:r w:rsidRPr="00A10A96">
        <w:rPr>
          <w:rFonts w:hint="cs"/>
          <w:rtl/>
        </w:rPr>
        <w:t xml:space="preserve">في </w:t>
      </w:r>
      <w:r w:rsidRPr="00A10A96">
        <w:rPr>
          <w:rtl/>
        </w:rPr>
        <w:t>محكمة النقض</w:t>
      </w:r>
      <w:r w:rsidRPr="00A10A96">
        <w:rPr>
          <w:rFonts w:hint="cs"/>
          <w:rtl/>
        </w:rPr>
        <w:t xml:space="preserve">. </w:t>
      </w:r>
      <w:r w:rsidRPr="00A10A96">
        <w:rPr>
          <w:rtl/>
        </w:rPr>
        <w:t>ويساعده المساعد الأول للمدعي العام ومساعدان اثنان يعينهما المدعي العام</w:t>
      </w:r>
      <w:r w:rsidRPr="00A10A96">
        <w:rPr>
          <w:rFonts w:hint="cs"/>
          <w:rtl/>
        </w:rPr>
        <w:t>.</w:t>
      </w:r>
    </w:p>
    <w:p w:rsidR="00944A3C" w:rsidRPr="00A10A96" w:rsidRDefault="00944A3C" w:rsidP="007833BF">
      <w:pPr>
        <w:pStyle w:val="SingleTxtGA"/>
        <w:rPr>
          <w:rtl/>
        </w:rPr>
      </w:pPr>
      <w:r w:rsidRPr="00A10A96">
        <w:rPr>
          <w:rFonts w:hint="cs"/>
          <w:rtl/>
        </w:rPr>
        <w:t>200-</w:t>
      </w:r>
      <w:r w:rsidRPr="00A10A96">
        <w:rPr>
          <w:rFonts w:hint="cs"/>
          <w:rtl/>
        </w:rPr>
        <w:tab/>
        <w:t>و</w:t>
      </w:r>
      <w:r w:rsidRPr="00A10A96">
        <w:rPr>
          <w:rtl/>
        </w:rPr>
        <w:t>يجوز لأي شخص يدعي أنه ضحية لجريمة أو جنحة ارتكبها أحد أعضاء الحكومة في إطار ممارسة مهامه أن يقدم شكوى إلى إحدى لجان الالتماسات</w:t>
      </w:r>
      <w:r w:rsidRPr="00A10A96">
        <w:rPr>
          <w:rFonts w:hint="cs"/>
          <w:rtl/>
        </w:rPr>
        <w:t xml:space="preserve">. </w:t>
      </w:r>
      <w:r w:rsidRPr="00A10A96">
        <w:rPr>
          <w:rtl/>
        </w:rPr>
        <w:t xml:space="preserve">وتأمر هذه اللجنة إما بحفظ </w:t>
      </w:r>
      <w:r w:rsidRPr="00A10A96">
        <w:rPr>
          <w:rFonts w:hint="cs"/>
          <w:rtl/>
        </w:rPr>
        <w:t xml:space="preserve">الإجراءات </w:t>
      </w:r>
      <w:r w:rsidRPr="00A10A96">
        <w:rPr>
          <w:rtl/>
        </w:rPr>
        <w:t>أو بإحال</w:t>
      </w:r>
      <w:r w:rsidRPr="00A10A96">
        <w:rPr>
          <w:rFonts w:hint="cs"/>
          <w:rtl/>
        </w:rPr>
        <w:t>ة الشكوى</w:t>
      </w:r>
      <w:r w:rsidRPr="00A10A96">
        <w:rPr>
          <w:rtl/>
        </w:rPr>
        <w:t xml:space="preserve"> إلى المدعي العام لدى محكمة النقض لعرضها على محكمة العدل للجمهورية</w:t>
      </w:r>
      <w:r w:rsidRPr="00A10A96">
        <w:rPr>
          <w:rFonts w:hint="cs"/>
          <w:rtl/>
        </w:rPr>
        <w:t xml:space="preserve">. </w:t>
      </w:r>
      <w:r w:rsidRPr="00A10A96">
        <w:rPr>
          <w:rtl/>
        </w:rPr>
        <w:t>كما يجوز للمدعي العام لدى محكمة النقض، بحكم منصبه، أن يحيل الشكوى إلى محكمة العدل للجمهورية بموافقة لجنة الالتماسات (المادة 68</w:t>
      </w:r>
      <w:r w:rsidRPr="00A10A96">
        <w:rPr>
          <w:rFonts w:hint="cs"/>
          <w:rtl/>
        </w:rPr>
        <w:t>-</w:t>
      </w:r>
      <w:r w:rsidRPr="00A10A96">
        <w:rPr>
          <w:rtl/>
        </w:rPr>
        <w:t>2)</w:t>
      </w:r>
      <w:r w:rsidRPr="00A10A96">
        <w:rPr>
          <w:rFonts w:hint="cs"/>
          <w:rtl/>
        </w:rPr>
        <w:t>.</w:t>
      </w:r>
    </w:p>
    <w:p w:rsidR="00944A3C" w:rsidRPr="00A10A96" w:rsidRDefault="00944A3C" w:rsidP="005714DA">
      <w:pPr>
        <w:pStyle w:val="H4GA"/>
        <w:rPr>
          <w:rtl/>
        </w:rPr>
      </w:pPr>
      <w:r w:rsidRPr="00A10A96">
        <w:rPr>
          <w:rFonts w:hint="cs"/>
          <w:rtl/>
        </w:rPr>
        <w:lastRenderedPageBreak/>
        <w:tab/>
      </w:r>
      <w:r w:rsidR="005714DA">
        <w:rPr>
          <w:rFonts w:hint="cs"/>
          <w:rtl/>
        </w:rPr>
        <w:t>‘</w:t>
      </w:r>
      <w:r w:rsidRPr="00A10A96">
        <w:rPr>
          <w:rFonts w:hint="cs"/>
          <w:rtl/>
        </w:rPr>
        <w:t>2</w:t>
      </w:r>
      <w:r w:rsidR="005714DA">
        <w:rPr>
          <w:rFonts w:hint="cs"/>
          <w:rtl/>
        </w:rPr>
        <w:t>‘</w:t>
      </w:r>
      <w:r w:rsidRPr="00A10A96">
        <w:rPr>
          <w:rFonts w:hint="cs"/>
          <w:rtl/>
        </w:rPr>
        <w:tab/>
      </w:r>
      <w:r w:rsidRPr="00A10A96">
        <w:rPr>
          <w:rtl/>
        </w:rPr>
        <w:t>المحكمة العليا (المادتان 67 و68 من الباب التاسع من الدستور)</w:t>
      </w:r>
    </w:p>
    <w:p w:rsidR="00944A3C" w:rsidRPr="00A10A96" w:rsidRDefault="007833BF" w:rsidP="007833BF">
      <w:pPr>
        <w:pStyle w:val="H56GA"/>
        <w:rPr>
          <w:rtl/>
        </w:rPr>
      </w:pPr>
      <w:r>
        <w:rPr>
          <w:rtl/>
        </w:rPr>
        <w:tab/>
      </w:r>
      <w:r>
        <w:rPr>
          <w:rtl/>
        </w:rPr>
        <w:tab/>
      </w:r>
      <w:r w:rsidR="00944A3C" w:rsidRPr="00A10A96">
        <w:rPr>
          <w:rtl/>
        </w:rPr>
        <w:t>نظام مسؤولية رئيس الجمهورية</w:t>
      </w:r>
    </w:p>
    <w:p w:rsidR="00944A3C" w:rsidRPr="00A10A96" w:rsidRDefault="00944A3C" w:rsidP="00944A3C">
      <w:pPr>
        <w:pStyle w:val="SingleTxtGA"/>
        <w:rPr>
          <w:rtl/>
        </w:rPr>
      </w:pPr>
      <w:r w:rsidRPr="00A10A96">
        <w:rPr>
          <w:rFonts w:hint="cs"/>
          <w:rtl/>
        </w:rPr>
        <w:t>201</w:t>
      </w:r>
      <w:r w:rsidRPr="00A10A96">
        <w:rPr>
          <w:rtl/>
        </w:rPr>
        <w:t>-</w:t>
      </w:r>
      <w:r w:rsidRPr="00A10A96">
        <w:rPr>
          <w:rtl/>
        </w:rPr>
        <w:tab/>
        <w:t>لا يجوز ملاحقة رئيس الجمهورية، طوال فترة ولايته، بسبب أفعال خارج نطاق مهامه ارتُكبت قبل ولايته أو خلالها</w:t>
      </w:r>
      <w:r w:rsidRPr="00A10A96">
        <w:rPr>
          <w:rFonts w:hint="cs"/>
          <w:rtl/>
        </w:rPr>
        <w:t xml:space="preserve">. </w:t>
      </w:r>
      <w:r w:rsidRPr="00A10A96">
        <w:rPr>
          <w:rtl/>
        </w:rPr>
        <w:t>ويجوز ذلك ابتداء من الشهر التالي لانقضاء ولايته (المادة 67)</w:t>
      </w:r>
      <w:r w:rsidRPr="00A10A96">
        <w:rPr>
          <w:rFonts w:hint="cs"/>
          <w:rtl/>
        </w:rPr>
        <w:t xml:space="preserve">. </w:t>
      </w:r>
      <w:r w:rsidRPr="00A10A96">
        <w:rPr>
          <w:rtl/>
        </w:rPr>
        <w:t xml:space="preserve">ويتعلق الأمر هنا </w:t>
      </w:r>
      <w:r w:rsidRPr="00A10A96">
        <w:rPr>
          <w:rFonts w:hint="cs"/>
          <w:rtl/>
        </w:rPr>
        <w:t xml:space="preserve">بالحصانة </w:t>
      </w:r>
      <w:r w:rsidRPr="00A10A96">
        <w:rPr>
          <w:rtl/>
        </w:rPr>
        <w:t xml:space="preserve">المؤقتة </w:t>
      </w:r>
      <w:r w:rsidRPr="00A10A96">
        <w:rPr>
          <w:rFonts w:hint="cs"/>
          <w:rtl/>
        </w:rPr>
        <w:t>ل</w:t>
      </w:r>
      <w:r w:rsidRPr="00A10A96">
        <w:rPr>
          <w:rtl/>
        </w:rPr>
        <w:t>رئيس الجمهورية</w:t>
      </w:r>
      <w:r w:rsidRPr="00A10A96">
        <w:rPr>
          <w:rFonts w:hint="cs"/>
          <w:rtl/>
        </w:rPr>
        <w:t xml:space="preserve">. </w:t>
      </w:r>
      <w:r w:rsidRPr="00A10A96">
        <w:rPr>
          <w:rtl/>
        </w:rPr>
        <w:t>غير أنه لا يجوز ملاحقة رئيس الجمهورية بسبب ما يقوم به من أفعال بصفته الرسمية، سواء خلال فترة ولايته أو بعد انقضائها</w:t>
      </w:r>
      <w:r w:rsidRPr="00A10A96">
        <w:rPr>
          <w:rFonts w:hint="cs"/>
          <w:rtl/>
        </w:rPr>
        <w:t xml:space="preserve">. </w:t>
      </w:r>
      <w:r w:rsidRPr="00A10A96">
        <w:rPr>
          <w:rtl/>
        </w:rPr>
        <w:t>ويتعلق الأمر هنا بالحصانة الوظيفية لرئيس الجمهورية</w:t>
      </w:r>
      <w:r w:rsidRPr="00A10A96">
        <w:rPr>
          <w:rFonts w:hint="cs"/>
          <w:rtl/>
        </w:rPr>
        <w:t>.</w:t>
      </w:r>
    </w:p>
    <w:p w:rsidR="00944A3C" w:rsidRPr="00A10A96" w:rsidRDefault="00944A3C" w:rsidP="00944A3C">
      <w:pPr>
        <w:pStyle w:val="SingleTxtGA"/>
        <w:rPr>
          <w:rtl/>
        </w:rPr>
      </w:pPr>
      <w:r w:rsidRPr="00A10A96">
        <w:rPr>
          <w:rFonts w:hint="cs"/>
          <w:rtl/>
        </w:rPr>
        <w:t>202-</w:t>
      </w:r>
      <w:r w:rsidRPr="00A10A96">
        <w:rPr>
          <w:rFonts w:hint="cs"/>
          <w:rtl/>
        </w:rPr>
        <w:tab/>
      </w:r>
      <w:r w:rsidRPr="00A10A96">
        <w:rPr>
          <w:rtl/>
        </w:rPr>
        <w:t>ويمكن نزع هذه الحصانة الوظيفية في حالتين</w:t>
      </w:r>
      <w:r w:rsidRPr="00A10A96">
        <w:rPr>
          <w:rFonts w:hint="cs"/>
          <w:rtl/>
        </w:rPr>
        <w:t>:</w:t>
      </w:r>
    </w:p>
    <w:p w:rsidR="00944A3C" w:rsidRPr="00A10A96" w:rsidRDefault="00944A3C" w:rsidP="007833BF">
      <w:pPr>
        <w:pStyle w:val="Bullet1GA"/>
        <w:bidi/>
      </w:pPr>
      <w:r w:rsidRPr="00A10A96">
        <w:rPr>
          <w:rtl/>
        </w:rPr>
        <w:t>يجوز مقاضاته أمام المحكمة الجنائية الدولية بسبب ارتكاب جريمة ضد الإنسانية، أو جريمة الإبادة الجماعية، أو جريمة من جرائم الحرب والعدوان</w:t>
      </w:r>
      <w:r w:rsidRPr="00A10A96">
        <w:rPr>
          <w:rFonts w:hint="cs"/>
          <w:rtl/>
        </w:rPr>
        <w:t>؛</w:t>
      </w:r>
    </w:p>
    <w:p w:rsidR="00944A3C" w:rsidRPr="00A10A96" w:rsidRDefault="00944A3C" w:rsidP="007833BF">
      <w:pPr>
        <w:pStyle w:val="Bullet1GA"/>
        <w:bidi/>
        <w:rPr>
          <w:rtl/>
        </w:rPr>
      </w:pPr>
      <w:r w:rsidRPr="00A10A96">
        <w:rPr>
          <w:rtl/>
        </w:rPr>
        <w:t>يجوز مقاضاته أمام محاكم القضاء العادي إذا أصدرت المحكمة العليا قرار</w:t>
      </w:r>
      <w:r w:rsidR="00B27C28">
        <w:rPr>
          <w:rtl/>
        </w:rPr>
        <w:t xml:space="preserve">اً </w:t>
      </w:r>
      <w:r w:rsidRPr="00A10A96">
        <w:rPr>
          <w:rtl/>
        </w:rPr>
        <w:t>بعزله بسبب "الإخلال بواجباته بما يتنافى بوضوح مع ممارسة ولايته"</w:t>
      </w:r>
      <w:r w:rsidRPr="00A10A96">
        <w:rPr>
          <w:rStyle w:val="EndnoteReference"/>
          <w:rtl/>
        </w:rPr>
        <w:t>(</w:t>
      </w:r>
      <w:r w:rsidRPr="00A10A96">
        <w:rPr>
          <w:rStyle w:val="EndnoteReference"/>
          <w:rtl/>
        </w:rPr>
        <w:endnoteReference w:id="183"/>
      </w:r>
      <w:r w:rsidRPr="00A10A96">
        <w:rPr>
          <w:rStyle w:val="EndnoteReference"/>
          <w:rtl/>
        </w:rPr>
        <w:t>)</w:t>
      </w:r>
      <w:r w:rsidRPr="00A10A96">
        <w:rPr>
          <w:rFonts w:hint="cs"/>
          <w:rtl/>
        </w:rPr>
        <w:t>.</w:t>
      </w:r>
    </w:p>
    <w:p w:rsidR="00944A3C" w:rsidRPr="00A10A96" w:rsidRDefault="007833BF" w:rsidP="007833BF">
      <w:pPr>
        <w:pStyle w:val="H56GA"/>
        <w:rPr>
          <w:rtl/>
        </w:rPr>
      </w:pPr>
      <w:r>
        <w:rPr>
          <w:rtl/>
        </w:rPr>
        <w:tab/>
      </w:r>
      <w:r>
        <w:rPr>
          <w:rtl/>
        </w:rPr>
        <w:tab/>
      </w:r>
      <w:r w:rsidR="00944A3C" w:rsidRPr="00A10A96">
        <w:rPr>
          <w:rtl/>
        </w:rPr>
        <w:t>دور المحكمة العليا وعملها</w:t>
      </w:r>
    </w:p>
    <w:p w:rsidR="00944A3C" w:rsidRPr="007833BF" w:rsidRDefault="00944A3C" w:rsidP="00944A3C">
      <w:pPr>
        <w:pStyle w:val="SingleTxtGA"/>
        <w:rPr>
          <w:spacing w:val="-2"/>
          <w:rtl/>
        </w:rPr>
      </w:pPr>
      <w:r w:rsidRPr="007833BF">
        <w:rPr>
          <w:rFonts w:hint="cs"/>
          <w:spacing w:val="-2"/>
          <w:rtl/>
        </w:rPr>
        <w:t>203</w:t>
      </w:r>
      <w:r w:rsidRPr="007833BF">
        <w:rPr>
          <w:spacing w:val="-2"/>
          <w:rtl/>
        </w:rPr>
        <w:t>-</w:t>
      </w:r>
      <w:r w:rsidRPr="007833BF">
        <w:rPr>
          <w:spacing w:val="-2"/>
          <w:rtl/>
        </w:rPr>
        <w:tab/>
        <w:t>هذه الهيئة القضائية، المنشأ</w:t>
      </w:r>
      <w:r w:rsidRPr="007833BF">
        <w:rPr>
          <w:rFonts w:hint="cs"/>
          <w:spacing w:val="-2"/>
          <w:rtl/>
        </w:rPr>
        <w:t>ة</w:t>
      </w:r>
      <w:r w:rsidRPr="007833BF">
        <w:rPr>
          <w:spacing w:val="-2"/>
          <w:rtl/>
        </w:rPr>
        <w:t xml:space="preserve"> بموجب القانون الدستوري المؤرخ 23 شباط/فبراير 2007، هي وريثة محكمة العدل العليا، التي كانت مكلفة بمحاكمة رئيس الجمهورية في حالة "الخيانة العظمى"</w:t>
      </w:r>
      <w:r w:rsidRPr="007833BF">
        <w:rPr>
          <w:rFonts w:hint="cs"/>
          <w:spacing w:val="-2"/>
          <w:rtl/>
        </w:rPr>
        <w:t xml:space="preserve">. </w:t>
      </w:r>
      <w:r w:rsidRPr="007833BF">
        <w:rPr>
          <w:spacing w:val="-2"/>
          <w:rtl/>
        </w:rPr>
        <w:t>والمحكمة العليا هيئة برلمانية خاصة، يجتمع جميع أعضائها بغرض اتخاذ قرار بعزل رئيس الجمهورية أو إبقائه في السلطة في حالة "الإخلال بواجباته بما يتنافى بوضوح مع ممارسة ولايته"</w:t>
      </w:r>
      <w:r w:rsidRPr="007833BF">
        <w:rPr>
          <w:rFonts w:hint="cs"/>
          <w:spacing w:val="-2"/>
          <w:rtl/>
        </w:rPr>
        <w:t>.</w:t>
      </w:r>
    </w:p>
    <w:p w:rsidR="00944A3C" w:rsidRPr="00A10A96" w:rsidRDefault="00944A3C" w:rsidP="00944A3C">
      <w:pPr>
        <w:pStyle w:val="SingleTxtGA"/>
        <w:rPr>
          <w:rtl/>
        </w:rPr>
      </w:pPr>
      <w:r w:rsidRPr="00A10A96">
        <w:rPr>
          <w:rFonts w:hint="cs"/>
          <w:rtl/>
        </w:rPr>
        <w:t>204-</w:t>
      </w:r>
      <w:r w:rsidRPr="00A10A96">
        <w:rPr>
          <w:rFonts w:hint="cs"/>
          <w:rtl/>
        </w:rPr>
        <w:tab/>
      </w:r>
      <w:r w:rsidRPr="00A10A96">
        <w:rPr>
          <w:rtl/>
        </w:rPr>
        <w:t>وينبغي أن يُعتمد مقترح انعقاد المحكمة العليا بأغلبية ثلثي أعضاء كل مجلس من مجلسي البرلمان</w:t>
      </w:r>
      <w:r w:rsidRPr="00A10A96">
        <w:rPr>
          <w:rFonts w:hint="cs"/>
          <w:rtl/>
        </w:rPr>
        <w:t xml:space="preserve">. </w:t>
      </w:r>
      <w:r w:rsidRPr="00A10A96">
        <w:rPr>
          <w:rtl/>
        </w:rPr>
        <w:t>وتحسم المحكمة العليا، برئاسة رئيس الجمعية الوطنية، في مسألة عزل رئيس الجمهورية في غضون شهر واحد، بالاقتراع السري بأغلبية الثلثين</w:t>
      </w:r>
      <w:r w:rsidRPr="00A10A96">
        <w:rPr>
          <w:rStyle w:val="EndnoteReference"/>
          <w:rtl/>
        </w:rPr>
        <w:t>(</w:t>
      </w:r>
      <w:r w:rsidRPr="00A10A96">
        <w:rPr>
          <w:rStyle w:val="EndnoteReference"/>
          <w:rtl/>
        </w:rPr>
        <w:endnoteReference w:id="184"/>
      </w:r>
      <w:r w:rsidRPr="00A10A96">
        <w:rPr>
          <w:rStyle w:val="EndnoteReference"/>
          <w:rtl/>
        </w:rPr>
        <w:t>)</w:t>
      </w:r>
      <w:r w:rsidRPr="00A10A96">
        <w:rPr>
          <w:rFonts w:hint="cs"/>
          <w:rtl/>
        </w:rPr>
        <w:t>.</w:t>
      </w:r>
    </w:p>
    <w:p w:rsidR="00944A3C" w:rsidRPr="00A10A96" w:rsidRDefault="00944A3C" w:rsidP="007833BF">
      <w:pPr>
        <w:pStyle w:val="H23GA"/>
        <w:rPr>
          <w:rtl/>
        </w:rPr>
      </w:pPr>
      <w:r w:rsidRPr="00A10A96">
        <w:rPr>
          <w:rFonts w:hint="cs"/>
          <w:rtl/>
        </w:rPr>
        <w:tab/>
        <w:t>3</w:t>
      </w:r>
      <w:r w:rsidRPr="00A10A96">
        <w:rPr>
          <w:rtl/>
        </w:rPr>
        <w:t>-</w:t>
      </w:r>
      <w:r w:rsidRPr="00A10A96">
        <w:rPr>
          <w:rtl/>
        </w:rPr>
        <w:tab/>
        <w:t xml:space="preserve">المجلس الدستوري، </w:t>
      </w:r>
      <w:r w:rsidRPr="00A10A96">
        <w:rPr>
          <w:rFonts w:hint="cs"/>
          <w:rtl/>
        </w:rPr>
        <w:t>وهو ال</w:t>
      </w:r>
      <w:r w:rsidRPr="00A10A96">
        <w:rPr>
          <w:rtl/>
        </w:rPr>
        <w:t xml:space="preserve">محكمة </w:t>
      </w:r>
      <w:r w:rsidRPr="00A10A96">
        <w:rPr>
          <w:rFonts w:hint="cs"/>
          <w:rtl/>
        </w:rPr>
        <w:t>ال</w:t>
      </w:r>
      <w:r w:rsidRPr="00A10A96">
        <w:rPr>
          <w:rtl/>
        </w:rPr>
        <w:t xml:space="preserve">دستورية (المادة 56 </w:t>
      </w:r>
      <w:r w:rsidRPr="00A10A96">
        <w:rPr>
          <w:rFonts w:hint="cs"/>
          <w:rtl/>
        </w:rPr>
        <w:t xml:space="preserve">من </w:t>
      </w:r>
      <w:r w:rsidRPr="00A10A96">
        <w:rPr>
          <w:rtl/>
        </w:rPr>
        <w:t>الباب السابع</w:t>
      </w:r>
      <w:r w:rsidRPr="00A10A96">
        <w:rPr>
          <w:rFonts w:hint="cs"/>
          <w:rtl/>
        </w:rPr>
        <w:t xml:space="preserve"> </w:t>
      </w:r>
      <w:r w:rsidRPr="00A10A96">
        <w:rPr>
          <w:rtl/>
        </w:rPr>
        <w:t>من الدستور)</w:t>
      </w:r>
    </w:p>
    <w:p w:rsidR="00944A3C" w:rsidRPr="00A10A96" w:rsidRDefault="00944A3C" w:rsidP="007833BF">
      <w:pPr>
        <w:pStyle w:val="H23GA"/>
        <w:rPr>
          <w:rtl/>
        </w:rPr>
      </w:pPr>
      <w:r w:rsidRPr="00A10A96">
        <w:rPr>
          <w:rFonts w:hint="cs"/>
          <w:rtl/>
        </w:rPr>
        <w:tab/>
        <w:t>(أ)</w:t>
      </w:r>
      <w:r w:rsidRPr="00A10A96">
        <w:rPr>
          <w:rtl/>
        </w:rPr>
        <w:tab/>
        <w:t>تركيبة المجلس الدستوري</w:t>
      </w:r>
    </w:p>
    <w:p w:rsidR="00944A3C" w:rsidRPr="00A10A96" w:rsidRDefault="00944A3C" w:rsidP="00944A3C">
      <w:pPr>
        <w:pStyle w:val="SingleTxtGA"/>
        <w:rPr>
          <w:rtl/>
        </w:rPr>
      </w:pPr>
      <w:r w:rsidRPr="00A10A96">
        <w:rPr>
          <w:rFonts w:hint="cs"/>
          <w:rtl/>
        </w:rPr>
        <w:t>205</w:t>
      </w:r>
      <w:r w:rsidRPr="00A10A96">
        <w:rPr>
          <w:rtl/>
        </w:rPr>
        <w:t>-</w:t>
      </w:r>
      <w:r w:rsidRPr="00A10A96">
        <w:rPr>
          <w:rtl/>
        </w:rPr>
        <w:tab/>
        <w:t>إن المجلس الدستوري، بالإضافة إلى صلاحياته المرتبطة بممارسة الحق في التصويت وبوضع المكلفين بولايات بحكم انتخابهم، يبت في دستورية عدد من المعايير، ولا سيما النصوص التشريعية، والمعاهدات، وأنظمة مجلسي البرلمان</w:t>
      </w:r>
      <w:r w:rsidRPr="00A10A96">
        <w:rPr>
          <w:rFonts w:hint="cs"/>
          <w:rtl/>
        </w:rPr>
        <w:t xml:space="preserve">. </w:t>
      </w:r>
      <w:r w:rsidRPr="00A10A96">
        <w:rPr>
          <w:rtl/>
        </w:rPr>
        <w:t>ويتألف من فئتين من الأعضاء: أعضاء مُعينون وأعضاء بحكم المنصب</w:t>
      </w:r>
      <w:r w:rsidRPr="00A10A96">
        <w:rPr>
          <w:rFonts w:hint="cs"/>
          <w:rtl/>
        </w:rPr>
        <w:t xml:space="preserve">. </w:t>
      </w:r>
      <w:r w:rsidRPr="00A10A96">
        <w:rPr>
          <w:rtl/>
        </w:rPr>
        <w:t>وتدوم ولاية الأعضاء المعينين، وعددهم تسعة، مدة تسع سنوات غير قابلة للتجديد</w:t>
      </w:r>
      <w:r w:rsidRPr="00A10A96">
        <w:rPr>
          <w:rFonts w:hint="cs"/>
          <w:rtl/>
        </w:rPr>
        <w:t xml:space="preserve">. </w:t>
      </w:r>
      <w:r w:rsidRPr="00A10A96">
        <w:rPr>
          <w:rtl/>
        </w:rPr>
        <w:t>ويجدَّد ثلثهم كل ثلاث سنوات. ويعين رئيس الجمهورية ثلاثة منهم، ورئيس الجمعية الوطنية ثلاثة،</w:t>
      </w:r>
      <w:r w:rsidRPr="00A10A96">
        <w:rPr>
          <w:rFonts w:hint="cs"/>
          <w:rtl/>
        </w:rPr>
        <w:t xml:space="preserve"> </w:t>
      </w:r>
      <w:r w:rsidRPr="00A10A96">
        <w:rPr>
          <w:rtl/>
        </w:rPr>
        <w:t>ورئيس مجلس الشيوخ ثلاثة</w:t>
      </w:r>
      <w:r w:rsidRPr="00A10A96">
        <w:rPr>
          <w:rFonts w:hint="cs"/>
          <w:rtl/>
        </w:rPr>
        <w:t xml:space="preserve">. </w:t>
      </w:r>
      <w:r w:rsidRPr="00A10A96">
        <w:rPr>
          <w:rtl/>
        </w:rPr>
        <w:t xml:space="preserve">وبالإضافة إلى الأعضاء التسعة المشار إليهم، </w:t>
      </w:r>
      <w:r w:rsidRPr="00A10A96">
        <w:rPr>
          <w:rFonts w:hint="cs"/>
          <w:rtl/>
        </w:rPr>
        <w:t>ف</w:t>
      </w:r>
      <w:r w:rsidRPr="00A10A96">
        <w:rPr>
          <w:rtl/>
        </w:rPr>
        <w:t>رؤساء الجمهورية السابقون</w:t>
      </w:r>
      <w:r w:rsidRPr="00A10A96">
        <w:rPr>
          <w:rFonts w:hint="cs"/>
          <w:rtl/>
        </w:rPr>
        <w:t xml:space="preserve"> أعضاء</w:t>
      </w:r>
      <w:r w:rsidRPr="00A10A96">
        <w:rPr>
          <w:rtl/>
        </w:rPr>
        <w:t>، بحكم المنصب، في المجلس الدستوري مدى الحياة</w:t>
      </w:r>
      <w:r w:rsidRPr="00A10A96">
        <w:rPr>
          <w:rFonts w:hint="cs"/>
          <w:rtl/>
        </w:rPr>
        <w:t>.</w:t>
      </w:r>
    </w:p>
    <w:p w:rsidR="00944A3C" w:rsidRPr="00A10A96" w:rsidRDefault="00944A3C" w:rsidP="00944A3C">
      <w:pPr>
        <w:pStyle w:val="SingleTxtGA"/>
        <w:rPr>
          <w:rtl/>
        </w:rPr>
      </w:pPr>
      <w:r w:rsidRPr="00A10A96">
        <w:rPr>
          <w:rFonts w:hint="cs"/>
          <w:rtl/>
        </w:rPr>
        <w:t>206-</w:t>
      </w:r>
      <w:r w:rsidRPr="00A10A96">
        <w:rPr>
          <w:rFonts w:hint="cs"/>
          <w:rtl/>
        </w:rPr>
        <w:tab/>
      </w:r>
      <w:r w:rsidRPr="00A10A96">
        <w:rPr>
          <w:rtl/>
        </w:rPr>
        <w:t>ويعين رئيس الجمهورية رئيس المجلس الدستوري</w:t>
      </w:r>
      <w:r w:rsidRPr="00A10A96">
        <w:rPr>
          <w:rFonts w:hint="cs"/>
          <w:rtl/>
        </w:rPr>
        <w:t xml:space="preserve">؛ الذي </w:t>
      </w:r>
      <w:r w:rsidRPr="00A10A96">
        <w:rPr>
          <w:rtl/>
        </w:rPr>
        <w:t>يكون صوته مرجح</w:t>
      </w:r>
      <w:r w:rsidR="00B27C28">
        <w:rPr>
          <w:rtl/>
        </w:rPr>
        <w:t xml:space="preserve">اً </w:t>
      </w:r>
      <w:r w:rsidRPr="00A10A96">
        <w:rPr>
          <w:rtl/>
        </w:rPr>
        <w:t>في حالة تساوي الأصوات</w:t>
      </w:r>
      <w:r w:rsidRPr="00A10A96">
        <w:rPr>
          <w:rFonts w:hint="cs"/>
          <w:rtl/>
        </w:rPr>
        <w:t>.</w:t>
      </w:r>
    </w:p>
    <w:p w:rsidR="00944A3C" w:rsidRPr="00A10A96" w:rsidRDefault="00944A3C" w:rsidP="007833BF">
      <w:pPr>
        <w:pStyle w:val="H23GA"/>
        <w:rPr>
          <w:rtl/>
        </w:rPr>
      </w:pPr>
      <w:r w:rsidRPr="00A10A96">
        <w:rPr>
          <w:rFonts w:hint="cs"/>
          <w:rtl/>
        </w:rPr>
        <w:lastRenderedPageBreak/>
        <w:tab/>
        <w:t>(ب)</w:t>
      </w:r>
      <w:r w:rsidRPr="00A10A96">
        <w:rPr>
          <w:rtl/>
        </w:rPr>
        <w:tab/>
        <w:t xml:space="preserve">صنفا المراقبة الدستورية: المراقبة الوقائية ومسألة </w:t>
      </w:r>
      <w:r w:rsidRPr="00A10A96">
        <w:rPr>
          <w:rFonts w:hint="cs"/>
          <w:rtl/>
        </w:rPr>
        <w:t xml:space="preserve">الأولوية </w:t>
      </w:r>
      <w:r w:rsidRPr="00A10A96">
        <w:rPr>
          <w:rtl/>
        </w:rPr>
        <w:t>الدستورية</w:t>
      </w:r>
    </w:p>
    <w:p w:rsidR="00944A3C" w:rsidRPr="00A10A96" w:rsidRDefault="00944A3C" w:rsidP="005714DA">
      <w:pPr>
        <w:pStyle w:val="H4GA"/>
        <w:rPr>
          <w:rtl/>
        </w:rPr>
      </w:pPr>
      <w:r w:rsidRPr="00A10A96">
        <w:rPr>
          <w:rFonts w:hint="cs"/>
          <w:rtl/>
        </w:rPr>
        <w:tab/>
      </w:r>
      <w:r w:rsidR="005714DA">
        <w:rPr>
          <w:rFonts w:hint="cs"/>
          <w:rtl/>
        </w:rPr>
        <w:t>‘</w:t>
      </w:r>
      <w:r w:rsidRPr="00A10A96">
        <w:rPr>
          <w:rFonts w:hint="cs"/>
          <w:rtl/>
        </w:rPr>
        <w:t>1</w:t>
      </w:r>
      <w:r w:rsidR="005714DA">
        <w:rPr>
          <w:rFonts w:hint="cs"/>
          <w:rtl/>
        </w:rPr>
        <w:t>‘</w:t>
      </w:r>
      <w:r w:rsidRPr="00A10A96">
        <w:rPr>
          <w:rFonts w:hint="cs"/>
          <w:rtl/>
        </w:rPr>
        <w:tab/>
      </w:r>
      <w:r w:rsidRPr="00A10A96">
        <w:rPr>
          <w:rtl/>
        </w:rPr>
        <w:t>المعايير المرجعية للمراقبة</w:t>
      </w:r>
    </w:p>
    <w:p w:rsidR="00944A3C" w:rsidRPr="00317979" w:rsidRDefault="00944A3C" w:rsidP="00317979">
      <w:pPr>
        <w:pStyle w:val="SingleTxtGA"/>
        <w:rPr>
          <w:spacing w:val="-2"/>
          <w:rtl/>
        </w:rPr>
      </w:pPr>
      <w:r w:rsidRPr="00317979">
        <w:rPr>
          <w:rFonts w:hint="cs"/>
          <w:spacing w:val="-2"/>
          <w:rtl/>
        </w:rPr>
        <w:t>207</w:t>
      </w:r>
      <w:r w:rsidRPr="00317979">
        <w:rPr>
          <w:spacing w:val="-2"/>
          <w:rtl/>
        </w:rPr>
        <w:t>-</w:t>
      </w:r>
      <w:r w:rsidRPr="00317979">
        <w:rPr>
          <w:spacing w:val="-2"/>
          <w:rtl/>
        </w:rPr>
        <w:tab/>
        <w:t>لا تقتصر "مجموعة القوانين الدستورية"، أي مجموعة المعايير التي يكفل المجلس الدستوري حمايتها و</w:t>
      </w:r>
      <w:r w:rsidRPr="00317979">
        <w:rPr>
          <w:rFonts w:hint="cs"/>
          <w:spacing w:val="-2"/>
          <w:rtl/>
        </w:rPr>
        <w:t>ي</w:t>
      </w:r>
      <w:r w:rsidRPr="00317979">
        <w:rPr>
          <w:spacing w:val="-2"/>
          <w:rtl/>
        </w:rPr>
        <w:t xml:space="preserve">لتزم </w:t>
      </w:r>
      <w:r w:rsidRPr="00317979">
        <w:rPr>
          <w:rFonts w:hint="cs"/>
          <w:spacing w:val="-2"/>
          <w:rtl/>
        </w:rPr>
        <w:t xml:space="preserve">المشرع </w:t>
      </w:r>
      <w:r w:rsidRPr="00317979">
        <w:rPr>
          <w:spacing w:val="-2"/>
          <w:rtl/>
        </w:rPr>
        <w:t>باحترامها، على الوثيقة التأسيسية للجمهورية الخامسة</w:t>
      </w:r>
      <w:r w:rsidRPr="00317979">
        <w:rPr>
          <w:rFonts w:hint="cs"/>
          <w:spacing w:val="-2"/>
          <w:rtl/>
        </w:rPr>
        <w:t xml:space="preserve">. فهي </w:t>
      </w:r>
      <w:r w:rsidRPr="00317979">
        <w:rPr>
          <w:spacing w:val="-2"/>
          <w:rtl/>
        </w:rPr>
        <w:t>تشمل، من</w:t>
      </w:r>
      <w:r w:rsidR="00317979">
        <w:rPr>
          <w:rFonts w:hint="cs"/>
          <w:spacing w:val="-2"/>
          <w:rtl/>
        </w:rPr>
        <w:t> </w:t>
      </w:r>
      <w:r w:rsidRPr="00317979">
        <w:rPr>
          <w:spacing w:val="-2"/>
          <w:rtl/>
        </w:rPr>
        <w:t>جهة، المعايير المنصوص عليها في الدستور: إعلان حقوق الإنسان والمواطن لعام</w:t>
      </w:r>
      <w:r w:rsidR="007833BF" w:rsidRPr="00317979">
        <w:rPr>
          <w:rFonts w:hint="cs"/>
          <w:spacing w:val="-2"/>
          <w:rtl/>
        </w:rPr>
        <w:t> </w:t>
      </w:r>
      <w:r w:rsidRPr="00317979">
        <w:rPr>
          <w:spacing w:val="-2"/>
          <w:rtl/>
        </w:rPr>
        <w:t>1789، وديباجة دستور عام 1946، وميثاق البيئة لعام 2004</w:t>
      </w:r>
      <w:r w:rsidRPr="00317979">
        <w:rPr>
          <w:rFonts w:hint="cs"/>
          <w:spacing w:val="-2"/>
          <w:rtl/>
        </w:rPr>
        <w:t xml:space="preserve">؛ </w:t>
      </w:r>
      <w:r w:rsidRPr="00317979">
        <w:rPr>
          <w:spacing w:val="-2"/>
          <w:rtl/>
        </w:rPr>
        <w:t xml:space="preserve">ومن جهة أخرى، المعايير التي وضعها المجلس الدستوري من خلال اجتهاداته القضائية: المبادئ الأساسية المعترف بها بموجب قوانين الجمهورية والمبادئ </w:t>
      </w:r>
      <w:r w:rsidRPr="00317979">
        <w:rPr>
          <w:rFonts w:hint="cs"/>
          <w:spacing w:val="-2"/>
          <w:rtl/>
        </w:rPr>
        <w:t>ذات ال</w:t>
      </w:r>
      <w:r w:rsidRPr="00317979">
        <w:rPr>
          <w:spacing w:val="-2"/>
          <w:rtl/>
        </w:rPr>
        <w:t xml:space="preserve">قيمة </w:t>
      </w:r>
      <w:r w:rsidRPr="00317979">
        <w:rPr>
          <w:rFonts w:hint="cs"/>
          <w:spacing w:val="-2"/>
          <w:rtl/>
        </w:rPr>
        <w:t>ال</w:t>
      </w:r>
      <w:r w:rsidRPr="00317979">
        <w:rPr>
          <w:spacing w:val="-2"/>
          <w:rtl/>
        </w:rPr>
        <w:t>دستورية</w:t>
      </w:r>
      <w:r w:rsidRPr="00317979">
        <w:rPr>
          <w:rFonts w:hint="cs"/>
          <w:spacing w:val="-2"/>
          <w:rtl/>
        </w:rPr>
        <w:t>.</w:t>
      </w:r>
    </w:p>
    <w:p w:rsidR="00944A3C" w:rsidRPr="00A10A96" w:rsidRDefault="00944A3C" w:rsidP="005714DA">
      <w:pPr>
        <w:pStyle w:val="H4GA"/>
        <w:rPr>
          <w:rtl/>
        </w:rPr>
      </w:pPr>
      <w:r w:rsidRPr="00A10A96">
        <w:rPr>
          <w:rFonts w:hint="cs"/>
          <w:rtl/>
        </w:rPr>
        <w:tab/>
      </w:r>
      <w:r w:rsidR="005714DA">
        <w:rPr>
          <w:rFonts w:hint="cs"/>
          <w:rtl/>
        </w:rPr>
        <w:t>‘</w:t>
      </w:r>
      <w:r w:rsidRPr="00A10A96">
        <w:rPr>
          <w:rFonts w:hint="cs"/>
          <w:rtl/>
        </w:rPr>
        <w:t>2</w:t>
      </w:r>
      <w:r w:rsidR="005714DA">
        <w:rPr>
          <w:rFonts w:hint="cs"/>
          <w:rtl/>
        </w:rPr>
        <w:t>‘</w:t>
      </w:r>
      <w:r w:rsidRPr="00A10A96">
        <w:rPr>
          <w:rFonts w:hint="cs"/>
          <w:rtl/>
        </w:rPr>
        <w:tab/>
      </w:r>
      <w:r w:rsidRPr="00A10A96">
        <w:rPr>
          <w:rtl/>
        </w:rPr>
        <w:t>المراقبة الوقائية أو المسبقة</w:t>
      </w:r>
    </w:p>
    <w:p w:rsidR="00944A3C" w:rsidRPr="00A10A96" w:rsidRDefault="00944A3C" w:rsidP="007B5213">
      <w:pPr>
        <w:pStyle w:val="SingleTxtGA"/>
        <w:rPr>
          <w:rtl/>
        </w:rPr>
      </w:pPr>
      <w:r w:rsidRPr="00A10A96">
        <w:rPr>
          <w:rFonts w:hint="cs"/>
          <w:rtl/>
        </w:rPr>
        <w:t>208</w:t>
      </w:r>
      <w:r w:rsidRPr="00A10A96">
        <w:rPr>
          <w:rtl/>
        </w:rPr>
        <w:t>-</w:t>
      </w:r>
      <w:r w:rsidRPr="00A10A96">
        <w:rPr>
          <w:rFonts w:hint="cs"/>
          <w:rtl/>
        </w:rPr>
        <w:tab/>
      </w:r>
      <w:r w:rsidRPr="00A10A96">
        <w:rPr>
          <w:i/>
          <w:iCs/>
          <w:rtl/>
        </w:rPr>
        <w:t>محكمة تنظيم الاختصاصات</w:t>
      </w:r>
      <w:r w:rsidRPr="00A10A96">
        <w:rPr>
          <w:rtl/>
        </w:rPr>
        <w:t>: على النحو المشار إليه أعلاه، يقتصر نطاق القانون على المسائل المبينة في المادة 34 من الدستور، ويندرج غير ذلك ضمن نطاق اللوائح التنظيمية بموجب المادة 37</w:t>
      </w:r>
      <w:r w:rsidRPr="00A10A96">
        <w:rPr>
          <w:rStyle w:val="EndnoteReference"/>
          <w:rtl/>
        </w:rPr>
        <w:t>(</w:t>
      </w:r>
      <w:r w:rsidRPr="00A10A96">
        <w:rPr>
          <w:rStyle w:val="EndnoteReference"/>
          <w:rtl/>
        </w:rPr>
        <w:endnoteReference w:id="185"/>
      </w:r>
      <w:r w:rsidRPr="00A10A96">
        <w:rPr>
          <w:rStyle w:val="EndnoteReference"/>
          <w:rtl/>
        </w:rPr>
        <w:t>)</w:t>
      </w:r>
      <w:r w:rsidRPr="00A10A96">
        <w:rPr>
          <w:rFonts w:hint="cs"/>
          <w:rtl/>
        </w:rPr>
        <w:t xml:space="preserve">. </w:t>
      </w:r>
      <w:r w:rsidRPr="00A10A96">
        <w:rPr>
          <w:rtl/>
        </w:rPr>
        <w:t>وإذا تبين، خلال الإجراءات التشريعية، أن مقترح</w:t>
      </w:r>
      <w:r w:rsidR="00B27C28">
        <w:rPr>
          <w:rtl/>
        </w:rPr>
        <w:t xml:space="preserve">اً </w:t>
      </w:r>
      <w:r w:rsidRPr="00A10A96">
        <w:rPr>
          <w:rtl/>
        </w:rPr>
        <w:t>أو تعديل</w:t>
      </w:r>
      <w:r w:rsidR="00B27C28">
        <w:rPr>
          <w:rtl/>
        </w:rPr>
        <w:t xml:space="preserve">اً </w:t>
      </w:r>
      <w:r w:rsidRPr="00A10A96">
        <w:rPr>
          <w:rtl/>
        </w:rPr>
        <w:t>ما لا</w:t>
      </w:r>
      <w:r w:rsidR="007833BF">
        <w:rPr>
          <w:rFonts w:hint="cs"/>
          <w:rtl/>
        </w:rPr>
        <w:t> </w:t>
      </w:r>
      <w:r w:rsidRPr="00A10A96">
        <w:rPr>
          <w:rtl/>
        </w:rPr>
        <w:t>يندرج ضمن نطاق القانون أو أنه يتعارض مع تفويض منحه البرلمان للحكومة بموجب المادة</w:t>
      </w:r>
      <w:r w:rsidR="007B5213">
        <w:rPr>
          <w:rFonts w:hint="cs"/>
          <w:rtl/>
        </w:rPr>
        <w:t> </w:t>
      </w:r>
      <w:r w:rsidRPr="00A10A96">
        <w:rPr>
          <w:rtl/>
        </w:rPr>
        <w:t>38، جاز للحكومة أو رئيس المجلس الذي نوقش أمامه مقترح القانون أو التعديل إعلان عدم قبول هذا النص القانوني</w:t>
      </w:r>
      <w:r w:rsidRPr="00A10A96">
        <w:rPr>
          <w:rFonts w:hint="cs"/>
          <w:rtl/>
        </w:rPr>
        <w:t xml:space="preserve">. </w:t>
      </w:r>
      <w:r w:rsidRPr="00A10A96">
        <w:rPr>
          <w:rtl/>
        </w:rPr>
        <w:t>وفي حالة عدم الاتفاق بين الحكومة ورئيس المجلس المعني، تُعرض المسألة على المجلس الدستوري بناء على طلب من أي منهما (المادة 41)</w:t>
      </w:r>
      <w:r w:rsidRPr="00A10A96">
        <w:rPr>
          <w:rFonts w:hint="cs"/>
          <w:rtl/>
        </w:rPr>
        <w:t xml:space="preserve">. </w:t>
      </w:r>
      <w:r w:rsidRPr="00A10A96">
        <w:rPr>
          <w:rtl/>
        </w:rPr>
        <w:t>وبالإضافة إلى ذلك، تلجأ الحكومة إلى المجلس الدستوري عندما تريد أن تعدل، بموجب مرسوم، حكم</w:t>
      </w:r>
      <w:r w:rsidR="00B27C28">
        <w:rPr>
          <w:rtl/>
        </w:rPr>
        <w:t xml:space="preserve">اً </w:t>
      </w:r>
      <w:r w:rsidRPr="00A10A96">
        <w:rPr>
          <w:rtl/>
        </w:rPr>
        <w:t>تشريعي</w:t>
      </w:r>
      <w:r w:rsidR="00B27C28">
        <w:rPr>
          <w:rtl/>
        </w:rPr>
        <w:t xml:space="preserve">اً </w:t>
      </w:r>
      <w:r w:rsidRPr="00A10A96">
        <w:rPr>
          <w:rtl/>
        </w:rPr>
        <w:t>يندرج في إطار اللوائح التنظيمية صدر منذ دخول دستور عام 1958 حيز النفاذ (المادة</w:t>
      </w:r>
      <w:r w:rsidR="007B5213">
        <w:rPr>
          <w:rFonts w:hint="cs"/>
          <w:rtl/>
        </w:rPr>
        <w:t> </w:t>
      </w:r>
      <w:r w:rsidRPr="00A10A96">
        <w:rPr>
          <w:rtl/>
        </w:rPr>
        <w:t>37(2))</w:t>
      </w:r>
      <w:r w:rsidRPr="00A10A96">
        <w:rPr>
          <w:rFonts w:hint="cs"/>
          <w:rtl/>
        </w:rPr>
        <w:t xml:space="preserve">. </w:t>
      </w:r>
      <w:r w:rsidRPr="00A10A96">
        <w:rPr>
          <w:rtl/>
        </w:rPr>
        <w:t>وفي كلتا الحالتين، يحدد المجلس الدستوري، استناد</w:t>
      </w:r>
      <w:r w:rsidR="00B27C28">
        <w:rPr>
          <w:rtl/>
        </w:rPr>
        <w:t xml:space="preserve">اً </w:t>
      </w:r>
      <w:r w:rsidRPr="00A10A96">
        <w:rPr>
          <w:rtl/>
        </w:rPr>
        <w:t>إلى الدستور، الصبغة القانونية أو التنظيمية للمسائل التي يتناولها النص</w:t>
      </w:r>
      <w:r w:rsidRPr="00A10A96">
        <w:rPr>
          <w:rFonts w:hint="cs"/>
          <w:rtl/>
        </w:rPr>
        <w:t>.</w:t>
      </w:r>
    </w:p>
    <w:p w:rsidR="00944A3C" w:rsidRPr="00A10A96" w:rsidRDefault="00944A3C" w:rsidP="008F7F42">
      <w:pPr>
        <w:pStyle w:val="SingleTxtGA"/>
        <w:rPr>
          <w:rtl/>
        </w:rPr>
      </w:pPr>
      <w:r w:rsidRPr="00A10A96">
        <w:rPr>
          <w:rFonts w:hint="cs"/>
          <w:rtl/>
        </w:rPr>
        <w:t>209-</w:t>
      </w:r>
      <w:r w:rsidRPr="00A10A96">
        <w:rPr>
          <w:rFonts w:hint="cs"/>
          <w:rtl/>
        </w:rPr>
        <w:tab/>
      </w:r>
      <w:r w:rsidRPr="00323F71">
        <w:rPr>
          <w:i/>
          <w:iCs/>
          <w:rtl/>
        </w:rPr>
        <w:t>البت في دستورية المعايير</w:t>
      </w:r>
      <w:r w:rsidRPr="00A10A96">
        <w:rPr>
          <w:rtl/>
        </w:rPr>
        <w:t>: يختص المجلس الدستوري في الحسم في مدى توافق معيار ما</w:t>
      </w:r>
      <w:r w:rsidR="003C01C6">
        <w:rPr>
          <w:rFonts w:hint="cs"/>
          <w:rtl/>
        </w:rPr>
        <w:t> </w:t>
      </w:r>
      <w:r w:rsidRPr="00A10A96">
        <w:rPr>
          <w:rtl/>
        </w:rPr>
        <w:t>ليست له مرتبة دستورية مع الدستور</w:t>
      </w:r>
      <w:r w:rsidRPr="00A10A96">
        <w:rPr>
          <w:rFonts w:hint="cs"/>
          <w:rtl/>
        </w:rPr>
        <w:t xml:space="preserve">. </w:t>
      </w:r>
      <w:r w:rsidRPr="00A10A96">
        <w:rPr>
          <w:rtl/>
        </w:rPr>
        <w:t>وينبغي أن تُعرض عليه مقترحات القوانين المشار إليها في المادة 11 من الدستور قبل عرضها للاستفتاء (المادة</w:t>
      </w:r>
      <w:r w:rsidR="000D393D">
        <w:rPr>
          <w:rFonts w:hint="cs"/>
          <w:rtl/>
        </w:rPr>
        <w:t xml:space="preserve"> </w:t>
      </w:r>
      <w:r w:rsidRPr="00A10A96">
        <w:rPr>
          <w:rtl/>
        </w:rPr>
        <w:t>61(1))، وقبل بدء نفاذ اللوائح التنظيمية لمجلسي البرلمان (المادة 61(1))، وقبل سن القوانين التنظيمية (المادة 61(1))</w:t>
      </w:r>
      <w:r w:rsidRPr="00A10A96">
        <w:rPr>
          <w:rFonts w:hint="cs"/>
          <w:rtl/>
        </w:rPr>
        <w:t xml:space="preserve">. </w:t>
      </w:r>
      <w:r w:rsidRPr="00A10A96">
        <w:rPr>
          <w:rtl/>
        </w:rPr>
        <w:t xml:space="preserve">ويجوز اللجوء إليه قبل سن القوانين العادية (المادة 61(2))، وقوانين </w:t>
      </w:r>
      <w:r w:rsidRPr="00A10A96">
        <w:rPr>
          <w:rFonts w:hint="cs"/>
          <w:rtl/>
        </w:rPr>
        <w:t xml:space="preserve">البلد </w:t>
      </w:r>
      <w:r w:rsidRPr="00A10A96">
        <w:rPr>
          <w:rtl/>
        </w:rPr>
        <w:t>التي يعتمدها برلمان كاليدونيا الجديدة</w:t>
      </w:r>
      <w:r w:rsidRPr="00A10A96">
        <w:rPr>
          <w:rStyle w:val="EndnoteReference"/>
          <w:rtl/>
        </w:rPr>
        <w:t>(</w:t>
      </w:r>
      <w:r w:rsidRPr="00A10A96">
        <w:rPr>
          <w:rStyle w:val="EndnoteReference"/>
          <w:rtl/>
        </w:rPr>
        <w:endnoteReference w:id="186"/>
      </w:r>
      <w:r w:rsidRPr="00A10A96">
        <w:rPr>
          <w:rStyle w:val="EndnoteReference"/>
          <w:rtl/>
        </w:rPr>
        <w:t>)</w:t>
      </w:r>
      <w:r w:rsidRPr="00A10A96">
        <w:rPr>
          <w:rFonts w:hint="cs"/>
          <w:rtl/>
        </w:rPr>
        <w:t>،</w:t>
      </w:r>
      <w:r w:rsidRPr="00A10A96">
        <w:rPr>
          <w:rtl/>
        </w:rPr>
        <w:t xml:space="preserve"> وقبل التصديق أو الموافقة على الالتزامات الدولية (المادة 54)</w:t>
      </w:r>
      <w:r w:rsidRPr="00A10A96">
        <w:rPr>
          <w:rFonts w:hint="cs"/>
          <w:rtl/>
        </w:rPr>
        <w:t xml:space="preserve">. </w:t>
      </w:r>
      <w:r w:rsidRPr="00A10A96">
        <w:rPr>
          <w:rtl/>
        </w:rPr>
        <w:t>واستثنائي</w:t>
      </w:r>
      <w:r w:rsidR="0031739C">
        <w:rPr>
          <w:rtl/>
        </w:rPr>
        <w:t>اً،</w:t>
      </w:r>
      <w:r w:rsidRPr="00A10A96">
        <w:rPr>
          <w:rtl/>
        </w:rPr>
        <w:t xml:space="preserve"> يجوز</w:t>
      </w:r>
      <w:r w:rsidR="008F7F42">
        <w:rPr>
          <w:rFonts w:hint="cs"/>
          <w:rtl/>
        </w:rPr>
        <w:t> </w:t>
      </w:r>
      <w:r w:rsidRPr="00A10A96">
        <w:rPr>
          <w:rtl/>
        </w:rPr>
        <w:t>للمجلس الدستوري، عندما يقدَّم إليه طلب مباشر، أن يحسم في مسألة  دستورية القوانين</w:t>
      </w:r>
      <w:r w:rsidR="008F7F42">
        <w:rPr>
          <w:rFonts w:hint="cs"/>
          <w:rtl/>
        </w:rPr>
        <w:t> </w:t>
      </w:r>
      <w:r w:rsidRPr="00A10A96">
        <w:rPr>
          <w:rtl/>
        </w:rPr>
        <w:t>التي جرى سنها بالفعل، خلال النظر في "الأحكام التشريعية التي تعدلها أو تكملها أو</w:t>
      </w:r>
      <w:r w:rsidR="008F7F42">
        <w:rPr>
          <w:rFonts w:hint="cs"/>
          <w:rtl/>
        </w:rPr>
        <w:t> </w:t>
      </w:r>
      <w:r w:rsidRPr="00A10A96">
        <w:rPr>
          <w:rtl/>
        </w:rPr>
        <w:t>تمس نطاقها"</w:t>
      </w:r>
      <w:r w:rsidRPr="00A10A96">
        <w:rPr>
          <w:rStyle w:val="EndnoteReference"/>
          <w:rtl/>
        </w:rPr>
        <w:t>(</w:t>
      </w:r>
      <w:r w:rsidRPr="00A10A96">
        <w:rPr>
          <w:rStyle w:val="EndnoteReference"/>
          <w:rtl/>
        </w:rPr>
        <w:endnoteReference w:id="187"/>
      </w:r>
      <w:r w:rsidRPr="00A10A96">
        <w:rPr>
          <w:rStyle w:val="EndnoteReference"/>
          <w:rtl/>
        </w:rPr>
        <w:t>)</w:t>
      </w:r>
      <w:r w:rsidRPr="00A10A96">
        <w:rPr>
          <w:rFonts w:hint="cs"/>
          <w:rtl/>
        </w:rPr>
        <w:t>.</w:t>
      </w:r>
    </w:p>
    <w:p w:rsidR="00944A3C" w:rsidRPr="00A10A96" w:rsidRDefault="00944A3C" w:rsidP="007B5213">
      <w:pPr>
        <w:pStyle w:val="SingleTxtGA"/>
        <w:rPr>
          <w:rtl/>
        </w:rPr>
      </w:pPr>
      <w:r w:rsidRPr="00A10A96">
        <w:rPr>
          <w:rFonts w:hint="cs"/>
          <w:rtl/>
        </w:rPr>
        <w:t>210</w:t>
      </w:r>
      <w:r w:rsidRPr="007B5213">
        <w:rPr>
          <w:rFonts w:hint="cs"/>
          <w:spacing w:val="-4"/>
          <w:rtl/>
        </w:rPr>
        <w:t>-</w:t>
      </w:r>
      <w:r w:rsidRPr="007B5213">
        <w:rPr>
          <w:rFonts w:hint="cs"/>
          <w:spacing w:val="-4"/>
          <w:rtl/>
        </w:rPr>
        <w:tab/>
      </w:r>
      <w:r w:rsidRPr="007B5213">
        <w:rPr>
          <w:spacing w:val="-4"/>
          <w:rtl/>
        </w:rPr>
        <w:t>وقد يكون إشعار المجلس الدستوري إلزامي</w:t>
      </w:r>
      <w:r w:rsidR="00B27C28">
        <w:rPr>
          <w:spacing w:val="-4"/>
          <w:rtl/>
        </w:rPr>
        <w:t xml:space="preserve">اً </w:t>
      </w:r>
      <w:r w:rsidRPr="007B5213">
        <w:rPr>
          <w:spacing w:val="-4"/>
          <w:rtl/>
        </w:rPr>
        <w:t>(المادة 61(1)) أو اختياري</w:t>
      </w:r>
      <w:r w:rsidR="00B27C28">
        <w:rPr>
          <w:spacing w:val="-4"/>
          <w:rtl/>
        </w:rPr>
        <w:t xml:space="preserve">اً </w:t>
      </w:r>
      <w:r w:rsidRPr="007B5213">
        <w:rPr>
          <w:spacing w:val="-4"/>
          <w:rtl/>
        </w:rPr>
        <w:t>(المادة 61(2))</w:t>
      </w:r>
      <w:r w:rsidRPr="007B5213">
        <w:rPr>
          <w:rFonts w:hint="cs"/>
          <w:spacing w:val="-4"/>
          <w:rtl/>
        </w:rPr>
        <w:t>.</w:t>
      </w:r>
      <w:r w:rsidRPr="00A10A96">
        <w:rPr>
          <w:rFonts w:hint="cs"/>
          <w:rtl/>
        </w:rPr>
        <w:t xml:space="preserve"> </w:t>
      </w:r>
      <w:r w:rsidRPr="00A10A96">
        <w:rPr>
          <w:rtl/>
        </w:rPr>
        <w:t>وفي الحالة الأخيرة، يجوز أن يحيل القوانينَ إلى المجلس الدستوري قبل سنها رئيسُ الجمهورية، أو</w:t>
      </w:r>
      <w:r w:rsidR="007B5213">
        <w:rPr>
          <w:rFonts w:hint="cs"/>
          <w:rtl/>
        </w:rPr>
        <w:t> </w:t>
      </w:r>
      <w:r w:rsidRPr="00A10A96">
        <w:rPr>
          <w:rtl/>
        </w:rPr>
        <w:t>رئيس الوزراء، أو رئيس الجمعية الوطنية، أو رئيس مجلس الشيوخ، أو 60 نائب</w:t>
      </w:r>
      <w:r w:rsidR="00B27C28">
        <w:rPr>
          <w:rtl/>
        </w:rPr>
        <w:t xml:space="preserve">اً </w:t>
      </w:r>
      <w:r w:rsidRPr="00A10A96">
        <w:rPr>
          <w:rtl/>
        </w:rPr>
        <w:t>أو 60 عضو</w:t>
      </w:r>
      <w:r w:rsidR="00B27C28">
        <w:rPr>
          <w:rtl/>
        </w:rPr>
        <w:t xml:space="preserve">اً </w:t>
      </w:r>
      <w:r w:rsidRPr="00A10A96">
        <w:rPr>
          <w:rtl/>
        </w:rPr>
        <w:t>من أعضاء مجلس الشيوخ</w:t>
      </w:r>
      <w:r w:rsidRPr="00A10A96">
        <w:rPr>
          <w:rFonts w:hint="cs"/>
          <w:rtl/>
        </w:rPr>
        <w:t xml:space="preserve">. </w:t>
      </w:r>
      <w:r w:rsidRPr="00A10A96">
        <w:rPr>
          <w:rtl/>
        </w:rPr>
        <w:t>ورغم أن هذه الإحالة اختيارية، فمعظم القوانين التي تكتسي أهمية معينة يخضع لمراقبة المجلس الدستوري</w:t>
      </w:r>
      <w:r w:rsidRPr="00A10A96">
        <w:rPr>
          <w:rFonts w:hint="cs"/>
          <w:rtl/>
        </w:rPr>
        <w:t>.</w:t>
      </w:r>
    </w:p>
    <w:p w:rsidR="00944A3C" w:rsidRPr="00A10A96" w:rsidRDefault="00944A3C" w:rsidP="003C01C6">
      <w:pPr>
        <w:pStyle w:val="SingleTxtGA"/>
        <w:rPr>
          <w:rtl/>
        </w:rPr>
      </w:pPr>
      <w:r w:rsidRPr="00A10A96">
        <w:rPr>
          <w:rFonts w:hint="cs"/>
          <w:rtl/>
        </w:rPr>
        <w:lastRenderedPageBreak/>
        <w:t>211-</w:t>
      </w:r>
      <w:r w:rsidRPr="00A10A96">
        <w:rPr>
          <w:rFonts w:hint="cs"/>
          <w:rtl/>
        </w:rPr>
        <w:tab/>
      </w:r>
      <w:r w:rsidRPr="00A10A96">
        <w:rPr>
          <w:rtl/>
        </w:rPr>
        <w:t>ومن حيث المبدأ، عندما يتبين أن قانون</w:t>
      </w:r>
      <w:r w:rsidR="00B27C28">
        <w:rPr>
          <w:rtl/>
        </w:rPr>
        <w:t xml:space="preserve">اً </w:t>
      </w:r>
      <w:r w:rsidRPr="00A10A96">
        <w:rPr>
          <w:rtl/>
        </w:rPr>
        <w:t xml:space="preserve">ما لا يتوافق مع الدستور، </w:t>
      </w:r>
      <w:r w:rsidRPr="00A10A96">
        <w:rPr>
          <w:rFonts w:hint="cs"/>
          <w:rtl/>
        </w:rPr>
        <w:t xml:space="preserve">يبطل </w:t>
      </w:r>
      <w:r w:rsidRPr="00A10A96">
        <w:rPr>
          <w:rtl/>
        </w:rPr>
        <w:t>قانونيا</w:t>
      </w:r>
      <w:r w:rsidR="003C01C6">
        <w:rPr>
          <w:rFonts w:hint="cs"/>
          <w:rtl/>
        </w:rPr>
        <w:t>ً</w:t>
      </w:r>
      <w:r w:rsidRPr="00A10A96">
        <w:rPr>
          <w:rtl/>
        </w:rPr>
        <w:t xml:space="preserve"> ولا</w:t>
      </w:r>
      <w:r w:rsidR="003C01C6">
        <w:rPr>
          <w:rFonts w:hint="cs"/>
          <w:rtl/>
        </w:rPr>
        <w:t> </w:t>
      </w:r>
      <w:r w:rsidRPr="00A10A96">
        <w:rPr>
          <w:rtl/>
        </w:rPr>
        <w:t>يجوز تنفيذه</w:t>
      </w:r>
      <w:r w:rsidRPr="00A10A96">
        <w:rPr>
          <w:rFonts w:hint="cs"/>
          <w:rtl/>
        </w:rPr>
        <w:t xml:space="preserve">. </w:t>
      </w:r>
      <w:r w:rsidRPr="00A10A96">
        <w:rPr>
          <w:rtl/>
        </w:rPr>
        <w:t>وعندما يتعلق الأمر بالتزام دولي يتضمن بنداً مخالف</w:t>
      </w:r>
      <w:r w:rsidR="00B27C28">
        <w:rPr>
          <w:rtl/>
        </w:rPr>
        <w:t xml:space="preserve">اً </w:t>
      </w:r>
      <w:r w:rsidRPr="00A10A96">
        <w:rPr>
          <w:rtl/>
        </w:rPr>
        <w:t>للدستور، يجوز التفويض بالتصديق أو الموافقة عليه بعد تعديل الدستور</w:t>
      </w:r>
      <w:r w:rsidRPr="00A10A96">
        <w:rPr>
          <w:rFonts w:hint="cs"/>
          <w:rtl/>
        </w:rPr>
        <w:t xml:space="preserve">. </w:t>
      </w:r>
      <w:r w:rsidRPr="00A10A96">
        <w:rPr>
          <w:rtl/>
        </w:rPr>
        <w:t>و</w:t>
      </w:r>
      <w:r w:rsidRPr="00A10A96">
        <w:rPr>
          <w:rFonts w:hint="cs"/>
          <w:rtl/>
        </w:rPr>
        <w:t xml:space="preserve">تكتسي </w:t>
      </w:r>
      <w:r w:rsidRPr="00A10A96">
        <w:rPr>
          <w:rtl/>
        </w:rPr>
        <w:t>قرارات المجلس الدستوري سلطة الشيء المقضي به</w:t>
      </w:r>
      <w:r w:rsidRPr="00A10A96">
        <w:rPr>
          <w:rFonts w:hint="cs"/>
          <w:rtl/>
        </w:rPr>
        <w:t xml:space="preserve">. </w:t>
      </w:r>
      <w:r w:rsidRPr="00A10A96">
        <w:rPr>
          <w:rtl/>
        </w:rPr>
        <w:t>وهي قرارات غير قابلة لأي طعن وم</w:t>
      </w:r>
      <w:r w:rsidRPr="00A10A96">
        <w:rPr>
          <w:rFonts w:hint="cs"/>
          <w:rtl/>
        </w:rPr>
        <w:t>ُ</w:t>
      </w:r>
      <w:r w:rsidRPr="00A10A96">
        <w:rPr>
          <w:rtl/>
        </w:rPr>
        <w:t>لزمة للسلطات العامة ولجميع الهيئات الإدارية والقضائية (المادة 62)</w:t>
      </w:r>
      <w:r w:rsidRPr="00A10A96">
        <w:rPr>
          <w:rFonts w:hint="cs"/>
          <w:rtl/>
        </w:rPr>
        <w:t>.</w:t>
      </w:r>
    </w:p>
    <w:p w:rsidR="00944A3C" w:rsidRPr="00A10A96" w:rsidRDefault="00944A3C" w:rsidP="005714DA">
      <w:pPr>
        <w:pStyle w:val="H4GA"/>
        <w:rPr>
          <w:rtl/>
        </w:rPr>
      </w:pPr>
      <w:r w:rsidRPr="00A10A96">
        <w:rPr>
          <w:rFonts w:hint="cs"/>
          <w:rtl/>
        </w:rPr>
        <w:tab/>
      </w:r>
      <w:r w:rsidR="005714DA">
        <w:rPr>
          <w:rFonts w:hint="cs"/>
          <w:rtl/>
        </w:rPr>
        <w:t>‘</w:t>
      </w:r>
      <w:r w:rsidRPr="00A10A96">
        <w:rPr>
          <w:rFonts w:hint="cs"/>
          <w:rtl/>
        </w:rPr>
        <w:t>3</w:t>
      </w:r>
      <w:r w:rsidR="005714DA">
        <w:rPr>
          <w:rFonts w:hint="cs"/>
          <w:rtl/>
        </w:rPr>
        <w:t>‘</w:t>
      </w:r>
      <w:r w:rsidRPr="00A10A96">
        <w:rPr>
          <w:rFonts w:hint="cs"/>
          <w:rtl/>
        </w:rPr>
        <w:tab/>
      </w:r>
      <w:r w:rsidRPr="00A10A96">
        <w:rPr>
          <w:rtl/>
        </w:rPr>
        <w:t xml:space="preserve">المراقبة اللاحقة: مسألة </w:t>
      </w:r>
      <w:r w:rsidRPr="00A10A96">
        <w:rPr>
          <w:rFonts w:hint="cs"/>
          <w:rtl/>
        </w:rPr>
        <w:t xml:space="preserve">الأولوية </w:t>
      </w:r>
      <w:r w:rsidRPr="00A10A96">
        <w:rPr>
          <w:rtl/>
        </w:rPr>
        <w:t>الدستورية</w:t>
      </w:r>
    </w:p>
    <w:p w:rsidR="00944A3C" w:rsidRPr="00A10A96" w:rsidRDefault="00944A3C" w:rsidP="007B5213">
      <w:pPr>
        <w:pStyle w:val="SingleTxtGA"/>
        <w:rPr>
          <w:rtl/>
        </w:rPr>
      </w:pPr>
      <w:r w:rsidRPr="00A10A96">
        <w:rPr>
          <w:rFonts w:hint="cs"/>
          <w:rtl/>
        </w:rPr>
        <w:t>212</w:t>
      </w:r>
      <w:r w:rsidRPr="00A10A96">
        <w:rPr>
          <w:rtl/>
        </w:rPr>
        <w:t>-</w:t>
      </w:r>
      <w:r w:rsidRPr="00A10A96">
        <w:rPr>
          <w:rFonts w:hint="cs"/>
          <w:rtl/>
        </w:rPr>
        <w:tab/>
      </w:r>
      <w:r w:rsidRPr="00A10A96">
        <w:rPr>
          <w:rtl/>
        </w:rPr>
        <w:t>بناء على التعديل الدستوري المؤرخ 23 تموز/يوليه 2008، يجوز لمحكمة النقض أو</w:t>
      </w:r>
      <w:r w:rsidR="007B5213">
        <w:rPr>
          <w:rFonts w:hint="cs"/>
          <w:rtl/>
        </w:rPr>
        <w:t> </w:t>
      </w:r>
      <w:r w:rsidRPr="00A10A96">
        <w:rPr>
          <w:rtl/>
        </w:rPr>
        <w:t>مجلس الدولة إشعار المجلس الدستوري من خلال إحالة أولية، إذا ادعى متقاضٍ ما في دعوى قيد النظر أمام إحدى المحاكم انتهاك أحد الأحكام التشريعية للحقوق والحريات المكفولة دستوري</w:t>
      </w:r>
      <w:r w:rsidR="00B27C28">
        <w:rPr>
          <w:rtl/>
        </w:rPr>
        <w:t xml:space="preserve">اً </w:t>
      </w:r>
      <w:r w:rsidRPr="00A10A96">
        <w:rPr>
          <w:rtl/>
        </w:rPr>
        <w:t>(المادة 61-1)</w:t>
      </w:r>
      <w:r w:rsidRPr="00A10A96">
        <w:rPr>
          <w:rFonts w:hint="cs"/>
          <w:rtl/>
        </w:rPr>
        <w:t xml:space="preserve">. </w:t>
      </w:r>
      <w:r w:rsidRPr="00A10A96">
        <w:rPr>
          <w:rtl/>
        </w:rPr>
        <w:t>والنظر في دستورية قانون ما له "الأولوية" على النظر في مدى تطابقه مع المعاهدات</w:t>
      </w:r>
      <w:r w:rsidRPr="00A10A96">
        <w:rPr>
          <w:rStyle w:val="EndnoteReference"/>
          <w:rtl/>
        </w:rPr>
        <w:t>(</w:t>
      </w:r>
      <w:r w:rsidRPr="00A10A96">
        <w:rPr>
          <w:rStyle w:val="EndnoteReference"/>
          <w:rtl/>
        </w:rPr>
        <w:endnoteReference w:id="188"/>
      </w:r>
      <w:r w:rsidRPr="00A10A96">
        <w:rPr>
          <w:rStyle w:val="EndnoteReference"/>
          <w:rtl/>
        </w:rPr>
        <w:t>)</w:t>
      </w:r>
      <w:r w:rsidRPr="00A10A96">
        <w:rPr>
          <w:rFonts w:hint="cs"/>
          <w:i/>
          <w:iCs/>
          <w:rtl/>
        </w:rPr>
        <w:t>.</w:t>
      </w:r>
    </w:p>
    <w:p w:rsidR="00944A3C" w:rsidRPr="00A10A96" w:rsidRDefault="00944A3C" w:rsidP="00944A3C">
      <w:pPr>
        <w:pStyle w:val="SingleTxtGA"/>
        <w:rPr>
          <w:rtl/>
        </w:rPr>
      </w:pPr>
      <w:r w:rsidRPr="00A10A96">
        <w:rPr>
          <w:rFonts w:hint="cs"/>
          <w:rtl/>
        </w:rPr>
        <w:t>213-</w:t>
      </w:r>
      <w:r w:rsidRPr="00A10A96">
        <w:rPr>
          <w:rFonts w:hint="cs"/>
          <w:rtl/>
        </w:rPr>
        <w:tab/>
      </w:r>
      <w:r w:rsidRPr="00A10A96">
        <w:rPr>
          <w:rtl/>
        </w:rPr>
        <w:t>ويبطل الحكم الذي تعل</w:t>
      </w:r>
      <w:r w:rsidRPr="00A10A96">
        <w:rPr>
          <w:rFonts w:hint="cs"/>
          <w:rtl/>
        </w:rPr>
        <w:t>َ</w:t>
      </w:r>
      <w:r w:rsidRPr="00A10A96">
        <w:rPr>
          <w:rtl/>
        </w:rPr>
        <w:t>ن عدم دستوريته على أساس المادة 61-1 اعتبار</w:t>
      </w:r>
      <w:r w:rsidR="00B27C28">
        <w:rPr>
          <w:rtl/>
        </w:rPr>
        <w:t xml:space="preserve">اً </w:t>
      </w:r>
      <w:r w:rsidRPr="00A10A96">
        <w:rPr>
          <w:rtl/>
        </w:rPr>
        <w:t xml:space="preserve">من تاريخ نشر قرار المجلس الدستوري، الذي يسري </w:t>
      </w:r>
      <w:r w:rsidRPr="00A10A96">
        <w:rPr>
          <w:rFonts w:hint="cs"/>
          <w:rtl/>
        </w:rPr>
        <w:t xml:space="preserve">في جميع الحالات. </w:t>
      </w:r>
      <w:r w:rsidRPr="00A10A96">
        <w:rPr>
          <w:rtl/>
        </w:rPr>
        <w:t>وهو قرار غير قابل للطعن وملزم للسلطات العامة ولجميع الهيئات الإدارية والقضائية (المادة 62)</w:t>
      </w:r>
      <w:r w:rsidRPr="00A10A96">
        <w:rPr>
          <w:rFonts w:hint="cs"/>
          <w:rtl/>
        </w:rPr>
        <w:t>.</w:t>
      </w:r>
    </w:p>
    <w:p w:rsidR="00944A3C" w:rsidRPr="005D0C50" w:rsidRDefault="00944A3C" w:rsidP="007B5213">
      <w:pPr>
        <w:pStyle w:val="HChGA"/>
        <w:rPr>
          <w:rtl/>
        </w:rPr>
      </w:pPr>
      <w:r w:rsidRPr="005D0C50">
        <w:rPr>
          <w:rtl/>
        </w:rPr>
        <w:tab/>
      </w:r>
      <w:bookmarkStart w:id="10" w:name="_Toc353357628"/>
      <w:bookmarkStart w:id="11" w:name="_Toc508623280"/>
      <w:r w:rsidRPr="005D0C50">
        <w:rPr>
          <w:rtl/>
        </w:rPr>
        <w:t>ثا</w:t>
      </w:r>
      <w:r w:rsidRPr="005D0C50">
        <w:rPr>
          <w:rFonts w:hint="cs"/>
          <w:rtl/>
        </w:rPr>
        <w:t>لث</w:t>
      </w:r>
      <w:r w:rsidRPr="005D0C50">
        <w:rPr>
          <w:rtl/>
        </w:rPr>
        <w:t>اً-</w:t>
      </w:r>
      <w:r w:rsidRPr="005D0C50">
        <w:rPr>
          <w:rtl/>
        </w:rPr>
        <w:tab/>
      </w:r>
      <w:bookmarkEnd w:id="10"/>
      <w:r w:rsidRPr="005D0C50">
        <w:rPr>
          <w:rtl/>
        </w:rPr>
        <w:t>قبول المعايير الدولية لحقوق الإنسان</w:t>
      </w:r>
      <w:bookmarkEnd w:id="11"/>
    </w:p>
    <w:p w:rsidR="00944A3C" w:rsidRPr="005D0C50" w:rsidRDefault="00944A3C" w:rsidP="007B5213">
      <w:pPr>
        <w:pStyle w:val="SingleTxtGA"/>
        <w:rPr>
          <w:rtl/>
        </w:rPr>
      </w:pPr>
      <w:r w:rsidRPr="005D0C50">
        <w:rPr>
          <w:rFonts w:hint="cs"/>
          <w:rtl/>
        </w:rPr>
        <w:t>214-</w:t>
      </w:r>
      <w:r w:rsidRPr="005D0C50">
        <w:rPr>
          <w:rFonts w:hint="cs"/>
          <w:rtl/>
        </w:rPr>
        <w:tab/>
      </w:r>
      <w:r w:rsidRPr="005D0C50">
        <w:rPr>
          <w:rtl/>
        </w:rPr>
        <w:t>قدمت الحكومة مرفق</w:t>
      </w:r>
      <w:r w:rsidR="00B27C28">
        <w:rPr>
          <w:rtl/>
        </w:rPr>
        <w:t xml:space="preserve">اً </w:t>
      </w:r>
      <w:r w:rsidRPr="005D0C50">
        <w:rPr>
          <w:rtl/>
        </w:rPr>
        <w:t>للوثيقة الأساسية الموحدة يتضمن التحفظات على الاتفاقيات وكذلك التوضيحات ذات الصلة</w:t>
      </w:r>
      <w:r w:rsidRPr="005D0C50">
        <w:rPr>
          <w:rFonts w:hint="cs"/>
          <w:rtl/>
        </w:rPr>
        <w:t>.</w:t>
      </w:r>
    </w:p>
    <w:p w:rsidR="00944A3C" w:rsidRPr="005D0C50" w:rsidRDefault="00944A3C" w:rsidP="007B5213">
      <w:pPr>
        <w:pStyle w:val="H1GA"/>
        <w:rPr>
          <w:rtl/>
        </w:rPr>
      </w:pPr>
      <w:r w:rsidRPr="005D0C50">
        <w:rPr>
          <w:rtl/>
        </w:rPr>
        <w:tab/>
      </w:r>
      <w:bookmarkStart w:id="12" w:name="_Toc353357629"/>
      <w:bookmarkStart w:id="13" w:name="_Toc508623281"/>
      <w:r w:rsidRPr="005D0C50">
        <w:rPr>
          <w:rtl/>
        </w:rPr>
        <w:t>ألف-</w:t>
      </w:r>
      <w:r w:rsidRPr="005D0C50">
        <w:rPr>
          <w:rtl/>
        </w:rPr>
        <w:tab/>
      </w:r>
      <w:bookmarkEnd w:id="12"/>
      <w:r w:rsidRPr="005D0C50">
        <w:rPr>
          <w:rtl/>
        </w:rPr>
        <w:t>قبول المعايير الدولية الرئيسية لحقوق الإنسان</w:t>
      </w:r>
      <w:r w:rsidRPr="007B5213">
        <w:rPr>
          <w:rStyle w:val="EndnoteReference"/>
          <w:b w:val="0"/>
          <w:bCs w:val="0"/>
          <w:rtl/>
        </w:rPr>
        <w:t>(</w:t>
      </w:r>
      <w:r w:rsidRPr="007B5213">
        <w:rPr>
          <w:rStyle w:val="EndnoteReference"/>
          <w:b w:val="0"/>
          <w:bCs w:val="0"/>
          <w:rtl/>
        </w:rPr>
        <w:endnoteReference w:id="189"/>
      </w:r>
      <w:r w:rsidRPr="007B5213">
        <w:rPr>
          <w:rStyle w:val="EndnoteReference"/>
          <w:b w:val="0"/>
          <w:bCs w:val="0"/>
          <w:rtl/>
        </w:rPr>
        <w:t>)</w:t>
      </w:r>
      <w:bookmarkEnd w:id="13"/>
    </w:p>
    <w:tbl>
      <w:tblPr>
        <w:bidiVisual/>
        <w:tblW w:w="9641" w:type="dxa"/>
        <w:tblInd w:w="10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41"/>
        <w:gridCol w:w="1984"/>
        <w:gridCol w:w="2268"/>
        <w:gridCol w:w="2548"/>
      </w:tblGrid>
      <w:tr w:rsidR="00944A3C" w:rsidRPr="003E156C" w:rsidTr="00323F71">
        <w:trPr>
          <w:cantSplit/>
          <w:tblHeader/>
        </w:trPr>
        <w:tc>
          <w:tcPr>
            <w:tcW w:w="2841" w:type="dxa"/>
            <w:tcBorders>
              <w:bottom w:val="single" w:sz="12" w:space="0" w:color="auto"/>
            </w:tcBorders>
            <w:shd w:val="clear" w:color="auto" w:fill="auto"/>
            <w:vAlign w:val="bottom"/>
          </w:tcPr>
          <w:p w:rsidR="00944A3C" w:rsidRPr="00437D92" w:rsidRDefault="00944A3C" w:rsidP="008F7F42">
            <w:pPr>
              <w:spacing w:before="40" w:after="60" w:line="320" w:lineRule="exact"/>
              <w:ind w:right="284"/>
              <w:jc w:val="left"/>
              <w:textDirection w:val="tbRlV"/>
              <w:rPr>
                <w:i/>
                <w:iCs/>
                <w:sz w:val="18"/>
                <w:szCs w:val="28"/>
                <w:rtl/>
                <w:lang w:val="en-GB" w:eastAsia="zh-TW"/>
              </w:rPr>
            </w:pPr>
            <w:bookmarkStart w:id="14" w:name="bookmark_644"/>
            <w:r w:rsidRPr="00437D92">
              <w:rPr>
                <w:i/>
                <w:iCs/>
                <w:sz w:val="18"/>
                <w:szCs w:val="28"/>
                <w:rtl/>
                <w:lang w:val="en-GB" w:eastAsia="zh-TW"/>
              </w:rPr>
              <w:t>الصك الدولي</w:t>
            </w:r>
            <w:bookmarkEnd w:id="14"/>
          </w:p>
        </w:tc>
        <w:tc>
          <w:tcPr>
            <w:tcW w:w="1984" w:type="dxa"/>
            <w:tcBorders>
              <w:bottom w:val="single" w:sz="12" w:space="0" w:color="auto"/>
            </w:tcBorders>
            <w:shd w:val="clear" w:color="auto" w:fill="auto"/>
            <w:vAlign w:val="bottom"/>
          </w:tcPr>
          <w:p w:rsidR="00944A3C" w:rsidRPr="00437D92" w:rsidRDefault="00944A3C" w:rsidP="00317979">
            <w:pPr>
              <w:spacing w:before="40" w:after="60" w:line="320" w:lineRule="exact"/>
              <w:ind w:left="57" w:right="283"/>
              <w:jc w:val="left"/>
              <w:textDirection w:val="tbRlV"/>
              <w:rPr>
                <w:i/>
                <w:iCs/>
                <w:sz w:val="18"/>
                <w:szCs w:val="28"/>
                <w:rtl/>
                <w:lang w:val="en-GB" w:eastAsia="zh-TW"/>
              </w:rPr>
            </w:pPr>
            <w:bookmarkStart w:id="15" w:name="bookmark_645"/>
            <w:r w:rsidRPr="00437D92">
              <w:rPr>
                <w:i/>
                <w:iCs/>
                <w:sz w:val="18"/>
                <w:szCs w:val="28"/>
                <w:rtl/>
                <w:lang w:val="en-GB" w:eastAsia="zh-TW"/>
              </w:rPr>
              <w:t>التوقيع</w:t>
            </w:r>
            <w:bookmarkEnd w:id="15"/>
          </w:p>
        </w:tc>
        <w:tc>
          <w:tcPr>
            <w:tcW w:w="2268" w:type="dxa"/>
            <w:tcBorders>
              <w:bottom w:val="single" w:sz="12" w:space="0" w:color="auto"/>
            </w:tcBorders>
            <w:shd w:val="clear" w:color="auto" w:fill="auto"/>
            <w:vAlign w:val="bottom"/>
          </w:tcPr>
          <w:p w:rsidR="00944A3C" w:rsidRPr="00437D92" w:rsidRDefault="00944A3C" w:rsidP="00317979">
            <w:pPr>
              <w:spacing w:before="40" w:after="60" w:line="320" w:lineRule="exact"/>
              <w:ind w:left="57" w:right="283"/>
              <w:jc w:val="left"/>
              <w:textDirection w:val="tbRlV"/>
              <w:rPr>
                <w:i/>
                <w:iCs/>
                <w:spacing w:val="-4"/>
                <w:sz w:val="18"/>
                <w:szCs w:val="28"/>
                <w:rtl/>
                <w:lang w:val="en-GB" w:eastAsia="zh-TW"/>
              </w:rPr>
            </w:pPr>
            <w:bookmarkStart w:id="16" w:name="bookmark_646"/>
            <w:r w:rsidRPr="00437D92">
              <w:rPr>
                <w:i/>
                <w:iCs/>
                <w:spacing w:val="-4"/>
                <w:sz w:val="18"/>
                <w:szCs w:val="28"/>
                <w:rtl/>
                <w:lang w:val="en-GB" w:eastAsia="zh-TW"/>
              </w:rPr>
              <w:t>التصديق/الانضمام وقبول التعديلات والإجراءات الاختيارية</w:t>
            </w:r>
            <w:bookmarkEnd w:id="16"/>
          </w:p>
        </w:tc>
        <w:tc>
          <w:tcPr>
            <w:tcW w:w="2548" w:type="dxa"/>
            <w:tcBorders>
              <w:bottom w:val="single" w:sz="12" w:space="0" w:color="auto"/>
            </w:tcBorders>
            <w:shd w:val="clear" w:color="auto" w:fill="auto"/>
            <w:vAlign w:val="bottom"/>
          </w:tcPr>
          <w:p w:rsidR="00944A3C" w:rsidRPr="00437D92" w:rsidRDefault="00944A3C" w:rsidP="00317979">
            <w:pPr>
              <w:spacing w:before="40" w:after="60" w:line="320" w:lineRule="exact"/>
              <w:ind w:left="57" w:right="30"/>
              <w:jc w:val="left"/>
              <w:textDirection w:val="tbRlV"/>
              <w:rPr>
                <w:i/>
                <w:iCs/>
                <w:sz w:val="18"/>
                <w:szCs w:val="28"/>
                <w:rtl/>
                <w:lang w:val="en-GB" w:eastAsia="zh-TW"/>
              </w:rPr>
            </w:pPr>
            <w:bookmarkStart w:id="17" w:name="bookmark_647"/>
            <w:r w:rsidRPr="00437D92">
              <w:rPr>
                <w:i/>
                <w:iCs/>
                <w:sz w:val="18"/>
                <w:szCs w:val="28"/>
                <w:rtl/>
                <w:lang w:val="en-GB" w:eastAsia="zh-TW"/>
              </w:rPr>
              <w:t>الإعلانات التفسيرية والتحفظات</w:t>
            </w:r>
            <w:bookmarkEnd w:id="17"/>
          </w:p>
        </w:tc>
      </w:tr>
      <w:tr w:rsidR="00944A3C" w:rsidRPr="003E156C" w:rsidTr="00323F71">
        <w:trPr>
          <w:cantSplit/>
        </w:trPr>
        <w:tc>
          <w:tcPr>
            <w:tcW w:w="2841" w:type="dxa"/>
            <w:tcBorders>
              <w:top w:val="single" w:sz="12" w:space="0" w:color="auto"/>
            </w:tcBorders>
            <w:shd w:val="clear" w:color="auto" w:fill="auto"/>
          </w:tcPr>
          <w:p w:rsidR="00944A3C" w:rsidRPr="003E156C" w:rsidRDefault="00944A3C" w:rsidP="008F7F42">
            <w:pPr>
              <w:spacing w:before="40" w:after="60" w:line="320" w:lineRule="exact"/>
              <w:ind w:right="284"/>
              <w:textDirection w:val="tbRlV"/>
              <w:rPr>
                <w:sz w:val="18"/>
                <w:szCs w:val="28"/>
                <w:rtl/>
                <w:lang w:val="en-GB" w:eastAsia="zh-TW"/>
              </w:rPr>
            </w:pPr>
            <w:bookmarkStart w:id="18" w:name="bookmark_648"/>
            <w:r w:rsidRPr="003E156C">
              <w:rPr>
                <w:sz w:val="18"/>
                <w:szCs w:val="28"/>
                <w:rtl/>
                <w:lang w:val="en-GB" w:eastAsia="zh-TW"/>
              </w:rPr>
              <w:t>العهد الدولي الخاص بالحقوق المدنية والسياسية (1966)</w:t>
            </w:r>
            <w:bookmarkEnd w:id="18"/>
          </w:p>
        </w:tc>
        <w:tc>
          <w:tcPr>
            <w:tcW w:w="1984" w:type="dxa"/>
            <w:tcBorders>
              <w:top w:val="single" w:sz="12" w:space="0" w:color="auto"/>
            </w:tcBorders>
            <w:shd w:val="clear" w:color="auto" w:fill="auto"/>
          </w:tcPr>
          <w:p w:rsidR="00944A3C" w:rsidRPr="003E156C" w:rsidRDefault="00317979" w:rsidP="00317979">
            <w:pPr>
              <w:spacing w:before="40" w:after="60" w:line="320" w:lineRule="exact"/>
              <w:ind w:left="57" w:right="283"/>
              <w:textDirection w:val="tbRlV"/>
              <w:rPr>
                <w:sz w:val="18"/>
                <w:szCs w:val="28"/>
                <w:rtl/>
                <w:lang w:val="en-GB" w:eastAsia="zh-TW"/>
              </w:rPr>
            </w:pPr>
            <w:r>
              <w:rPr>
                <w:rFonts w:hint="cs"/>
                <w:sz w:val="18"/>
                <w:szCs w:val="28"/>
                <w:rtl/>
                <w:lang w:val="en-GB" w:eastAsia="zh-TW"/>
              </w:rPr>
              <w:t>-</w:t>
            </w:r>
          </w:p>
        </w:tc>
        <w:tc>
          <w:tcPr>
            <w:tcW w:w="2268" w:type="dxa"/>
            <w:tcBorders>
              <w:top w:val="single" w:sz="12" w:space="0" w:color="auto"/>
            </w:tcBorders>
            <w:shd w:val="clear" w:color="auto" w:fill="auto"/>
          </w:tcPr>
          <w:p w:rsidR="00944A3C" w:rsidRPr="003E156C" w:rsidRDefault="00472D4B" w:rsidP="00317979">
            <w:pPr>
              <w:spacing w:before="40" w:after="60" w:line="320" w:lineRule="exact"/>
              <w:ind w:left="57" w:right="283"/>
              <w:textDirection w:val="tbRlV"/>
              <w:rPr>
                <w:sz w:val="18"/>
                <w:szCs w:val="28"/>
                <w:rtl/>
                <w:lang w:val="en-GB" w:eastAsia="zh-TW"/>
              </w:rPr>
            </w:pPr>
            <w:r>
              <w:rPr>
                <w:sz w:val="18"/>
                <w:szCs w:val="28"/>
                <w:rtl/>
                <w:lang w:val="en-GB" w:eastAsia="zh-TW"/>
              </w:rPr>
              <w:t>4 تشرين الثاني/نوفمبر</w:t>
            </w:r>
            <w:r>
              <w:rPr>
                <w:sz w:val="18"/>
                <w:szCs w:val="28"/>
                <w:rtl/>
                <w:lang w:val="en-GB" w:eastAsia="zh-TW"/>
              </w:rPr>
              <w:br/>
            </w:r>
            <w:r w:rsidR="006B4367" w:rsidRPr="003E156C">
              <w:rPr>
                <w:sz w:val="18"/>
                <w:szCs w:val="28"/>
                <w:rtl/>
                <w:lang w:val="en-GB" w:eastAsia="zh-TW"/>
              </w:rPr>
              <w:t>1980</w:t>
            </w:r>
          </w:p>
        </w:tc>
        <w:tc>
          <w:tcPr>
            <w:tcW w:w="2548" w:type="dxa"/>
            <w:tcBorders>
              <w:top w:val="single" w:sz="12" w:space="0" w:color="auto"/>
            </w:tcBorders>
            <w:shd w:val="clear" w:color="auto" w:fill="auto"/>
          </w:tcPr>
          <w:p w:rsidR="00944A3C" w:rsidRPr="003E156C" w:rsidRDefault="00944A3C" w:rsidP="00317979">
            <w:pPr>
              <w:spacing w:before="40" w:after="60" w:line="320" w:lineRule="exact"/>
              <w:ind w:left="57" w:right="30"/>
              <w:textDirection w:val="tbRlV"/>
              <w:rPr>
                <w:sz w:val="18"/>
                <w:szCs w:val="28"/>
                <w:rtl/>
                <w:lang w:val="en-GB" w:eastAsia="zh-TW"/>
              </w:rPr>
            </w:pPr>
            <w:bookmarkStart w:id="19" w:name="bookmark_651"/>
            <w:r w:rsidRPr="003E156C">
              <w:rPr>
                <w:sz w:val="18"/>
                <w:szCs w:val="28"/>
                <w:rtl/>
                <w:lang w:val="en-GB" w:eastAsia="zh-TW"/>
              </w:rPr>
              <w:t>إعلانات تفسيرية</w:t>
            </w:r>
            <w:r w:rsidRPr="003E156C">
              <w:rPr>
                <w:rFonts w:hint="cs"/>
                <w:sz w:val="18"/>
                <w:szCs w:val="28"/>
                <w:rtl/>
                <w:lang w:val="en-GB" w:eastAsia="zh-TW"/>
              </w:rPr>
              <w:t xml:space="preserve">: </w:t>
            </w:r>
            <w:r w:rsidR="003E156C" w:rsidRPr="003E156C">
              <w:rPr>
                <w:sz w:val="18"/>
                <w:szCs w:val="28"/>
                <w:rtl/>
                <w:lang w:val="en-GB" w:eastAsia="zh-TW"/>
              </w:rPr>
              <w:t>المواد 13 و14(5) و20(1) و19</w:t>
            </w:r>
            <w:r w:rsidRPr="003E156C">
              <w:rPr>
                <w:sz w:val="18"/>
                <w:szCs w:val="28"/>
                <w:rtl/>
                <w:lang w:val="en-GB" w:eastAsia="zh-TW"/>
              </w:rPr>
              <w:t xml:space="preserve"> و21 و22</w:t>
            </w:r>
            <w:bookmarkEnd w:id="19"/>
          </w:p>
          <w:p w:rsidR="00944A3C" w:rsidRPr="003E156C" w:rsidRDefault="00944A3C" w:rsidP="00317979">
            <w:pPr>
              <w:spacing w:before="40" w:after="60" w:line="320" w:lineRule="exact"/>
              <w:ind w:left="57" w:right="30"/>
              <w:textDirection w:val="tbRlV"/>
              <w:rPr>
                <w:sz w:val="18"/>
                <w:szCs w:val="28"/>
                <w:rtl/>
                <w:lang w:val="en-GB" w:eastAsia="zh-TW"/>
              </w:rPr>
            </w:pPr>
            <w:bookmarkStart w:id="20" w:name="bookmark_652"/>
            <w:r w:rsidRPr="003E156C">
              <w:rPr>
                <w:sz w:val="18"/>
                <w:szCs w:val="28"/>
                <w:rtl/>
                <w:lang w:val="en-GB" w:eastAsia="zh-TW"/>
              </w:rPr>
              <w:t>تحفظات</w:t>
            </w:r>
            <w:r w:rsidRPr="003E156C">
              <w:rPr>
                <w:rFonts w:hint="cs"/>
                <w:sz w:val="18"/>
                <w:szCs w:val="28"/>
                <w:rtl/>
                <w:lang w:val="en-GB" w:eastAsia="zh-TW"/>
              </w:rPr>
              <w:t xml:space="preserve">: </w:t>
            </w:r>
            <w:r w:rsidRPr="003E156C">
              <w:rPr>
                <w:sz w:val="18"/>
                <w:szCs w:val="28"/>
                <w:rtl/>
                <w:lang w:val="en-GB" w:eastAsia="zh-TW"/>
              </w:rPr>
              <w:t>المواد 4(1) و9 و14 و27.</w:t>
            </w:r>
            <w:bookmarkEnd w:id="20"/>
          </w:p>
        </w:tc>
      </w:tr>
      <w:tr w:rsidR="00944A3C" w:rsidRPr="003E156C" w:rsidTr="00323F71">
        <w:trPr>
          <w:cantSplit/>
        </w:trPr>
        <w:tc>
          <w:tcPr>
            <w:tcW w:w="2841" w:type="dxa"/>
            <w:shd w:val="clear" w:color="auto" w:fill="auto"/>
          </w:tcPr>
          <w:p w:rsidR="00944A3C" w:rsidRPr="00323F71" w:rsidRDefault="00944A3C" w:rsidP="008F7F42">
            <w:pPr>
              <w:spacing w:before="40" w:after="60" w:line="320" w:lineRule="exact"/>
              <w:ind w:right="284"/>
              <w:textDirection w:val="tbRlV"/>
              <w:rPr>
                <w:spacing w:val="-4"/>
                <w:sz w:val="18"/>
                <w:szCs w:val="28"/>
                <w:rtl/>
                <w:lang w:val="en-GB" w:eastAsia="zh-TW"/>
              </w:rPr>
            </w:pPr>
            <w:bookmarkStart w:id="21" w:name="bookmark_653"/>
            <w:r w:rsidRPr="00323F71">
              <w:rPr>
                <w:spacing w:val="-4"/>
                <w:sz w:val="18"/>
                <w:szCs w:val="28"/>
                <w:rtl/>
                <w:lang w:val="en-GB" w:eastAsia="zh-TW"/>
              </w:rPr>
              <w:t>البروتوكول الاختياري الأول الملحق بالعهد الدولي الخاص بالحقوق المدنية والسياسية بشأن تقديم البلاغات الفردية (1966)</w:t>
            </w:r>
            <w:bookmarkEnd w:id="21"/>
          </w:p>
        </w:tc>
        <w:tc>
          <w:tcPr>
            <w:tcW w:w="1984" w:type="dxa"/>
            <w:shd w:val="clear" w:color="auto" w:fill="auto"/>
          </w:tcPr>
          <w:p w:rsidR="00944A3C" w:rsidRPr="003E156C" w:rsidRDefault="00317979" w:rsidP="00317979">
            <w:pPr>
              <w:spacing w:before="40" w:after="60" w:line="320" w:lineRule="exact"/>
              <w:ind w:left="57" w:right="283"/>
              <w:textDirection w:val="tbRlV"/>
              <w:rPr>
                <w:sz w:val="18"/>
                <w:szCs w:val="28"/>
                <w:rtl/>
                <w:lang w:val="en-GB" w:eastAsia="zh-TW"/>
              </w:rPr>
            </w:pPr>
            <w:r>
              <w:rPr>
                <w:rFonts w:hint="cs"/>
                <w:sz w:val="18"/>
                <w:szCs w:val="28"/>
                <w:rtl/>
                <w:lang w:val="en-GB" w:eastAsia="zh-TW"/>
              </w:rPr>
              <w:t>-</w:t>
            </w:r>
          </w:p>
        </w:tc>
        <w:tc>
          <w:tcPr>
            <w:tcW w:w="2268" w:type="dxa"/>
            <w:shd w:val="clear" w:color="auto" w:fill="auto"/>
          </w:tcPr>
          <w:p w:rsidR="00944A3C" w:rsidRPr="005243D1" w:rsidRDefault="006B4367" w:rsidP="00317979">
            <w:pPr>
              <w:spacing w:before="40" w:after="60" w:line="320" w:lineRule="exact"/>
              <w:ind w:left="57" w:right="283"/>
              <w:textDirection w:val="tbRlV"/>
              <w:rPr>
                <w:spacing w:val="-10"/>
                <w:sz w:val="18"/>
                <w:szCs w:val="28"/>
                <w:rtl/>
                <w:lang w:val="en-GB" w:eastAsia="zh-TW"/>
              </w:rPr>
            </w:pPr>
            <w:r w:rsidRPr="005243D1">
              <w:rPr>
                <w:spacing w:val="-10"/>
                <w:sz w:val="18"/>
                <w:szCs w:val="28"/>
                <w:rtl/>
                <w:lang w:val="en-GB" w:eastAsia="zh-TW"/>
              </w:rPr>
              <w:t>17 شباط/فبراير</w:t>
            </w:r>
            <w:r w:rsidR="005243D1" w:rsidRPr="005243D1">
              <w:rPr>
                <w:rFonts w:hint="cs"/>
                <w:spacing w:val="-10"/>
                <w:sz w:val="18"/>
                <w:szCs w:val="28"/>
                <w:rtl/>
                <w:lang w:val="en-GB" w:eastAsia="zh-TW"/>
              </w:rPr>
              <w:t xml:space="preserve"> </w:t>
            </w:r>
            <w:r w:rsidRPr="005243D1">
              <w:rPr>
                <w:spacing w:val="-10"/>
                <w:sz w:val="18"/>
                <w:szCs w:val="28"/>
                <w:rtl/>
                <w:lang w:val="en-GB" w:eastAsia="zh-TW"/>
              </w:rPr>
              <w:t>1984</w:t>
            </w:r>
          </w:p>
        </w:tc>
        <w:tc>
          <w:tcPr>
            <w:tcW w:w="2548" w:type="dxa"/>
            <w:shd w:val="clear" w:color="auto" w:fill="auto"/>
          </w:tcPr>
          <w:p w:rsidR="00944A3C" w:rsidRPr="005243D1" w:rsidRDefault="00944A3C" w:rsidP="00317979">
            <w:pPr>
              <w:spacing w:before="40" w:after="60" w:line="320" w:lineRule="exact"/>
              <w:ind w:left="57" w:right="30"/>
              <w:textDirection w:val="tbRlV"/>
              <w:rPr>
                <w:spacing w:val="-6"/>
                <w:sz w:val="18"/>
                <w:szCs w:val="28"/>
                <w:rtl/>
                <w:lang w:val="en-GB" w:eastAsia="zh-TW"/>
              </w:rPr>
            </w:pPr>
            <w:bookmarkStart w:id="22" w:name="bookmark_656"/>
            <w:r w:rsidRPr="005243D1">
              <w:rPr>
                <w:spacing w:val="-6"/>
                <w:sz w:val="18"/>
                <w:szCs w:val="28"/>
                <w:rtl/>
                <w:lang w:val="en-GB" w:eastAsia="zh-TW"/>
              </w:rPr>
              <w:t>إعلانات تفسيرية</w:t>
            </w:r>
            <w:r w:rsidRPr="005243D1">
              <w:rPr>
                <w:rFonts w:hint="cs"/>
                <w:spacing w:val="-6"/>
                <w:sz w:val="18"/>
                <w:szCs w:val="28"/>
                <w:rtl/>
                <w:lang w:val="en-GB" w:eastAsia="zh-TW"/>
              </w:rPr>
              <w:t xml:space="preserve">: </w:t>
            </w:r>
            <w:r w:rsidRPr="005243D1">
              <w:rPr>
                <w:spacing w:val="-6"/>
                <w:sz w:val="18"/>
                <w:szCs w:val="28"/>
                <w:rtl/>
                <w:lang w:val="en-GB" w:eastAsia="zh-TW"/>
              </w:rPr>
              <w:t>المادت</w:t>
            </w:r>
            <w:r w:rsidRPr="005243D1">
              <w:rPr>
                <w:rFonts w:hint="cs"/>
                <w:spacing w:val="-6"/>
                <w:sz w:val="18"/>
                <w:szCs w:val="28"/>
                <w:rtl/>
                <w:lang w:val="en-GB" w:eastAsia="zh-TW"/>
              </w:rPr>
              <w:t>ا</w:t>
            </w:r>
            <w:r w:rsidRPr="005243D1">
              <w:rPr>
                <w:spacing w:val="-6"/>
                <w:sz w:val="18"/>
                <w:szCs w:val="28"/>
                <w:rtl/>
                <w:lang w:val="en-GB" w:eastAsia="zh-TW"/>
              </w:rPr>
              <w:t>ن 1 و7.</w:t>
            </w:r>
            <w:bookmarkEnd w:id="22"/>
          </w:p>
          <w:p w:rsidR="00944A3C" w:rsidRPr="003E156C" w:rsidRDefault="00944A3C" w:rsidP="00317979">
            <w:pPr>
              <w:spacing w:before="40" w:after="60" w:line="320" w:lineRule="exact"/>
              <w:ind w:left="57" w:right="30"/>
              <w:textDirection w:val="tbRlV"/>
              <w:rPr>
                <w:sz w:val="18"/>
                <w:szCs w:val="28"/>
                <w:rtl/>
                <w:lang w:val="en-GB" w:eastAsia="zh-TW"/>
              </w:rPr>
            </w:pPr>
            <w:bookmarkStart w:id="23" w:name="bookmark_657"/>
            <w:r w:rsidRPr="003E156C">
              <w:rPr>
                <w:sz w:val="18"/>
                <w:szCs w:val="28"/>
                <w:rtl/>
                <w:lang w:val="en-GB" w:eastAsia="zh-TW"/>
              </w:rPr>
              <w:t>تحفظات</w:t>
            </w:r>
            <w:r w:rsidRPr="003E156C">
              <w:rPr>
                <w:rFonts w:hint="cs"/>
                <w:sz w:val="18"/>
                <w:szCs w:val="28"/>
                <w:rtl/>
                <w:lang w:val="en-GB" w:eastAsia="zh-TW"/>
              </w:rPr>
              <w:t xml:space="preserve">: </w:t>
            </w:r>
            <w:r w:rsidRPr="003E156C">
              <w:rPr>
                <w:sz w:val="18"/>
                <w:szCs w:val="28"/>
                <w:rtl/>
                <w:lang w:val="en-GB" w:eastAsia="zh-TW"/>
              </w:rPr>
              <w:t>الفقرة ال</w:t>
            </w:r>
            <w:r w:rsidR="00462B09">
              <w:rPr>
                <w:sz w:val="18"/>
                <w:szCs w:val="28"/>
                <w:rtl/>
                <w:lang w:val="en-GB" w:eastAsia="zh-TW"/>
              </w:rPr>
              <w:t>فرعية (أ) من الفقرة 2 من المادة</w:t>
            </w:r>
            <w:r w:rsidRPr="003E156C">
              <w:rPr>
                <w:sz w:val="18"/>
                <w:szCs w:val="28"/>
                <w:rtl/>
                <w:lang w:val="en-GB" w:eastAsia="zh-TW"/>
              </w:rPr>
              <w:t xml:space="preserve"> 5.</w:t>
            </w:r>
            <w:bookmarkEnd w:id="23"/>
          </w:p>
        </w:tc>
      </w:tr>
      <w:tr w:rsidR="00944A3C" w:rsidRPr="003E156C" w:rsidTr="00323F71">
        <w:trPr>
          <w:cantSplit/>
        </w:trPr>
        <w:tc>
          <w:tcPr>
            <w:tcW w:w="2841" w:type="dxa"/>
            <w:shd w:val="clear" w:color="auto" w:fill="auto"/>
          </w:tcPr>
          <w:p w:rsidR="00944A3C" w:rsidRPr="00323F71" w:rsidRDefault="00944A3C" w:rsidP="008F7F42">
            <w:pPr>
              <w:spacing w:before="40" w:after="60" w:line="320" w:lineRule="exact"/>
              <w:ind w:right="284"/>
              <w:textDirection w:val="tbRlV"/>
              <w:rPr>
                <w:spacing w:val="-4"/>
                <w:sz w:val="18"/>
                <w:szCs w:val="28"/>
                <w:rtl/>
                <w:lang w:val="en-GB" w:eastAsia="zh-TW"/>
              </w:rPr>
            </w:pPr>
            <w:bookmarkStart w:id="24" w:name="bookmark_658"/>
            <w:r w:rsidRPr="00323F71">
              <w:rPr>
                <w:spacing w:val="-4"/>
                <w:sz w:val="18"/>
                <w:szCs w:val="28"/>
                <w:rtl/>
                <w:lang w:val="en-GB" w:eastAsia="zh-TW"/>
              </w:rPr>
              <w:t>البروتوكول الاختياري الثاني الملحق بالعهد الدولي الخاص بالحقوق المدنية والسياسية، الهادف إلى إلغاء عقوبة الإعدام (1989)</w:t>
            </w:r>
            <w:bookmarkEnd w:id="24"/>
          </w:p>
        </w:tc>
        <w:tc>
          <w:tcPr>
            <w:tcW w:w="1984" w:type="dxa"/>
            <w:shd w:val="clear" w:color="auto" w:fill="auto"/>
          </w:tcPr>
          <w:p w:rsidR="00944A3C" w:rsidRPr="003E156C" w:rsidRDefault="00317979" w:rsidP="00317979">
            <w:pPr>
              <w:spacing w:before="40" w:after="60" w:line="320" w:lineRule="exact"/>
              <w:ind w:left="57" w:right="283"/>
              <w:textDirection w:val="tbRlV"/>
              <w:rPr>
                <w:sz w:val="18"/>
                <w:szCs w:val="28"/>
                <w:rtl/>
                <w:lang w:val="en-GB" w:eastAsia="zh-TW"/>
              </w:rPr>
            </w:pPr>
            <w:r>
              <w:rPr>
                <w:rFonts w:hint="cs"/>
                <w:sz w:val="18"/>
                <w:szCs w:val="28"/>
                <w:rtl/>
                <w:lang w:val="en-GB" w:eastAsia="zh-TW"/>
              </w:rPr>
              <w:t>-</w:t>
            </w:r>
          </w:p>
        </w:tc>
        <w:tc>
          <w:tcPr>
            <w:tcW w:w="2268" w:type="dxa"/>
            <w:shd w:val="clear" w:color="auto" w:fill="auto"/>
          </w:tcPr>
          <w:p w:rsidR="00944A3C" w:rsidRPr="003E156C" w:rsidRDefault="00472D4B" w:rsidP="00317979">
            <w:pPr>
              <w:spacing w:before="40" w:after="60" w:line="320" w:lineRule="exact"/>
              <w:ind w:left="57" w:right="283"/>
              <w:jc w:val="left"/>
              <w:textDirection w:val="tbRlV"/>
              <w:rPr>
                <w:sz w:val="18"/>
                <w:szCs w:val="28"/>
                <w:rtl/>
                <w:lang w:val="en-GB" w:eastAsia="zh-TW"/>
              </w:rPr>
            </w:pPr>
            <w:bookmarkStart w:id="25" w:name="bookmark_660"/>
            <w:r>
              <w:rPr>
                <w:sz w:val="18"/>
                <w:szCs w:val="28"/>
                <w:rtl/>
                <w:lang w:val="en-GB" w:eastAsia="zh-TW"/>
              </w:rPr>
              <w:t>2 تشرين</w:t>
            </w:r>
            <w:r>
              <w:rPr>
                <w:rFonts w:hint="cs"/>
                <w:sz w:val="18"/>
                <w:szCs w:val="28"/>
                <w:rtl/>
                <w:lang w:val="en-GB" w:eastAsia="zh-TW"/>
              </w:rPr>
              <w:t xml:space="preserve"> </w:t>
            </w:r>
            <w:r w:rsidR="00944A3C" w:rsidRPr="003E156C">
              <w:rPr>
                <w:sz w:val="18"/>
                <w:szCs w:val="28"/>
                <w:rtl/>
                <w:lang w:val="en-GB" w:eastAsia="zh-TW"/>
              </w:rPr>
              <w:t>الأول/</w:t>
            </w:r>
            <w:r>
              <w:rPr>
                <w:sz w:val="18"/>
                <w:szCs w:val="28"/>
                <w:rtl/>
                <w:lang w:val="en-GB" w:eastAsia="zh-TW"/>
              </w:rPr>
              <w:br/>
            </w:r>
            <w:r w:rsidR="00944A3C" w:rsidRPr="003E156C">
              <w:rPr>
                <w:sz w:val="18"/>
                <w:szCs w:val="28"/>
                <w:rtl/>
                <w:lang w:val="en-GB" w:eastAsia="zh-TW"/>
              </w:rPr>
              <w:t>أكتوبر 2007</w:t>
            </w:r>
            <w:bookmarkEnd w:id="25"/>
          </w:p>
        </w:tc>
        <w:tc>
          <w:tcPr>
            <w:tcW w:w="2548" w:type="dxa"/>
            <w:shd w:val="clear" w:color="auto" w:fill="auto"/>
          </w:tcPr>
          <w:p w:rsidR="00944A3C" w:rsidRPr="003E156C" w:rsidRDefault="00944A3C" w:rsidP="00317979">
            <w:pPr>
              <w:spacing w:before="40" w:after="60" w:line="320" w:lineRule="exact"/>
              <w:ind w:left="57" w:right="30"/>
              <w:textDirection w:val="tbRlV"/>
              <w:rPr>
                <w:sz w:val="18"/>
                <w:szCs w:val="28"/>
                <w:rtl/>
                <w:lang w:val="en-GB" w:eastAsia="zh-TW"/>
              </w:rPr>
            </w:pPr>
            <w:bookmarkStart w:id="26" w:name="bookmark_661"/>
            <w:r w:rsidRPr="003E156C">
              <w:rPr>
                <w:sz w:val="18"/>
                <w:szCs w:val="28"/>
                <w:rtl/>
                <w:lang w:val="en-GB" w:eastAsia="zh-TW"/>
              </w:rPr>
              <w:t>لا ينطبق</w:t>
            </w:r>
            <w:bookmarkEnd w:id="26"/>
          </w:p>
        </w:tc>
      </w:tr>
      <w:tr w:rsidR="00944A3C" w:rsidRPr="003E156C" w:rsidTr="00323F71">
        <w:trPr>
          <w:cantSplit/>
        </w:trPr>
        <w:tc>
          <w:tcPr>
            <w:tcW w:w="2841" w:type="dxa"/>
            <w:shd w:val="clear" w:color="auto" w:fill="auto"/>
          </w:tcPr>
          <w:p w:rsidR="00944A3C" w:rsidRPr="004C38AE" w:rsidRDefault="00944A3C" w:rsidP="008F7F42">
            <w:pPr>
              <w:spacing w:before="60" w:after="60" w:line="320" w:lineRule="exact"/>
              <w:ind w:right="284"/>
              <w:textDirection w:val="tbRlV"/>
              <w:rPr>
                <w:sz w:val="18"/>
                <w:szCs w:val="28"/>
                <w:rtl/>
                <w:lang w:val="en-GB" w:eastAsia="zh-TW"/>
              </w:rPr>
            </w:pPr>
            <w:bookmarkStart w:id="27" w:name="bookmark_662"/>
            <w:r w:rsidRPr="004C38AE">
              <w:rPr>
                <w:sz w:val="18"/>
                <w:szCs w:val="28"/>
                <w:rtl/>
                <w:lang w:val="en-GB" w:eastAsia="zh-TW"/>
              </w:rPr>
              <w:lastRenderedPageBreak/>
              <w:t>العهد الدولي الخاص بالحقوق الاقتصادية والاجتماعية والثقافية (1966)</w:t>
            </w:r>
            <w:bookmarkEnd w:id="27"/>
          </w:p>
        </w:tc>
        <w:tc>
          <w:tcPr>
            <w:tcW w:w="1984" w:type="dxa"/>
            <w:shd w:val="clear" w:color="auto" w:fill="auto"/>
          </w:tcPr>
          <w:p w:rsidR="00944A3C" w:rsidRPr="003E156C" w:rsidRDefault="00317979" w:rsidP="008F7F42">
            <w:pPr>
              <w:spacing w:before="60" w:after="60" w:line="320" w:lineRule="exact"/>
              <w:ind w:left="57" w:right="283"/>
              <w:textDirection w:val="tbRlV"/>
              <w:rPr>
                <w:sz w:val="18"/>
                <w:szCs w:val="28"/>
                <w:rtl/>
                <w:lang w:val="en-GB" w:eastAsia="zh-TW"/>
              </w:rPr>
            </w:pPr>
            <w:r>
              <w:rPr>
                <w:rFonts w:hint="cs"/>
                <w:sz w:val="18"/>
                <w:szCs w:val="28"/>
                <w:rtl/>
                <w:lang w:val="en-GB" w:eastAsia="zh-TW"/>
              </w:rPr>
              <w:t>-</w:t>
            </w:r>
          </w:p>
        </w:tc>
        <w:tc>
          <w:tcPr>
            <w:tcW w:w="2268" w:type="dxa"/>
            <w:shd w:val="clear" w:color="auto" w:fill="auto"/>
          </w:tcPr>
          <w:p w:rsidR="00944A3C" w:rsidRPr="003E156C" w:rsidRDefault="00944A3C" w:rsidP="008F7F42">
            <w:pPr>
              <w:spacing w:before="60" w:after="60" w:line="320" w:lineRule="exact"/>
              <w:ind w:left="57" w:right="283"/>
              <w:jc w:val="left"/>
              <w:textDirection w:val="tbRlV"/>
              <w:rPr>
                <w:sz w:val="18"/>
                <w:szCs w:val="28"/>
                <w:rtl/>
                <w:lang w:val="en-GB" w:eastAsia="zh-TW"/>
              </w:rPr>
            </w:pPr>
            <w:bookmarkStart w:id="28" w:name="bookmark_664"/>
            <w:r w:rsidRPr="003E156C">
              <w:rPr>
                <w:sz w:val="18"/>
                <w:szCs w:val="28"/>
                <w:rtl/>
                <w:lang w:val="en-GB" w:eastAsia="zh-TW"/>
              </w:rPr>
              <w:t>4 تشرين الثاني/</w:t>
            </w:r>
            <w:r w:rsidR="00472D4B">
              <w:rPr>
                <w:sz w:val="18"/>
                <w:szCs w:val="28"/>
                <w:rtl/>
                <w:lang w:val="en-GB" w:eastAsia="zh-TW"/>
              </w:rPr>
              <w:br/>
            </w:r>
            <w:r w:rsidRPr="003E156C">
              <w:rPr>
                <w:sz w:val="18"/>
                <w:szCs w:val="28"/>
                <w:rtl/>
                <w:lang w:val="en-GB" w:eastAsia="zh-TW"/>
              </w:rPr>
              <w:t>نوفمبر 1980</w:t>
            </w:r>
            <w:bookmarkEnd w:id="28"/>
          </w:p>
        </w:tc>
        <w:tc>
          <w:tcPr>
            <w:tcW w:w="2548" w:type="dxa"/>
            <w:shd w:val="clear" w:color="auto" w:fill="auto"/>
          </w:tcPr>
          <w:p w:rsidR="00944A3C" w:rsidRPr="003E156C" w:rsidRDefault="00944A3C" w:rsidP="008F7F42">
            <w:pPr>
              <w:spacing w:before="60" w:after="60" w:line="320" w:lineRule="exact"/>
              <w:ind w:left="57" w:right="30"/>
              <w:textDirection w:val="tbRlV"/>
              <w:rPr>
                <w:sz w:val="18"/>
                <w:szCs w:val="28"/>
                <w:rtl/>
                <w:lang w:val="en-GB" w:eastAsia="zh-TW"/>
              </w:rPr>
            </w:pPr>
            <w:bookmarkStart w:id="29" w:name="bookmark_665"/>
            <w:r w:rsidRPr="003E156C">
              <w:rPr>
                <w:sz w:val="18"/>
                <w:szCs w:val="28"/>
                <w:rtl/>
                <w:lang w:val="en-GB" w:eastAsia="zh-TW"/>
              </w:rPr>
              <w:t>إعلانات تفسيرية</w:t>
            </w:r>
            <w:r w:rsidRPr="003E156C">
              <w:rPr>
                <w:rFonts w:hint="cs"/>
                <w:sz w:val="18"/>
                <w:szCs w:val="28"/>
                <w:rtl/>
                <w:lang w:val="en-GB" w:eastAsia="zh-TW"/>
              </w:rPr>
              <w:t xml:space="preserve">: </w:t>
            </w:r>
            <w:r w:rsidRPr="003E156C">
              <w:rPr>
                <w:sz w:val="18"/>
                <w:szCs w:val="28"/>
                <w:rtl/>
                <w:lang w:val="en-GB" w:eastAsia="zh-TW"/>
              </w:rPr>
              <w:t>المواد 6 و9 و11 و13 والمادة 8.</w:t>
            </w:r>
            <w:bookmarkEnd w:id="29"/>
          </w:p>
        </w:tc>
      </w:tr>
      <w:tr w:rsidR="00944A3C" w:rsidRPr="003E156C" w:rsidTr="00323F71">
        <w:trPr>
          <w:cantSplit/>
        </w:trPr>
        <w:tc>
          <w:tcPr>
            <w:tcW w:w="2841" w:type="dxa"/>
            <w:shd w:val="clear" w:color="auto" w:fill="auto"/>
          </w:tcPr>
          <w:p w:rsidR="00944A3C" w:rsidRPr="00323F71" w:rsidRDefault="00944A3C" w:rsidP="008F7F42">
            <w:pPr>
              <w:spacing w:before="60" w:after="60" w:line="320" w:lineRule="exact"/>
              <w:ind w:right="284"/>
              <w:textDirection w:val="tbRlV"/>
              <w:rPr>
                <w:spacing w:val="-6"/>
                <w:sz w:val="18"/>
                <w:szCs w:val="28"/>
                <w:rtl/>
                <w:lang w:val="en-GB" w:eastAsia="zh-TW"/>
              </w:rPr>
            </w:pPr>
            <w:bookmarkStart w:id="30" w:name="bookmark_666"/>
            <w:r w:rsidRPr="00323F71">
              <w:rPr>
                <w:spacing w:val="-6"/>
                <w:sz w:val="18"/>
                <w:szCs w:val="28"/>
                <w:rtl/>
                <w:lang w:val="en-GB" w:eastAsia="zh-TW"/>
              </w:rPr>
              <w:t>البروتوكول الاختياري الملحق بالعهد الدولي الخاص بالحقوق الاقتصادية والاجتماعية والثقافية (2008)</w:t>
            </w:r>
            <w:bookmarkEnd w:id="30"/>
          </w:p>
        </w:tc>
        <w:tc>
          <w:tcPr>
            <w:tcW w:w="1984" w:type="dxa"/>
            <w:shd w:val="clear" w:color="auto" w:fill="auto"/>
          </w:tcPr>
          <w:p w:rsidR="00944A3C" w:rsidRPr="003E156C" w:rsidRDefault="00944A3C" w:rsidP="008F7F42">
            <w:pPr>
              <w:spacing w:before="60" w:after="60" w:line="320" w:lineRule="exact"/>
              <w:ind w:left="57" w:right="283"/>
              <w:jc w:val="left"/>
              <w:textDirection w:val="tbRlV"/>
              <w:rPr>
                <w:sz w:val="18"/>
                <w:szCs w:val="28"/>
                <w:rtl/>
                <w:lang w:val="en-GB" w:eastAsia="zh-TW"/>
              </w:rPr>
            </w:pPr>
            <w:bookmarkStart w:id="31" w:name="bookmark_667"/>
            <w:r w:rsidRPr="003E156C">
              <w:rPr>
                <w:sz w:val="18"/>
                <w:szCs w:val="28"/>
                <w:rtl/>
                <w:lang w:val="en-GB" w:eastAsia="zh-TW"/>
              </w:rPr>
              <w:t>11 كانون</w:t>
            </w:r>
            <w:r w:rsidR="00462B09">
              <w:rPr>
                <w:rFonts w:hint="cs"/>
                <w:sz w:val="18"/>
                <w:szCs w:val="28"/>
                <w:rtl/>
                <w:lang w:val="en-GB" w:eastAsia="zh-TW"/>
              </w:rPr>
              <w:t xml:space="preserve"> </w:t>
            </w:r>
            <w:r w:rsidRPr="003E156C">
              <w:rPr>
                <w:sz w:val="18"/>
                <w:szCs w:val="28"/>
                <w:rtl/>
                <w:lang w:val="en-GB" w:eastAsia="zh-TW"/>
              </w:rPr>
              <w:t>الأول/</w:t>
            </w:r>
            <w:r w:rsidR="00462B09">
              <w:rPr>
                <w:rFonts w:hint="cs"/>
                <w:sz w:val="18"/>
                <w:szCs w:val="28"/>
                <w:rtl/>
                <w:lang w:val="en-GB" w:eastAsia="zh-TW"/>
              </w:rPr>
              <w:t xml:space="preserve"> </w:t>
            </w:r>
            <w:r w:rsidRPr="003E156C">
              <w:rPr>
                <w:sz w:val="18"/>
                <w:szCs w:val="28"/>
                <w:rtl/>
                <w:lang w:val="en-GB" w:eastAsia="zh-TW"/>
              </w:rPr>
              <w:t>ديسمبر 2012</w:t>
            </w:r>
            <w:bookmarkEnd w:id="31"/>
          </w:p>
        </w:tc>
        <w:tc>
          <w:tcPr>
            <w:tcW w:w="2268" w:type="dxa"/>
            <w:shd w:val="clear" w:color="auto" w:fill="auto"/>
          </w:tcPr>
          <w:p w:rsidR="00944A3C" w:rsidRPr="005243D1" w:rsidRDefault="006B4367" w:rsidP="008F7F42">
            <w:pPr>
              <w:spacing w:before="60" w:after="60" w:line="320" w:lineRule="exact"/>
              <w:ind w:left="57" w:right="283"/>
              <w:textDirection w:val="tbRlV"/>
              <w:rPr>
                <w:spacing w:val="-6"/>
                <w:sz w:val="18"/>
                <w:szCs w:val="28"/>
                <w:rtl/>
                <w:lang w:val="en-GB" w:eastAsia="zh-TW"/>
              </w:rPr>
            </w:pPr>
            <w:r w:rsidRPr="005243D1">
              <w:rPr>
                <w:spacing w:val="-6"/>
                <w:sz w:val="18"/>
                <w:szCs w:val="28"/>
                <w:rtl/>
                <w:lang w:val="en-GB" w:eastAsia="zh-TW"/>
              </w:rPr>
              <w:t>18 آذار/مارس 2015</w:t>
            </w:r>
          </w:p>
        </w:tc>
        <w:tc>
          <w:tcPr>
            <w:tcW w:w="2548" w:type="dxa"/>
            <w:shd w:val="clear" w:color="auto" w:fill="auto"/>
          </w:tcPr>
          <w:p w:rsidR="00944A3C" w:rsidRPr="003E156C" w:rsidRDefault="00944A3C" w:rsidP="008F7F42">
            <w:pPr>
              <w:spacing w:before="60" w:after="60" w:line="320" w:lineRule="exact"/>
              <w:ind w:left="57" w:right="30"/>
              <w:textDirection w:val="tbRlV"/>
              <w:rPr>
                <w:sz w:val="18"/>
                <w:szCs w:val="28"/>
                <w:rtl/>
                <w:lang w:val="en-GB" w:eastAsia="zh-TW"/>
              </w:rPr>
            </w:pPr>
            <w:bookmarkStart w:id="32" w:name="bookmark_669"/>
            <w:r w:rsidRPr="003E156C">
              <w:rPr>
                <w:sz w:val="18"/>
                <w:szCs w:val="28"/>
                <w:rtl/>
                <w:lang w:val="en-GB" w:eastAsia="zh-TW"/>
              </w:rPr>
              <w:t>لا ينطبق</w:t>
            </w:r>
            <w:bookmarkEnd w:id="32"/>
          </w:p>
        </w:tc>
      </w:tr>
      <w:tr w:rsidR="00944A3C" w:rsidRPr="003E156C" w:rsidTr="00323F71">
        <w:trPr>
          <w:cantSplit/>
        </w:trPr>
        <w:tc>
          <w:tcPr>
            <w:tcW w:w="2841" w:type="dxa"/>
            <w:shd w:val="clear" w:color="auto" w:fill="auto"/>
          </w:tcPr>
          <w:p w:rsidR="00944A3C" w:rsidRPr="00323F71" w:rsidRDefault="00944A3C" w:rsidP="008F7F42">
            <w:pPr>
              <w:spacing w:before="60" w:after="60" w:line="320" w:lineRule="exact"/>
              <w:ind w:right="284"/>
              <w:textDirection w:val="tbRlV"/>
              <w:rPr>
                <w:spacing w:val="-6"/>
                <w:sz w:val="18"/>
                <w:szCs w:val="28"/>
                <w:rtl/>
                <w:lang w:val="en-GB" w:eastAsia="zh-TW"/>
              </w:rPr>
            </w:pPr>
            <w:bookmarkStart w:id="33" w:name="bookmark_670"/>
            <w:r w:rsidRPr="00323F71">
              <w:rPr>
                <w:spacing w:val="-6"/>
                <w:sz w:val="18"/>
                <w:szCs w:val="28"/>
                <w:rtl/>
                <w:lang w:val="en-GB" w:eastAsia="zh-TW"/>
              </w:rPr>
              <w:t>الاتفاقية الدولية للقضاء على جميع أشكال التمييز العنصري (1965)</w:t>
            </w:r>
            <w:bookmarkEnd w:id="33"/>
          </w:p>
        </w:tc>
        <w:tc>
          <w:tcPr>
            <w:tcW w:w="1984" w:type="dxa"/>
            <w:shd w:val="clear" w:color="auto" w:fill="auto"/>
          </w:tcPr>
          <w:p w:rsidR="00944A3C" w:rsidRPr="009D5894" w:rsidRDefault="00843D2F" w:rsidP="008F7F42">
            <w:pPr>
              <w:spacing w:before="60" w:after="60" w:line="320" w:lineRule="exact"/>
              <w:ind w:left="57" w:right="283"/>
              <w:textDirection w:val="tbRlV"/>
              <w:rPr>
                <w:sz w:val="18"/>
                <w:szCs w:val="28"/>
                <w:lang w:eastAsia="zh-TW"/>
              </w:rPr>
            </w:pPr>
            <w:r>
              <w:rPr>
                <w:rFonts w:hint="cs"/>
                <w:sz w:val="18"/>
                <w:szCs w:val="28"/>
                <w:rtl/>
                <w:lang w:val="en-GB" w:eastAsia="zh-TW"/>
              </w:rPr>
              <w:t>-</w:t>
            </w:r>
          </w:p>
        </w:tc>
        <w:tc>
          <w:tcPr>
            <w:tcW w:w="2268" w:type="dxa"/>
            <w:shd w:val="clear" w:color="auto" w:fill="auto"/>
          </w:tcPr>
          <w:p w:rsidR="00944A3C" w:rsidRPr="003E156C" w:rsidRDefault="00944A3C" w:rsidP="008F7F42">
            <w:pPr>
              <w:spacing w:before="60" w:after="60" w:line="320" w:lineRule="exact"/>
              <w:ind w:left="57" w:right="283"/>
              <w:textDirection w:val="tbRlV"/>
              <w:rPr>
                <w:sz w:val="18"/>
                <w:szCs w:val="28"/>
                <w:rtl/>
                <w:lang w:val="en-GB" w:eastAsia="zh-TW"/>
              </w:rPr>
            </w:pPr>
            <w:bookmarkStart w:id="34" w:name="bookmark_672"/>
            <w:r w:rsidRPr="003E156C">
              <w:rPr>
                <w:sz w:val="18"/>
                <w:szCs w:val="28"/>
                <w:rtl/>
                <w:lang w:val="en-GB" w:eastAsia="zh-TW"/>
              </w:rPr>
              <w:t>الاتفاقية: 28 تموز/</w:t>
            </w:r>
            <w:r w:rsidR="005243D1">
              <w:rPr>
                <w:rFonts w:hint="cs"/>
                <w:sz w:val="18"/>
                <w:szCs w:val="28"/>
                <w:rtl/>
                <w:lang w:val="en-GB" w:eastAsia="zh-TW"/>
              </w:rPr>
              <w:t xml:space="preserve"> </w:t>
            </w:r>
            <w:r w:rsidRPr="003E156C">
              <w:rPr>
                <w:sz w:val="18"/>
                <w:szCs w:val="28"/>
                <w:rtl/>
                <w:lang w:val="en-GB" w:eastAsia="zh-TW"/>
              </w:rPr>
              <w:t>يوليه 1971</w:t>
            </w:r>
            <w:bookmarkEnd w:id="34"/>
          </w:p>
          <w:p w:rsidR="00944A3C" w:rsidRPr="003E156C" w:rsidRDefault="00944A3C" w:rsidP="008F7F42">
            <w:pPr>
              <w:spacing w:before="60" w:after="60" w:line="320" w:lineRule="exact"/>
              <w:ind w:left="57" w:right="283"/>
              <w:textDirection w:val="tbRlV"/>
              <w:rPr>
                <w:sz w:val="18"/>
                <w:szCs w:val="28"/>
                <w:rtl/>
                <w:lang w:val="en-GB" w:eastAsia="zh-TW"/>
              </w:rPr>
            </w:pPr>
            <w:bookmarkStart w:id="35" w:name="bookmark_673"/>
            <w:r w:rsidRPr="003E156C">
              <w:rPr>
                <w:sz w:val="18"/>
                <w:szCs w:val="28"/>
                <w:rtl/>
                <w:lang w:val="en-GB" w:eastAsia="zh-TW"/>
              </w:rPr>
              <w:t>المادة 14: 16 آب/</w:t>
            </w:r>
            <w:r w:rsidR="005243D1">
              <w:rPr>
                <w:rFonts w:hint="cs"/>
                <w:sz w:val="18"/>
                <w:szCs w:val="28"/>
                <w:rtl/>
                <w:lang w:val="en-GB" w:eastAsia="zh-TW"/>
              </w:rPr>
              <w:t xml:space="preserve"> </w:t>
            </w:r>
            <w:r w:rsidRPr="003E156C">
              <w:rPr>
                <w:sz w:val="18"/>
                <w:szCs w:val="28"/>
                <w:rtl/>
                <w:lang w:val="en-GB" w:eastAsia="zh-TW"/>
              </w:rPr>
              <w:t>أغسطس 1982</w:t>
            </w:r>
            <w:bookmarkEnd w:id="35"/>
          </w:p>
          <w:p w:rsidR="00944A3C" w:rsidRPr="003E156C" w:rsidRDefault="00944A3C" w:rsidP="008F7F42">
            <w:pPr>
              <w:spacing w:before="60" w:after="60" w:line="320" w:lineRule="exact"/>
              <w:ind w:left="57" w:right="283"/>
              <w:textDirection w:val="tbRlV"/>
              <w:rPr>
                <w:sz w:val="18"/>
                <w:szCs w:val="28"/>
                <w:rtl/>
                <w:lang w:val="en-GB" w:eastAsia="zh-TW"/>
              </w:rPr>
            </w:pPr>
            <w:bookmarkStart w:id="36" w:name="bookmark_674"/>
            <w:r w:rsidRPr="003E156C">
              <w:rPr>
                <w:sz w:val="18"/>
                <w:szCs w:val="28"/>
                <w:rtl/>
                <w:lang w:val="en-GB" w:eastAsia="zh-TW"/>
              </w:rPr>
              <w:t>التعديل المدخل على المادة 8: 1 أيلول/</w:t>
            </w:r>
            <w:r w:rsidR="00317979">
              <w:rPr>
                <w:rFonts w:hint="cs"/>
                <w:sz w:val="18"/>
                <w:szCs w:val="28"/>
                <w:rtl/>
                <w:lang w:val="en-GB" w:eastAsia="zh-TW"/>
              </w:rPr>
              <w:t xml:space="preserve"> </w:t>
            </w:r>
            <w:r w:rsidRPr="003E156C">
              <w:rPr>
                <w:sz w:val="18"/>
                <w:szCs w:val="28"/>
                <w:rtl/>
                <w:lang w:val="en-GB" w:eastAsia="zh-TW"/>
              </w:rPr>
              <w:t>سبتمبر 1994</w:t>
            </w:r>
            <w:bookmarkEnd w:id="36"/>
          </w:p>
        </w:tc>
        <w:tc>
          <w:tcPr>
            <w:tcW w:w="2548" w:type="dxa"/>
            <w:shd w:val="clear" w:color="auto" w:fill="auto"/>
          </w:tcPr>
          <w:p w:rsidR="00944A3C" w:rsidRPr="003E156C" w:rsidRDefault="00944A3C" w:rsidP="008F7F42">
            <w:pPr>
              <w:spacing w:before="60" w:after="60" w:line="320" w:lineRule="exact"/>
              <w:ind w:left="57" w:right="30"/>
              <w:textDirection w:val="tbRlV"/>
              <w:rPr>
                <w:sz w:val="18"/>
                <w:szCs w:val="28"/>
                <w:rtl/>
                <w:lang w:val="en-GB" w:eastAsia="zh-TW"/>
              </w:rPr>
            </w:pPr>
            <w:bookmarkStart w:id="37" w:name="bookmark_675"/>
            <w:r w:rsidRPr="003E156C">
              <w:rPr>
                <w:sz w:val="18"/>
                <w:szCs w:val="28"/>
                <w:rtl/>
                <w:lang w:val="en-GB" w:eastAsia="zh-TW"/>
              </w:rPr>
              <w:t>إعلانات تفسيرية</w:t>
            </w:r>
            <w:r w:rsidRPr="003E156C">
              <w:rPr>
                <w:rFonts w:hint="cs"/>
                <w:sz w:val="18"/>
                <w:szCs w:val="28"/>
                <w:rtl/>
                <w:lang w:val="en-GB" w:eastAsia="zh-TW"/>
              </w:rPr>
              <w:t xml:space="preserve">: </w:t>
            </w:r>
            <w:r w:rsidRPr="003E156C">
              <w:rPr>
                <w:sz w:val="18"/>
                <w:szCs w:val="28"/>
                <w:rtl/>
                <w:lang w:val="en-GB" w:eastAsia="zh-TW"/>
              </w:rPr>
              <w:t>المادت</w:t>
            </w:r>
            <w:r w:rsidRPr="003E156C">
              <w:rPr>
                <w:rFonts w:hint="cs"/>
                <w:sz w:val="18"/>
                <w:szCs w:val="28"/>
                <w:rtl/>
                <w:lang w:val="en-GB" w:eastAsia="zh-TW"/>
              </w:rPr>
              <w:t>ا</w:t>
            </w:r>
            <w:r w:rsidRPr="003E156C">
              <w:rPr>
                <w:sz w:val="18"/>
                <w:szCs w:val="28"/>
                <w:rtl/>
                <w:lang w:val="en-GB" w:eastAsia="zh-TW"/>
              </w:rPr>
              <w:t>ن 4 و15.</w:t>
            </w:r>
            <w:bookmarkEnd w:id="37"/>
          </w:p>
          <w:p w:rsidR="00944A3C" w:rsidRPr="003E156C" w:rsidRDefault="00944A3C" w:rsidP="008F7F42">
            <w:pPr>
              <w:spacing w:before="60" w:after="60" w:line="320" w:lineRule="exact"/>
              <w:ind w:left="57" w:right="30"/>
              <w:textDirection w:val="tbRlV"/>
              <w:rPr>
                <w:sz w:val="18"/>
                <w:szCs w:val="28"/>
                <w:rtl/>
                <w:lang w:val="en-GB" w:eastAsia="zh-TW"/>
              </w:rPr>
            </w:pPr>
            <w:bookmarkStart w:id="38" w:name="bookmark_676"/>
            <w:r w:rsidRPr="003E156C">
              <w:rPr>
                <w:sz w:val="18"/>
                <w:szCs w:val="28"/>
                <w:rtl/>
                <w:lang w:val="en-GB" w:eastAsia="zh-TW"/>
              </w:rPr>
              <w:t>إعلان</w:t>
            </w:r>
            <w:r w:rsidRPr="003E156C">
              <w:rPr>
                <w:rFonts w:hint="cs"/>
                <w:sz w:val="18"/>
                <w:szCs w:val="28"/>
                <w:rtl/>
                <w:lang w:val="en-GB" w:eastAsia="zh-TW"/>
              </w:rPr>
              <w:t xml:space="preserve">: </w:t>
            </w:r>
            <w:r w:rsidRPr="003E156C">
              <w:rPr>
                <w:sz w:val="18"/>
                <w:szCs w:val="28"/>
                <w:rtl/>
                <w:lang w:val="en-GB" w:eastAsia="zh-TW"/>
              </w:rPr>
              <w:t>المادت</w:t>
            </w:r>
            <w:r w:rsidRPr="003E156C">
              <w:rPr>
                <w:rFonts w:hint="cs"/>
                <w:sz w:val="18"/>
                <w:szCs w:val="28"/>
                <w:rtl/>
                <w:lang w:val="en-GB" w:eastAsia="zh-TW"/>
              </w:rPr>
              <w:t>ا</w:t>
            </w:r>
            <w:r w:rsidRPr="003E156C">
              <w:rPr>
                <w:sz w:val="18"/>
                <w:szCs w:val="28"/>
                <w:rtl/>
                <w:lang w:val="en-GB" w:eastAsia="zh-TW"/>
              </w:rPr>
              <w:t>ن 6 و14.</w:t>
            </w:r>
            <w:bookmarkEnd w:id="38"/>
          </w:p>
        </w:tc>
      </w:tr>
      <w:tr w:rsidR="00944A3C" w:rsidRPr="003E156C" w:rsidTr="00323F71">
        <w:trPr>
          <w:cantSplit/>
        </w:trPr>
        <w:tc>
          <w:tcPr>
            <w:tcW w:w="2841" w:type="dxa"/>
            <w:shd w:val="clear" w:color="auto" w:fill="auto"/>
          </w:tcPr>
          <w:p w:rsidR="00944A3C" w:rsidRPr="00323F71" w:rsidRDefault="00944A3C" w:rsidP="008F7F42">
            <w:pPr>
              <w:spacing w:before="60" w:after="60" w:line="320" w:lineRule="exact"/>
              <w:ind w:right="284"/>
              <w:textDirection w:val="tbRlV"/>
              <w:rPr>
                <w:spacing w:val="-4"/>
                <w:sz w:val="18"/>
                <w:szCs w:val="28"/>
                <w:rtl/>
                <w:lang w:val="en-GB" w:eastAsia="zh-TW"/>
              </w:rPr>
            </w:pPr>
            <w:bookmarkStart w:id="39" w:name="bookmark_677"/>
            <w:r w:rsidRPr="00323F71">
              <w:rPr>
                <w:spacing w:val="-4"/>
                <w:sz w:val="18"/>
                <w:szCs w:val="28"/>
                <w:rtl/>
                <w:lang w:val="en-GB" w:eastAsia="zh-TW"/>
              </w:rPr>
              <w:t>اتفاقية القضاء على جميع أشكال التمييز ضد المرأة (1979)</w:t>
            </w:r>
            <w:bookmarkEnd w:id="39"/>
          </w:p>
        </w:tc>
        <w:tc>
          <w:tcPr>
            <w:tcW w:w="1984" w:type="dxa"/>
            <w:shd w:val="clear" w:color="auto" w:fill="auto"/>
          </w:tcPr>
          <w:p w:rsidR="00944A3C" w:rsidRPr="00462B09" w:rsidRDefault="00944A3C" w:rsidP="008F7F42">
            <w:pPr>
              <w:spacing w:before="60" w:after="60" w:line="320" w:lineRule="exact"/>
              <w:ind w:left="57" w:right="283"/>
              <w:textDirection w:val="tbRlV"/>
              <w:rPr>
                <w:spacing w:val="-8"/>
                <w:sz w:val="18"/>
                <w:szCs w:val="28"/>
                <w:rtl/>
                <w:lang w:val="en-GB" w:eastAsia="zh-TW"/>
              </w:rPr>
            </w:pPr>
            <w:bookmarkStart w:id="40" w:name="bookmark_678"/>
            <w:r w:rsidRPr="00462B09">
              <w:rPr>
                <w:spacing w:val="-8"/>
                <w:sz w:val="18"/>
                <w:szCs w:val="28"/>
                <w:rtl/>
                <w:lang w:val="en-GB" w:eastAsia="zh-TW"/>
              </w:rPr>
              <w:t>17 تموز/يوليه 1980</w:t>
            </w:r>
            <w:bookmarkEnd w:id="40"/>
          </w:p>
        </w:tc>
        <w:tc>
          <w:tcPr>
            <w:tcW w:w="2268" w:type="dxa"/>
            <w:shd w:val="clear" w:color="auto" w:fill="auto"/>
          </w:tcPr>
          <w:p w:rsidR="00944A3C" w:rsidRPr="003E156C" w:rsidRDefault="00944A3C" w:rsidP="008F7F42">
            <w:pPr>
              <w:spacing w:before="60" w:after="60" w:line="320" w:lineRule="exact"/>
              <w:ind w:left="57" w:right="283"/>
              <w:textDirection w:val="tbRlV"/>
              <w:rPr>
                <w:sz w:val="18"/>
                <w:szCs w:val="28"/>
                <w:rtl/>
                <w:lang w:val="en-GB" w:eastAsia="zh-TW"/>
              </w:rPr>
            </w:pPr>
            <w:bookmarkStart w:id="41" w:name="bookmark_679"/>
            <w:r w:rsidRPr="003E156C">
              <w:rPr>
                <w:sz w:val="18"/>
                <w:szCs w:val="28"/>
                <w:rtl/>
                <w:lang w:val="en-GB" w:eastAsia="zh-TW"/>
              </w:rPr>
              <w:t>الاتفاقية: 14 كانون الأول/ديسمبر 1983</w:t>
            </w:r>
            <w:bookmarkEnd w:id="41"/>
          </w:p>
          <w:p w:rsidR="00944A3C" w:rsidRPr="003E156C" w:rsidRDefault="00944A3C" w:rsidP="008F7F42">
            <w:pPr>
              <w:spacing w:before="60" w:after="60" w:line="320" w:lineRule="exact"/>
              <w:ind w:left="57" w:right="283"/>
              <w:textDirection w:val="tbRlV"/>
              <w:rPr>
                <w:sz w:val="18"/>
                <w:szCs w:val="28"/>
                <w:rtl/>
                <w:lang w:val="en-GB" w:eastAsia="zh-TW"/>
              </w:rPr>
            </w:pPr>
            <w:bookmarkStart w:id="42" w:name="bookmark_680"/>
            <w:r w:rsidRPr="003E156C">
              <w:rPr>
                <w:sz w:val="18"/>
                <w:szCs w:val="28"/>
                <w:rtl/>
                <w:lang w:val="en-GB" w:eastAsia="zh-TW"/>
              </w:rPr>
              <w:t>التعديل المدخل على المادة 20(1): 8 آب/</w:t>
            </w:r>
            <w:r w:rsidR="00317979">
              <w:rPr>
                <w:rFonts w:hint="cs"/>
                <w:sz w:val="18"/>
                <w:szCs w:val="28"/>
                <w:rtl/>
                <w:lang w:val="en-GB" w:eastAsia="zh-TW"/>
              </w:rPr>
              <w:t xml:space="preserve"> </w:t>
            </w:r>
            <w:r w:rsidRPr="003E156C">
              <w:rPr>
                <w:sz w:val="18"/>
                <w:szCs w:val="28"/>
                <w:rtl/>
                <w:lang w:val="en-GB" w:eastAsia="zh-TW"/>
              </w:rPr>
              <w:t>أغسطس 1997</w:t>
            </w:r>
            <w:bookmarkEnd w:id="42"/>
          </w:p>
        </w:tc>
        <w:tc>
          <w:tcPr>
            <w:tcW w:w="2548" w:type="dxa"/>
            <w:shd w:val="clear" w:color="auto" w:fill="auto"/>
          </w:tcPr>
          <w:p w:rsidR="00944A3C" w:rsidRPr="003E156C" w:rsidRDefault="00944A3C" w:rsidP="008F7F42">
            <w:pPr>
              <w:spacing w:before="60" w:after="60" w:line="320" w:lineRule="exact"/>
              <w:ind w:left="57" w:right="30"/>
              <w:textDirection w:val="tbRlV"/>
              <w:rPr>
                <w:sz w:val="18"/>
                <w:szCs w:val="28"/>
                <w:rtl/>
                <w:lang w:val="en-GB" w:eastAsia="zh-TW"/>
              </w:rPr>
            </w:pPr>
            <w:bookmarkStart w:id="43" w:name="bookmark_681"/>
            <w:r w:rsidRPr="003E156C">
              <w:rPr>
                <w:sz w:val="18"/>
                <w:szCs w:val="28"/>
                <w:rtl/>
                <w:lang w:val="en-GB" w:eastAsia="zh-TW"/>
              </w:rPr>
              <w:t>إعلان</w:t>
            </w:r>
            <w:r w:rsidRPr="003E156C">
              <w:rPr>
                <w:rFonts w:hint="cs"/>
                <w:sz w:val="18"/>
                <w:szCs w:val="28"/>
                <w:rtl/>
                <w:lang w:val="en-GB" w:eastAsia="zh-TW"/>
              </w:rPr>
              <w:t xml:space="preserve">: </w:t>
            </w:r>
            <w:r w:rsidRPr="003E156C">
              <w:rPr>
                <w:sz w:val="18"/>
                <w:szCs w:val="28"/>
                <w:rtl/>
                <w:lang w:val="en-GB" w:eastAsia="zh-TW"/>
              </w:rPr>
              <w:t>الفقرة 9 من الديباجة. إعلان تفسيري</w:t>
            </w:r>
            <w:r w:rsidRPr="003E156C">
              <w:rPr>
                <w:rFonts w:hint="cs"/>
                <w:sz w:val="18"/>
                <w:szCs w:val="28"/>
                <w:rtl/>
                <w:lang w:val="en-GB" w:eastAsia="zh-TW"/>
              </w:rPr>
              <w:t xml:space="preserve">: </w:t>
            </w:r>
            <w:r w:rsidRPr="003E156C">
              <w:rPr>
                <w:sz w:val="18"/>
                <w:szCs w:val="28"/>
                <w:rtl/>
                <w:lang w:val="en-GB" w:eastAsia="zh-TW"/>
              </w:rPr>
              <w:t>المادت</w:t>
            </w:r>
            <w:r w:rsidRPr="003E156C">
              <w:rPr>
                <w:rFonts w:hint="cs"/>
                <w:sz w:val="18"/>
                <w:szCs w:val="28"/>
                <w:rtl/>
                <w:lang w:val="en-GB" w:eastAsia="zh-TW"/>
              </w:rPr>
              <w:t>ا</w:t>
            </w:r>
            <w:r w:rsidRPr="003E156C">
              <w:rPr>
                <w:sz w:val="18"/>
                <w:szCs w:val="28"/>
                <w:rtl/>
                <w:lang w:val="en-GB" w:eastAsia="zh-TW"/>
              </w:rPr>
              <w:t>ن 9 و5</w:t>
            </w:r>
            <w:bookmarkEnd w:id="43"/>
          </w:p>
          <w:p w:rsidR="00944A3C" w:rsidRPr="003E156C" w:rsidRDefault="00944A3C" w:rsidP="008F7F42">
            <w:pPr>
              <w:spacing w:before="60" w:after="60" w:line="320" w:lineRule="exact"/>
              <w:ind w:left="57" w:right="30"/>
              <w:textDirection w:val="tbRlV"/>
              <w:rPr>
                <w:sz w:val="18"/>
                <w:szCs w:val="28"/>
                <w:rtl/>
                <w:lang w:val="en-GB" w:eastAsia="zh-TW"/>
              </w:rPr>
            </w:pPr>
            <w:bookmarkStart w:id="44" w:name="bookmark_682"/>
            <w:r w:rsidRPr="003E156C">
              <w:rPr>
                <w:sz w:val="18"/>
                <w:szCs w:val="28"/>
                <w:rtl/>
                <w:lang w:val="en-GB" w:eastAsia="zh-TW"/>
              </w:rPr>
              <w:t>تحفظ</w:t>
            </w:r>
            <w:r w:rsidRPr="003E156C">
              <w:rPr>
                <w:rFonts w:hint="cs"/>
                <w:sz w:val="18"/>
                <w:szCs w:val="28"/>
                <w:rtl/>
                <w:lang w:val="en-GB" w:eastAsia="zh-TW"/>
              </w:rPr>
              <w:t xml:space="preserve">: </w:t>
            </w:r>
            <w:r w:rsidRPr="003E156C">
              <w:rPr>
                <w:sz w:val="18"/>
                <w:szCs w:val="28"/>
                <w:rtl/>
                <w:lang w:val="en-GB" w:eastAsia="zh-TW"/>
              </w:rPr>
              <w:t>المادة 29(1)</w:t>
            </w:r>
            <w:bookmarkEnd w:id="44"/>
          </w:p>
        </w:tc>
      </w:tr>
      <w:tr w:rsidR="00944A3C" w:rsidRPr="003E156C" w:rsidTr="00323F71">
        <w:trPr>
          <w:cantSplit/>
        </w:trPr>
        <w:tc>
          <w:tcPr>
            <w:tcW w:w="2841" w:type="dxa"/>
            <w:shd w:val="clear" w:color="auto" w:fill="auto"/>
          </w:tcPr>
          <w:p w:rsidR="00944A3C" w:rsidRPr="003E156C" w:rsidRDefault="00944A3C" w:rsidP="008F7F42">
            <w:pPr>
              <w:spacing w:before="60" w:after="60" w:line="320" w:lineRule="exact"/>
              <w:ind w:right="284"/>
              <w:textDirection w:val="tbRlV"/>
              <w:rPr>
                <w:sz w:val="18"/>
                <w:szCs w:val="28"/>
                <w:rtl/>
                <w:lang w:val="en-GB" w:eastAsia="zh-TW"/>
              </w:rPr>
            </w:pPr>
            <w:bookmarkStart w:id="45" w:name="bookmark_683"/>
            <w:r w:rsidRPr="003E156C">
              <w:rPr>
                <w:sz w:val="18"/>
                <w:szCs w:val="28"/>
                <w:rtl/>
                <w:lang w:val="en-GB" w:eastAsia="zh-TW"/>
              </w:rPr>
              <w:t>البروتوكول الاختياري لاتفاقية القضاء على جميع أشكال التمييز</w:t>
            </w:r>
            <w:r w:rsidR="008F7F42">
              <w:rPr>
                <w:rFonts w:hint="cs"/>
                <w:sz w:val="18"/>
                <w:szCs w:val="28"/>
                <w:rtl/>
                <w:lang w:val="en-GB" w:eastAsia="zh-TW"/>
              </w:rPr>
              <w:t> </w:t>
            </w:r>
            <w:r w:rsidRPr="003E156C">
              <w:rPr>
                <w:sz w:val="18"/>
                <w:szCs w:val="28"/>
                <w:rtl/>
                <w:lang w:val="en-GB" w:eastAsia="zh-TW"/>
              </w:rPr>
              <w:t>ضد المرأة، والمتعلق بالشكاوى الفردية وإجراءات التحقيق (1999)</w:t>
            </w:r>
            <w:bookmarkEnd w:id="45"/>
          </w:p>
        </w:tc>
        <w:tc>
          <w:tcPr>
            <w:tcW w:w="1984" w:type="dxa"/>
            <w:shd w:val="clear" w:color="auto" w:fill="auto"/>
          </w:tcPr>
          <w:p w:rsidR="00944A3C" w:rsidRPr="003E156C" w:rsidRDefault="00944A3C" w:rsidP="008F7F42">
            <w:pPr>
              <w:spacing w:before="60" w:after="60" w:line="320" w:lineRule="exact"/>
              <w:ind w:left="57" w:right="283"/>
              <w:textDirection w:val="tbRlV"/>
              <w:rPr>
                <w:sz w:val="18"/>
                <w:szCs w:val="28"/>
                <w:rtl/>
                <w:lang w:val="en-GB" w:eastAsia="zh-TW"/>
              </w:rPr>
            </w:pPr>
            <w:bookmarkStart w:id="46" w:name="bookmark_684"/>
            <w:r w:rsidRPr="003E156C">
              <w:rPr>
                <w:sz w:val="18"/>
                <w:szCs w:val="28"/>
                <w:rtl/>
                <w:lang w:val="en-GB" w:eastAsia="zh-TW"/>
              </w:rPr>
              <w:t>10 كانون الأول/</w:t>
            </w:r>
            <w:r w:rsidR="00462B09">
              <w:rPr>
                <w:rFonts w:hint="cs"/>
                <w:sz w:val="18"/>
                <w:szCs w:val="28"/>
                <w:rtl/>
                <w:lang w:val="en-GB" w:eastAsia="zh-TW"/>
              </w:rPr>
              <w:t xml:space="preserve"> </w:t>
            </w:r>
            <w:r w:rsidRPr="003E156C">
              <w:rPr>
                <w:sz w:val="18"/>
                <w:szCs w:val="28"/>
                <w:rtl/>
                <w:lang w:val="en-GB" w:eastAsia="zh-TW"/>
              </w:rPr>
              <w:t>ديسمبر 1999</w:t>
            </w:r>
            <w:bookmarkEnd w:id="46"/>
          </w:p>
        </w:tc>
        <w:tc>
          <w:tcPr>
            <w:tcW w:w="2268" w:type="dxa"/>
            <w:shd w:val="clear" w:color="auto" w:fill="auto"/>
          </w:tcPr>
          <w:p w:rsidR="00944A3C" w:rsidRPr="003E156C" w:rsidRDefault="006B4367" w:rsidP="008F7F42">
            <w:pPr>
              <w:spacing w:before="60" w:after="60" w:line="320" w:lineRule="exact"/>
              <w:ind w:left="57" w:right="283"/>
              <w:textDirection w:val="tbRlV"/>
              <w:rPr>
                <w:sz w:val="18"/>
                <w:szCs w:val="28"/>
                <w:rtl/>
                <w:lang w:val="en-GB" w:eastAsia="zh-TW"/>
              </w:rPr>
            </w:pPr>
            <w:r w:rsidRPr="003E156C">
              <w:rPr>
                <w:sz w:val="18"/>
                <w:szCs w:val="28"/>
                <w:rtl/>
                <w:lang w:val="en-GB" w:eastAsia="zh-TW"/>
              </w:rPr>
              <w:t>9 حزيران/يونيه 2000</w:t>
            </w:r>
          </w:p>
        </w:tc>
        <w:tc>
          <w:tcPr>
            <w:tcW w:w="2548" w:type="dxa"/>
            <w:shd w:val="clear" w:color="auto" w:fill="auto"/>
          </w:tcPr>
          <w:p w:rsidR="00944A3C" w:rsidRPr="003E156C" w:rsidRDefault="00944A3C" w:rsidP="008F7F42">
            <w:pPr>
              <w:spacing w:before="60" w:after="60" w:line="320" w:lineRule="exact"/>
              <w:ind w:left="57" w:right="30"/>
              <w:textDirection w:val="tbRlV"/>
              <w:rPr>
                <w:sz w:val="18"/>
                <w:szCs w:val="28"/>
                <w:rtl/>
                <w:lang w:val="en-GB" w:eastAsia="zh-TW"/>
              </w:rPr>
            </w:pPr>
            <w:bookmarkStart w:id="47" w:name="bookmark_686"/>
            <w:r w:rsidRPr="003E156C">
              <w:rPr>
                <w:sz w:val="18"/>
                <w:szCs w:val="28"/>
                <w:rtl/>
                <w:lang w:val="en-GB" w:eastAsia="zh-TW"/>
              </w:rPr>
              <w:t>لا ينطبق</w:t>
            </w:r>
            <w:bookmarkEnd w:id="47"/>
          </w:p>
        </w:tc>
      </w:tr>
      <w:tr w:rsidR="00944A3C" w:rsidRPr="003E156C" w:rsidTr="00323F71">
        <w:trPr>
          <w:cantSplit/>
        </w:trPr>
        <w:tc>
          <w:tcPr>
            <w:tcW w:w="2841" w:type="dxa"/>
            <w:shd w:val="clear" w:color="auto" w:fill="auto"/>
          </w:tcPr>
          <w:p w:rsidR="00944A3C" w:rsidRPr="00323F71" w:rsidRDefault="00944A3C" w:rsidP="008F7F42">
            <w:pPr>
              <w:spacing w:before="60" w:after="60" w:line="320" w:lineRule="exact"/>
              <w:ind w:right="284"/>
              <w:textDirection w:val="tbRlV"/>
              <w:rPr>
                <w:spacing w:val="-4"/>
                <w:sz w:val="18"/>
                <w:szCs w:val="28"/>
                <w:rtl/>
                <w:lang w:val="en-GB" w:eastAsia="zh-TW"/>
              </w:rPr>
            </w:pPr>
            <w:bookmarkStart w:id="48" w:name="bookmark_687"/>
            <w:r w:rsidRPr="00323F71">
              <w:rPr>
                <w:spacing w:val="-4"/>
                <w:sz w:val="18"/>
                <w:szCs w:val="28"/>
                <w:rtl/>
                <w:lang w:val="en-GB" w:eastAsia="zh-TW"/>
              </w:rPr>
              <w:t>اتفاقية مناهضة التعذيب وغيره من ضروب المعاملة أو العقوبة القاسية أو اللاإنسانية أو المهينة (1984)</w:t>
            </w:r>
            <w:bookmarkEnd w:id="48"/>
          </w:p>
        </w:tc>
        <w:tc>
          <w:tcPr>
            <w:tcW w:w="1984" w:type="dxa"/>
            <w:shd w:val="clear" w:color="auto" w:fill="auto"/>
          </w:tcPr>
          <w:p w:rsidR="00944A3C" w:rsidRPr="00462B09" w:rsidRDefault="00944A3C" w:rsidP="008F7F42">
            <w:pPr>
              <w:spacing w:before="60" w:after="60" w:line="320" w:lineRule="exact"/>
              <w:ind w:left="57" w:right="283"/>
              <w:textDirection w:val="tbRlV"/>
              <w:rPr>
                <w:spacing w:val="-12"/>
                <w:sz w:val="18"/>
                <w:szCs w:val="28"/>
                <w:rtl/>
                <w:lang w:val="en-GB" w:eastAsia="zh-TW"/>
              </w:rPr>
            </w:pPr>
            <w:bookmarkStart w:id="49" w:name="bookmark_688"/>
            <w:r w:rsidRPr="00462B09">
              <w:rPr>
                <w:rFonts w:hint="cs"/>
                <w:spacing w:val="-12"/>
                <w:sz w:val="18"/>
                <w:szCs w:val="28"/>
                <w:rtl/>
                <w:lang w:val="en-GB" w:eastAsia="zh-TW"/>
              </w:rPr>
              <w:t>4</w:t>
            </w:r>
            <w:r w:rsidRPr="00462B09">
              <w:rPr>
                <w:spacing w:val="-12"/>
                <w:sz w:val="18"/>
                <w:szCs w:val="28"/>
                <w:rtl/>
                <w:lang w:val="en-GB" w:eastAsia="zh-TW"/>
              </w:rPr>
              <w:t xml:space="preserve"> شباط/فبراير 1985</w:t>
            </w:r>
            <w:bookmarkEnd w:id="49"/>
          </w:p>
        </w:tc>
        <w:tc>
          <w:tcPr>
            <w:tcW w:w="2268" w:type="dxa"/>
            <w:shd w:val="clear" w:color="auto" w:fill="auto"/>
          </w:tcPr>
          <w:p w:rsidR="00944A3C" w:rsidRPr="003E156C" w:rsidRDefault="00944A3C" w:rsidP="008F7F42">
            <w:pPr>
              <w:spacing w:before="60" w:after="60" w:line="320" w:lineRule="exact"/>
              <w:ind w:left="57" w:right="283"/>
              <w:textDirection w:val="tbRlV"/>
              <w:rPr>
                <w:sz w:val="18"/>
                <w:szCs w:val="28"/>
                <w:rtl/>
                <w:lang w:val="en-GB" w:eastAsia="zh-TW"/>
              </w:rPr>
            </w:pPr>
            <w:bookmarkStart w:id="50" w:name="bookmark_689"/>
            <w:r w:rsidRPr="003E156C">
              <w:rPr>
                <w:sz w:val="18"/>
                <w:szCs w:val="28"/>
                <w:rtl/>
                <w:lang w:val="en-GB" w:eastAsia="zh-TW"/>
              </w:rPr>
              <w:t>الاتفاقية: 18 شباط/</w:t>
            </w:r>
            <w:r w:rsidR="00462B09">
              <w:rPr>
                <w:rFonts w:hint="cs"/>
                <w:sz w:val="18"/>
                <w:szCs w:val="28"/>
                <w:rtl/>
                <w:lang w:val="en-GB" w:eastAsia="zh-TW"/>
              </w:rPr>
              <w:t xml:space="preserve"> </w:t>
            </w:r>
            <w:r w:rsidRPr="003E156C">
              <w:rPr>
                <w:sz w:val="18"/>
                <w:szCs w:val="28"/>
                <w:rtl/>
                <w:lang w:val="en-GB" w:eastAsia="zh-TW"/>
              </w:rPr>
              <w:t>فبراير 1986</w:t>
            </w:r>
            <w:bookmarkEnd w:id="50"/>
          </w:p>
          <w:p w:rsidR="00944A3C" w:rsidRPr="00F403AE" w:rsidRDefault="00944A3C" w:rsidP="008F7F42">
            <w:pPr>
              <w:spacing w:before="60" w:after="60" w:line="320" w:lineRule="exact"/>
              <w:ind w:left="57" w:right="283"/>
              <w:textDirection w:val="tbRlV"/>
              <w:rPr>
                <w:spacing w:val="-4"/>
                <w:sz w:val="18"/>
                <w:szCs w:val="28"/>
                <w:rtl/>
                <w:lang w:val="en-GB" w:eastAsia="zh-TW"/>
              </w:rPr>
            </w:pPr>
            <w:bookmarkStart w:id="51" w:name="bookmark_690"/>
            <w:r w:rsidRPr="00F403AE">
              <w:rPr>
                <w:spacing w:val="-6"/>
                <w:sz w:val="18"/>
                <w:szCs w:val="28"/>
                <w:rtl/>
                <w:lang w:val="en-GB" w:eastAsia="zh-TW"/>
              </w:rPr>
              <w:t>التعديل المدخل على المادتين 17(7) و18(5)</w:t>
            </w:r>
            <w:r w:rsidRPr="00F403AE">
              <w:rPr>
                <w:spacing w:val="-4"/>
                <w:sz w:val="18"/>
                <w:szCs w:val="28"/>
                <w:rtl/>
                <w:lang w:val="en-GB" w:eastAsia="zh-TW"/>
              </w:rPr>
              <w:t xml:space="preserve"> </w:t>
            </w:r>
            <w:r w:rsidRPr="004C38AE">
              <w:rPr>
                <w:spacing w:val="-10"/>
                <w:sz w:val="18"/>
                <w:szCs w:val="28"/>
                <w:rtl/>
                <w:lang w:val="en-GB" w:eastAsia="zh-TW"/>
              </w:rPr>
              <w:t>(لم يدخل بعد حيز النفاذ):</w:t>
            </w:r>
            <w:r w:rsidRPr="00F403AE">
              <w:rPr>
                <w:sz w:val="18"/>
                <w:szCs w:val="28"/>
                <w:rtl/>
                <w:lang w:val="en-GB" w:eastAsia="zh-TW"/>
              </w:rPr>
              <w:t xml:space="preserve"> 24 أيار/مايو 1994</w:t>
            </w:r>
            <w:bookmarkEnd w:id="51"/>
          </w:p>
        </w:tc>
        <w:tc>
          <w:tcPr>
            <w:tcW w:w="2548" w:type="dxa"/>
            <w:shd w:val="clear" w:color="auto" w:fill="auto"/>
          </w:tcPr>
          <w:p w:rsidR="00944A3C" w:rsidRPr="003E156C" w:rsidRDefault="00944A3C" w:rsidP="008F7F42">
            <w:pPr>
              <w:spacing w:before="60" w:after="60" w:line="320" w:lineRule="exact"/>
              <w:ind w:left="57" w:right="30"/>
              <w:textDirection w:val="tbRlV"/>
              <w:rPr>
                <w:sz w:val="18"/>
                <w:szCs w:val="28"/>
                <w:rtl/>
                <w:lang w:val="en-GB" w:eastAsia="zh-TW"/>
              </w:rPr>
            </w:pPr>
            <w:bookmarkStart w:id="52" w:name="bookmark_691"/>
            <w:r w:rsidRPr="003E156C">
              <w:rPr>
                <w:sz w:val="18"/>
                <w:szCs w:val="28"/>
                <w:rtl/>
                <w:lang w:val="en-GB" w:eastAsia="zh-TW"/>
              </w:rPr>
              <w:t>تحفظ</w:t>
            </w:r>
            <w:r w:rsidRPr="003E156C">
              <w:rPr>
                <w:rFonts w:hint="cs"/>
                <w:sz w:val="18"/>
                <w:szCs w:val="28"/>
                <w:rtl/>
                <w:lang w:val="en-GB" w:eastAsia="zh-TW"/>
              </w:rPr>
              <w:t xml:space="preserve">: </w:t>
            </w:r>
            <w:r w:rsidRPr="003E156C">
              <w:rPr>
                <w:sz w:val="18"/>
                <w:szCs w:val="28"/>
                <w:rtl/>
                <w:lang w:val="en-GB" w:eastAsia="zh-TW"/>
              </w:rPr>
              <w:t>المادة 30(1)</w:t>
            </w:r>
            <w:bookmarkEnd w:id="52"/>
          </w:p>
        </w:tc>
      </w:tr>
      <w:tr w:rsidR="00944A3C" w:rsidRPr="003E156C" w:rsidTr="00323F71">
        <w:trPr>
          <w:cantSplit/>
        </w:trPr>
        <w:tc>
          <w:tcPr>
            <w:tcW w:w="2841" w:type="dxa"/>
            <w:shd w:val="clear" w:color="auto" w:fill="auto"/>
          </w:tcPr>
          <w:p w:rsidR="00944A3C" w:rsidRPr="00323F71" w:rsidRDefault="00944A3C" w:rsidP="008F7F42">
            <w:pPr>
              <w:spacing w:before="60" w:after="60" w:line="320" w:lineRule="exact"/>
              <w:ind w:right="284"/>
              <w:textDirection w:val="tbRlV"/>
              <w:rPr>
                <w:spacing w:val="-4"/>
                <w:sz w:val="18"/>
                <w:szCs w:val="28"/>
                <w:rtl/>
                <w:lang w:val="en-GB" w:eastAsia="zh-TW"/>
              </w:rPr>
            </w:pPr>
            <w:bookmarkStart w:id="53" w:name="bookmark_692"/>
            <w:r w:rsidRPr="00323F71">
              <w:rPr>
                <w:spacing w:val="-4"/>
                <w:sz w:val="18"/>
                <w:szCs w:val="28"/>
                <w:rtl/>
                <w:lang w:val="en-GB" w:eastAsia="zh-TW"/>
              </w:rPr>
              <w:t>البروتوكول الاختياري لاتفاقية مناهضة التعذيب وغيره من ضروب المعاملة أو العقوبة القاسية أو اللاإنسانية أو المهينة (2002)</w:t>
            </w:r>
            <w:bookmarkEnd w:id="53"/>
          </w:p>
        </w:tc>
        <w:tc>
          <w:tcPr>
            <w:tcW w:w="1984" w:type="dxa"/>
            <w:shd w:val="clear" w:color="auto" w:fill="auto"/>
          </w:tcPr>
          <w:p w:rsidR="00944A3C" w:rsidRPr="003E156C" w:rsidRDefault="00944A3C" w:rsidP="008F7F42">
            <w:pPr>
              <w:spacing w:before="60" w:after="60" w:line="320" w:lineRule="exact"/>
              <w:ind w:left="57" w:right="283"/>
              <w:textDirection w:val="tbRlV"/>
              <w:rPr>
                <w:sz w:val="18"/>
                <w:szCs w:val="28"/>
                <w:rtl/>
                <w:lang w:val="en-GB" w:eastAsia="zh-TW"/>
              </w:rPr>
            </w:pPr>
            <w:bookmarkStart w:id="54" w:name="bookmark_693"/>
            <w:r w:rsidRPr="003E156C">
              <w:rPr>
                <w:rFonts w:hint="cs"/>
                <w:sz w:val="18"/>
                <w:szCs w:val="28"/>
                <w:rtl/>
                <w:lang w:val="en-GB" w:eastAsia="zh-TW"/>
              </w:rPr>
              <w:t>16</w:t>
            </w:r>
            <w:r w:rsidRPr="003E156C">
              <w:rPr>
                <w:sz w:val="18"/>
                <w:szCs w:val="28"/>
                <w:rtl/>
                <w:lang w:val="en-GB" w:eastAsia="zh-TW"/>
              </w:rPr>
              <w:t xml:space="preserve"> أيلول/سبتمبر 2005</w:t>
            </w:r>
            <w:bookmarkEnd w:id="54"/>
          </w:p>
        </w:tc>
        <w:tc>
          <w:tcPr>
            <w:tcW w:w="2268" w:type="dxa"/>
            <w:shd w:val="clear" w:color="auto" w:fill="auto"/>
          </w:tcPr>
          <w:p w:rsidR="00944A3C" w:rsidRPr="004C38AE" w:rsidRDefault="00944A3C" w:rsidP="008F7F42">
            <w:pPr>
              <w:spacing w:before="60" w:after="60" w:line="320" w:lineRule="exact"/>
              <w:ind w:left="57" w:right="283"/>
              <w:textDirection w:val="tbRlV"/>
              <w:rPr>
                <w:sz w:val="18"/>
                <w:szCs w:val="28"/>
                <w:rtl/>
                <w:lang w:val="en-GB" w:eastAsia="zh-TW"/>
              </w:rPr>
            </w:pPr>
            <w:bookmarkStart w:id="55" w:name="bookmark_694"/>
            <w:r w:rsidRPr="004C38AE">
              <w:rPr>
                <w:sz w:val="18"/>
                <w:szCs w:val="28"/>
                <w:rtl/>
                <w:lang w:val="en-GB" w:eastAsia="zh-TW"/>
              </w:rPr>
              <w:t>11 تشرين الثاني/نوفمبر 2008</w:t>
            </w:r>
            <w:bookmarkEnd w:id="55"/>
          </w:p>
        </w:tc>
        <w:tc>
          <w:tcPr>
            <w:tcW w:w="2548" w:type="dxa"/>
            <w:shd w:val="clear" w:color="auto" w:fill="auto"/>
          </w:tcPr>
          <w:p w:rsidR="00944A3C" w:rsidRPr="003E156C" w:rsidRDefault="00944A3C" w:rsidP="008F7F42">
            <w:pPr>
              <w:spacing w:before="60" w:after="60" w:line="320" w:lineRule="exact"/>
              <w:ind w:left="57" w:right="30"/>
              <w:textDirection w:val="tbRlV"/>
              <w:rPr>
                <w:sz w:val="18"/>
                <w:szCs w:val="28"/>
                <w:rtl/>
                <w:lang w:val="en-GB" w:eastAsia="zh-TW"/>
              </w:rPr>
            </w:pPr>
            <w:bookmarkStart w:id="56" w:name="bookmark_695"/>
            <w:r w:rsidRPr="003E156C">
              <w:rPr>
                <w:sz w:val="18"/>
                <w:szCs w:val="28"/>
                <w:rtl/>
                <w:lang w:val="en-GB" w:eastAsia="zh-TW"/>
              </w:rPr>
              <w:t>إعلان تفسيري</w:t>
            </w:r>
            <w:bookmarkEnd w:id="56"/>
          </w:p>
        </w:tc>
      </w:tr>
      <w:tr w:rsidR="00944A3C" w:rsidRPr="003E156C" w:rsidTr="00323F71">
        <w:trPr>
          <w:cantSplit/>
        </w:trPr>
        <w:tc>
          <w:tcPr>
            <w:tcW w:w="2841" w:type="dxa"/>
            <w:shd w:val="clear" w:color="auto" w:fill="auto"/>
          </w:tcPr>
          <w:p w:rsidR="00944A3C" w:rsidRPr="003E156C" w:rsidRDefault="00944A3C" w:rsidP="008F7F42">
            <w:pPr>
              <w:spacing w:before="40" w:after="60" w:line="320" w:lineRule="exact"/>
              <w:ind w:right="284"/>
              <w:textDirection w:val="tbRlV"/>
              <w:rPr>
                <w:sz w:val="18"/>
                <w:szCs w:val="28"/>
                <w:rtl/>
                <w:lang w:val="en-GB" w:eastAsia="zh-TW"/>
              </w:rPr>
            </w:pPr>
            <w:bookmarkStart w:id="57" w:name="bookmark_696"/>
            <w:r w:rsidRPr="003E156C">
              <w:rPr>
                <w:sz w:val="18"/>
                <w:szCs w:val="28"/>
                <w:rtl/>
                <w:lang w:val="en-GB" w:eastAsia="zh-TW"/>
              </w:rPr>
              <w:lastRenderedPageBreak/>
              <w:t>اتفاقية حقوق الطفل (1989)</w:t>
            </w:r>
            <w:bookmarkEnd w:id="57"/>
          </w:p>
        </w:tc>
        <w:tc>
          <w:tcPr>
            <w:tcW w:w="1984" w:type="dxa"/>
            <w:shd w:val="clear" w:color="auto" w:fill="auto"/>
          </w:tcPr>
          <w:p w:rsidR="00944A3C" w:rsidRPr="003E156C" w:rsidRDefault="004C38AE" w:rsidP="00317979">
            <w:pPr>
              <w:spacing w:before="40" w:after="60" w:line="320" w:lineRule="exact"/>
              <w:ind w:left="57" w:right="283"/>
              <w:textDirection w:val="tbRlV"/>
              <w:rPr>
                <w:sz w:val="18"/>
                <w:szCs w:val="28"/>
                <w:rtl/>
                <w:lang w:val="en-GB" w:eastAsia="zh-TW"/>
              </w:rPr>
            </w:pPr>
            <w:bookmarkStart w:id="58" w:name="bookmark_697"/>
            <w:r>
              <w:rPr>
                <w:sz w:val="18"/>
                <w:szCs w:val="28"/>
                <w:rtl/>
                <w:lang w:val="en-GB" w:eastAsia="zh-TW"/>
              </w:rPr>
              <w:t>26 كانون</w:t>
            </w:r>
            <w:r>
              <w:rPr>
                <w:rFonts w:hint="cs"/>
                <w:sz w:val="18"/>
                <w:szCs w:val="28"/>
                <w:rtl/>
                <w:lang w:val="en-GB" w:eastAsia="zh-TW"/>
              </w:rPr>
              <w:t xml:space="preserve"> </w:t>
            </w:r>
            <w:r w:rsidR="00944A3C" w:rsidRPr="003E156C">
              <w:rPr>
                <w:sz w:val="18"/>
                <w:szCs w:val="28"/>
                <w:rtl/>
                <w:lang w:val="en-GB" w:eastAsia="zh-TW"/>
              </w:rPr>
              <w:t>الثاني/</w:t>
            </w:r>
            <w:r>
              <w:rPr>
                <w:rFonts w:hint="cs"/>
                <w:sz w:val="18"/>
                <w:szCs w:val="28"/>
                <w:rtl/>
                <w:lang w:val="en-GB" w:eastAsia="zh-TW"/>
              </w:rPr>
              <w:t xml:space="preserve"> </w:t>
            </w:r>
            <w:r w:rsidR="00944A3C" w:rsidRPr="003E156C">
              <w:rPr>
                <w:sz w:val="18"/>
                <w:szCs w:val="28"/>
                <w:rtl/>
                <w:lang w:val="en-GB" w:eastAsia="zh-TW"/>
              </w:rPr>
              <w:t>يناير 1990</w:t>
            </w:r>
            <w:bookmarkEnd w:id="58"/>
          </w:p>
        </w:tc>
        <w:tc>
          <w:tcPr>
            <w:tcW w:w="2268" w:type="dxa"/>
            <w:shd w:val="clear" w:color="auto" w:fill="auto"/>
          </w:tcPr>
          <w:p w:rsidR="00944A3C" w:rsidRPr="00317979" w:rsidRDefault="00944A3C" w:rsidP="00317979">
            <w:pPr>
              <w:spacing w:before="40" w:after="60" w:line="320" w:lineRule="exact"/>
              <w:ind w:left="57" w:right="283"/>
              <w:textDirection w:val="tbRlV"/>
              <w:rPr>
                <w:sz w:val="18"/>
                <w:szCs w:val="28"/>
                <w:rtl/>
                <w:lang w:val="en-GB" w:eastAsia="zh-TW"/>
              </w:rPr>
            </w:pPr>
            <w:bookmarkStart w:id="59" w:name="bookmark_698"/>
            <w:r w:rsidRPr="00317979">
              <w:rPr>
                <w:sz w:val="18"/>
                <w:szCs w:val="28"/>
                <w:rtl/>
                <w:lang w:val="en-GB" w:eastAsia="zh-TW"/>
              </w:rPr>
              <w:t>الاتفاقية: 7 آب/</w:t>
            </w:r>
            <w:r w:rsidR="00B938B8" w:rsidRPr="00317979">
              <w:rPr>
                <w:rFonts w:hint="cs"/>
                <w:sz w:val="18"/>
                <w:szCs w:val="28"/>
                <w:rtl/>
                <w:lang w:val="en-GB" w:eastAsia="zh-TW"/>
              </w:rPr>
              <w:t xml:space="preserve"> </w:t>
            </w:r>
            <w:r w:rsidRPr="00317979">
              <w:rPr>
                <w:sz w:val="18"/>
                <w:szCs w:val="28"/>
                <w:rtl/>
                <w:lang w:val="en-GB" w:eastAsia="zh-TW"/>
              </w:rPr>
              <w:t>أغسطس 1990</w:t>
            </w:r>
            <w:bookmarkEnd w:id="59"/>
          </w:p>
          <w:p w:rsidR="00944A3C" w:rsidRPr="00317979" w:rsidRDefault="00944A3C" w:rsidP="00317979">
            <w:pPr>
              <w:spacing w:before="40" w:after="60" w:line="320" w:lineRule="exact"/>
              <w:ind w:left="57" w:right="283"/>
              <w:textDirection w:val="tbRlV"/>
              <w:rPr>
                <w:sz w:val="18"/>
                <w:szCs w:val="28"/>
                <w:rtl/>
                <w:lang w:val="en-GB" w:eastAsia="zh-TW"/>
              </w:rPr>
            </w:pPr>
            <w:bookmarkStart w:id="60" w:name="bookmark_699"/>
            <w:r w:rsidRPr="000F47B2">
              <w:rPr>
                <w:spacing w:val="-6"/>
                <w:sz w:val="18"/>
                <w:szCs w:val="28"/>
                <w:rtl/>
                <w:lang w:val="en-GB" w:eastAsia="zh-TW"/>
              </w:rPr>
              <w:t>التعديل المدخل على المادة 43(2): 20 حزيران/</w:t>
            </w:r>
            <w:r w:rsidR="000F47B2" w:rsidRPr="000F47B2">
              <w:rPr>
                <w:rFonts w:hint="cs"/>
                <w:sz w:val="18"/>
                <w:szCs w:val="28"/>
                <w:rtl/>
                <w:lang w:val="en-GB" w:eastAsia="zh-TW"/>
              </w:rPr>
              <w:t xml:space="preserve"> </w:t>
            </w:r>
            <w:r w:rsidRPr="00317979">
              <w:rPr>
                <w:sz w:val="18"/>
                <w:szCs w:val="28"/>
                <w:rtl/>
                <w:lang w:val="en-GB" w:eastAsia="zh-TW"/>
              </w:rPr>
              <w:t>يونيه 1997</w:t>
            </w:r>
            <w:bookmarkEnd w:id="60"/>
          </w:p>
        </w:tc>
        <w:tc>
          <w:tcPr>
            <w:tcW w:w="2548" w:type="dxa"/>
            <w:shd w:val="clear" w:color="auto" w:fill="auto"/>
          </w:tcPr>
          <w:p w:rsidR="00944A3C" w:rsidRPr="003E156C" w:rsidRDefault="00944A3C" w:rsidP="000F47B2">
            <w:pPr>
              <w:spacing w:before="40" w:after="60" w:line="320" w:lineRule="exact"/>
              <w:ind w:left="57" w:right="30"/>
              <w:textDirection w:val="tbRlV"/>
              <w:rPr>
                <w:sz w:val="18"/>
                <w:szCs w:val="28"/>
                <w:rtl/>
                <w:lang w:val="en-GB" w:eastAsia="zh-TW"/>
              </w:rPr>
            </w:pPr>
            <w:bookmarkStart w:id="61" w:name="bookmark_700"/>
            <w:r w:rsidRPr="003E156C">
              <w:rPr>
                <w:sz w:val="18"/>
                <w:szCs w:val="28"/>
                <w:rtl/>
                <w:lang w:val="en-GB" w:eastAsia="zh-TW"/>
              </w:rPr>
              <w:t>إعلانات تفسيرية</w:t>
            </w:r>
            <w:r w:rsidRPr="003E156C">
              <w:rPr>
                <w:rFonts w:hint="cs"/>
                <w:sz w:val="18"/>
                <w:szCs w:val="28"/>
                <w:rtl/>
                <w:lang w:val="en-GB" w:eastAsia="zh-TW"/>
              </w:rPr>
              <w:t xml:space="preserve">: </w:t>
            </w:r>
            <w:r w:rsidRPr="003E156C">
              <w:rPr>
                <w:sz w:val="18"/>
                <w:szCs w:val="28"/>
                <w:rtl/>
                <w:lang w:val="en-GB" w:eastAsia="zh-TW"/>
              </w:rPr>
              <w:t>المادت</w:t>
            </w:r>
            <w:r w:rsidRPr="003E156C">
              <w:rPr>
                <w:rFonts w:hint="cs"/>
                <w:sz w:val="18"/>
                <w:szCs w:val="28"/>
                <w:rtl/>
                <w:lang w:val="en-GB" w:eastAsia="zh-TW"/>
              </w:rPr>
              <w:t>ا</w:t>
            </w:r>
            <w:r w:rsidRPr="003E156C">
              <w:rPr>
                <w:sz w:val="18"/>
                <w:szCs w:val="28"/>
                <w:rtl/>
                <w:lang w:val="en-GB" w:eastAsia="zh-TW"/>
              </w:rPr>
              <w:t>ن 6 و40(2)(ب)</w:t>
            </w:r>
            <w:r w:rsidR="00843D2F">
              <w:rPr>
                <w:rFonts w:hint="cs"/>
                <w:sz w:val="18"/>
                <w:szCs w:val="28"/>
                <w:rtl/>
                <w:lang w:val="en-GB" w:eastAsia="zh-TW"/>
              </w:rPr>
              <w:t>‘</w:t>
            </w:r>
            <w:r w:rsidRPr="003E156C">
              <w:rPr>
                <w:sz w:val="18"/>
                <w:szCs w:val="28"/>
                <w:rtl/>
                <w:lang w:val="en-GB" w:eastAsia="zh-TW"/>
              </w:rPr>
              <w:t>5</w:t>
            </w:r>
            <w:bookmarkEnd w:id="61"/>
            <w:r w:rsidR="000F47B2">
              <w:rPr>
                <w:rFonts w:hint="cs"/>
                <w:sz w:val="18"/>
                <w:szCs w:val="28"/>
                <w:rtl/>
                <w:lang w:val="en-GB" w:eastAsia="zh-TW"/>
              </w:rPr>
              <w:t>‘</w:t>
            </w:r>
          </w:p>
          <w:p w:rsidR="00944A3C" w:rsidRPr="003E156C" w:rsidRDefault="00944A3C" w:rsidP="00317979">
            <w:pPr>
              <w:spacing w:before="40" w:after="60" w:line="320" w:lineRule="exact"/>
              <w:ind w:left="57" w:right="30"/>
              <w:textDirection w:val="tbRlV"/>
              <w:rPr>
                <w:sz w:val="18"/>
                <w:szCs w:val="28"/>
                <w:rtl/>
                <w:lang w:val="en-GB" w:eastAsia="zh-TW"/>
              </w:rPr>
            </w:pPr>
            <w:bookmarkStart w:id="62" w:name="bookmark_701"/>
            <w:r w:rsidRPr="003E156C">
              <w:rPr>
                <w:sz w:val="18"/>
                <w:szCs w:val="28"/>
                <w:rtl/>
                <w:lang w:val="en-GB" w:eastAsia="zh-TW"/>
              </w:rPr>
              <w:t>تحفظ</w:t>
            </w:r>
            <w:r w:rsidRPr="003E156C">
              <w:rPr>
                <w:rFonts w:hint="cs"/>
                <w:sz w:val="18"/>
                <w:szCs w:val="28"/>
                <w:rtl/>
                <w:lang w:val="en-GB" w:eastAsia="zh-TW"/>
              </w:rPr>
              <w:t xml:space="preserve">: </w:t>
            </w:r>
            <w:r w:rsidRPr="003E156C">
              <w:rPr>
                <w:sz w:val="18"/>
                <w:szCs w:val="28"/>
                <w:rtl/>
                <w:lang w:val="en-GB" w:eastAsia="zh-TW"/>
              </w:rPr>
              <w:t>المادة 30.</w:t>
            </w:r>
            <w:bookmarkEnd w:id="62"/>
          </w:p>
        </w:tc>
      </w:tr>
      <w:tr w:rsidR="00944A3C" w:rsidRPr="003E156C" w:rsidTr="00323F71">
        <w:trPr>
          <w:cantSplit/>
        </w:trPr>
        <w:tc>
          <w:tcPr>
            <w:tcW w:w="2841" w:type="dxa"/>
            <w:shd w:val="clear" w:color="auto" w:fill="auto"/>
          </w:tcPr>
          <w:p w:rsidR="00944A3C" w:rsidRPr="003E156C" w:rsidRDefault="00944A3C" w:rsidP="008F7F42">
            <w:pPr>
              <w:spacing w:before="40" w:after="60" w:line="320" w:lineRule="exact"/>
              <w:ind w:right="284"/>
              <w:textDirection w:val="tbRlV"/>
              <w:rPr>
                <w:sz w:val="18"/>
                <w:szCs w:val="28"/>
                <w:rtl/>
                <w:lang w:val="en-GB" w:eastAsia="zh-TW"/>
              </w:rPr>
            </w:pPr>
            <w:bookmarkStart w:id="63" w:name="bookmark_702"/>
            <w:r w:rsidRPr="003E156C">
              <w:rPr>
                <w:sz w:val="18"/>
                <w:szCs w:val="28"/>
                <w:rtl/>
                <w:lang w:val="en-GB" w:eastAsia="zh-TW"/>
              </w:rPr>
              <w:t>البروتوكول الاختياري لاتفاقية حقوق الطفل بشأن اشتراك الأطفال في المنازعات المسلحة (2000)</w:t>
            </w:r>
            <w:bookmarkEnd w:id="63"/>
          </w:p>
        </w:tc>
        <w:tc>
          <w:tcPr>
            <w:tcW w:w="1984" w:type="dxa"/>
            <w:shd w:val="clear" w:color="auto" w:fill="auto"/>
          </w:tcPr>
          <w:p w:rsidR="00944A3C" w:rsidRPr="003E156C" w:rsidRDefault="00944A3C" w:rsidP="00317979">
            <w:pPr>
              <w:spacing w:before="40" w:after="60" w:line="320" w:lineRule="exact"/>
              <w:ind w:left="57" w:right="283"/>
              <w:jc w:val="left"/>
              <w:textDirection w:val="tbRlV"/>
              <w:rPr>
                <w:sz w:val="18"/>
                <w:szCs w:val="28"/>
                <w:rtl/>
                <w:lang w:val="en-GB" w:eastAsia="zh-TW"/>
              </w:rPr>
            </w:pPr>
            <w:bookmarkStart w:id="64" w:name="bookmark_703"/>
            <w:r w:rsidRPr="003E156C">
              <w:rPr>
                <w:rFonts w:hint="cs"/>
                <w:sz w:val="18"/>
                <w:szCs w:val="28"/>
                <w:rtl/>
                <w:lang w:val="en-GB" w:eastAsia="zh-TW"/>
              </w:rPr>
              <w:t>6</w:t>
            </w:r>
            <w:r w:rsidRPr="003E156C">
              <w:rPr>
                <w:sz w:val="18"/>
                <w:szCs w:val="28"/>
                <w:rtl/>
                <w:lang w:val="en-GB" w:eastAsia="zh-TW"/>
              </w:rPr>
              <w:t xml:space="preserve"> أيلول/سبتمبر 2000</w:t>
            </w:r>
            <w:bookmarkEnd w:id="64"/>
          </w:p>
        </w:tc>
        <w:tc>
          <w:tcPr>
            <w:tcW w:w="2268" w:type="dxa"/>
            <w:shd w:val="clear" w:color="auto" w:fill="auto"/>
          </w:tcPr>
          <w:p w:rsidR="00944A3C" w:rsidRPr="003E156C" w:rsidRDefault="00944A3C" w:rsidP="00317979">
            <w:pPr>
              <w:spacing w:before="40" w:after="60" w:line="320" w:lineRule="exact"/>
              <w:ind w:left="57" w:right="283"/>
              <w:textDirection w:val="tbRlV"/>
              <w:rPr>
                <w:sz w:val="18"/>
                <w:szCs w:val="28"/>
                <w:rtl/>
                <w:lang w:val="en-GB" w:eastAsia="zh-TW"/>
              </w:rPr>
            </w:pPr>
            <w:bookmarkStart w:id="65" w:name="bookmark_704"/>
            <w:r w:rsidRPr="003E156C">
              <w:rPr>
                <w:sz w:val="18"/>
                <w:szCs w:val="28"/>
                <w:rtl/>
                <w:lang w:val="en-GB" w:eastAsia="zh-TW"/>
              </w:rPr>
              <w:t>5 شباط/فبراير 2003</w:t>
            </w:r>
            <w:bookmarkEnd w:id="65"/>
          </w:p>
        </w:tc>
        <w:tc>
          <w:tcPr>
            <w:tcW w:w="2548" w:type="dxa"/>
            <w:shd w:val="clear" w:color="auto" w:fill="auto"/>
          </w:tcPr>
          <w:p w:rsidR="00944A3C" w:rsidRPr="003E156C" w:rsidRDefault="00944A3C" w:rsidP="00317979">
            <w:pPr>
              <w:spacing w:before="40" w:after="60" w:line="320" w:lineRule="exact"/>
              <w:ind w:left="57" w:right="30"/>
              <w:textDirection w:val="tbRlV"/>
              <w:rPr>
                <w:sz w:val="18"/>
                <w:szCs w:val="28"/>
                <w:rtl/>
                <w:lang w:val="en-GB" w:eastAsia="zh-TW"/>
              </w:rPr>
            </w:pPr>
            <w:bookmarkStart w:id="66" w:name="bookmark_705"/>
            <w:r w:rsidRPr="003E156C">
              <w:rPr>
                <w:sz w:val="18"/>
                <w:szCs w:val="28"/>
                <w:rtl/>
                <w:lang w:val="en-GB" w:eastAsia="zh-TW"/>
              </w:rPr>
              <w:t>إعلان</w:t>
            </w:r>
            <w:bookmarkEnd w:id="66"/>
          </w:p>
        </w:tc>
      </w:tr>
      <w:tr w:rsidR="00944A3C" w:rsidRPr="003E156C" w:rsidTr="00323F71">
        <w:trPr>
          <w:cantSplit/>
        </w:trPr>
        <w:tc>
          <w:tcPr>
            <w:tcW w:w="2841" w:type="dxa"/>
            <w:tcBorders>
              <w:bottom w:val="single" w:sz="4" w:space="0" w:color="auto"/>
            </w:tcBorders>
            <w:shd w:val="clear" w:color="auto" w:fill="auto"/>
          </w:tcPr>
          <w:p w:rsidR="00944A3C" w:rsidRPr="00317979" w:rsidRDefault="00944A3C" w:rsidP="008F7F42">
            <w:pPr>
              <w:spacing w:before="40" w:after="60" w:line="320" w:lineRule="exact"/>
              <w:ind w:right="284"/>
              <w:textDirection w:val="tbRlV"/>
              <w:rPr>
                <w:spacing w:val="-4"/>
                <w:sz w:val="18"/>
                <w:szCs w:val="28"/>
                <w:rtl/>
                <w:lang w:val="en-GB" w:eastAsia="zh-TW"/>
              </w:rPr>
            </w:pPr>
            <w:bookmarkStart w:id="67" w:name="bookmark_706"/>
            <w:r w:rsidRPr="00317979">
              <w:rPr>
                <w:spacing w:val="-4"/>
                <w:sz w:val="18"/>
                <w:szCs w:val="28"/>
                <w:rtl/>
                <w:lang w:val="en-GB" w:eastAsia="zh-TW"/>
              </w:rPr>
              <w:t>البروتوكول الاختياري الملحق باتفاقية حقوق الطفل بشأن بيع الأطفال واستغلال الأطفال في البغاء وفي المواد الإباحية (2000)</w:t>
            </w:r>
            <w:bookmarkEnd w:id="67"/>
          </w:p>
        </w:tc>
        <w:tc>
          <w:tcPr>
            <w:tcW w:w="1984" w:type="dxa"/>
            <w:tcBorders>
              <w:bottom w:val="single" w:sz="4" w:space="0" w:color="auto"/>
            </w:tcBorders>
            <w:shd w:val="clear" w:color="auto" w:fill="auto"/>
          </w:tcPr>
          <w:p w:rsidR="00944A3C" w:rsidRPr="003E156C" w:rsidRDefault="00944A3C" w:rsidP="00317979">
            <w:pPr>
              <w:spacing w:before="40" w:after="60" w:line="320" w:lineRule="exact"/>
              <w:ind w:left="57" w:right="283"/>
              <w:jc w:val="left"/>
              <w:textDirection w:val="tbRlV"/>
              <w:rPr>
                <w:sz w:val="18"/>
                <w:szCs w:val="28"/>
                <w:rtl/>
                <w:lang w:val="en-GB" w:eastAsia="zh-TW"/>
              </w:rPr>
            </w:pPr>
            <w:bookmarkStart w:id="68" w:name="bookmark_707"/>
            <w:r w:rsidRPr="003E156C">
              <w:rPr>
                <w:rFonts w:hint="cs"/>
                <w:sz w:val="18"/>
                <w:szCs w:val="28"/>
                <w:rtl/>
                <w:lang w:val="en-GB" w:eastAsia="zh-TW"/>
              </w:rPr>
              <w:t>6</w:t>
            </w:r>
            <w:r w:rsidRPr="003E156C">
              <w:rPr>
                <w:sz w:val="18"/>
                <w:szCs w:val="28"/>
                <w:rtl/>
                <w:lang w:val="en-GB" w:eastAsia="zh-TW"/>
              </w:rPr>
              <w:t xml:space="preserve"> أيلول/سبتمبر 2000</w:t>
            </w:r>
            <w:bookmarkEnd w:id="68"/>
          </w:p>
        </w:tc>
        <w:tc>
          <w:tcPr>
            <w:tcW w:w="2268" w:type="dxa"/>
            <w:tcBorders>
              <w:bottom w:val="single" w:sz="4" w:space="0" w:color="auto"/>
            </w:tcBorders>
            <w:shd w:val="clear" w:color="auto" w:fill="auto"/>
          </w:tcPr>
          <w:p w:rsidR="00944A3C" w:rsidRPr="003E156C" w:rsidRDefault="00944A3C" w:rsidP="00317979">
            <w:pPr>
              <w:spacing w:before="40" w:after="60" w:line="320" w:lineRule="exact"/>
              <w:ind w:left="57" w:right="283"/>
              <w:textDirection w:val="tbRlV"/>
              <w:rPr>
                <w:sz w:val="18"/>
                <w:szCs w:val="28"/>
                <w:rtl/>
                <w:lang w:val="en-GB" w:eastAsia="zh-TW"/>
              </w:rPr>
            </w:pPr>
            <w:bookmarkStart w:id="69" w:name="bookmark_708"/>
            <w:r w:rsidRPr="003E156C">
              <w:rPr>
                <w:sz w:val="18"/>
                <w:szCs w:val="28"/>
                <w:rtl/>
                <w:lang w:val="en-GB" w:eastAsia="zh-TW"/>
              </w:rPr>
              <w:t>5 شباط/فبراير 2003</w:t>
            </w:r>
            <w:bookmarkEnd w:id="69"/>
          </w:p>
        </w:tc>
        <w:tc>
          <w:tcPr>
            <w:tcW w:w="2548" w:type="dxa"/>
            <w:tcBorders>
              <w:bottom w:val="single" w:sz="4" w:space="0" w:color="auto"/>
            </w:tcBorders>
            <w:shd w:val="clear" w:color="auto" w:fill="auto"/>
          </w:tcPr>
          <w:p w:rsidR="00944A3C" w:rsidRPr="003E156C" w:rsidRDefault="00944A3C" w:rsidP="00317979">
            <w:pPr>
              <w:spacing w:before="40" w:after="60" w:line="320" w:lineRule="exact"/>
              <w:ind w:left="57" w:right="30"/>
              <w:textDirection w:val="tbRlV"/>
              <w:rPr>
                <w:sz w:val="18"/>
                <w:szCs w:val="28"/>
                <w:rtl/>
                <w:lang w:val="en-GB" w:eastAsia="zh-TW"/>
              </w:rPr>
            </w:pPr>
            <w:bookmarkStart w:id="70" w:name="bookmark_709"/>
            <w:r w:rsidRPr="003E156C">
              <w:rPr>
                <w:sz w:val="18"/>
                <w:szCs w:val="28"/>
                <w:rtl/>
                <w:lang w:val="en-GB" w:eastAsia="zh-TW"/>
              </w:rPr>
              <w:t>لا ينطبق</w:t>
            </w:r>
            <w:bookmarkEnd w:id="70"/>
          </w:p>
        </w:tc>
      </w:tr>
      <w:tr w:rsidR="00944A3C" w:rsidRPr="003E156C" w:rsidTr="00323F71">
        <w:trPr>
          <w:cantSplit/>
        </w:trPr>
        <w:tc>
          <w:tcPr>
            <w:tcW w:w="2841" w:type="dxa"/>
            <w:tcBorders>
              <w:bottom w:val="single" w:sz="12" w:space="0" w:color="auto"/>
            </w:tcBorders>
            <w:shd w:val="clear" w:color="auto" w:fill="auto"/>
          </w:tcPr>
          <w:p w:rsidR="00944A3C" w:rsidRPr="003E156C" w:rsidRDefault="00944A3C" w:rsidP="008F7F42">
            <w:pPr>
              <w:spacing w:before="40" w:after="60" w:line="320" w:lineRule="exact"/>
              <w:ind w:right="284"/>
              <w:textDirection w:val="tbRlV"/>
              <w:rPr>
                <w:sz w:val="18"/>
                <w:szCs w:val="28"/>
                <w:rtl/>
                <w:lang w:val="en-GB" w:eastAsia="zh-TW"/>
              </w:rPr>
            </w:pPr>
            <w:bookmarkStart w:id="71" w:name="bookmark_710"/>
            <w:r w:rsidRPr="003E156C">
              <w:rPr>
                <w:sz w:val="18"/>
                <w:szCs w:val="28"/>
                <w:rtl/>
                <w:lang w:val="en-GB" w:eastAsia="zh-TW"/>
              </w:rPr>
              <w:t>البروتوكول الاختياري لاتفاقية حقوق الطفل المتعلق بإجراء تقديم البلاغات (2011)</w:t>
            </w:r>
            <w:bookmarkEnd w:id="71"/>
          </w:p>
        </w:tc>
        <w:tc>
          <w:tcPr>
            <w:tcW w:w="1984" w:type="dxa"/>
            <w:tcBorders>
              <w:bottom w:val="single" w:sz="12" w:space="0" w:color="auto"/>
            </w:tcBorders>
            <w:shd w:val="clear" w:color="auto" w:fill="auto"/>
          </w:tcPr>
          <w:p w:rsidR="00944A3C" w:rsidRPr="003E156C" w:rsidRDefault="00944A3C" w:rsidP="00317979">
            <w:pPr>
              <w:spacing w:before="40" w:after="60" w:line="320" w:lineRule="exact"/>
              <w:ind w:left="57" w:right="283"/>
              <w:jc w:val="left"/>
              <w:textDirection w:val="tbRlV"/>
              <w:rPr>
                <w:sz w:val="18"/>
                <w:szCs w:val="28"/>
                <w:rtl/>
                <w:lang w:val="en-GB" w:eastAsia="zh-TW"/>
              </w:rPr>
            </w:pPr>
            <w:bookmarkStart w:id="72" w:name="bookmark_711"/>
            <w:r w:rsidRPr="003E156C">
              <w:rPr>
                <w:sz w:val="18"/>
                <w:szCs w:val="28"/>
                <w:rtl/>
                <w:lang w:val="en-GB" w:eastAsia="zh-TW"/>
              </w:rPr>
              <w:t>20 تشرين الثاني/</w:t>
            </w:r>
            <w:r w:rsidR="00B938B8">
              <w:rPr>
                <w:rFonts w:hint="cs"/>
                <w:sz w:val="18"/>
                <w:szCs w:val="28"/>
                <w:rtl/>
                <w:lang w:val="en-GB" w:eastAsia="zh-TW"/>
              </w:rPr>
              <w:t xml:space="preserve"> </w:t>
            </w:r>
            <w:r w:rsidRPr="003E156C">
              <w:rPr>
                <w:sz w:val="18"/>
                <w:szCs w:val="28"/>
                <w:rtl/>
                <w:lang w:val="en-GB" w:eastAsia="zh-TW"/>
              </w:rPr>
              <w:t>نوفمبر 2014</w:t>
            </w:r>
            <w:bookmarkEnd w:id="72"/>
          </w:p>
        </w:tc>
        <w:tc>
          <w:tcPr>
            <w:tcW w:w="2268" w:type="dxa"/>
            <w:tcBorders>
              <w:bottom w:val="single" w:sz="12" w:space="0" w:color="auto"/>
            </w:tcBorders>
            <w:shd w:val="clear" w:color="auto" w:fill="auto"/>
          </w:tcPr>
          <w:p w:rsidR="00944A3C" w:rsidRPr="00B938B8" w:rsidRDefault="00944A3C" w:rsidP="00317979">
            <w:pPr>
              <w:spacing w:before="40" w:after="60" w:line="320" w:lineRule="exact"/>
              <w:ind w:left="57" w:right="283"/>
              <w:textDirection w:val="tbRlV"/>
              <w:rPr>
                <w:spacing w:val="-12"/>
                <w:sz w:val="18"/>
                <w:szCs w:val="28"/>
                <w:rtl/>
                <w:lang w:val="en-GB" w:eastAsia="zh-TW"/>
              </w:rPr>
            </w:pPr>
            <w:bookmarkStart w:id="73" w:name="bookmark_712"/>
            <w:r w:rsidRPr="00B938B8">
              <w:rPr>
                <w:spacing w:val="-12"/>
                <w:sz w:val="18"/>
                <w:szCs w:val="28"/>
                <w:rtl/>
                <w:lang w:val="en-GB" w:eastAsia="zh-TW"/>
              </w:rPr>
              <w:t>7 كانون الثاني/يناير 2016</w:t>
            </w:r>
            <w:bookmarkEnd w:id="73"/>
          </w:p>
        </w:tc>
        <w:tc>
          <w:tcPr>
            <w:tcW w:w="2548" w:type="dxa"/>
            <w:tcBorders>
              <w:bottom w:val="single" w:sz="12" w:space="0" w:color="auto"/>
            </w:tcBorders>
            <w:shd w:val="clear" w:color="auto" w:fill="auto"/>
          </w:tcPr>
          <w:p w:rsidR="00944A3C" w:rsidRPr="003E156C" w:rsidRDefault="00944A3C" w:rsidP="00317979">
            <w:pPr>
              <w:spacing w:before="40" w:after="60" w:line="320" w:lineRule="exact"/>
              <w:ind w:left="57" w:right="30"/>
              <w:textDirection w:val="tbRlV"/>
              <w:rPr>
                <w:sz w:val="18"/>
                <w:szCs w:val="28"/>
                <w:rtl/>
                <w:lang w:val="en-GB" w:eastAsia="zh-TW"/>
              </w:rPr>
            </w:pPr>
            <w:bookmarkStart w:id="74" w:name="bookmark_713"/>
            <w:r w:rsidRPr="003E156C">
              <w:rPr>
                <w:sz w:val="18"/>
                <w:szCs w:val="28"/>
                <w:rtl/>
                <w:lang w:val="en-GB" w:eastAsia="zh-TW"/>
              </w:rPr>
              <w:t>لا ينطبق</w:t>
            </w:r>
            <w:bookmarkEnd w:id="74"/>
          </w:p>
        </w:tc>
      </w:tr>
    </w:tbl>
    <w:p w:rsidR="00944A3C" w:rsidRPr="005D0C50" w:rsidRDefault="00944A3C" w:rsidP="008F7F42">
      <w:pPr>
        <w:pStyle w:val="SingleTxtGA"/>
        <w:spacing w:before="240"/>
        <w:rPr>
          <w:rtl/>
        </w:rPr>
      </w:pPr>
      <w:r w:rsidRPr="005D0C50">
        <w:rPr>
          <w:rtl/>
        </w:rPr>
        <w:t>215-</w:t>
      </w:r>
      <w:r w:rsidRPr="005D0C50">
        <w:rPr>
          <w:rtl/>
        </w:rPr>
        <w:tab/>
        <w:t>لم توقع فرنسا ولم تصدق على الاتفاقية الدولية لحماية حقوق جميع العمال المهاجرين وأفراد أسرهم، التي اعتُمدت في 18 كانون الأول/ديسمبر 1990 ودخلت حيز النفاذ في 1 تموز/يوليه 2003</w:t>
      </w:r>
      <w:r w:rsidRPr="005D0C50">
        <w:rPr>
          <w:rFonts w:hint="cs"/>
          <w:rtl/>
        </w:rPr>
        <w:t>.</w:t>
      </w:r>
    </w:p>
    <w:p w:rsidR="00944A3C" w:rsidRPr="00235F79" w:rsidRDefault="00944A3C" w:rsidP="00944A3C">
      <w:pPr>
        <w:pStyle w:val="SingleTxtGA"/>
        <w:spacing w:after="240"/>
        <w:rPr>
          <w:spacing w:val="-6"/>
          <w:rtl/>
        </w:rPr>
      </w:pPr>
      <w:r w:rsidRPr="005D0C50">
        <w:rPr>
          <w:rtl/>
        </w:rPr>
        <w:t>216-</w:t>
      </w:r>
      <w:r w:rsidRPr="005D0C50">
        <w:rPr>
          <w:rtl/>
        </w:rPr>
        <w:tab/>
      </w:r>
      <w:r w:rsidRPr="00235F79">
        <w:rPr>
          <w:spacing w:val="-6"/>
          <w:rtl/>
        </w:rPr>
        <w:t xml:space="preserve">فمن جهة، </w:t>
      </w:r>
      <w:r w:rsidRPr="00235F79">
        <w:rPr>
          <w:rFonts w:hint="cs"/>
          <w:spacing w:val="-6"/>
          <w:rtl/>
        </w:rPr>
        <w:t xml:space="preserve">تتضمن </w:t>
      </w:r>
      <w:r w:rsidRPr="00235F79">
        <w:rPr>
          <w:spacing w:val="-6"/>
          <w:rtl/>
        </w:rPr>
        <w:t>بعض أحكام الاتفاقية عدد</w:t>
      </w:r>
      <w:r w:rsidR="00B27C28" w:rsidRPr="00235F79">
        <w:rPr>
          <w:spacing w:val="-6"/>
          <w:rtl/>
        </w:rPr>
        <w:t xml:space="preserve">اً </w:t>
      </w:r>
      <w:r w:rsidRPr="00235F79">
        <w:rPr>
          <w:spacing w:val="-6"/>
          <w:rtl/>
        </w:rPr>
        <w:t>من المبادئ التي لا تتوافق مع القانون المحلي.</w:t>
      </w:r>
    </w:p>
    <w:p w:rsidR="00944A3C" w:rsidRPr="005D0C50" w:rsidRDefault="00944A3C" w:rsidP="008F7F42">
      <w:pPr>
        <w:pStyle w:val="SingleTxtGA"/>
        <w:rPr>
          <w:rtl/>
        </w:rPr>
      </w:pPr>
      <w:r w:rsidRPr="005D0C50">
        <w:rPr>
          <w:rFonts w:hint="cs"/>
          <w:rtl/>
        </w:rPr>
        <w:t>217-</w:t>
      </w:r>
      <w:r w:rsidRPr="005D0C50">
        <w:rPr>
          <w:rtl/>
        </w:rPr>
        <w:tab/>
        <w:t xml:space="preserve">وفي هذا الصدد، لا تميز المادة 1 من الاتفاقية بين العمال المهاجرين </w:t>
      </w:r>
      <w:r w:rsidRPr="005D0C50">
        <w:rPr>
          <w:rFonts w:hint="cs"/>
          <w:rtl/>
        </w:rPr>
        <w:t>الن</w:t>
      </w:r>
      <w:r w:rsidRPr="005D0C50">
        <w:rPr>
          <w:rtl/>
        </w:rPr>
        <w:t>ظامي</w:t>
      </w:r>
      <w:r w:rsidRPr="005D0C50">
        <w:rPr>
          <w:rFonts w:hint="cs"/>
          <w:rtl/>
        </w:rPr>
        <w:t>ين</w:t>
      </w:r>
      <w:r w:rsidRPr="005D0C50">
        <w:rPr>
          <w:rtl/>
        </w:rPr>
        <w:t xml:space="preserve"> ومن هم في وضع غير </w:t>
      </w:r>
      <w:r w:rsidRPr="005D0C50">
        <w:rPr>
          <w:rFonts w:hint="cs"/>
          <w:rtl/>
        </w:rPr>
        <w:t>نظامي</w:t>
      </w:r>
      <w:r w:rsidRPr="005D0C50">
        <w:rPr>
          <w:rtl/>
        </w:rPr>
        <w:t>.</w:t>
      </w:r>
      <w:r w:rsidRPr="005D0C50">
        <w:rPr>
          <w:rFonts w:hint="cs"/>
          <w:rtl/>
        </w:rPr>
        <w:t xml:space="preserve"> </w:t>
      </w:r>
      <w:r w:rsidRPr="005D0C50">
        <w:rPr>
          <w:rtl/>
        </w:rPr>
        <w:t>ويتجلى هذا التعريف في الجزء 3 من الاتفاقية (المواد من 8 إلى 35) الذي ينص على عدد من الحقوق للعمال المهاجرين بصرف النظر عن وضعهم القانوني من حيث الإقامة، على خلاف الجزء 4 من الاتفاقية وموضوعه "حقوق أخرى للعمال المهاجرين وأفراد أسرهم الحائزين للوثائق اللازمة أو الذين هم في وضع نظامي".</w:t>
      </w:r>
    </w:p>
    <w:p w:rsidR="00944A3C" w:rsidRPr="005D0C50" w:rsidRDefault="00944A3C" w:rsidP="008F7F42">
      <w:pPr>
        <w:pStyle w:val="SingleTxtGA"/>
        <w:rPr>
          <w:rtl/>
        </w:rPr>
      </w:pPr>
      <w:r w:rsidRPr="005D0C50">
        <w:rPr>
          <w:rFonts w:hint="cs"/>
          <w:rtl/>
        </w:rPr>
        <w:t>218-</w:t>
      </w:r>
      <w:r w:rsidRPr="005D0C50">
        <w:rPr>
          <w:rtl/>
        </w:rPr>
        <w:tab/>
        <w:t>ومن بين الحقوق المكفولة في الجزء 3، يمكن الإشارة إلى الضمانات المتعلقة بشروط العمل والأجر (المادة 25)، أو بالضمان الاجتماعي (المادة 27) أو بالحصول على العناية الطبية (المادة 28)، التي تُلزم الدول بتنفيذ مبدأ "المساواة في المعاملة مع رعايا دولة العمل" على هؤلاء العمال، من دون اشتراط تمتعهم بالإقامة القانونية.</w:t>
      </w:r>
      <w:r w:rsidRPr="005D0C50">
        <w:rPr>
          <w:rFonts w:hint="cs"/>
          <w:rtl/>
        </w:rPr>
        <w:t xml:space="preserve"> </w:t>
      </w:r>
      <w:r w:rsidRPr="005D0C50">
        <w:rPr>
          <w:rtl/>
        </w:rPr>
        <w:t>وعلى سبيل المثال، تنص المادة 25 من الاتفاقية صراحة في الفقرة الثالثة منها، على أن تضمن الدول ألَّا يُحرم العمال المهاجرون من الحقوق المتصلة بمبدأ المساواة في المعاملة مع رعايا دولة العمل في مجال العمل والعمالة والأجر، بسبب وضعهم غير القانوني من حيث الإقامة والعمالة، وهو ما يبطل أثر حثهم على تسوية وضعهم من حيث الإقامة.</w:t>
      </w:r>
      <w:r w:rsidRPr="005D0C50">
        <w:rPr>
          <w:rFonts w:hint="cs"/>
          <w:rtl/>
        </w:rPr>
        <w:t xml:space="preserve"> </w:t>
      </w:r>
      <w:r w:rsidRPr="005D0C50">
        <w:rPr>
          <w:rtl/>
        </w:rPr>
        <w:t xml:space="preserve">وعلاوة على ذلك، فإن تطبيق مبدأ المساواة في المعاملة مع رعايا </w:t>
      </w:r>
      <w:r w:rsidRPr="005D0C50">
        <w:rPr>
          <w:rtl/>
        </w:rPr>
        <w:lastRenderedPageBreak/>
        <w:t>دولة العمل لا يزال يقتصر في الوقت الحالي على مواطني الدول الأعضاء في الاتحاد الأوروبي ومواطني البلدان الأخرى المقيمين لمدة طويلة (انظر أدناه).</w:t>
      </w:r>
    </w:p>
    <w:p w:rsidR="00944A3C" w:rsidRPr="005D0C50" w:rsidRDefault="00944A3C" w:rsidP="008F7F42">
      <w:pPr>
        <w:pStyle w:val="SingleTxtGA"/>
        <w:rPr>
          <w:rtl/>
        </w:rPr>
      </w:pPr>
      <w:r w:rsidRPr="005D0C50">
        <w:rPr>
          <w:rFonts w:hint="cs"/>
          <w:rtl/>
        </w:rPr>
        <w:t>219-</w:t>
      </w:r>
      <w:r w:rsidRPr="005D0C50">
        <w:rPr>
          <w:rtl/>
        </w:rPr>
        <w:tab/>
        <w:t>وعلى غرار ذلك، فقد يُفهم من تحليل المادة 31 من الاتفاقية، التي تنص على "احترام الهوية الثقافية للعمال المهاجرين وأفراد أسرهم"، أنها تمس بالمبدأ الدستوري المتمثل في وحدة الجمهورية وعدم قابليتها للتجزئة.</w:t>
      </w:r>
      <w:r w:rsidRPr="005D0C50">
        <w:rPr>
          <w:rFonts w:hint="cs"/>
          <w:rtl/>
        </w:rPr>
        <w:t xml:space="preserve"> </w:t>
      </w:r>
      <w:r w:rsidRPr="005D0C50">
        <w:rPr>
          <w:rtl/>
        </w:rPr>
        <w:t>وإعمال</w:t>
      </w:r>
      <w:r w:rsidR="00B27C28">
        <w:rPr>
          <w:rtl/>
        </w:rPr>
        <w:t xml:space="preserve">اً </w:t>
      </w:r>
      <w:r w:rsidRPr="005D0C50">
        <w:rPr>
          <w:rtl/>
        </w:rPr>
        <w:t>للمبدأين الدستوريين المتمثلين في المساواة بين المواطنين في الحقوق، ووحدة البلد وعدم قابليته للتجزئة، اللذين يتعلقان في الوقت ذاته بالإقليم والسكان، تؤيد فرنسا المفهوم القائم على أن تأكيد الهوية نتيجةٌ لاختيار شخصي، وليس لمعايير منطبقة تحدد فئة معينة بشكل مسبق.</w:t>
      </w:r>
    </w:p>
    <w:p w:rsidR="00944A3C" w:rsidRPr="005D0C50" w:rsidRDefault="00944A3C" w:rsidP="008F7F42">
      <w:pPr>
        <w:pStyle w:val="SingleTxtGA"/>
        <w:rPr>
          <w:rtl/>
        </w:rPr>
      </w:pPr>
      <w:r w:rsidRPr="005D0C50">
        <w:rPr>
          <w:rFonts w:hint="cs"/>
          <w:rtl/>
        </w:rPr>
        <w:t>220-</w:t>
      </w:r>
      <w:r w:rsidRPr="005D0C50">
        <w:rPr>
          <w:rtl/>
        </w:rPr>
        <w:tab/>
        <w:t>ومن جهة أخرى، وبما أن أحكام الاتفاقية تندرج ضمن نطاق اختصاص الاتحاد الأوروبي، فلم يَعُد من حق الدول الأعضاء الانضمام إليها بشكل أُحادي.</w:t>
      </w:r>
      <w:r w:rsidRPr="005D0C50">
        <w:rPr>
          <w:rFonts w:hint="cs"/>
          <w:rtl/>
        </w:rPr>
        <w:t xml:space="preserve"> </w:t>
      </w:r>
      <w:r w:rsidRPr="005D0C50">
        <w:rPr>
          <w:rtl/>
        </w:rPr>
        <w:t xml:space="preserve">وبالتالي، لم توقع أي دولة عضو في الاتحاد الأوروبي حتى الآن على </w:t>
      </w:r>
      <w:r w:rsidRPr="005D0C50">
        <w:rPr>
          <w:rFonts w:hint="cs"/>
          <w:rtl/>
        </w:rPr>
        <w:t xml:space="preserve">هذه </w:t>
      </w:r>
      <w:r w:rsidRPr="005D0C50">
        <w:rPr>
          <w:rtl/>
        </w:rPr>
        <w:t>الاتفاقية.</w:t>
      </w:r>
    </w:p>
    <w:p w:rsidR="00944A3C" w:rsidRPr="005D0C50" w:rsidRDefault="00944A3C" w:rsidP="008F7F42">
      <w:pPr>
        <w:pStyle w:val="SingleTxtGA"/>
        <w:rPr>
          <w:rtl/>
        </w:rPr>
      </w:pPr>
      <w:r w:rsidRPr="005D0C50">
        <w:rPr>
          <w:rFonts w:hint="cs"/>
          <w:rtl/>
        </w:rPr>
        <w:t>221-</w:t>
      </w:r>
      <w:r w:rsidRPr="005D0C50">
        <w:rPr>
          <w:rtl/>
        </w:rPr>
        <w:tab/>
        <w:t>ورغم ذلك، ينبغي التشديد على أن أحكام القانون المحلي الفرنسي تحمي بالفعل حقوق العمال المهاجرين.</w:t>
      </w:r>
      <w:r w:rsidRPr="005D0C50">
        <w:rPr>
          <w:rFonts w:hint="cs"/>
          <w:rtl/>
        </w:rPr>
        <w:t xml:space="preserve"> </w:t>
      </w:r>
      <w:r w:rsidRPr="005D0C50">
        <w:rPr>
          <w:rtl/>
        </w:rPr>
        <w:t>وبالتالي، يحظى الأشخاص الذين يتمتعون بوضع نظامي بحماية على الصعيد الوطني مماثلة لتلك المنصوص عليها في الاتفاقية.</w:t>
      </w:r>
      <w:r w:rsidRPr="005D0C50">
        <w:rPr>
          <w:rFonts w:hint="cs"/>
          <w:rtl/>
        </w:rPr>
        <w:t xml:space="preserve"> </w:t>
      </w:r>
      <w:r w:rsidRPr="005D0C50">
        <w:rPr>
          <w:rtl/>
        </w:rPr>
        <w:t>وعلاوة على ذلك، لا تُتجاهل حقوق العمال المهاجرين غير النظاميين، حيث تُكفل لهم الحقوق الأساسية بموجب الاتفاقية الأوروبية لحماية حقوق الإنسان والحريات الأساسية، والصكوك الدولية الأخرى لحماية حقوق الإنسان التي انضمت إليها فرنسا، مثل اتفاقية مجلس أوروبا المتعلقة بالمركز القانوني للعمال المهاجرين لعام</w:t>
      </w:r>
      <w:r w:rsidR="000F47B2">
        <w:rPr>
          <w:rFonts w:hint="cs"/>
          <w:rtl/>
        </w:rPr>
        <w:t> </w:t>
      </w:r>
      <w:r w:rsidRPr="005D0C50">
        <w:rPr>
          <w:rtl/>
        </w:rPr>
        <w:t>1983 واتفاقية منظمة العمل الدولية رقم 97 لعام 1949 بشأن العمال المهاجرين.</w:t>
      </w:r>
    </w:p>
    <w:p w:rsidR="00944A3C" w:rsidRPr="005D0C50" w:rsidRDefault="00944A3C" w:rsidP="008F7F42">
      <w:pPr>
        <w:pStyle w:val="SingleTxtGA"/>
        <w:rPr>
          <w:rtl/>
        </w:rPr>
      </w:pPr>
      <w:r w:rsidRPr="005D0C50">
        <w:rPr>
          <w:rFonts w:hint="cs"/>
          <w:rtl/>
        </w:rPr>
        <w:t>222-</w:t>
      </w:r>
      <w:r w:rsidRPr="005D0C50">
        <w:rPr>
          <w:rtl/>
        </w:rPr>
        <w:tab/>
        <w:t>وأخير</w:t>
      </w:r>
      <w:r w:rsidR="0031739C">
        <w:rPr>
          <w:rtl/>
        </w:rPr>
        <w:t>اً،</w:t>
      </w:r>
      <w:r w:rsidRPr="005D0C50">
        <w:rPr>
          <w:rtl/>
        </w:rPr>
        <w:t xml:space="preserve"> تُجري فرنسا حواراً متواصلاً وبنّاءً مع المنظمات والدول المعنية بهذا الموضوع.</w:t>
      </w:r>
      <w:r w:rsidRPr="005D0C50">
        <w:rPr>
          <w:rFonts w:hint="cs"/>
          <w:rtl/>
        </w:rPr>
        <w:t xml:space="preserve"> </w:t>
      </w:r>
      <w:r w:rsidRPr="005D0C50">
        <w:rPr>
          <w:rtl/>
        </w:rPr>
        <w:t>فعلى سبيل المثال، تدعم فرنسا بنشاط عمل المنظمة الدولية للهجرة، وبخاصة فيما يتعلق بالمسائل المتصلة بانتهاكات حقوق الإنسان في سياق الهجرة.</w:t>
      </w:r>
      <w:r w:rsidR="001B5257">
        <w:rPr>
          <w:rFonts w:hint="cs"/>
          <w:rtl/>
        </w:rPr>
        <w:t xml:space="preserve"> </w:t>
      </w:r>
      <w:r w:rsidRPr="005D0C50">
        <w:rPr>
          <w:rtl/>
        </w:rPr>
        <w:t>كما تشارك بنشاط في المنتدى العالمي للمهاجرين والمنتدى العالمي المعني بالهجرة والتنمية.</w:t>
      </w:r>
    </w:p>
    <w:p w:rsidR="00944A3C" w:rsidRPr="005D0C50" w:rsidRDefault="00944A3C" w:rsidP="0099714A">
      <w:pPr>
        <w:pStyle w:val="H1GA"/>
        <w:rPr>
          <w:rtl/>
        </w:rPr>
      </w:pPr>
      <w:r w:rsidRPr="005D0C50">
        <w:rPr>
          <w:rtl/>
        </w:rPr>
        <w:tab/>
      </w:r>
      <w:bookmarkStart w:id="75" w:name="_Toc353357630"/>
      <w:bookmarkStart w:id="76" w:name="_Toc508623282"/>
      <w:r w:rsidRPr="005D0C50">
        <w:rPr>
          <w:rtl/>
        </w:rPr>
        <w:t>باء-</w:t>
      </w:r>
      <w:r w:rsidRPr="005D0C50">
        <w:rPr>
          <w:rtl/>
        </w:rPr>
        <w:tab/>
      </w:r>
      <w:bookmarkEnd w:id="75"/>
      <w:r w:rsidRPr="005D0C50">
        <w:rPr>
          <w:rtl/>
        </w:rPr>
        <w:t>قبول المعايير الدولية الأخرى لحقوق الإنسان</w:t>
      </w:r>
      <w:bookmarkEnd w:id="76"/>
    </w:p>
    <w:p w:rsidR="00944A3C" w:rsidRPr="005D0C50" w:rsidRDefault="00944A3C" w:rsidP="0099714A">
      <w:pPr>
        <w:pStyle w:val="H23GA"/>
        <w:rPr>
          <w:rtl/>
          <w:lang w:val="fr-CH"/>
        </w:rPr>
      </w:pPr>
      <w:r w:rsidRPr="005D0C50">
        <w:rPr>
          <w:rFonts w:hint="cs"/>
          <w:rtl/>
        </w:rPr>
        <w:tab/>
        <w:t>1-</w:t>
      </w:r>
      <w:r w:rsidRPr="005D0C50">
        <w:rPr>
          <w:rFonts w:hint="cs"/>
          <w:rtl/>
        </w:rPr>
        <w:tab/>
      </w:r>
      <w:r w:rsidRPr="005D0C50">
        <w:rPr>
          <w:rtl/>
        </w:rPr>
        <w:t xml:space="preserve">قبول </w:t>
      </w:r>
      <w:r w:rsidRPr="005D0C50">
        <w:rPr>
          <w:rFonts w:hint="cs"/>
          <w:rtl/>
        </w:rPr>
        <w:t xml:space="preserve">صكوك </w:t>
      </w:r>
      <w:r w:rsidRPr="005D0C50">
        <w:rPr>
          <w:rtl/>
        </w:rPr>
        <w:t>الأمم المتحدة الأخرى</w:t>
      </w:r>
      <w:r w:rsidRPr="00E122CF">
        <w:rPr>
          <w:rStyle w:val="EndnoteReference"/>
          <w:b w:val="0"/>
          <w:bCs w:val="0"/>
          <w:sz w:val="30"/>
          <w:rtl/>
        </w:rPr>
        <w:t>(</w:t>
      </w:r>
      <w:r w:rsidRPr="00E122CF">
        <w:rPr>
          <w:rStyle w:val="EndnoteReference"/>
          <w:b w:val="0"/>
          <w:bCs w:val="0"/>
          <w:sz w:val="30"/>
          <w:rtl/>
        </w:rPr>
        <w:endnoteReference w:id="190"/>
      </w:r>
      <w:r w:rsidRPr="00E122CF">
        <w:rPr>
          <w:rStyle w:val="EndnoteReference"/>
          <w:b w:val="0"/>
          <w:bCs w:val="0"/>
          <w:sz w:val="30"/>
          <w:rtl/>
        </w:rPr>
        <w:t>)</w:t>
      </w:r>
    </w:p>
    <w:tbl>
      <w:tblPr>
        <w:bidiVisual/>
        <w:tblW w:w="0" w:type="auto"/>
        <w:tblInd w:w="10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34"/>
        <w:gridCol w:w="1752"/>
        <w:gridCol w:w="2666"/>
        <w:gridCol w:w="1979"/>
      </w:tblGrid>
      <w:tr w:rsidR="00944A3C" w:rsidRPr="008F769D" w:rsidTr="000F47B2">
        <w:trPr>
          <w:cantSplit/>
          <w:tblHeader/>
        </w:trPr>
        <w:tc>
          <w:tcPr>
            <w:tcW w:w="3234" w:type="dxa"/>
            <w:tcBorders>
              <w:bottom w:val="single" w:sz="12" w:space="0" w:color="auto"/>
            </w:tcBorders>
            <w:shd w:val="clear" w:color="auto" w:fill="auto"/>
            <w:vAlign w:val="bottom"/>
          </w:tcPr>
          <w:p w:rsidR="00944A3C" w:rsidRPr="00437D92" w:rsidRDefault="00944A3C" w:rsidP="008F7F42">
            <w:pPr>
              <w:spacing w:before="60" w:after="60" w:line="320" w:lineRule="exact"/>
              <w:ind w:right="227"/>
              <w:jc w:val="left"/>
              <w:textDirection w:val="tbRlV"/>
              <w:rPr>
                <w:i/>
                <w:iCs/>
                <w:sz w:val="18"/>
                <w:szCs w:val="28"/>
                <w:rtl/>
                <w:lang w:val="en-GB" w:eastAsia="zh-TW"/>
              </w:rPr>
            </w:pPr>
            <w:bookmarkStart w:id="77" w:name="bookmark_725"/>
            <w:r w:rsidRPr="00437D92">
              <w:rPr>
                <w:i/>
                <w:iCs/>
                <w:sz w:val="18"/>
                <w:szCs w:val="28"/>
                <w:rtl/>
                <w:lang w:val="en-GB" w:eastAsia="zh-TW"/>
              </w:rPr>
              <w:t>الصك الدولي</w:t>
            </w:r>
            <w:bookmarkEnd w:id="77"/>
          </w:p>
        </w:tc>
        <w:tc>
          <w:tcPr>
            <w:tcW w:w="1752" w:type="dxa"/>
            <w:tcBorders>
              <w:bottom w:val="single" w:sz="12" w:space="0" w:color="auto"/>
            </w:tcBorders>
            <w:shd w:val="clear" w:color="auto" w:fill="auto"/>
            <w:vAlign w:val="bottom"/>
          </w:tcPr>
          <w:p w:rsidR="00944A3C" w:rsidRPr="00437D92" w:rsidRDefault="00944A3C" w:rsidP="008F7F42">
            <w:pPr>
              <w:spacing w:before="60" w:after="60" w:line="320" w:lineRule="exact"/>
              <w:ind w:left="57" w:right="170"/>
              <w:jc w:val="left"/>
              <w:textDirection w:val="tbRlV"/>
              <w:rPr>
                <w:i/>
                <w:iCs/>
                <w:sz w:val="18"/>
                <w:szCs w:val="28"/>
                <w:rtl/>
                <w:lang w:val="en-GB" w:eastAsia="zh-TW"/>
              </w:rPr>
            </w:pPr>
            <w:bookmarkStart w:id="78" w:name="bookmark_726"/>
            <w:r w:rsidRPr="00437D92">
              <w:rPr>
                <w:i/>
                <w:iCs/>
                <w:sz w:val="18"/>
                <w:szCs w:val="28"/>
                <w:rtl/>
                <w:lang w:val="en-GB" w:eastAsia="zh-TW"/>
              </w:rPr>
              <w:t>التوقيع</w:t>
            </w:r>
            <w:bookmarkEnd w:id="78"/>
          </w:p>
        </w:tc>
        <w:tc>
          <w:tcPr>
            <w:tcW w:w="2666" w:type="dxa"/>
            <w:tcBorders>
              <w:bottom w:val="single" w:sz="12" w:space="0" w:color="auto"/>
            </w:tcBorders>
            <w:shd w:val="clear" w:color="auto" w:fill="auto"/>
            <w:vAlign w:val="bottom"/>
          </w:tcPr>
          <w:p w:rsidR="00944A3C" w:rsidRPr="00437D92" w:rsidRDefault="00944A3C" w:rsidP="008F7F42">
            <w:pPr>
              <w:spacing w:before="60" w:after="60" w:line="320" w:lineRule="exact"/>
              <w:ind w:left="57" w:right="170"/>
              <w:jc w:val="left"/>
              <w:textDirection w:val="tbRlV"/>
              <w:rPr>
                <w:i/>
                <w:iCs/>
                <w:spacing w:val="-6"/>
                <w:sz w:val="18"/>
                <w:szCs w:val="28"/>
                <w:rtl/>
                <w:lang w:val="en-GB" w:eastAsia="zh-TW"/>
              </w:rPr>
            </w:pPr>
            <w:bookmarkStart w:id="79" w:name="bookmark_727"/>
            <w:r w:rsidRPr="00437D92">
              <w:rPr>
                <w:i/>
                <w:iCs/>
                <w:spacing w:val="-6"/>
                <w:sz w:val="18"/>
                <w:szCs w:val="28"/>
                <w:rtl/>
                <w:lang w:val="en-GB" w:eastAsia="zh-TW"/>
              </w:rPr>
              <w:t>التصديق/الانضمام وقبول التعديلات والإجراءات الاختيارية</w:t>
            </w:r>
            <w:bookmarkEnd w:id="79"/>
          </w:p>
        </w:tc>
        <w:tc>
          <w:tcPr>
            <w:tcW w:w="1979" w:type="dxa"/>
            <w:tcBorders>
              <w:bottom w:val="single" w:sz="12" w:space="0" w:color="auto"/>
            </w:tcBorders>
            <w:shd w:val="clear" w:color="auto" w:fill="auto"/>
            <w:vAlign w:val="bottom"/>
          </w:tcPr>
          <w:p w:rsidR="00944A3C" w:rsidRPr="00437D92" w:rsidRDefault="00944A3C" w:rsidP="008F7F42">
            <w:pPr>
              <w:spacing w:before="60" w:after="60" w:line="320" w:lineRule="exact"/>
              <w:jc w:val="left"/>
              <w:textDirection w:val="tbRlV"/>
              <w:rPr>
                <w:i/>
                <w:iCs/>
                <w:spacing w:val="-4"/>
                <w:sz w:val="18"/>
                <w:szCs w:val="28"/>
                <w:rtl/>
                <w:lang w:val="en-GB" w:eastAsia="zh-TW"/>
              </w:rPr>
            </w:pPr>
            <w:bookmarkStart w:id="80" w:name="bookmark_728"/>
            <w:r w:rsidRPr="00437D92">
              <w:rPr>
                <w:i/>
                <w:iCs/>
                <w:spacing w:val="-4"/>
                <w:sz w:val="18"/>
                <w:szCs w:val="28"/>
                <w:rtl/>
                <w:lang w:val="en-GB" w:eastAsia="zh-TW"/>
              </w:rPr>
              <w:t>الإعلانات التفسيرية والتحفظات</w:t>
            </w:r>
            <w:bookmarkEnd w:id="80"/>
          </w:p>
        </w:tc>
      </w:tr>
      <w:tr w:rsidR="00944A3C" w:rsidRPr="008F769D" w:rsidTr="000F47B2">
        <w:trPr>
          <w:cantSplit/>
        </w:trPr>
        <w:tc>
          <w:tcPr>
            <w:tcW w:w="3234" w:type="dxa"/>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81" w:name="bookmark_729"/>
            <w:r w:rsidRPr="008F769D">
              <w:rPr>
                <w:sz w:val="18"/>
                <w:szCs w:val="28"/>
                <w:rtl/>
                <w:lang w:val="en-GB" w:eastAsia="zh-TW"/>
              </w:rPr>
              <w:t>اتفاقية منع جريمة الإبادة الجماعية والمعاقبة عليها (1948)</w:t>
            </w:r>
            <w:bookmarkEnd w:id="81"/>
          </w:p>
        </w:tc>
        <w:tc>
          <w:tcPr>
            <w:tcW w:w="1752"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82" w:name="bookmark_730"/>
            <w:r w:rsidRPr="008F769D">
              <w:rPr>
                <w:sz w:val="18"/>
                <w:szCs w:val="28"/>
                <w:rtl/>
                <w:lang w:val="en-GB" w:eastAsia="zh-TW"/>
              </w:rPr>
              <w:t>11 كانون الأول/</w:t>
            </w:r>
            <w:r w:rsidR="008F769D" w:rsidRPr="008F769D">
              <w:rPr>
                <w:sz w:val="18"/>
                <w:szCs w:val="28"/>
                <w:rtl/>
                <w:lang w:val="en-GB" w:eastAsia="zh-TW"/>
              </w:rPr>
              <w:br/>
            </w:r>
            <w:r w:rsidRPr="008F769D">
              <w:rPr>
                <w:sz w:val="18"/>
                <w:szCs w:val="28"/>
                <w:rtl/>
                <w:lang w:val="en-GB" w:eastAsia="zh-TW"/>
              </w:rPr>
              <w:t>ديسمبر 1948</w:t>
            </w:r>
            <w:bookmarkEnd w:id="82"/>
          </w:p>
        </w:tc>
        <w:tc>
          <w:tcPr>
            <w:tcW w:w="2666" w:type="dxa"/>
            <w:shd w:val="clear" w:color="auto" w:fill="auto"/>
          </w:tcPr>
          <w:p w:rsidR="00293C20" w:rsidRDefault="00944A3C" w:rsidP="008F7F42">
            <w:pPr>
              <w:spacing w:before="60" w:after="60" w:line="320" w:lineRule="exact"/>
              <w:ind w:left="57" w:right="170"/>
              <w:textDirection w:val="tbRlV"/>
              <w:rPr>
                <w:sz w:val="18"/>
                <w:szCs w:val="28"/>
                <w:rtl/>
                <w:lang w:val="en-GB" w:eastAsia="zh-TW"/>
              </w:rPr>
            </w:pPr>
            <w:bookmarkStart w:id="83" w:name="bookmark_731"/>
            <w:r w:rsidRPr="008F769D">
              <w:rPr>
                <w:sz w:val="18"/>
                <w:szCs w:val="28"/>
                <w:rtl/>
                <w:lang w:val="en-GB" w:eastAsia="zh-TW"/>
              </w:rPr>
              <w:t>14 تشرين الأول/</w:t>
            </w:r>
            <w:r w:rsidR="00293C20">
              <w:rPr>
                <w:rFonts w:hint="cs"/>
                <w:sz w:val="18"/>
                <w:szCs w:val="28"/>
                <w:rtl/>
                <w:lang w:val="en-GB" w:eastAsia="zh-TW"/>
              </w:rPr>
              <w:t xml:space="preserve"> </w:t>
            </w:r>
          </w:p>
          <w:p w:rsidR="00944A3C" w:rsidRPr="008F769D" w:rsidRDefault="00944A3C" w:rsidP="008F7F42">
            <w:pPr>
              <w:spacing w:before="60" w:after="60" w:line="320" w:lineRule="exact"/>
              <w:ind w:left="57" w:right="170"/>
              <w:textDirection w:val="tbRlV"/>
              <w:rPr>
                <w:sz w:val="18"/>
                <w:szCs w:val="28"/>
                <w:rtl/>
                <w:lang w:val="en-GB" w:eastAsia="zh-TW"/>
              </w:rPr>
            </w:pPr>
            <w:r w:rsidRPr="008F769D">
              <w:rPr>
                <w:sz w:val="18"/>
                <w:szCs w:val="28"/>
                <w:rtl/>
                <w:lang w:val="en-GB" w:eastAsia="zh-TW"/>
              </w:rPr>
              <w:t>أكتوبر 1950</w:t>
            </w:r>
            <w:bookmarkEnd w:id="83"/>
          </w:p>
        </w:tc>
        <w:tc>
          <w:tcPr>
            <w:tcW w:w="1979" w:type="dxa"/>
            <w:shd w:val="clear" w:color="auto" w:fill="auto"/>
          </w:tcPr>
          <w:p w:rsidR="00944A3C" w:rsidRPr="00317979" w:rsidRDefault="00944A3C" w:rsidP="008F7F42">
            <w:pPr>
              <w:spacing w:before="60" w:after="60" w:line="320" w:lineRule="exact"/>
              <w:textDirection w:val="tbRlV"/>
              <w:rPr>
                <w:spacing w:val="-4"/>
                <w:sz w:val="18"/>
                <w:szCs w:val="28"/>
                <w:rtl/>
                <w:lang w:val="en-GB" w:eastAsia="zh-TW"/>
              </w:rPr>
            </w:pPr>
            <w:bookmarkStart w:id="84" w:name="bookmark_732"/>
            <w:r w:rsidRPr="00317979">
              <w:rPr>
                <w:spacing w:val="-4"/>
                <w:sz w:val="18"/>
                <w:szCs w:val="28"/>
                <w:rtl/>
                <w:lang w:val="en-GB" w:eastAsia="zh-TW"/>
              </w:rPr>
              <w:t>لا ينطبق</w:t>
            </w:r>
            <w:bookmarkEnd w:id="84"/>
          </w:p>
        </w:tc>
      </w:tr>
      <w:tr w:rsidR="00944A3C" w:rsidRPr="008F769D" w:rsidTr="000F47B2">
        <w:trPr>
          <w:cantSplit/>
        </w:trPr>
        <w:tc>
          <w:tcPr>
            <w:tcW w:w="3234" w:type="dxa"/>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85" w:name="bookmark_733"/>
            <w:r w:rsidRPr="008F769D">
              <w:rPr>
                <w:sz w:val="18"/>
                <w:szCs w:val="28"/>
                <w:rtl/>
                <w:lang w:val="en-GB" w:eastAsia="zh-TW"/>
              </w:rPr>
              <w:t>الاتفاقية الخاصة بالرق (1926)</w:t>
            </w:r>
            <w:bookmarkEnd w:id="85"/>
          </w:p>
        </w:tc>
        <w:tc>
          <w:tcPr>
            <w:tcW w:w="1752" w:type="dxa"/>
            <w:shd w:val="clear" w:color="auto" w:fill="auto"/>
          </w:tcPr>
          <w:p w:rsidR="00944A3C" w:rsidRPr="000F47B2" w:rsidRDefault="000F47B2" w:rsidP="008F7F42">
            <w:pPr>
              <w:spacing w:before="60" w:after="60" w:line="320" w:lineRule="exact"/>
              <w:ind w:left="57" w:right="170"/>
              <w:textDirection w:val="tbRlV"/>
              <w:rPr>
                <w:sz w:val="18"/>
                <w:szCs w:val="28"/>
                <w:rtl/>
                <w:lang w:eastAsia="zh-TW"/>
              </w:rPr>
            </w:pPr>
            <w:r>
              <w:rPr>
                <w:rFonts w:hint="cs"/>
                <w:sz w:val="18"/>
                <w:szCs w:val="28"/>
                <w:rtl/>
                <w:lang w:val="en-GB" w:eastAsia="zh-TW"/>
              </w:rPr>
              <w:t>-</w:t>
            </w:r>
          </w:p>
        </w:tc>
        <w:tc>
          <w:tcPr>
            <w:tcW w:w="2666"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86" w:name="bookmark_735"/>
            <w:r w:rsidRPr="008F769D">
              <w:rPr>
                <w:sz w:val="18"/>
                <w:szCs w:val="28"/>
                <w:rtl/>
                <w:lang w:val="en-GB" w:eastAsia="zh-TW"/>
              </w:rPr>
              <w:t>28 آذار/مارس 1931</w:t>
            </w:r>
            <w:bookmarkEnd w:id="86"/>
          </w:p>
        </w:tc>
        <w:tc>
          <w:tcPr>
            <w:tcW w:w="1979" w:type="dxa"/>
            <w:shd w:val="clear" w:color="auto" w:fill="auto"/>
          </w:tcPr>
          <w:p w:rsidR="00944A3C" w:rsidRPr="00317979" w:rsidRDefault="00944A3C" w:rsidP="008F7F42">
            <w:pPr>
              <w:spacing w:before="60" w:after="60" w:line="320" w:lineRule="exact"/>
              <w:textDirection w:val="tbRlV"/>
              <w:rPr>
                <w:spacing w:val="-4"/>
                <w:sz w:val="18"/>
                <w:szCs w:val="28"/>
                <w:rtl/>
                <w:lang w:val="en-GB" w:eastAsia="zh-TW"/>
              </w:rPr>
            </w:pPr>
            <w:bookmarkStart w:id="87" w:name="bookmark_736"/>
            <w:r w:rsidRPr="00317979">
              <w:rPr>
                <w:spacing w:val="-4"/>
                <w:sz w:val="18"/>
                <w:szCs w:val="28"/>
                <w:rtl/>
                <w:lang w:val="en-GB" w:eastAsia="zh-TW"/>
              </w:rPr>
              <w:t>لا ينطبق</w:t>
            </w:r>
            <w:bookmarkEnd w:id="87"/>
          </w:p>
        </w:tc>
      </w:tr>
      <w:tr w:rsidR="00944A3C" w:rsidRPr="008F769D" w:rsidTr="000F47B2">
        <w:trPr>
          <w:cantSplit/>
        </w:trPr>
        <w:tc>
          <w:tcPr>
            <w:tcW w:w="3234" w:type="dxa"/>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88" w:name="bookmark_737"/>
            <w:r w:rsidRPr="008F769D">
              <w:rPr>
                <w:sz w:val="18"/>
                <w:szCs w:val="28"/>
                <w:rtl/>
                <w:lang w:val="en-GB" w:eastAsia="zh-TW"/>
              </w:rPr>
              <w:t>البروتوكول المعدل للاتفاقية الخاصة بالرق (1953)</w:t>
            </w:r>
            <w:bookmarkEnd w:id="88"/>
          </w:p>
        </w:tc>
        <w:tc>
          <w:tcPr>
            <w:tcW w:w="1752"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89" w:name="bookmark_738"/>
            <w:r w:rsidRPr="008F769D">
              <w:rPr>
                <w:sz w:val="18"/>
                <w:szCs w:val="28"/>
                <w:rtl/>
                <w:lang w:val="en-GB" w:eastAsia="zh-TW"/>
              </w:rPr>
              <w:t>14 كانون الثاني/</w:t>
            </w:r>
            <w:r w:rsidR="008F769D" w:rsidRPr="008F769D">
              <w:rPr>
                <w:rFonts w:hint="cs"/>
                <w:sz w:val="18"/>
                <w:szCs w:val="28"/>
                <w:rtl/>
                <w:lang w:val="en-GB" w:eastAsia="zh-TW"/>
              </w:rPr>
              <w:t xml:space="preserve"> </w:t>
            </w:r>
            <w:r w:rsidR="008F769D" w:rsidRPr="008F769D">
              <w:rPr>
                <w:sz w:val="18"/>
                <w:szCs w:val="28"/>
                <w:rtl/>
                <w:lang w:val="en-GB" w:eastAsia="zh-TW"/>
              </w:rPr>
              <w:br/>
            </w:r>
            <w:r w:rsidRPr="008F769D">
              <w:rPr>
                <w:sz w:val="18"/>
                <w:szCs w:val="28"/>
                <w:rtl/>
                <w:lang w:val="en-GB" w:eastAsia="zh-TW"/>
              </w:rPr>
              <w:t>يناير 1954</w:t>
            </w:r>
            <w:bookmarkEnd w:id="89"/>
          </w:p>
        </w:tc>
        <w:tc>
          <w:tcPr>
            <w:tcW w:w="2666"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90" w:name="bookmark_739"/>
            <w:r w:rsidRPr="008F769D">
              <w:rPr>
                <w:sz w:val="18"/>
                <w:szCs w:val="28"/>
                <w:rtl/>
                <w:lang w:val="en-GB" w:eastAsia="zh-TW"/>
              </w:rPr>
              <w:t>14 شباط/فبراير 1963 (قبول، لا يقتضي التصديق)</w:t>
            </w:r>
            <w:bookmarkEnd w:id="90"/>
          </w:p>
        </w:tc>
        <w:tc>
          <w:tcPr>
            <w:tcW w:w="1979" w:type="dxa"/>
            <w:shd w:val="clear" w:color="auto" w:fill="auto"/>
          </w:tcPr>
          <w:p w:rsidR="00944A3C" w:rsidRPr="00317979" w:rsidRDefault="00944A3C" w:rsidP="008F7F42">
            <w:pPr>
              <w:spacing w:before="60" w:after="60" w:line="320" w:lineRule="exact"/>
              <w:textDirection w:val="tbRlV"/>
              <w:rPr>
                <w:spacing w:val="-4"/>
                <w:sz w:val="18"/>
                <w:szCs w:val="28"/>
                <w:rtl/>
                <w:lang w:val="en-GB" w:eastAsia="zh-TW"/>
              </w:rPr>
            </w:pPr>
            <w:bookmarkStart w:id="91" w:name="bookmark_740"/>
            <w:r w:rsidRPr="00317979">
              <w:rPr>
                <w:spacing w:val="-4"/>
                <w:sz w:val="18"/>
                <w:szCs w:val="28"/>
                <w:rtl/>
                <w:lang w:val="en-GB" w:eastAsia="zh-TW"/>
              </w:rPr>
              <w:t>لا ينطبق</w:t>
            </w:r>
            <w:bookmarkEnd w:id="91"/>
          </w:p>
        </w:tc>
      </w:tr>
      <w:tr w:rsidR="00944A3C" w:rsidRPr="008F769D" w:rsidTr="000F47B2">
        <w:trPr>
          <w:cantSplit/>
        </w:trPr>
        <w:tc>
          <w:tcPr>
            <w:tcW w:w="3234" w:type="dxa"/>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92" w:name="bookmark_741"/>
            <w:r w:rsidRPr="008F769D">
              <w:rPr>
                <w:sz w:val="18"/>
                <w:szCs w:val="28"/>
                <w:rtl/>
                <w:lang w:val="en-GB" w:eastAsia="zh-TW"/>
              </w:rPr>
              <w:t>اتفاقية حظر الاتجار ‏بالأشخاص واستغلال دعارة ‏الغير (1950)‏</w:t>
            </w:r>
            <w:bookmarkEnd w:id="92"/>
          </w:p>
        </w:tc>
        <w:tc>
          <w:tcPr>
            <w:tcW w:w="1752" w:type="dxa"/>
            <w:shd w:val="clear" w:color="auto" w:fill="auto"/>
          </w:tcPr>
          <w:p w:rsidR="00944A3C" w:rsidRPr="008F769D" w:rsidRDefault="000F47B2" w:rsidP="008F7F42">
            <w:pPr>
              <w:spacing w:before="60" w:after="60" w:line="320" w:lineRule="exact"/>
              <w:ind w:left="57" w:right="170"/>
              <w:textDirection w:val="tbRlV"/>
              <w:rPr>
                <w:sz w:val="18"/>
                <w:szCs w:val="28"/>
                <w:rtl/>
                <w:lang w:val="en-GB" w:eastAsia="zh-TW"/>
              </w:rPr>
            </w:pPr>
            <w:r>
              <w:rPr>
                <w:rFonts w:hint="cs"/>
                <w:sz w:val="18"/>
                <w:szCs w:val="28"/>
                <w:rtl/>
                <w:lang w:val="en-GB" w:eastAsia="zh-TW"/>
              </w:rPr>
              <w:t>-</w:t>
            </w:r>
          </w:p>
        </w:tc>
        <w:tc>
          <w:tcPr>
            <w:tcW w:w="2666" w:type="dxa"/>
            <w:shd w:val="clear" w:color="auto" w:fill="auto"/>
          </w:tcPr>
          <w:p w:rsidR="00944A3C" w:rsidRPr="008F769D" w:rsidRDefault="00944A3C" w:rsidP="008F7F42">
            <w:pPr>
              <w:spacing w:before="60" w:after="60" w:line="320" w:lineRule="exact"/>
              <w:ind w:left="57" w:right="170"/>
              <w:jc w:val="left"/>
              <w:textDirection w:val="tbRlV"/>
              <w:rPr>
                <w:sz w:val="18"/>
                <w:szCs w:val="28"/>
                <w:rtl/>
                <w:lang w:val="en-GB" w:eastAsia="zh-TW"/>
              </w:rPr>
            </w:pPr>
            <w:bookmarkStart w:id="93" w:name="bookmark_743"/>
            <w:r w:rsidRPr="008F769D">
              <w:rPr>
                <w:sz w:val="18"/>
                <w:szCs w:val="28"/>
                <w:rtl/>
                <w:lang w:val="en-GB" w:eastAsia="zh-TW"/>
              </w:rPr>
              <w:t>19 تشرين الثاني/</w:t>
            </w:r>
            <w:r w:rsidR="00293C20">
              <w:rPr>
                <w:rFonts w:hint="cs"/>
                <w:sz w:val="18"/>
                <w:szCs w:val="28"/>
                <w:rtl/>
                <w:lang w:val="en-GB" w:eastAsia="zh-TW"/>
              </w:rPr>
              <w:t xml:space="preserve"> </w:t>
            </w:r>
            <w:r w:rsidR="00293C20">
              <w:rPr>
                <w:sz w:val="18"/>
                <w:szCs w:val="28"/>
                <w:rtl/>
                <w:lang w:val="en-GB" w:eastAsia="zh-TW"/>
              </w:rPr>
              <w:br/>
            </w:r>
            <w:r w:rsidRPr="008F769D">
              <w:rPr>
                <w:sz w:val="18"/>
                <w:szCs w:val="28"/>
                <w:rtl/>
                <w:lang w:val="en-GB" w:eastAsia="zh-TW"/>
              </w:rPr>
              <w:t>نوفمبر 1960</w:t>
            </w:r>
            <w:bookmarkEnd w:id="93"/>
          </w:p>
        </w:tc>
        <w:tc>
          <w:tcPr>
            <w:tcW w:w="1979" w:type="dxa"/>
            <w:shd w:val="clear" w:color="auto" w:fill="auto"/>
          </w:tcPr>
          <w:p w:rsidR="00944A3C" w:rsidRPr="00317979" w:rsidRDefault="00944A3C" w:rsidP="008F7F42">
            <w:pPr>
              <w:spacing w:before="60" w:after="60" w:line="320" w:lineRule="exact"/>
              <w:textDirection w:val="tbRlV"/>
              <w:rPr>
                <w:spacing w:val="-4"/>
                <w:sz w:val="18"/>
                <w:szCs w:val="28"/>
                <w:rtl/>
                <w:lang w:val="en-GB" w:eastAsia="zh-TW"/>
              </w:rPr>
            </w:pPr>
            <w:bookmarkStart w:id="94" w:name="bookmark_744"/>
            <w:r w:rsidRPr="00317979">
              <w:rPr>
                <w:spacing w:val="-4"/>
                <w:sz w:val="18"/>
                <w:szCs w:val="28"/>
                <w:rtl/>
                <w:lang w:val="en-GB" w:eastAsia="zh-TW"/>
              </w:rPr>
              <w:t>لا ينطبق</w:t>
            </w:r>
            <w:bookmarkEnd w:id="94"/>
          </w:p>
        </w:tc>
      </w:tr>
      <w:tr w:rsidR="00944A3C" w:rsidRPr="008F769D" w:rsidTr="000F47B2">
        <w:trPr>
          <w:cantSplit/>
        </w:trPr>
        <w:tc>
          <w:tcPr>
            <w:tcW w:w="3234" w:type="dxa"/>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95" w:name="bookmark_745"/>
            <w:r w:rsidRPr="008F769D">
              <w:rPr>
                <w:sz w:val="18"/>
                <w:szCs w:val="28"/>
                <w:rtl/>
                <w:lang w:val="en-GB" w:eastAsia="zh-TW"/>
              </w:rPr>
              <w:lastRenderedPageBreak/>
              <w:t>الاتفاقية الخاصة بوضع اللاجئين (1951)</w:t>
            </w:r>
            <w:bookmarkEnd w:id="95"/>
          </w:p>
        </w:tc>
        <w:tc>
          <w:tcPr>
            <w:tcW w:w="1752" w:type="dxa"/>
            <w:shd w:val="clear" w:color="auto" w:fill="auto"/>
          </w:tcPr>
          <w:p w:rsidR="00944A3C" w:rsidRPr="00293C20" w:rsidRDefault="00944A3C" w:rsidP="008F7F42">
            <w:pPr>
              <w:spacing w:before="60" w:after="60" w:line="320" w:lineRule="exact"/>
              <w:ind w:left="57" w:right="170"/>
              <w:jc w:val="left"/>
              <w:textDirection w:val="tbRlV"/>
              <w:rPr>
                <w:spacing w:val="-6"/>
                <w:sz w:val="18"/>
                <w:szCs w:val="28"/>
                <w:rtl/>
                <w:lang w:val="en-GB" w:eastAsia="zh-TW"/>
              </w:rPr>
            </w:pPr>
            <w:bookmarkStart w:id="96" w:name="bookmark_746"/>
            <w:r w:rsidRPr="00293C20">
              <w:rPr>
                <w:spacing w:val="-6"/>
                <w:sz w:val="18"/>
                <w:szCs w:val="28"/>
                <w:rtl/>
                <w:lang w:val="en-GB" w:eastAsia="zh-TW"/>
              </w:rPr>
              <w:t>11 أيلول/سبتمبر 1952</w:t>
            </w:r>
            <w:bookmarkEnd w:id="96"/>
          </w:p>
        </w:tc>
        <w:tc>
          <w:tcPr>
            <w:tcW w:w="2666"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97" w:name="bookmark_747"/>
            <w:r w:rsidRPr="008F769D">
              <w:rPr>
                <w:sz w:val="18"/>
                <w:szCs w:val="28"/>
                <w:rtl/>
                <w:lang w:val="en-GB" w:eastAsia="zh-TW"/>
              </w:rPr>
              <w:t>23 حزيران/يوني</w:t>
            </w:r>
            <w:r w:rsidR="00293C20">
              <w:rPr>
                <w:rFonts w:hint="cs"/>
                <w:sz w:val="18"/>
                <w:szCs w:val="28"/>
                <w:rtl/>
                <w:lang w:val="en-GB" w:eastAsia="zh-TW"/>
              </w:rPr>
              <w:t>ه</w:t>
            </w:r>
            <w:r w:rsidRPr="008F769D">
              <w:rPr>
                <w:sz w:val="18"/>
                <w:szCs w:val="28"/>
                <w:rtl/>
                <w:lang w:val="en-GB" w:eastAsia="zh-TW"/>
              </w:rPr>
              <w:t xml:space="preserve"> 1954</w:t>
            </w:r>
            <w:bookmarkEnd w:id="97"/>
          </w:p>
        </w:tc>
        <w:tc>
          <w:tcPr>
            <w:tcW w:w="1979" w:type="dxa"/>
            <w:shd w:val="clear" w:color="auto" w:fill="auto"/>
          </w:tcPr>
          <w:p w:rsidR="00944A3C" w:rsidRPr="00317979" w:rsidRDefault="00944A3C" w:rsidP="008F7F42">
            <w:pPr>
              <w:spacing w:before="60" w:after="60" w:line="320" w:lineRule="exact"/>
              <w:textDirection w:val="tbRlV"/>
              <w:rPr>
                <w:spacing w:val="-6"/>
                <w:sz w:val="18"/>
                <w:szCs w:val="28"/>
                <w:rtl/>
                <w:lang w:val="en-GB" w:eastAsia="zh-TW"/>
              </w:rPr>
            </w:pPr>
            <w:bookmarkStart w:id="98" w:name="bookmark_748"/>
            <w:r w:rsidRPr="00317979">
              <w:rPr>
                <w:spacing w:val="-6"/>
                <w:sz w:val="18"/>
                <w:szCs w:val="28"/>
                <w:rtl/>
                <w:lang w:val="en-GB" w:eastAsia="zh-TW"/>
              </w:rPr>
              <w:t>إعلان تفسيري</w:t>
            </w:r>
            <w:r w:rsidRPr="00317979">
              <w:rPr>
                <w:rFonts w:hint="cs"/>
                <w:spacing w:val="-6"/>
                <w:sz w:val="18"/>
                <w:szCs w:val="28"/>
                <w:rtl/>
                <w:lang w:val="en-GB" w:eastAsia="zh-TW"/>
              </w:rPr>
              <w:t xml:space="preserve">: </w:t>
            </w:r>
            <w:r w:rsidRPr="00317979">
              <w:rPr>
                <w:spacing w:val="-6"/>
                <w:sz w:val="18"/>
                <w:szCs w:val="28"/>
                <w:rtl/>
                <w:lang w:val="en-GB" w:eastAsia="zh-TW"/>
              </w:rPr>
              <w:t>المادت</w:t>
            </w:r>
            <w:r w:rsidRPr="00317979">
              <w:rPr>
                <w:rFonts w:hint="cs"/>
                <w:spacing w:val="-6"/>
                <w:sz w:val="18"/>
                <w:szCs w:val="28"/>
                <w:rtl/>
                <w:lang w:val="en-GB" w:eastAsia="zh-TW"/>
              </w:rPr>
              <w:t>ا</w:t>
            </w:r>
            <w:r w:rsidRPr="00317979">
              <w:rPr>
                <w:spacing w:val="-6"/>
                <w:sz w:val="18"/>
                <w:szCs w:val="28"/>
                <w:rtl/>
                <w:lang w:val="en-GB" w:eastAsia="zh-TW"/>
              </w:rPr>
              <w:t>ن 17 و29(2).</w:t>
            </w:r>
            <w:bookmarkEnd w:id="98"/>
          </w:p>
        </w:tc>
      </w:tr>
      <w:tr w:rsidR="00944A3C" w:rsidRPr="008F769D" w:rsidTr="000F47B2">
        <w:trPr>
          <w:cantSplit/>
        </w:trPr>
        <w:tc>
          <w:tcPr>
            <w:tcW w:w="3234" w:type="dxa"/>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99" w:name="bookmark_749"/>
            <w:r w:rsidRPr="008F769D">
              <w:rPr>
                <w:sz w:val="18"/>
                <w:szCs w:val="28"/>
                <w:rtl/>
                <w:lang w:val="en-GB" w:eastAsia="zh-TW"/>
              </w:rPr>
              <w:t>البروتوكول الخاص بوضع اللاجئين (1967)</w:t>
            </w:r>
            <w:bookmarkEnd w:id="99"/>
          </w:p>
        </w:tc>
        <w:tc>
          <w:tcPr>
            <w:tcW w:w="1752" w:type="dxa"/>
            <w:shd w:val="clear" w:color="auto" w:fill="auto"/>
          </w:tcPr>
          <w:p w:rsidR="00944A3C" w:rsidRPr="008F769D" w:rsidRDefault="000F47B2" w:rsidP="008F7F42">
            <w:pPr>
              <w:spacing w:before="60" w:after="60" w:line="320" w:lineRule="exact"/>
              <w:ind w:left="57" w:right="170"/>
              <w:textDirection w:val="tbRlV"/>
              <w:rPr>
                <w:sz w:val="18"/>
                <w:szCs w:val="28"/>
                <w:rtl/>
                <w:lang w:val="en-GB" w:eastAsia="zh-TW"/>
              </w:rPr>
            </w:pPr>
            <w:r>
              <w:rPr>
                <w:rFonts w:hint="cs"/>
                <w:sz w:val="18"/>
                <w:szCs w:val="28"/>
                <w:rtl/>
                <w:lang w:val="en-GB" w:eastAsia="zh-TW"/>
              </w:rPr>
              <w:t>-</w:t>
            </w:r>
          </w:p>
        </w:tc>
        <w:tc>
          <w:tcPr>
            <w:tcW w:w="2666"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100" w:name="bookmark_751"/>
            <w:r w:rsidRPr="008F769D">
              <w:rPr>
                <w:sz w:val="18"/>
                <w:szCs w:val="28"/>
                <w:rtl/>
                <w:lang w:val="en-GB" w:eastAsia="zh-TW"/>
              </w:rPr>
              <w:t>3 شباط/فبراير 1971</w:t>
            </w:r>
            <w:bookmarkEnd w:id="100"/>
          </w:p>
        </w:tc>
        <w:tc>
          <w:tcPr>
            <w:tcW w:w="1979" w:type="dxa"/>
            <w:shd w:val="clear" w:color="auto" w:fill="auto"/>
          </w:tcPr>
          <w:p w:rsidR="00944A3C" w:rsidRPr="00317979" w:rsidRDefault="00944A3C" w:rsidP="008F7F42">
            <w:pPr>
              <w:spacing w:before="60" w:after="60" w:line="320" w:lineRule="exact"/>
              <w:textDirection w:val="tbRlV"/>
              <w:rPr>
                <w:spacing w:val="-4"/>
                <w:sz w:val="18"/>
                <w:szCs w:val="28"/>
                <w:rtl/>
                <w:lang w:val="en-GB" w:eastAsia="zh-TW"/>
              </w:rPr>
            </w:pPr>
            <w:bookmarkStart w:id="101" w:name="bookmark_752"/>
            <w:r w:rsidRPr="00317979">
              <w:rPr>
                <w:spacing w:val="-4"/>
                <w:sz w:val="18"/>
                <w:szCs w:val="28"/>
                <w:rtl/>
                <w:lang w:val="en-GB" w:eastAsia="zh-TW"/>
              </w:rPr>
              <w:t>لا ينطبق</w:t>
            </w:r>
            <w:bookmarkEnd w:id="101"/>
          </w:p>
        </w:tc>
      </w:tr>
      <w:tr w:rsidR="00944A3C" w:rsidRPr="008F769D" w:rsidTr="000F47B2">
        <w:trPr>
          <w:cantSplit/>
        </w:trPr>
        <w:tc>
          <w:tcPr>
            <w:tcW w:w="3234" w:type="dxa"/>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102" w:name="bookmark_753"/>
            <w:r w:rsidRPr="008F769D">
              <w:rPr>
                <w:sz w:val="18"/>
                <w:szCs w:val="28"/>
                <w:rtl/>
                <w:lang w:val="en-GB" w:eastAsia="zh-TW"/>
              </w:rPr>
              <w:t>الاتفاقية المتعلقة بوضع الأشخاص عديمي الجنسية (1954)</w:t>
            </w:r>
            <w:bookmarkEnd w:id="102"/>
          </w:p>
        </w:tc>
        <w:tc>
          <w:tcPr>
            <w:tcW w:w="1752"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103" w:name="bookmark_754"/>
            <w:r w:rsidRPr="008F769D">
              <w:rPr>
                <w:sz w:val="18"/>
                <w:szCs w:val="28"/>
                <w:rtl/>
                <w:lang w:val="en-GB" w:eastAsia="zh-TW"/>
              </w:rPr>
              <w:t>12 كانون الثاني/</w:t>
            </w:r>
            <w:r w:rsidR="008F769D" w:rsidRPr="008F769D">
              <w:rPr>
                <w:sz w:val="18"/>
                <w:szCs w:val="28"/>
                <w:rtl/>
                <w:lang w:val="en-GB" w:eastAsia="zh-TW"/>
              </w:rPr>
              <w:br/>
            </w:r>
            <w:r w:rsidRPr="008F769D">
              <w:rPr>
                <w:sz w:val="18"/>
                <w:szCs w:val="28"/>
                <w:rtl/>
                <w:lang w:val="en-GB" w:eastAsia="zh-TW"/>
              </w:rPr>
              <w:t>يناير 1955</w:t>
            </w:r>
            <w:bookmarkEnd w:id="103"/>
          </w:p>
        </w:tc>
        <w:tc>
          <w:tcPr>
            <w:tcW w:w="2666"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104" w:name="bookmark_755"/>
            <w:r w:rsidRPr="008F769D">
              <w:rPr>
                <w:sz w:val="18"/>
                <w:szCs w:val="28"/>
                <w:rtl/>
                <w:lang w:val="en-GB" w:eastAsia="zh-TW"/>
              </w:rPr>
              <w:t>8 آذار/مارس 1960</w:t>
            </w:r>
            <w:bookmarkEnd w:id="104"/>
          </w:p>
        </w:tc>
        <w:tc>
          <w:tcPr>
            <w:tcW w:w="1979" w:type="dxa"/>
            <w:shd w:val="clear" w:color="auto" w:fill="auto"/>
          </w:tcPr>
          <w:p w:rsidR="00944A3C" w:rsidRPr="00317979" w:rsidRDefault="00944A3C" w:rsidP="008F7F42">
            <w:pPr>
              <w:spacing w:before="60" w:after="60" w:line="320" w:lineRule="exact"/>
              <w:jc w:val="left"/>
              <w:textDirection w:val="tbRlV"/>
              <w:rPr>
                <w:spacing w:val="-4"/>
                <w:sz w:val="18"/>
                <w:szCs w:val="28"/>
                <w:rtl/>
                <w:lang w:val="en-GB" w:eastAsia="zh-TW"/>
              </w:rPr>
            </w:pPr>
            <w:bookmarkStart w:id="105" w:name="bookmark_756"/>
            <w:r w:rsidRPr="00317979">
              <w:rPr>
                <w:spacing w:val="-4"/>
                <w:sz w:val="18"/>
                <w:szCs w:val="28"/>
                <w:rtl/>
                <w:lang w:val="en-GB" w:eastAsia="zh-TW"/>
              </w:rPr>
              <w:t>إعلان تفسيري</w:t>
            </w:r>
            <w:r w:rsidRPr="00317979">
              <w:rPr>
                <w:rFonts w:hint="cs"/>
                <w:spacing w:val="-4"/>
                <w:sz w:val="18"/>
                <w:szCs w:val="28"/>
                <w:rtl/>
                <w:lang w:val="en-GB" w:eastAsia="zh-TW"/>
              </w:rPr>
              <w:t xml:space="preserve">: </w:t>
            </w:r>
            <w:r w:rsidR="00293C20" w:rsidRPr="00317979">
              <w:rPr>
                <w:spacing w:val="-4"/>
                <w:sz w:val="18"/>
                <w:szCs w:val="28"/>
                <w:rtl/>
                <w:lang w:val="en-GB" w:eastAsia="zh-TW"/>
              </w:rPr>
              <w:br/>
            </w:r>
            <w:r w:rsidRPr="00317979">
              <w:rPr>
                <w:spacing w:val="-4"/>
                <w:sz w:val="18"/>
                <w:szCs w:val="28"/>
                <w:rtl/>
                <w:lang w:val="en-GB" w:eastAsia="zh-TW"/>
              </w:rPr>
              <w:t>المادة 10(2)</w:t>
            </w:r>
            <w:bookmarkEnd w:id="105"/>
          </w:p>
        </w:tc>
      </w:tr>
      <w:tr w:rsidR="00944A3C" w:rsidRPr="008F769D" w:rsidTr="000F47B2">
        <w:trPr>
          <w:cantSplit/>
        </w:trPr>
        <w:tc>
          <w:tcPr>
            <w:tcW w:w="3234" w:type="dxa"/>
            <w:shd w:val="clear" w:color="auto" w:fill="auto"/>
          </w:tcPr>
          <w:p w:rsidR="00944A3C" w:rsidRPr="008F769D" w:rsidRDefault="00944A3C" w:rsidP="008F7F42">
            <w:pPr>
              <w:keepNext/>
              <w:spacing w:before="60" w:after="60" w:line="320" w:lineRule="exact"/>
              <w:ind w:right="227"/>
              <w:textDirection w:val="tbRlV"/>
              <w:rPr>
                <w:sz w:val="18"/>
                <w:szCs w:val="28"/>
                <w:rtl/>
                <w:lang w:val="en-GB" w:eastAsia="zh-TW"/>
              </w:rPr>
            </w:pPr>
            <w:bookmarkStart w:id="106" w:name="bookmark_757"/>
            <w:r w:rsidRPr="008F769D">
              <w:rPr>
                <w:sz w:val="18"/>
                <w:szCs w:val="28"/>
                <w:rtl/>
                <w:lang w:val="en-GB" w:eastAsia="zh-TW"/>
              </w:rPr>
              <w:t>اتفاقية خفض حالات انعدام الجنسية (1961)</w:t>
            </w:r>
            <w:bookmarkEnd w:id="106"/>
          </w:p>
        </w:tc>
        <w:tc>
          <w:tcPr>
            <w:tcW w:w="1752" w:type="dxa"/>
            <w:shd w:val="clear" w:color="auto" w:fill="auto"/>
          </w:tcPr>
          <w:p w:rsidR="00944A3C" w:rsidRPr="008F769D" w:rsidRDefault="00944A3C" w:rsidP="008F7F42">
            <w:pPr>
              <w:keepNext/>
              <w:spacing w:before="60" w:after="60" w:line="320" w:lineRule="exact"/>
              <w:ind w:left="57" w:right="170"/>
              <w:jc w:val="left"/>
              <w:textDirection w:val="tbRlV"/>
              <w:rPr>
                <w:sz w:val="18"/>
                <w:szCs w:val="28"/>
                <w:rtl/>
                <w:lang w:val="en-GB" w:eastAsia="zh-TW"/>
              </w:rPr>
            </w:pPr>
            <w:bookmarkStart w:id="107" w:name="bookmark_758"/>
            <w:r w:rsidRPr="008F769D">
              <w:rPr>
                <w:sz w:val="18"/>
                <w:szCs w:val="28"/>
                <w:rtl/>
                <w:lang w:val="en-GB" w:eastAsia="zh-TW"/>
              </w:rPr>
              <w:t>31 أيار/مايو 1962</w:t>
            </w:r>
            <w:bookmarkEnd w:id="107"/>
          </w:p>
        </w:tc>
        <w:tc>
          <w:tcPr>
            <w:tcW w:w="2666" w:type="dxa"/>
            <w:shd w:val="clear" w:color="auto" w:fill="auto"/>
          </w:tcPr>
          <w:p w:rsidR="00944A3C" w:rsidRPr="008F769D" w:rsidRDefault="00944A3C" w:rsidP="008F7F42">
            <w:pPr>
              <w:keepNext/>
              <w:spacing w:before="60" w:after="60" w:line="320" w:lineRule="exact"/>
              <w:ind w:left="57" w:right="170"/>
              <w:textDirection w:val="tbRlV"/>
              <w:rPr>
                <w:sz w:val="18"/>
                <w:szCs w:val="28"/>
                <w:rtl/>
                <w:lang w:val="en-GB" w:eastAsia="zh-TW"/>
              </w:rPr>
            </w:pPr>
            <w:bookmarkStart w:id="108" w:name="bookmark_759"/>
            <w:r w:rsidRPr="008F769D">
              <w:rPr>
                <w:sz w:val="18"/>
                <w:szCs w:val="28"/>
                <w:rtl/>
                <w:lang w:val="en-GB" w:eastAsia="zh-TW"/>
              </w:rPr>
              <w:t>يرد تفسير بشأن عدم التصديق على الاتفاقية في مرفق الوثيقة الأساسية الموحدة</w:t>
            </w:r>
            <w:bookmarkEnd w:id="108"/>
          </w:p>
        </w:tc>
        <w:tc>
          <w:tcPr>
            <w:tcW w:w="1979" w:type="dxa"/>
            <w:shd w:val="clear" w:color="auto" w:fill="auto"/>
          </w:tcPr>
          <w:p w:rsidR="00944A3C" w:rsidRPr="00317979" w:rsidRDefault="00944A3C" w:rsidP="008F7F42">
            <w:pPr>
              <w:keepNext/>
              <w:spacing w:before="60" w:after="60" w:line="320" w:lineRule="exact"/>
              <w:rPr>
                <w:spacing w:val="-4"/>
                <w:sz w:val="18"/>
                <w:szCs w:val="28"/>
                <w:lang w:val="fr-FR"/>
              </w:rPr>
            </w:pPr>
          </w:p>
        </w:tc>
      </w:tr>
      <w:tr w:rsidR="00944A3C" w:rsidRPr="008F769D" w:rsidTr="000F47B2">
        <w:trPr>
          <w:cantSplit/>
        </w:trPr>
        <w:tc>
          <w:tcPr>
            <w:tcW w:w="3234" w:type="dxa"/>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109" w:name="bookmark_760"/>
            <w:r w:rsidRPr="008F769D">
              <w:rPr>
                <w:sz w:val="18"/>
                <w:szCs w:val="28"/>
                <w:rtl/>
                <w:lang w:val="en-GB" w:eastAsia="zh-TW"/>
              </w:rPr>
              <w:t>نظام روما الأساسي للمحكمة الجنائية الدولية (1998)</w:t>
            </w:r>
            <w:bookmarkEnd w:id="109"/>
          </w:p>
        </w:tc>
        <w:tc>
          <w:tcPr>
            <w:tcW w:w="1752" w:type="dxa"/>
            <w:shd w:val="clear" w:color="auto" w:fill="auto"/>
          </w:tcPr>
          <w:p w:rsidR="00944A3C" w:rsidRPr="008F769D" w:rsidRDefault="00944A3C" w:rsidP="008F7F42">
            <w:pPr>
              <w:spacing w:before="60" w:after="60" w:line="320" w:lineRule="exact"/>
              <w:ind w:left="57" w:right="170"/>
              <w:jc w:val="left"/>
              <w:textDirection w:val="tbRlV"/>
              <w:rPr>
                <w:sz w:val="18"/>
                <w:szCs w:val="28"/>
                <w:rtl/>
                <w:lang w:val="en-GB" w:eastAsia="zh-TW"/>
              </w:rPr>
            </w:pPr>
            <w:bookmarkStart w:id="110" w:name="bookmark_761"/>
            <w:r w:rsidRPr="008F769D">
              <w:rPr>
                <w:sz w:val="18"/>
                <w:szCs w:val="28"/>
                <w:rtl/>
                <w:lang w:val="en-GB" w:eastAsia="zh-TW"/>
              </w:rPr>
              <w:t>18 تموز/يوليه 1998</w:t>
            </w:r>
            <w:bookmarkEnd w:id="110"/>
          </w:p>
        </w:tc>
        <w:tc>
          <w:tcPr>
            <w:tcW w:w="2666"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111" w:name="bookmark_762"/>
            <w:r w:rsidRPr="008F769D">
              <w:rPr>
                <w:sz w:val="18"/>
                <w:szCs w:val="28"/>
                <w:rtl/>
                <w:lang w:val="en-GB" w:eastAsia="zh-TW"/>
              </w:rPr>
              <w:t>9 حزيران/يونيه 2000</w:t>
            </w:r>
            <w:bookmarkEnd w:id="111"/>
          </w:p>
        </w:tc>
        <w:tc>
          <w:tcPr>
            <w:tcW w:w="1979" w:type="dxa"/>
            <w:shd w:val="clear" w:color="auto" w:fill="auto"/>
          </w:tcPr>
          <w:p w:rsidR="00944A3C" w:rsidRPr="000F47B2" w:rsidRDefault="00944A3C" w:rsidP="008F7F42">
            <w:pPr>
              <w:spacing w:before="60" w:after="60" w:line="320" w:lineRule="exact"/>
              <w:textDirection w:val="tbRlV"/>
              <w:rPr>
                <w:spacing w:val="-5"/>
                <w:sz w:val="18"/>
                <w:szCs w:val="28"/>
                <w:rtl/>
                <w:lang w:val="en-GB" w:eastAsia="zh-TW"/>
              </w:rPr>
            </w:pPr>
            <w:bookmarkStart w:id="112" w:name="bookmark_763"/>
            <w:r w:rsidRPr="000F47B2">
              <w:rPr>
                <w:spacing w:val="-5"/>
                <w:sz w:val="18"/>
                <w:szCs w:val="28"/>
                <w:rtl/>
                <w:lang w:val="en-GB" w:eastAsia="zh-TW"/>
              </w:rPr>
              <w:t>إعلانات تفسيرية</w:t>
            </w:r>
            <w:r w:rsidRPr="000F47B2">
              <w:rPr>
                <w:rFonts w:hint="cs"/>
                <w:spacing w:val="-5"/>
                <w:sz w:val="18"/>
                <w:szCs w:val="28"/>
                <w:rtl/>
                <w:lang w:val="en-GB" w:eastAsia="zh-TW"/>
              </w:rPr>
              <w:t xml:space="preserve">: </w:t>
            </w:r>
            <w:r w:rsidRPr="000F47B2">
              <w:rPr>
                <w:spacing w:val="-5"/>
                <w:sz w:val="18"/>
                <w:szCs w:val="28"/>
                <w:rtl/>
                <w:lang w:val="en-GB" w:eastAsia="zh-TW"/>
              </w:rPr>
              <w:t>الفقرت</w:t>
            </w:r>
            <w:r w:rsidRPr="000F47B2">
              <w:rPr>
                <w:rFonts w:hint="cs"/>
                <w:spacing w:val="-5"/>
                <w:sz w:val="18"/>
                <w:szCs w:val="28"/>
                <w:rtl/>
                <w:lang w:val="en-GB" w:eastAsia="zh-TW"/>
              </w:rPr>
              <w:t>ا</w:t>
            </w:r>
            <w:r w:rsidRPr="000F47B2">
              <w:rPr>
                <w:spacing w:val="-5"/>
                <w:sz w:val="18"/>
                <w:szCs w:val="28"/>
                <w:rtl/>
                <w:lang w:val="en-GB" w:eastAsia="zh-TW"/>
              </w:rPr>
              <w:t>ن الفرعيت</w:t>
            </w:r>
            <w:r w:rsidRPr="000F47B2">
              <w:rPr>
                <w:rFonts w:hint="cs"/>
                <w:spacing w:val="-5"/>
                <w:sz w:val="18"/>
                <w:szCs w:val="28"/>
                <w:rtl/>
                <w:lang w:val="en-GB" w:eastAsia="zh-TW"/>
              </w:rPr>
              <w:t>ا</w:t>
            </w:r>
            <w:r w:rsidRPr="000F47B2">
              <w:rPr>
                <w:spacing w:val="-5"/>
                <w:sz w:val="18"/>
                <w:szCs w:val="28"/>
                <w:rtl/>
                <w:lang w:val="en-GB" w:eastAsia="zh-TW"/>
              </w:rPr>
              <w:t>ن (ب) و(ج) من الفقرة 2 من المادة 8</w:t>
            </w:r>
            <w:bookmarkEnd w:id="112"/>
          </w:p>
          <w:p w:rsidR="00944A3C" w:rsidRPr="00317979" w:rsidRDefault="00944A3C" w:rsidP="008F7F42">
            <w:pPr>
              <w:spacing w:before="60" w:after="60" w:line="320" w:lineRule="exact"/>
              <w:textDirection w:val="tbRlV"/>
              <w:rPr>
                <w:spacing w:val="-4"/>
                <w:sz w:val="18"/>
                <w:szCs w:val="28"/>
                <w:rtl/>
                <w:lang w:val="en-GB" w:eastAsia="zh-TW"/>
              </w:rPr>
            </w:pPr>
            <w:bookmarkStart w:id="113" w:name="bookmark_764"/>
            <w:r w:rsidRPr="00317979">
              <w:rPr>
                <w:spacing w:val="-4"/>
                <w:sz w:val="18"/>
                <w:szCs w:val="28"/>
                <w:rtl/>
                <w:lang w:val="en-GB" w:eastAsia="zh-TW"/>
              </w:rPr>
              <w:t>إعلان</w:t>
            </w:r>
            <w:r w:rsidRPr="00317979">
              <w:rPr>
                <w:rFonts w:hint="cs"/>
                <w:spacing w:val="-4"/>
                <w:sz w:val="18"/>
                <w:szCs w:val="28"/>
                <w:rtl/>
                <w:lang w:val="en-GB" w:eastAsia="zh-TW"/>
              </w:rPr>
              <w:t xml:space="preserve">: </w:t>
            </w:r>
            <w:r w:rsidRPr="00317979">
              <w:rPr>
                <w:spacing w:val="-4"/>
                <w:sz w:val="18"/>
                <w:szCs w:val="28"/>
                <w:rtl/>
                <w:lang w:val="en-GB" w:eastAsia="zh-TW"/>
              </w:rPr>
              <w:t>المادة 87(2)</w:t>
            </w:r>
            <w:bookmarkEnd w:id="113"/>
          </w:p>
        </w:tc>
      </w:tr>
      <w:tr w:rsidR="00944A3C" w:rsidRPr="008F769D" w:rsidTr="000F47B2">
        <w:trPr>
          <w:cantSplit/>
        </w:trPr>
        <w:tc>
          <w:tcPr>
            <w:tcW w:w="3234" w:type="dxa"/>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114" w:name="bookmark_765"/>
            <w:r w:rsidRPr="008F769D">
              <w:rPr>
                <w:sz w:val="18"/>
                <w:szCs w:val="28"/>
                <w:rtl/>
                <w:lang w:val="en-GB" w:eastAsia="zh-TW"/>
              </w:rPr>
              <w:t>اتفاقية الأمم المتحدة لمكافحة الجريمة المنظمة عبر الوطنية (2000)</w:t>
            </w:r>
            <w:bookmarkEnd w:id="114"/>
          </w:p>
        </w:tc>
        <w:tc>
          <w:tcPr>
            <w:tcW w:w="1752"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115" w:name="bookmark_766"/>
            <w:r w:rsidRPr="008F769D">
              <w:rPr>
                <w:sz w:val="18"/>
                <w:szCs w:val="28"/>
                <w:rtl/>
                <w:lang w:val="en-GB" w:eastAsia="zh-TW"/>
              </w:rPr>
              <w:t>12 كانون الأول/</w:t>
            </w:r>
            <w:r w:rsidR="008F769D" w:rsidRPr="008F769D">
              <w:rPr>
                <w:rFonts w:hint="cs"/>
                <w:sz w:val="18"/>
                <w:szCs w:val="28"/>
                <w:rtl/>
                <w:lang w:val="en-GB" w:eastAsia="zh-TW"/>
              </w:rPr>
              <w:t xml:space="preserve"> </w:t>
            </w:r>
            <w:r w:rsidR="008F769D" w:rsidRPr="008F769D">
              <w:rPr>
                <w:sz w:val="18"/>
                <w:szCs w:val="28"/>
                <w:rtl/>
                <w:lang w:val="en-GB" w:eastAsia="zh-TW"/>
              </w:rPr>
              <w:br/>
            </w:r>
            <w:r w:rsidRPr="008F769D">
              <w:rPr>
                <w:sz w:val="18"/>
                <w:szCs w:val="28"/>
                <w:rtl/>
                <w:lang w:val="en-GB" w:eastAsia="zh-TW"/>
              </w:rPr>
              <w:t>ديسمبر 2000</w:t>
            </w:r>
            <w:bookmarkEnd w:id="115"/>
          </w:p>
        </w:tc>
        <w:tc>
          <w:tcPr>
            <w:tcW w:w="2666" w:type="dxa"/>
            <w:shd w:val="clear" w:color="auto" w:fill="auto"/>
          </w:tcPr>
          <w:p w:rsidR="00944A3C" w:rsidRPr="008F769D" w:rsidRDefault="00944A3C" w:rsidP="008F7F42">
            <w:pPr>
              <w:spacing w:before="60" w:after="60" w:line="320" w:lineRule="exact"/>
              <w:ind w:left="57" w:right="170"/>
              <w:jc w:val="left"/>
              <w:textDirection w:val="tbRlV"/>
              <w:rPr>
                <w:sz w:val="18"/>
                <w:szCs w:val="28"/>
                <w:rtl/>
                <w:lang w:val="en-GB" w:eastAsia="zh-TW"/>
              </w:rPr>
            </w:pPr>
            <w:bookmarkStart w:id="116" w:name="bookmark_767"/>
            <w:r w:rsidRPr="008F769D">
              <w:rPr>
                <w:sz w:val="18"/>
                <w:szCs w:val="28"/>
                <w:rtl/>
                <w:lang w:val="en-GB" w:eastAsia="zh-TW"/>
              </w:rPr>
              <w:t>29 تشرين الأول/</w:t>
            </w:r>
            <w:r w:rsidR="00293C20">
              <w:rPr>
                <w:rFonts w:hint="cs"/>
                <w:sz w:val="18"/>
                <w:szCs w:val="28"/>
                <w:rtl/>
                <w:lang w:val="en-GB" w:eastAsia="zh-TW"/>
              </w:rPr>
              <w:t xml:space="preserve"> </w:t>
            </w:r>
            <w:r w:rsidR="00293C20">
              <w:rPr>
                <w:sz w:val="18"/>
                <w:szCs w:val="28"/>
                <w:rtl/>
                <w:lang w:val="en-GB" w:eastAsia="zh-TW"/>
              </w:rPr>
              <w:br/>
            </w:r>
            <w:r w:rsidRPr="008F769D">
              <w:rPr>
                <w:sz w:val="18"/>
                <w:szCs w:val="28"/>
                <w:rtl/>
                <w:lang w:val="en-GB" w:eastAsia="zh-TW"/>
              </w:rPr>
              <w:t>أكتوبر 2002</w:t>
            </w:r>
            <w:bookmarkEnd w:id="116"/>
          </w:p>
        </w:tc>
        <w:tc>
          <w:tcPr>
            <w:tcW w:w="1979" w:type="dxa"/>
            <w:shd w:val="clear" w:color="auto" w:fill="auto"/>
          </w:tcPr>
          <w:p w:rsidR="00944A3C" w:rsidRPr="00317979" w:rsidRDefault="00944A3C" w:rsidP="008F7F42">
            <w:pPr>
              <w:spacing w:before="60" w:after="60" w:line="320" w:lineRule="exact"/>
              <w:textDirection w:val="tbRlV"/>
              <w:rPr>
                <w:spacing w:val="-4"/>
                <w:sz w:val="18"/>
                <w:szCs w:val="28"/>
                <w:rtl/>
                <w:lang w:val="en-GB" w:eastAsia="zh-TW"/>
              </w:rPr>
            </w:pPr>
            <w:bookmarkStart w:id="117" w:name="bookmark_768"/>
            <w:r w:rsidRPr="00317979">
              <w:rPr>
                <w:spacing w:val="-4"/>
                <w:sz w:val="18"/>
                <w:szCs w:val="28"/>
                <w:rtl/>
                <w:lang w:val="en-GB" w:eastAsia="zh-TW"/>
              </w:rPr>
              <w:t>لا ينطبق</w:t>
            </w:r>
            <w:bookmarkEnd w:id="117"/>
          </w:p>
        </w:tc>
      </w:tr>
      <w:tr w:rsidR="00944A3C" w:rsidRPr="008F769D" w:rsidTr="000F47B2">
        <w:trPr>
          <w:cantSplit/>
        </w:trPr>
        <w:tc>
          <w:tcPr>
            <w:tcW w:w="3234" w:type="dxa"/>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118" w:name="bookmark_769"/>
            <w:r w:rsidRPr="008F769D">
              <w:rPr>
                <w:sz w:val="18"/>
                <w:szCs w:val="28"/>
                <w:rtl/>
                <w:lang w:val="en-GB" w:eastAsia="zh-TW"/>
              </w:rPr>
              <w:t>بروتوكول منع وقمع ومعاقبة الاتجار بالأشخاص، وبخاصة النساء والأطفال، المكمل لاتفاقية الأمم المتحدة لمكافحة الجريمة المنظمة عبر الوطنية (2000)</w:t>
            </w:r>
            <w:bookmarkEnd w:id="118"/>
          </w:p>
        </w:tc>
        <w:tc>
          <w:tcPr>
            <w:tcW w:w="1752"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119" w:name="bookmark_770"/>
            <w:r w:rsidRPr="008F769D">
              <w:rPr>
                <w:sz w:val="18"/>
                <w:szCs w:val="28"/>
                <w:rtl/>
                <w:lang w:val="en-GB" w:eastAsia="zh-TW"/>
              </w:rPr>
              <w:t>12 كانون الأول/</w:t>
            </w:r>
            <w:r w:rsidR="008F769D" w:rsidRPr="008F769D">
              <w:rPr>
                <w:rFonts w:hint="cs"/>
                <w:sz w:val="18"/>
                <w:szCs w:val="28"/>
                <w:rtl/>
                <w:lang w:val="en-GB" w:eastAsia="zh-TW"/>
              </w:rPr>
              <w:t xml:space="preserve"> </w:t>
            </w:r>
            <w:r w:rsidR="008F769D" w:rsidRPr="008F769D">
              <w:rPr>
                <w:sz w:val="18"/>
                <w:szCs w:val="28"/>
                <w:rtl/>
                <w:lang w:val="en-GB" w:eastAsia="zh-TW"/>
              </w:rPr>
              <w:br/>
            </w:r>
            <w:r w:rsidRPr="008F769D">
              <w:rPr>
                <w:sz w:val="18"/>
                <w:szCs w:val="28"/>
                <w:rtl/>
                <w:lang w:val="en-GB" w:eastAsia="zh-TW"/>
              </w:rPr>
              <w:t>ديسمبر 2000</w:t>
            </w:r>
            <w:bookmarkEnd w:id="119"/>
          </w:p>
        </w:tc>
        <w:tc>
          <w:tcPr>
            <w:tcW w:w="2666" w:type="dxa"/>
            <w:shd w:val="clear" w:color="auto" w:fill="auto"/>
          </w:tcPr>
          <w:p w:rsidR="00944A3C" w:rsidRPr="008F769D" w:rsidRDefault="00944A3C" w:rsidP="008F7F42">
            <w:pPr>
              <w:spacing w:before="60" w:after="60" w:line="320" w:lineRule="exact"/>
              <w:ind w:left="57" w:right="170"/>
              <w:jc w:val="left"/>
              <w:textDirection w:val="tbRlV"/>
              <w:rPr>
                <w:sz w:val="18"/>
                <w:szCs w:val="28"/>
                <w:rtl/>
                <w:lang w:val="en-GB" w:eastAsia="zh-TW"/>
              </w:rPr>
            </w:pPr>
            <w:bookmarkStart w:id="120" w:name="bookmark_771"/>
            <w:r w:rsidRPr="008F769D">
              <w:rPr>
                <w:sz w:val="18"/>
                <w:szCs w:val="28"/>
                <w:rtl/>
                <w:lang w:val="en-GB" w:eastAsia="zh-TW"/>
              </w:rPr>
              <w:t>29 تشرين الأول/</w:t>
            </w:r>
            <w:r w:rsidR="00293C20">
              <w:rPr>
                <w:rFonts w:hint="cs"/>
                <w:sz w:val="18"/>
                <w:szCs w:val="28"/>
                <w:rtl/>
                <w:lang w:val="en-GB" w:eastAsia="zh-TW"/>
              </w:rPr>
              <w:t xml:space="preserve"> </w:t>
            </w:r>
            <w:r w:rsidR="00293C20">
              <w:rPr>
                <w:sz w:val="18"/>
                <w:szCs w:val="28"/>
                <w:rtl/>
                <w:lang w:val="en-GB" w:eastAsia="zh-TW"/>
              </w:rPr>
              <w:br/>
            </w:r>
            <w:r w:rsidRPr="008F769D">
              <w:rPr>
                <w:sz w:val="18"/>
                <w:szCs w:val="28"/>
                <w:rtl/>
                <w:lang w:val="en-GB" w:eastAsia="zh-TW"/>
              </w:rPr>
              <w:t>أكتوبر 2002</w:t>
            </w:r>
            <w:bookmarkEnd w:id="120"/>
          </w:p>
        </w:tc>
        <w:tc>
          <w:tcPr>
            <w:tcW w:w="1979" w:type="dxa"/>
            <w:shd w:val="clear" w:color="auto" w:fill="auto"/>
          </w:tcPr>
          <w:p w:rsidR="00944A3C" w:rsidRPr="00317979" w:rsidRDefault="00944A3C" w:rsidP="008F7F42">
            <w:pPr>
              <w:spacing w:before="60" w:after="60" w:line="320" w:lineRule="exact"/>
              <w:textDirection w:val="tbRlV"/>
              <w:rPr>
                <w:spacing w:val="-4"/>
                <w:sz w:val="18"/>
                <w:szCs w:val="28"/>
                <w:rtl/>
                <w:lang w:val="en-GB" w:eastAsia="zh-TW"/>
              </w:rPr>
            </w:pPr>
            <w:bookmarkStart w:id="121" w:name="bookmark_772"/>
            <w:r w:rsidRPr="00317979">
              <w:rPr>
                <w:spacing w:val="-4"/>
                <w:sz w:val="18"/>
                <w:szCs w:val="28"/>
                <w:rtl/>
                <w:lang w:val="en-GB" w:eastAsia="zh-TW"/>
              </w:rPr>
              <w:t>لا ينطبق</w:t>
            </w:r>
            <w:bookmarkEnd w:id="121"/>
          </w:p>
        </w:tc>
      </w:tr>
      <w:tr w:rsidR="00944A3C" w:rsidRPr="008F769D" w:rsidTr="000F47B2">
        <w:trPr>
          <w:cantSplit/>
        </w:trPr>
        <w:tc>
          <w:tcPr>
            <w:tcW w:w="3234" w:type="dxa"/>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122" w:name="bookmark_773"/>
            <w:r w:rsidRPr="008F769D">
              <w:rPr>
                <w:sz w:val="18"/>
                <w:szCs w:val="28"/>
                <w:rtl/>
                <w:lang w:val="en-GB" w:eastAsia="zh-TW"/>
              </w:rPr>
              <w:t>بروتوكول مكافحة تهريب المهاجرين عن طريق البر والبحر والجو، المكمل لاتفاقية الأمم المتحدة لمكافحة الجريمة المنظمة عبر الوطنية (2000)</w:t>
            </w:r>
            <w:bookmarkEnd w:id="122"/>
          </w:p>
        </w:tc>
        <w:tc>
          <w:tcPr>
            <w:tcW w:w="1752"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123" w:name="bookmark_774"/>
            <w:r w:rsidRPr="008F769D">
              <w:rPr>
                <w:sz w:val="18"/>
                <w:szCs w:val="28"/>
                <w:rtl/>
                <w:lang w:val="en-GB" w:eastAsia="zh-TW"/>
              </w:rPr>
              <w:t>12 كانون الأول/</w:t>
            </w:r>
            <w:r w:rsidR="008F769D" w:rsidRPr="008F769D">
              <w:rPr>
                <w:rFonts w:hint="cs"/>
                <w:sz w:val="18"/>
                <w:szCs w:val="28"/>
                <w:rtl/>
                <w:lang w:val="en-GB" w:eastAsia="zh-TW"/>
              </w:rPr>
              <w:t xml:space="preserve"> </w:t>
            </w:r>
            <w:r w:rsidR="008F769D" w:rsidRPr="008F769D">
              <w:rPr>
                <w:sz w:val="18"/>
                <w:szCs w:val="28"/>
                <w:rtl/>
                <w:lang w:val="en-GB" w:eastAsia="zh-TW"/>
              </w:rPr>
              <w:br/>
            </w:r>
            <w:r w:rsidRPr="008F769D">
              <w:rPr>
                <w:sz w:val="18"/>
                <w:szCs w:val="28"/>
                <w:rtl/>
                <w:lang w:val="en-GB" w:eastAsia="zh-TW"/>
              </w:rPr>
              <w:t>ديسمبر 2000</w:t>
            </w:r>
            <w:bookmarkEnd w:id="123"/>
          </w:p>
        </w:tc>
        <w:tc>
          <w:tcPr>
            <w:tcW w:w="2666" w:type="dxa"/>
            <w:shd w:val="clear" w:color="auto" w:fill="auto"/>
          </w:tcPr>
          <w:p w:rsidR="00944A3C" w:rsidRPr="008F769D" w:rsidRDefault="00944A3C" w:rsidP="008F7F42">
            <w:pPr>
              <w:spacing w:before="60" w:after="60" w:line="320" w:lineRule="exact"/>
              <w:ind w:left="57" w:right="170"/>
              <w:jc w:val="left"/>
              <w:textDirection w:val="tbRlV"/>
              <w:rPr>
                <w:sz w:val="18"/>
                <w:szCs w:val="28"/>
                <w:rtl/>
                <w:lang w:val="en-GB" w:eastAsia="zh-TW"/>
              </w:rPr>
            </w:pPr>
            <w:bookmarkStart w:id="124" w:name="bookmark_775"/>
            <w:r w:rsidRPr="008F769D">
              <w:rPr>
                <w:sz w:val="18"/>
                <w:szCs w:val="28"/>
                <w:rtl/>
                <w:lang w:val="en-GB" w:eastAsia="zh-TW"/>
              </w:rPr>
              <w:t>29 تشرين الأول/</w:t>
            </w:r>
            <w:r w:rsidR="00293C20">
              <w:rPr>
                <w:rFonts w:hint="cs"/>
                <w:sz w:val="18"/>
                <w:szCs w:val="28"/>
                <w:rtl/>
                <w:lang w:val="en-GB" w:eastAsia="zh-TW"/>
              </w:rPr>
              <w:t xml:space="preserve"> </w:t>
            </w:r>
            <w:r w:rsidR="00293C20">
              <w:rPr>
                <w:sz w:val="18"/>
                <w:szCs w:val="28"/>
                <w:rtl/>
                <w:lang w:val="en-GB" w:eastAsia="zh-TW"/>
              </w:rPr>
              <w:br/>
            </w:r>
            <w:r w:rsidRPr="008F769D">
              <w:rPr>
                <w:sz w:val="18"/>
                <w:szCs w:val="28"/>
                <w:rtl/>
                <w:lang w:val="en-GB" w:eastAsia="zh-TW"/>
              </w:rPr>
              <w:t>أكتوبر 2002</w:t>
            </w:r>
            <w:bookmarkEnd w:id="124"/>
          </w:p>
        </w:tc>
        <w:tc>
          <w:tcPr>
            <w:tcW w:w="1979" w:type="dxa"/>
            <w:shd w:val="clear" w:color="auto" w:fill="auto"/>
          </w:tcPr>
          <w:p w:rsidR="00944A3C" w:rsidRPr="00317979" w:rsidRDefault="00944A3C" w:rsidP="008F7F42">
            <w:pPr>
              <w:spacing w:before="60" w:after="60" w:line="320" w:lineRule="exact"/>
              <w:textDirection w:val="tbRlV"/>
              <w:rPr>
                <w:spacing w:val="-4"/>
                <w:sz w:val="18"/>
                <w:szCs w:val="28"/>
                <w:rtl/>
                <w:lang w:val="en-GB" w:eastAsia="zh-TW"/>
              </w:rPr>
            </w:pPr>
            <w:bookmarkStart w:id="125" w:name="bookmark_776"/>
            <w:r w:rsidRPr="00317979">
              <w:rPr>
                <w:spacing w:val="-4"/>
                <w:sz w:val="18"/>
                <w:szCs w:val="28"/>
                <w:rtl/>
                <w:lang w:val="en-GB" w:eastAsia="zh-TW"/>
              </w:rPr>
              <w:t>لا ينطبق</w:t>
            </w:r>
            <w:bookmarkEnd w:id="125"/>
          </w:p>
        </w:tc>
      </w:tr>
      <w:tr w:rsidR="00944A3C" w:rsidRPr="008F769D" w:rsidTr="000F47B2">
        <w:trPr>
          <w:cantSplit/>
        </w:trPr>
        <w:tc>
          <w:tcPr>
            <w:tcW w:w="3234" w:type="dxa"/>
            <w:shd w:val="clear" w:color="auto" w:fill="auto"/>
          </w:tcPr>
          <w:p w:rsidR="00944A3C" w:rsidRPr="008761E8" w:rsidRDefault="00944A3C" w:rsidP="008F7F42">
            <w:pPr>
              <w:spacing w:before="60" w:after="60" w:line="320" w:lineRule="exact"/>
              <w:ind w:right="227"/>
              <w:textDirection w:val="tbRlV"/>
              <w:rPr>
                <w:spacing w:val="-4"/>
                <w:sz w:val="18"/>
                <w:szCs w:val="28"/>
                <w:rtl/>
                <w:lang w:val="en-GB" w:eastAsia="zh-TW"/>
              </w:rPr>
            </w:pPr>
            <w:bookmarkStart w:id="126" w:name="bookmark_777"/>
            <w:r w:rsidRPr="008761E8">
              <w:rPr>
                <w:spacing w:val="-4"/>
                <w:sz w:val="18"/>
                <w:szCs w:val="28"/>
                <w:rtl/>
                <w:lang w:val="en-GB" w:eastAsia="zh-TW"/>
              </w:rPr>
              <w:t>الاتفاقية الدولية لحماية جميع الأشخاص من الاختفاء القسري (2006)</w:t>
            </w:r>
            <w:bookmarkEnd w:id="126"/>
          </w:p>
        </w:tc>
        <w:tc>
          <w:tcPr>
            <w:tcW w:w="1752" w:type="dxa"/>
            <w:shd w:val="clear" w:color="auto" w:fill="auto"/>
          </w:tcPr>
          <w:p w:rsidR="00944A3C" w:rsidRPr="008F769D" w:rsidRDefault="00944A3C" w:rsidP="008F7F42">
            <w:pPr>
              <w:spacing w:before="60" w:after="60" w:line="320" w:lineRule="exact"/>
              <w:ind w:left="57" w:right="170"/>
              <w:jc w:val="left"/>
              <w:textDirection w:val="tbRlV"/>
              <w:rPr>
                <w:sz w:val="18"/>
                <w:szCs w:val="28"/>
                <w:rtl/>
                <w:lang w:val="en-GB" w:eastAsia="zh-TW"/>
              </w:rPr>
            </w:pPr>
            <w:bookmarkStart w:id="127" w:name="bookmark_778"/>
            <w:r w:rsidRPr="008F769D">
              <w:rPr>
                <w:sz w:val="18"/>
                <w:szCs w:val="28"/>
                <w:rtl/>
                <w:lang w:val="en-GB" w:eastAsia="zh-TW"/>
              </w:rPr>
              <w:t>6 شباط/فبراير 2007</w:t>
            </w:r>
            <w:bookmarkEnd w:id="127"/>
          </w:p>
        </w:tc>
        <w:tc>
          <w:tcPr>
            <w:tcW w:w="2666"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128" w:name="bookmark_779"/>
            <w:r w:rsidRPr="008F769D">
              <w:rPr>
                <w:sz w:val="18"/>
                <w:szCs w:val="28"/>
                <w:rtl/>
                <w:lang w:val="en-GB" w:eastAsia="zh-TW"/>
              </w:rPr>
              <w:t>23 أيلول/سبتمبر 2008</w:t>
            </w:r>
            <w:bookmarkEnd w:id="128"/>
          </w:p>
        </w:tc>
        <w:tc>
          <w:tcPr>
            <w:tcW w:w="1979" w:type="dxa"/>
            <w:shd w:val="clear" w:color="auto" w:fill="auto"/>
          </w:tcPr>
          <w:p w:rsidR="00944A3C" w:rsidRPr="00317979" w:rsidRDefault="00944A3C" w:rsidP="008F7F42">
            <w:pPr>
              <w:spacing w:before="60" w:after="60" w:line="320" w:lineRule="exact"/>
              <w:textDirection w:val="tbRlV"/>
              <w:rPr>
                <w:spacing w:val="-4"/>
                <w:sz w:val="18"/>
                <w:szCs w:val="28"/>
                <w:rtl/>
                <w:lang w:val="en-GB" w:eastAsia="zh-TW"/>
              </w:rPr>
            </w:pPr>
            <w:bookmarkStart w:id="129" w:name="bookmark_780"/>
            <w:r w:rsidRPr="00317979">
              <w:rPr>
                <w:spacing w:val="-4"/>
                <w:sz w:val="18"/>
                <w:szCs w:val="28"/>
                <w:rtl/>
                <w:lang w:val="en-GB" w:eastAsia="zh-TW"/>
              </w:rPr>
              <w:t>لا ينطبق</w:t>
            </w:r>
            <w:bookmarkEnd w:id="129"/>
          </w:p>
        </w:tc>
      </w:tr>
      <w:tr w:rsidR="00944A3C" w:rsidRPr="008F769D" w:rsidTr="000F47B2">
        <w:trPr>
          <w:cantSplit/>
        </w:trPr>
        <w:tc>
          <w:tcPr>
            <w:tcW w:w="3234" w:type="dxa"/>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130" w:name="bookmark_781"/>
            <w:r w:rsidRPr="008F769D">
              <w:rPr>
                <w:sz w:val="18"/>
                <w:szCs w:val="28"/>
                <w:rtl/>
                <w:lang w:val="en-GB" w:eastAsia="zh-TW"/>
              </w:rPr>
              <w:t>اتفاقية حقوق الأشخاص ذوي الإعاقة (2006)</w:t>
            </w:r>
            <w:bookmarkEnd w:id="130"/>
          </w:p>
        </w:tc>
        <w:tc>
          <w:tcPr>
            <w:tcW w:w="1752" w:type="dxa"/>
            <w:shd w:val="clear" w:color="auto" w:fill="auto"/>
          </w:tcPr>
          <w:p w:rsidR="00944A3C" w:rsidRPr="008F769D" w:rsidRDefault="00944A3C" w:rsidP="008F7F42">
            <w:pPr>
              <w:spacing w:before="60" w:after="60" w:line="320" w:lineRule="exact"/>
              <w:ind w:left="57" w:right="170"/>
              <w:jc w:val="left"/>
              <w:textDirection w:val="tbRlV"/>
              <w:rPr>
                <w:sz w:val="18"/>
                <w:szCs w:val="28"/>
                <w:rtl/>
                <w:lang w:val="en-GB" w:eastAsia="zh-TW"/>
              </w:rPr>
            </w:pPr>
            <w:bookmarkStart w:id="131" w:name="bookmark_782"/>
            <w:r w:rsidRPr="008F769D">
              <w:rPr>
                <w:sz w:val="18"/>
                <w:szCs w:val="28"/>
                <w:rtl/>
                <w:lang w:val="en-GB" w:eastAsia="zh-TW"/>
              </w:rPr>
              <w:t>30 آذار/مارس 2007</w:t>
            </w:r>
            <w:bookmarkEnd w:id="131"/>
          </w:p>
        </w:tc>
        <w:tc>
          <w:tcPr>
            <w:tcW w:w="2666" w:type="dxa"/>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132" w:name="bookmark_783"/>
            <w:r w:rsidRPr="008F769D">
              <w:rPr>
                <w:sz w:val="18"/>
                <w:szCs w:val="28"/>
                <w:rtl/>
                <w:lang w:val="en-GB" w:eastAsia="zh-TW"/>
              </w:rPr>
              <w:t>18 شباط/فبراير 2010</w:t>
            </w:r>
            <w:bookmarkEnd w:id="132"/>
          </w:p>
        </w:tc>
        <w:tc>
          <w:tcPr>
            <w:tcW w:w="1979" w:type="dxa"/>
            <w:shd w:val="clear" w:color="auto" w:fill="auto"/>
          </w:tcPr>
          <w:p w:rsidR="00944A3C" w:rsidRPr="00317979" w:rsidRDefault="00944A3C" w:rsidP="008F7F42">
            <w:pPr>
              <w:spacing w:before="60" w:after="60" w:line="320" w:lineRule="exact"/>
              <w:textDirection w:val="tbRlV"/>
              <w:rPr>
                <w:spacing w:val="-4"/>
                <w:sz w:val="18"/>
                <w:szCs w:val="28"/>
                <w:rtl/>
                <w:lang w:val="en-GB" w:eastAsia="zh-TW"/>
              </w:rPr>
            </w:pPr>
            <w:bookmarkStart w:id="133" w:name="bookmark_784"/>
            <w:r w:rsidRPr="00317979">
              <w:rPr>
                <w:spacing w:val="-4"/>
                <w:sz w:val="18"/>
                <w:szCs w:val="28"/>
                <w:rtl/>
                <w:lang w:val="en-GB" w:eastAsia="zh-TW"/>
              </w:rPr>
              <w:t>إعلان تفسيري</w:t>
            </w:r>
            <w:r w:rsidRPr="00317979">
              <w:rPr>
                <w:rFonts w:hint="cs"/>
                <w:spacing w:val="-4"/>
                <w:sz w:val="18"/>
                <w:szCs w:val="28"/>
                <w:rtl/>
                <w:lang w:val="en-GB" w:eastAsia="zh-TW"/>
              </w:rPr>
              <w:t xml:space="preserve">: </w:t>
            </w:r>
            <w:r w:rsidRPr="00317979">
              <w:rPr>
                <w:spacing w:val="-4"/>
                <w:sz w:val="18"/>
                <w:szCs w:val="28"/>
                <w:rtl/>
                <w:lang w:val="en-GB" w:eastAsia="zh-TW"/>
              </w:rPr>
              <w:t>المادة 15</w:t>
            </w:r>
            <w:bookmarkEnd w:id="133"/>
          </w:p>
          <w:p w:rsidR="00944A3C" w:rsidRPr="00317979" w:rsidRDefault="00944A3C" w:rsidP="008F7F42">
            <w:pPr>
              <w:spacing w:before="60" w:after="60" w:line="320" w:lineRule="exact"/>
              <w:textDirection w:val="tbRlV"/>
              <w:rPr>
                <w:spacing w:val="-4"/>
                <w:sz w:val="18"/>
                <w:szCs w:val="28"/>
                <w:rtl/>
                <w:lang w:val="en-GB" w:eastAsia="zh-TW"/>
              </w:rPr>
            </w:pPr>
            <w:bookmarkStart w:id="134" w:name="bookmark_785"/>
            <w:r w:rsidRPr="00317979">
              <w:rPr>
                <w:spacing w:val="-4"/>
                <w:sz w:val="18"/>
                <w:szCs w:val="28"/>
                <w:rtl/>
                <w:lang w:val="en-GB" w:eastAsia="zh-TW"/>
              </w:rPr>
              <w:t>إعلان</w:t>
            </w:r>
            <w:r w:rsidRPr="00317979">
              <w:rPr>
                <w:rFonts w:hint="cs"/>
                <w:spacing w:val="-4"/>
                <w:sz w:val="18"/>
                <w:szCs w:val="28"/>
                <w:rtl/>
                <w:lang w:val="en-GB" w:eastAsia="zh-TW"/>
              </w:rPr>
              <w:t xml:space="preserve">: </w:t>
            </w:r>
            <w:r w:rsidRPr="00317979">
              <w:rPr>
                <w:spacing w:val="-4"/>
                <w:sz w:val="18"/>
                <w:szCs w:val="28"/>
                <w:rtl/>
                <w:lang w:val="en-GB" w:eastAsia="zh-TW"/>
              </w:rPr>
              <w:t>المادة 29</w:t>
            </w:r>
            <w:bookmarkEnd w:id="134"/>
          </w:p>
        </w:tc>
      </w:tr>
      <w:tr w:rsidR="00944A3C" w:rsidRPr="008F769D" w:rsidTr="000F47B2">
        <w:trPr>
          <w:cantSplit/>
        </w:trPr>
        <w:tc>
          <w:tcPr>
            <w:tcW w:w="3234" w:type="dxa"/>
            <w:tcBorders>
              <w:bottom w:val="single" w:sz="4" w:space="0" w:color="auto"/>
            </w:tcBorders>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135" w:name="bookmark_786"/>
            <w:r w:rsidRPr="008F769D">
              <w:rPr>
                <w:sz w:val="18"/>
                <w:szCs w:val="28"/>
                <w:rtl/>
                <w:lang w:val="en-GB" w:eastAsia="zh-TW"/>
              </w:rPr>
              <w:t>البروتوكول الاختياري لاتفاقية حقوق الأشخاص ذوي الإعاقة (2006)</w:t>
            </w:r>
            <w:bookmarkEnd w:id="135"/>
          </w:p>
        </w:tc>
        <w:tc>
          <w:tcPr>
            <w:tcW w:w="1752" w:type="dxa"/>
            <w:tcBorders>
              <w:bottom w:val="single" w:sz="4" w:space="0" w:color="auto"/>
            </w:tcBorders>
            <w:shd w:val="clear" w:color="auto" w:fill="auto"/>
          </w:tcPr>
          <w:p w:rsidR="00944A3C" w:rsidRPr="00293C20" w:rsidRDefault="00944A3C" w:rsidP="008F7F42">
            <w:pPr>
              <w:spacing w:before="60" w:after="60" w:line="320" w:lineRule="exact"/>
              <w:ind w:left="57" w:right="170"/>
              <w:jc w:val="left"/>
              <w:textDirection w:val="tbRlV"/>
              <w:rPr>
                <w:spacing w:val="-4"/>
                <w:sz w:val="18"/>
                <w:szCs w:val="28"/>
                <w:rtl/>
                <w:lang w:val="en-GB" w:eastAsia="zh-TW"/>
              </w:rPr>
            </w:pPr>
            <w:bookmarkStart w:id="136" w:name="bookmark_787"/>
            <w:r w:rsidRPr="00293C20">
              <w:rPr>
                <w:spacing w:val="-4"/>
                <w:sz w:val="18"/>
                <w:szCs w:val="28"/>
                <w:rtl/>
                <w:lang w:val="en-GB" w:eastAsia="zh-TW"/>
              </w:rPr>
              <w:t>23 أيلول/سبتمبر 2008</w:t>
            </w:r>
            <w:bookmarkEnd w:id="136"/>
          </w:p>
        </w:tc>
        <w:tc>
          <w:tcPr>
            <w:tcW w:w="2666" w:type="dxa"/>
            <w:tcBorders>
              <w:bottom w:val="single" w:sz="4" w:space="0" w:color="auto"/>
            </w:tcBorders>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137" w:name="bookmark_788"/>
            <w:r w:rsidRPr="008F769D">
              <w:rPr>
                <w:sz w:val="18"/>
                <w:szCs w:val="28"/>
                <w:rtl/>
                <w:lang w:val="en-GB" w:eastAsia="zh-TW"/>
              </w:rPr>
              <w:t>18 شباط/فبراير 2010</w:t>
            </w:r>
            <w:bookmarkEnd w:id="137"/>
          </w:p>
        </w:tc>
        <w:tc>
          <w:tcPr>
            <w:tcW w:w="1979" w:type="dxa"/>
            <w:tcBorders>
              <w:bottom w:val="single" w:sz="4" w:space="0" w:color="auto"/>
            </w:tcBorders>
            <w:shd w:val="clear" w:color="auto" w:fill="auto"/>
          </w:tcPr>
          <w:p w:rsidR="00944A3C" w:rsidRPr="00317979" w:rsidRDefault="00944A3C" w:rsidP="008F7F42">
            <w:pPr>
              <w:spacing w:before="60" w:after="60" w:line="320" w:lineRule="exact"/>
              <w:textDirection w:val="tbRlV"/>
              <w:rPr>
                <w:spacing w:val="-4"/>
                <w:sz w:val="18"/>
                <w:szCs w:val="28"/>
                <w:rtl/>
                <w:lang w:val="en-GB" w:eastAsia="zh-TW"/>
              </w:rPr>
            </w:pPr>
            <w:bookmarkStart w:id="138" w:name="bookmark_789"/>
            <w:r w:rsidRPr="00317979">
              <w:rPr>
                <w:spacing w:val="-4"/>
                <w:sz w:val="18"/>
                <w:szCs w:val="28"/>
                <w:rtl/>
                <w:lang w:val="en-GB" w:eastAsia="zh-TW"/>
              </w:rPr>
              <w:t>لا ينطبق</w:t>
            </w:r>
            <w:bookmarkEnd w:id="138"/>
          </w:p>
        </w:tc>
      </w:tr>
      <w:tr w:rsidR="00944A3C" w:rsidRPr="008F769D" w:rsidTr="000F47B2">
        <w:trPr>
          <w:cantSplit/>
        </w:trPr>
        <w:tc>
          <w:tcPr>
            <w:tcW w:w="3234" w:type="dxa"/>
            <w:tcBorders>
              <w:bottom w:val="single" w:sz="12" w:space="0" w:color="auto"/>
            </w:tcBorders>
            <w:shd w:val="clear" w:color="auto" w:fill="auto"/>
          </w:tcPr>
          <w:p w:rsidR="00944A3C" w:rsidRPr="008F769D" w:rsidRDefault="00944A3C" w:rsidP="008F7F42">
            <w:pPr>
              <w:spacing w:before="60" w:after="60" w:line="320" w:lineRule="exact"/>
              <w:ind w:right="227"/>
              <w:textDirection w:val="tbRlV"/>
              <w:rPr>
                <w:sz w:val="18"/>
                <w:szCs w:val="28"/>
                <w:rtl/>
                <w:lang w:val="en-GB" w:eastAsia="zh-TW"/>
              </w:rPr>
            </w:pPr>
            <w:bookmarkStart w:id="139" w:name="bookmark_790"/>
            <w:r w:rsidRPr="008F769D">
              <w:rPr>
                <w:sz w:val="18"/>
                <w:szCs w:val="28"/>
                <w:rtl/>
                <w:lang w:val="en-GB" w:eastAsia="zh-TW"/>
              </w:rPr>
              <w:t>اتفاقية مكافحة التمييز في مجال التعليم (1960) (المعتمدة برعاية اليونسكو)</w:t>
            </w:r>
            <w:bookmarkEnd w:id="139"/>
          </w:p>
        </w:tc>
        <w:tc>
          <w:tcPr>
            <w:tcW w:w="1752" w:type="dxa"/>
            <w:tcBorders>
              <w:bottom w:val="single" w:sz="12" w:space="0" w:color="auto"/>
            </w:tcBorders>
            <w:shd w:val="clear" w:color="auto" w:fill="auto"/>
          </w:tcPr>
          <w:p w:rsidR="00944A3C" w:rsidRPr="008F769D" w:rsidRDefault="000F47B2" w:rsidP="008F7F42">
            <w:pPr>
              <w:spacing w:before="60" w:after="60" w:line="320" w:lineRule="exact"/>
              <w:ind w:left="57" w:right="170"/>
              <w:textDirection w:val="tbRlV"/>
              <w:rPr>
                <w:sz w:val="18"/>
                <w:szCs w:val="28"/>
                <w:rtl/>
                <w:lang w:val="en-GB" w:eastAsia="zh-TW"/>
              </w:rPr>
            </w:pPr>
            <w:r>
              <w:rPr>
                <w:rFonts w:hint="cs"/>
                <w:sz w:val="18"/>
                <w:szCs w:val="28"/>
                <w:rtl/>
                <w:lang w:val="en-GB" w:eastAsia="zh-TW"/>
              </w:rPr>
              <w:t>-</w:t>
            </w:r>
          </w:p>
        </w:tc>
        <w:tc>
          <w:tcPr>
            <w:tcW w:w="2666" w:type="dxa"/>
            <w:tcBorders>
              <w:bottom w:val="single" w:sz="12" w:space="0" w:color="auto"/>
            </w:tcBorders>
            <w:shd w:val="clear" w:color="auto" w:fill="auto"/>
          </w:tcPr>
          <w:p w:rsidR="00944A3C" w:rsidRPr="008F769D" w:rsidRDefault="00944A3C" w:rsidP="008F7F42">
            <w:pPr>
              <w:spacing w:before="60" w:after="60" w:line="320" w:lineRule="exact"/>
              <w:ind w:left="57" w:right="170"/>
              <w:textDirection w:val="tbRlV"/>
              <w:rPr>
                <w:sz w:val="18"/>
                <w:szCs w:val="28"/>
                <w:rtl/>
                <w:lang w:val="en-GB" w:eastAsia="zh-TW"/>
              </w:rPr>
            </w:pPr>
            <w:bookmarkStart w:id="140" w:name="bookmark_792"/>
            <w:r w:rsidRPr="008F769D">
              <w:rPr>
                <w:sz w:val="18"/>
                <w:szCs w:val="28"/>
                <w:rtl/>
                <w:lang w:val="en-GB" w:eastAsia="zh-TW"/>
              </w:rPr>
              <w:t>11 أيلول/سبتمبر 1961</w:t>
            </w:r>
            <w:bookmarkEnd w:id="140"/>
          </w:p>
        </w:tc>
        <w:tc>
          <w:tcPr>
            <w:tcW w:w="1979" w:type="dxa"/>
            <w:tcBorders>
              <w:bottom w:val="single" w:sz="12" w:space="0" w:color="auto"/>
            </w:tcBorders>
            <w:shd w:val="clear" w:color="auto" w:fill="auto"/>
          </w:tcPr>
          <w:p w:rsidR="00944A3C" w:rsidRPr="00317979" w:rsidRDefault="00944A3C" w:rsidP="008F7F42">
            <w:pPr>
              <w:spacing w:before="60" w:after="60" w:line="320" w:lineRule="exact"/>
              <w:textDirection w:val="tbRlV"/>
              <w:rPr>
                <w:spacing w:val="-4"/>
                <w:sz w:val="18"/>
                <w:szCs w:val="28"/>
                <w:rtl/>
                <w:lang w:val="en-GB" w:eastAsia="zh-TW"/>
              </w:rPr>
            </w:pPr>
            <w:bookmarkStart w:id="141" w:name="bookmark_793"/>
            <w:r w:rsidRPr="00317979">
              <w:rPr>
                <w:spacing w:val="-4"/>
                <w:sz w:val="18"/>
                <w:szCs w:val="28"/>
                <w:rtl/>
                <w:lang w:val="en-GB" w:eastAsia="zh-TW"/>
              </w:rPr>
              <w:t>لا ينطبق</w:t>
            </w:r>
            <w:bookmarkEnd w:id="141"/>
          </w:p>
        </w:tc>
      </w:tr>
    </w:tbl>
    <w:p w:rsidR="00944A3C" w:rsidRPr="00A10A96" w:rsidRDefault="00944A3C" w:rsidP="0099714A">
      <w:pPr>
        <w:pStyle w:val="SingleTxtGA"/>
        <w:spacing w:before="240"/>
        <w:rPr>
          <w:rtl/>
        </w:rPr>
      </w:pPr>
      <w:r w:rsidRPr="005D0C50">
        <w:rPr>
          <w:rFonts w:hint="cs"/>
          <w:spacing w:val="-2"/>
          <w:rtl/>
        </w:rPr>
        <w:t>223</w:t>
      </w:r>
      <w:r w:rsidRPr="00A10A96">
        <w:rPr>
          <w:rFonts w:hint="cs"/>
          <w:rtl/>
        </w:rPr>
        <w:t>-</w:t>
      </w:r>
      <w:r w:rsidRPr="00A10A96">
        <w:rPr>
          <w:rtl/>
        </w:rPr>
        <w:tab/>
        <w:t>ولم توقع فرنسا ولم تصدق على اتفاقية عدم تقادم جرائم الحرب والجرائم المرتكبة ضد الإنسانية، التي اعتمدت في نيويورك في 26 تشرين الثاني/نوفمبر 1968 ودخلت حيز النفاذ في</w:t>
      </w:r>
      <w:r w:rsidR="0099714A">
        <w:rPr>
          <w:rFonts w:hint="cs"/>
          <w:rtl/>
        </w:rPr>
        <w:t> </w:t>
      </w:r>
      <w:r w:rsidRPr="00A10A96">
        <w:rPr>
          <w:rtl/>
        </w:rPr>
        <w:t>11 تشرين الثاني/نوفمبر 1970.</w:t>
      </w:r>
    </w:p>
    <w:p w:rsidR="00944A3C" w:rsidRPr="00A10A96" w:rsidRDefault="00944A3C" w:rsidP="0099714A">
      <w:pPr>
        <w:pStyle w:val="SingleTxtGA"/>
        <w:rPr>
          <w:rtl/>
        </w:rPr>
      </w:pPr>
      <w:r w:rsidRPr="00A10A96">
        <w:rPr>
          <w:rFonts w:hint="cs"/>
          <w:rtl/>
        </w:rPr>
        <w:lastRenderedPageBreak/>
        <w:t>224-</w:t>
      </w:r>
      <w:r w:rsidRPr="00A10A96">
        <w:rPr>
          <w:rtl/>
        </w:rPr>
        <w:tab/>
        <w:t>وعلاوة على ذلك، وقعت على الاتفاقية الأوروبية المتعلقة بعدم تقادم الجرائم المرتكبة ضد الإنسانية وجرائم الحرب، التي اعتمدت برعاية مجلس أوروبا في 25 كانون الثاني/</w:t>
      </w:r>
      <w:r w:rsidR="0099714A">
        <w:rPr>
          <w:rFonts w:hint="cs"/>
          <w:rtl/>
        </w:rPr>
        <w:t xml:space="preserve"> </w:t>
      </w:r>
      <w:r w:rsidRPr="00A10A96">
        <w:rPr>
          <w:rtl/>
        </w:rPr>
        <w:t>يناير</w:t>
      </w:r>
      <w:r w:rsidR="0099714A">
        <w:rPr>
          <w:rFonts w:hint="cs"/>
          <w:rtl/>
        </w:rPr>
        <w:t> </w:t>
      </w:r>
      <w:r w:rsidRPr="00A10A96">
        <w:rPr>
          <w:rtl/>
        </w:rPr>
        <w:t>1974، ولكنها لم تصدق عليها.</w:t>
      </w:r>
    </w:p>
    <w:p w:rsidR="00944A3C" w:rsidRPr="00A10A96" w:rsidRDefault="00944A3C" w:rsidP="00293C20">
      <w:pPr>
        <w:pStyle w:val="SingleTxtGA"/>
        <w:rPr>
          <w:rtl/>
        </w:rPr>
      </w:pPr>
      <w:r w:rsidRPr="00A10A96">
        <w:rPr>
          <w:rFonts w:hint="cs"/>
          <w:rtl/>
        </w:rPr>
        <w:t>225-</w:t>
      </w:r>
      <w:r w:rsidRPr="00A10A96">
        <w:rPr>
          <w:rtl/>
        </w:rPr>
        <w:tab/>
        <w:t>غير أن القانون المحلي ينص على عدم تقادم الجرائم المرتكبة ضد الإنسانية، بما فيها الإبادة الجماعية (المادة 213-5 من قانون العقوبات)</w:t>
      </w:r>
      <w:r w:rsidRPr="00A10A96">
        <w:rPr>
          <w:rFonts w:hint="cs"/>
          <w:rtl/>
        </w:rPr>
        <w:t>.</w:t>
      </w:r>
    </w:p>
    <w:p w:rsidR="00944A3C" w:rsidRPr="00A10A96" w:rsidRDefault="00944A3C" w:rsidP="00B4300A">
      <w:pPr>
        <w:pStyle w:val="SingleTxtGA"/>
        <w:rPr>
          <w:rtl/>
        </w:rPr>
      </w:pPr>
      <w:r w:rsidRPr="00A10A96">
        <w:rPr>
          <w:rFonts w:hint="cs"/>
          <w:rtl/>
        </w:rPr>
        <w:t>226-</w:t>
      </w:r>
      <w:r w:rsidRPr="00A10A96">
        <w:rPr>
          <w:rtl/>
        </w:rPr>
        <w:tab/>
        <w:t>أما جرائم الحرب فهي مجرَّمة بموجب المادة 461-1 وما يليها من قانون العقوبات</w:t>
      </w:r>
      <w:r w:rsidR="00B4300A">
        <w:rPr>
          <w:rStyle w:val="FootnoteReference"/>
          <w:rtl/>
        </w:rPr>
        <w:footnoteReference w:customMarkFollows="1" w:id="4"/>
        <w:t>(1)</w:t>
      </w:r>
      <w:r w:rsidRPr="00A10A96">
        <w:rPr>
          <w:rtl/>
        </w:rPr>
        <w:t>؛ وذلك منذ اعتماد القانون المؤرخ 9 آب/أغسطس</w:t>
      </w:r>
      <w:r w:rsidRPr="00A10A96">
        <w:rPr>
          <w:rFonts w:hint="cs"/>
          <w:rtl/>
        </w:rPr>
        <w:t>2010</w:t>
      </w:r>
      <w:r w:rsidR="00B4300A">
        <w:rPr>
          <w:rStyle w:val="FootnoteReference"/>
          <w:rtl/>
        </w:rPr>
        <w:footnoteReference w:customMarkFollows="1" w:id="5"/>
        <w:t>(2)</w:t>
      </w:r>
      <w:r w:rsidR="00B4300A" w:rsidRPr="00B4300A">
        <w:rPr>
          <w:rStyle w:val="EndnoteReference"/>
          <w:vertAlign w:val="baseline"/>
          <w:rtl/>
        </w:rPr>
        <w:t xml:space="preserve"> </w:t>
      </w:r>
      <w:r w:rsidRPr="00A10A96">
        <w:rPr>
          <w:rtl/>
        </w:rPr>
        <w:t xml:space="preserve">المتعلق بمواءمة قانون </w:t>
      </w:r>
      <w:r w:rsidRPr="00A10A96">
        <w:rPr>
          <w:rFonts w:hint="cs"/>
          <w:rtl/>
        </w:rPr>
        <w:t xml:space="preserve">العقوبات </w:t>
      </w:r>
      <w:r w:rsidRPr="00A10A96">
        <w:rPr>
          <w:rtl/>
        </w:rPr>
        <w:t>مع النظام الأساسي للمحكمة الجنائية الدولية. ورغم أن هذه الجرائم لا</w:t>
      </w:r>
      <w:r w:rsidR="003C01C6">
        <w:rPr>
          <w:rFonts w:hint="cs"/>
          <w:rtl/>
        </w:rPr>
        <w:t> </w:t>
      </w:r>
      <w:r w:rsidRPr="00A10A96">
        <w:rPr>
          <w:rtl/>
        </w:rPr>
        <w:t>تسقط بالتقادم، فقد مدد هذا القانون مدة تقادم الدعاوى الجنائية ومدة تنفيذ العقوبة.</w:t>
      </w:r>
      <w:r w:rsidRPr="00A10A96">
        <w:rPr>
          <w:rFonts w:hint="cs"/>
          <w:rtl/>
        </w:rPr>
        <w:t xml:space="preserve"> </w:t>
      </w:r>
      <w:r w:rsidRPr="00A10A96">
        <w:rPr>
          <w:rtl/>
        </w:rPr>
        <w:t>ولم</w:t>
      </w:r>
      <w:r w:rsidR="003C01C6">
        <w:rPr>
          <w:rFonts w:hint="cs"/>
          <w:rtl/>
        </w:rPr>
        <w:t> </w:t>
      </w:r>
      <w:r w:rsidRPr="00A10A96">
        <w:rPr>
          <w:rtl/>
        </w:rPr>
        <w:t>تعد بالتالي مدة تقادم جرائم الحرب 10 سنوات بل 30 سنة؛</w:t>
      </w:r>
      <w:r w:rsidRPr="00A10A96">
        <w:rPr>
          <w:rFonts w:hint="cs"/>
          <w:rtl/>
        </w:rPr>
        <w:t xml:space="preserve"> وانتقلت </w:t>
      </w:r>
      <w:r w:rsidRPr="00A10A96">
        <w:rPr>
          <w:rtl/>
        </w:rPr>
        <w:t>مدة تقادم جنح الحرب من 3 إلى</w:t>
      </w:r>
      <w:r w:rsidR="0099714A">
        <w:rPr>
          <w:rFonts w:hint="cs"/>
          <w:rtl/>
        </w:rPr>
        <w:t> </w:t>
      </w:r>
      <w:r w:rsidRPr="00A10A96">
        <w:rPr>
          <w:rtl/>
        </w:rPr>
        <w:t>10 سنوات.</w:t>
      </w:r>
    </w:p>
    <w:p w:rsidR="00944A3C" w:rsidRPr="005D0C50" w:rsidRDefault="0099714A" w:rsidP="0099714A">
      <w:pPr>
        <w:pStyle w:val="H23GA"/>
        <w:rPr>
          <w:spacing w:val="-2"/>
          <w:rtl/>
        </w:rPr>
      </w:pPr>
      <w:r>
        <w:rPr>
          <w:rtl/>
        </w:rPr>
        <w:tab/>
      </w:r>
      <w:r w:rsidR="00944A3C" w:rsidRPr="005D0C50">
        <w:rPr>
          <w:rFonts w:hint="cs"/>
          <w:rtl/>
        </w:rPr>
        <w:t>2-</w:t>
      </w:r>
      <w:r w:rsidR="00944A3C" w:rsidRPr="005D0C50">
        <w:rPr>
          <w:rtl/>
        </w:rPr>
        <w:tab/>
        <w:t>قبول اتفاقيات منظمة العمل الدولية</w:t>
      </w:r>
      <w:r w:rsidR="00944A3C">
        <w:rPr>
          <w:rStyle w:val="EndnoteReference"/>
          <w:b w:val="0"/>
          <w:bCs w:val="0"/>
          <w:spacing w:val="-2"/>
          <w:rtl/>
        </w:rPr>
        <w:t>(</w:t>
      </w:r>
      <w:r w:rsidR="00944A3C" w:rsidRPr="005D0C50">
        <w:rPr>
          <w:rStyle w:val="EndnoteReference"/>
          <w:b w:val="0"/>
          <w:bCs w:val="0"/>
          <w:spacing w:val="-2"/>
          <w:rtl/>
        </w:rPr>
        <w:endnoteReference w:id="191"/>
      </w:r>
      <w:r w:rsidR="00944A3C">
        <w:rPr>
          <w:rStyle w:val="EndnoteReference"/>
          <w:b w:val="0"/>
          <w:bCs w:val="0"/>
          <w:spacing w:val="-2"/>
          <w:rtl/>
        </w:rPr>
        <w:t>)</w:t>
      </w:r>
    </w:p>
    <w:tbl>
      <w:tblPr>
        <w:bidiVisual/>
        <w:tblW w:w="0" w:type="auto"/>
        <w:tblInd w:w="134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96"/>
        <w:gridCol w:w="2824"/>
        <w:gridCol w:w="2268"/>
      </w:tblGrid>
      <w:tr w:rsidR="00944A3C" w:rsidRPr="0099714A" w:rsidTr="00317979">
        <w:trPr>
          <w:cantSplit/>
          <w:tblHeader/>
        </w:trPr>
        <w:tc>
          <w:tcPr>
            <w:tcW w:w="3296" w:type="dxa"/>
            <w:tcBorders>
              <w:bottom w:val="single" w:sz="12" w:space="0" w:color="auto"/>
            </w:tcBorders>
            <w:shd w:val="clear" w:color="auto" w:fill="auto"/>
            <w:vAlign w:val="bottom"/>
          </w:tcPr>
          <w:p w:rsidR="00944A3C" w:rsidRPr="00437D92" w:rsidRDefault="00944A3C" w:rsidP="002D7359">
            <w:pPr>
              <w:spacing w:before="40" w:after="60" w:line="320" w:lineRule="exact"/>
              <w:ind w:right="227"/>
              <w:jc w:val="left"/>
              <w:textDirection w:val="tbRlV"/>
              <w:rPr>
                <w:i/>
                <w:iCs/>
                <w:sz w:val="18"/>
                <w:szCs w:val="28"/>
                <w:rtl/>
                <w:lang w:val="en-GB" w:eastAsia="zh-TW"/>
              </w:rPr>
            </w:pPr>
            <w:bookmarkStart w:id="142" w:name="bookmark_802"/>
            <w:r w:rsidRPr="00437D92">
              <w:rPr>
                <w:i/>
                <w:iCs/>
                <w:sz w:val="18"/>
                <w:szCs w:val="28"/>
                <w:rtl/>
                <w:lang w:val="en-GB" w:eastAsia="zh-TW"/>
              </w:rPr>
              <w:t>الصك الدولي</w:t>
            </w:r>
            <w:bookmarkEnd w:id="142"/>
          </w:p>
        </w:tc>
        <w:tc>
          <w:tcPr>
            <w:tcW w:w="2824" w:type="dxa"/>
            <w:tcBorders>
              <w:bottom w:val="single" w:sz="12" w:space="0" w:color="auto"/>
            </w:tcBorders>
            <w:shd w:val="clear" w:color="auto" w:fill="auto"/>
            <w:vAlign w:val="bottom"/>
          </w:tcPr>
          <w:p w:rsidR="00944A3C" w:rsidRPr="00437D92" w:rsidRDefault="00944A3C" w:rsidP="002D7359">
            <w:pPr>
              <w:spacing w:before="40" w:after="60" w:line="320" w:lineRule="exact"/>
              <w:ind w:right="170"/>
              <w:jc w:val="left"/>
              <w:textDirection w:val="tbRlV"/>
              <w:rPr>
                <w:i/>
                <w:iCs/>
                <w:spacing w:val="-2"/>
                <w:sz w:val="18"/>
                <w:szCs w:val="28"/>
                <w:rtl/>
                <w:lang w:val="en-GB" w:eastAsia="zh-TW"/>
              </w:rPr>
            </w:pPr>
            <w:bookmarkStart w:id="143" w:name="bookmark_803"/>
            <w:r w:rsidRPr="00437D92">
              <w:rPr>
                <w:i/>
                <w:iCs/>
                <w:spacing w:val="-2"/>
                <w:sz w:val="18"/>
                <w:szCs w:val="28"/>
                <w:rtl/>
                <w:lang w:val="en-GB" w:eastAsia="zh-TW"/>
              </w:rPr>
              <w:t>التصديق/الانضمام وقبول التعديلات والإجراءات الاختيارية</w:t>
            </w:r>
            <w:bookmarkEnd w:id="143"/>
          </w:p>
        </w:tc>
        <w:tc>
          <w:tcPr>
            <w:tcW w:w="2268" w:type="dxa"/>
            <w:tcBorders>
              <w:bottom w:val="single" w:sz="12" w:space="0" w:color="auto"/>
            </w:tcBorders>
            <w:shd w:val="clear" w:color="auto" w:fill="auto"/>
            <w:vAlign w:val="bottom"/>
          </w:tcPr>
          <w:p w:rsidR="00944A3C" w:rsidRPr="00437D92" w:rsidRDefault="00944A3C" w:rsidP="002D7359">
            <w:pPr>
              <w:spacing w:before="40" w:after="60" w:line="320" w:lineRule="exact"/>
              <w:ind w:left="57"/>
              <w:jc w:val="left"/>
              <w:textDirection w:val="tbRlV"/>
              <w:rPr>
                <w:i/>
                <w:iCs/>
                <w:sz w:val="18"/>
                <w:szCs w:val="28"/>
                <w:rtl/>
                <w:lang w:val="en-GB" w:eastAsia="zh-TW"/>
              </w:rPr>
            </w:pPr>
            <w:bookmarkStart w:id="144" w:name="bookmark_804"/>
            <w:r w:rsidRPr="00437D92">
              <w:rPr>
                <w:i/>
                <w:iCs/>
                <w:sz w:val="18"/>
                <w:szCs w:val="28"/>
                <w:rtl/>
                <w:lang w:val="en-GB" w:eastAsia="zh-TW"/>
              </w:rPr>
              <w:t>ملاحظات</w:t>
            </w:r>
            <w:bookmarkEnd w:id="144"/>
          </w:p>
        </w:tc>
      </w:tr>
      <w:tr w:rsidR="00944A3C" w:rsidRPr="0099714A" w:rsidTr="00317979">
        <w:trPr>
          <w:cantSplit/>
        </w:trPr>
        <w:tc>
          <w:tcPr>
            <w:tcW w:w="3296" w:type="dxa"/>
            <w:tcBorders>
              <w:top w:val="single" w:sz="12" w:space="0" w:color="auto"/>
            </w:tcBorders>
            <w:shd w:val="clear" w:color="auto" w:fill="auto"/>
          </w:tcPr>
          <w:p w:rsidR="00944A3C" w:rsidRPr="0099714A" w:rsidRDefault="00944A3C" w:rsidP="002D7359">
            <w:pPr>
              <w:spacing w:before="40" w:after="60" w:line="320" w:lineRule="exact"/>
              <w:ind w:right="227"/>
              <w:textDirection w:val="tbRlV"/>
              <w:rPr>
                <w:sz w:val="18"/>
                <w:szCs w:val="28"/>
                <w:rtl/>
                <w:lang w:val="en-GB" w:eastAsia="zh-TW"/>
              </w:rPr>
            </w:pPr>
            <w:bookmarkStart w:id="145" w:name="bookmark_805"/>
            <w:r w:rsidRPr="0099714A">
              <w:rPr>
                <w:sz w:val="18"/>
                <w:szCs w:val="28"/>
                <w:rtl/>
                <w:lang w:val="en-GB" w:eastAsia="zh-TW"/>
              </w:rPr>
              <w:t>اتفاقية الراحة الأسبوعية ‏‏(الصناعة)، لعام</w:t>
            </w:r>
            <w:r w:rsidR="0054311D">
              <w:rPr>
                <w:rFonts w:hint="cs"/>
                <w:sz w:val="18"/>
                <w:szCs w:val="28"/>
                <w:rtl/>
                <w:lang w:val="en-GB" w:eastAsia="zh-TW"/>
              </w:rPr>
              <w:t> </w:t>
            </w:r>
            <w:r w:rsidRPr="0099714A">
              <w:rPr>
                <w:sz w:val="18"/>
                <w:szCs w:val="28"/>
                <w:rtl/>
                <w:lang w:val="en-GB" w:eastAsia="zh-TW"/>
              </w:rPr>
              <w:t>1921 (رقم ‏‏14)‏</w:t>
            </w:r>
            <w:bookmarkEnd w:id="145"/>
          </w:p>
        </w:tc>
        <w:tc>
          <w:tcPr>
            <w:tcW w:w="2824" w:type="dxa"/>
            <w:tcBorders>
              <w:top w:val="single" w:sz="12" w:space="0" w:color="auto"/>
            </w:tcBorders>
            <w:shd w:val="clear" w:color="auto" w:fill="auto"/>
          </w:tcPr>
          <w:p w:rsidR="00944A3C" w:rsidRPr="0099714A" w:rsidRDefault="00944A3C" w:rsidP="002D7359">
            <w:pPr>
              <w:spacing w:before="40" w:after="60" w:line="320" w:lineRule="exact"/>
              <w:ind w:right="170"/>
              <w:textDirection w:val="tbRlV"/>
              <w:rPr>
                <w:sz w:val="18"/>
                <w:szCs w:val="28"/>
                <w:rtl/>
                <w:lang w:val="en-GB" w:eastAsia="zh-TW"/>
              </w:rPr>
            </w:pPr>
            <w:bookmarkStart w:id="146" w:name="bookmark_806"/>
            <w:r w:rsidRPr="0099714A">
              <w:rPr>
                <w:rFonts w:hint="cs"/>
                <w:sz w:val="18"/>
                <w:szCs w:val="28"/>
                <w:rtl/>
                <w:lang w:val="en-GB" w:eastAsia="zh-TW"/>
              </w:rPr>
              <w:t xml:space="preserve">3 </w:t>
            </w:r>
            <w:r w:rsidRPr="0099714A">
              <w:rPr>
                <w:sz w:val="18"/>
                <w:szCs w:val="28"/>
                <w:rtl/>
                <w:lang w:val="en-GB" w:eastAsia="zh-TW"/>
              </w:rPr>
              <w:t>أيلول/سبتمبر 1926</w:t>
            </w:r>
            <w:bookmarkEnd w:id="146"/>
          </w:p>
        </w:tc>
        <w:tc>
          <w:tcPr>
            <w:tcW w:w="2268" w:type="dxa"/>
            <w:tcBorders>
              <w:top w:val="single" w:sz="12" w:space="0" w:color="auto"/>
            </w:tcBorders>
            <w:shd w:val="clear" w:color="auto" w:fill="auto"/>
          </w:tcPr>
          <w:p w:rsidR="00944A3C" w:rsidRPr="0099714A" w:rsidRDefault="00944A3C" w:rsidP="002D7359">
            <w:pPr>
              <w:spacing w:before="40" w:after="60" w:line="320" w:lineRule="exact"/>
              <w:ind w:left="57"/>
              <w:textDirection w:val="tbRlV"/>
              <w:rPr>
                <w:sz w:val="18"/>
                <w:szCs w:val="28"/>
                <w:rtl/>
                <w:lang w:val="en-GB" w:eastAsia="zh-TW"/>
              </w:rPr>
            </w:pPr>
            <w:bookmarkStart w:id="147" w:name="bookmark_807"/>
            <w:r w:rsidRPr="0099714A">
              <w:rPr>
                <w:sz w:val="18"/>
                <w:szCs w:val="28"/>
                <w:rtl/>
                <w:lang w:val="en-GB" w:eastAsia="zh-TW"/>
              </w:rPr>
              <w:t>لا ينطبق</w:t>
            </w:r>
            <w:bookmarkEnd w:id="147"/>
          </w:p>
        </w:tc>
      </w:tr>
      <w:tr w:rsidR="00944A3C" w:rsidRPr="0099714A" w:rsidTr="00317979">
        <w:trPr>
          <w:cantSplit/>
        </w:trPr>
        <w:tc>
          <w:tcPr>
            <w:tcW w:w="3296" w:type="dxa"/>
            <w:shd w:val="clear" w:color="auto" w:fill="auto"/>
          </w:tcPr>
          <w:p w:rsidR="00944A3C" w:rsidRPr="0099714A" w:rsidRDefault="00944A3C" w:rsidP="002D7359">
            <w:pPr>
              <w:spacing w:before="40" w:after="60" w:line="320" w:lineRule="exact"/>
              <w:ind w:right="227"/>
              <w:textDirection w:val="tbRlV"/>
              <w:rPr>
                <w:sz w:val="18"/>
                <w:szCs w:val="28"/>
                <w:rtl/>
                <w:lang w:val="en-GB" w:eastAsia="zh-TW"/>
              </w:rPr>
            </w:pPr>
            <w:bookmarkStart w:id="148" w:name="bookmark_808"/>
            <w:r w:rsidRPr="0099714A">
              <w:rPr>
                <w:sz w:val="18"/>
                <w:szCs w:val="28"/>
                <w:rtl/>
                <w:lang w:val="en-GB" w:eastAsia="zh-TW"/>
              </w:rPr>
              <w:t>الاتفاقية المتعلقة بالعمل الجبري، لعام</w:t>
            </w:r>
            <w:r w:rsidR="0054311D">
              <w:rPr>
                <w:rFonts w:hint="cs"/>
                <w:sz w:val="18"/>
                <w:szCs w:val="28"/>
                <w:rtl/>
                <w:lang w:val="en-GB" w:eastAsia="zh-TW"/>
              </w:rPr>
              <w:t> </w:t>
            </w:r>
            <w:r w:rsidRPr="0099714A">
              <w:rPr>
                <w:sz w:val="18"/>
                <w:szCs w:val="28"/>
                <w:rtl/>
                <w:lang w:val="en-GB" w:eastAsia="zh-TW"/>
              </w:rPr>
              <w:t>1930 (رقم 29)</w:t>
            </w:r>
            <w:bookmarkEnd w:id="148"/>
          </w:p>
        </w:tc>
        <w:tc>
          <w:tcPr>
            <w:tcW w:w="2824" w:type="dxa"/>
            <w:shd w:val="clear" w:color="auto" w:fill="auto"/>
          </w:tcPr>
          <w:p w:rsidR="00944A3C" w:rsidRPr="0099714A" w:rsidRDefault="00944A3C" w:rsidP="002D7359">
            <w:pPr>
              <w:spacing w:before="40" w:after="60" w:line="320" w:lineRule="exact"/>
              <w:ind w:right="170"/>
              <w:textDirection w:val="tbRlV"/>
              <w:rPr>
                <w:sz w:val="18"/>
                <w:szCs w:val="28"/>
                <w:rtl/>
                <w:lang w:val="en-GB" w:eastAsia="zh-TW"/>
              </w:rPr>
            </w:pPr>
            <w:bookmarkStart w:id="149" w:name="bookmark_809"/>
            <w:r w:rsidRPr="0099714A">
              <w:rPr>
                <w:rFonts w:hint="cs"/>
                <w:sz w:val="18"/>
                <w:szCs w:val="28"/>
                <w:rtl/>
                <w:lang w:val="en-GB" w:eastAsia="zh-TW"/>
              </w:rPr>
              <w:t xml:space="preserve">24 </w:t>
            </w:r>
            <w:r w:rsidRPr="0099714A">
              <w:rPr>
                <w:sz w:val="18"/>
                <w:szCs w:val="28"/>
                <w:rtl/>
                <w:lang w:val="en-GB" w:eastAsia="zh-TW"/>
              </w:rPr>
              <w:t>حزيران/يونيه 1937</w:t>
            </w:r>
            <w:bookmarkEnd w:id="149"/>
          </w:p>
        </w:tc>
        <w:tc>
          <w:tcPr>
            <w:tcW w:w="2268" w:type="dxa"/>
            <w:shd w:val="clear" w:color="auto" w:fill="auto"/>
          </w:tcPr>
          <w:p w:rsidR="00944A3C" w:rsidRPr="0099714A" w:rsidRDefault="00944A3C" w:rsidP="002D7359">
            <w:pPr>
              <w:spacing w:before="40" w:after="60" w:line="320" w:lineRule="exact"/>
              <w:ind w:left="57"/>
              <w:textDirection w:val="tbRlV"/>
              <w:rPr>
                <w:sz w:val="18"/>
                <w:szCs w:val="28"/>
                <w:rtl/>
                <w:lang w:val="en-GB" w:eastAsia="zh-TW"/>
              </w:rPr>
            </w:pPr>
            <w:bookmarkStart w:id="150" w:name="bookmark_810"/>
            <w:r w:rsidRPr="0099714A">
              <w:rPr>
                <w:sz w:val="18"/>
                <w:szCs w:val="28"/>
                <w:rtl/>
                <w:lang w:val="en-GB" w:eastAsia="zh-TW"/>
              </w:rPr>
              <w:t>لا ينطبق</w:t>
            </w:r>
            <w:bookmarkEnd w:id="150"/>
          </w:p>
        </w:tc>
      </w:tr>
      <w:tr w:rsidR="00944A3C" w:rsidRPr="0099714A" w:rsidTr="00317979">
        <w:trPr>
          <w:cantSplit/>
        </w:trPr>
        <w:tc>
          <w:tcPr>
            <w:tcW w:w="3296" w:type="dxa"/>
            <w:shd w:val="clear" w:color="auto" w:fill="auto"/>
          </w:tcPr>
          <w:p w:rsidR="00944A3C" w:rsidRPr="0054311D" w:rsidRDefault="00944A3C" w:rsidP="002D7359">
            <w:pPr>
              <w:spacing w:before="40" w:after="60" w:line="320" w:lineRule="exact"/>
              <w:ind w:right="227"/>
              <w:textDirection w:val="tbRlV"/>
              <w:rPr>
                <w:spacing w:val="-10"/>
                <w:sz w:val="18"/>
                <w:szCs w:val="28"/>
                <w:rtl/>
                <w:lang w:val="en-GB" w:eastAsia="zh-TW"/>
              </w:rPr>
            </w:pPr>
            <w:bookmarkStart w:id="151" w:name="bookmark_811"/>
            <w:r w:rsidRPr="0054311D">
              <w:rPr>
                <w:spacing w:val="-10"/>
                <w:sz w:val="18"/>
                <w:szCs w:val="28"/>
                <w:rtl/>
                <w:lang w:val="en-GB" w:eastAsia="zh-TW"/>
              </w:rPr>
              <w:t>اتفاقية تفتيش العمل، لعام 1947 ‏‏(رقم 81)</w:t>
            </w:r>
            <w:bookmarkEnd w:id="151"/>
          </w:p>
        </w:tc>
        <w:tc>
          <w:tcPr>
            <w:tcW w:w="2824" w:type="dxa"/>
            <w:shd w:val="clear" w:color="auto" w:fill="auto"/>
          </w:tcPr>
          <w:p w:rsidR="00944A3C" w:rsidRPr="0099714A" w:rsidRDefault="00944A3C" w:rsidP="002D7359">
            <w:pPr>
              <w:spacing w:before="40" w:after="60" w:line="320" w:lineRule="exact"/>
              <w:ind w:right="170"/>
              <w:textDirection w:val="tbRlV"/>
              <w:rPr>
                <w:sz w:val="18"/>
                <w:szCs w:val="28"/>
                <w:rtl/>
                <w:lang w:val="en-GB" w:eastAsia="zh-TW"/>
              </w:rPr>
            </w:pPr>
            <w:bookmarkStart w:id="152" w:name="bookmark_812"/>
            <w:r w:rsidRPr="0099714A">
              <w:rPr>
                <w:rFonts w:hint="cs"/>
                <w:sz w:val="18"/>
                <w:szCs w:val="28"/>
                <w:rtl/>
                <w:lang w:val="en-GB" w:eastAsia="zh-TW"/>
              </w:rPr>
              <w:t xml:space="preserve">16 </w:t>
            </w:r>
            <w:r w:rsidRPr="0099714A">
              <w:rPr>
                <w:sz w:val="18"/>
                <w:szCs w:val="28"/>
                <w:rtl/>
                <w:lang w:val="en-GB" w:eastAsia="zh-TW"/>
              </w:rPr>
              <w:t>كانون الأول/ديسمبر 1950</w:t>
            </w:r>
            <w:bookmarkEnd w:id="152"/>
          </w:p>
        </w:tc>
        <w:tc>
          <w:tcPr>
            <w:tcW w:w="2268" w:type="dxa"/>
            <w:shd w:val="clear" w:color="auto" w:fill="auto"/>
          </w:tcPr>
          <w:p w:rsidR="00944A3C" w:rsidRPr="0099714A" w:rsidRDefault="00944A3C" w:rsidP="002D7359">
            <w:pPr>
              <w:spacing w:before="40" w:after="60" w:line="320" w:lineRule="exact"/>
              <w:ind w:left="57"/>
              <w:textDirection w:val="tbRlV"/>
              <w:rPr>
                <w:sz w:val="18"/>
                <w:szCs w:val="28"/>
                <w:rtl/>
                <w:lang w:val="en-GB" w:eastAsia="zh-TW"/>
              </w:rPr>
            </w:pPr>
            <w:bookmarkStart w:id="153" w:name="bookmark_813"/>
            <w:r w:rsidRPr="0099714A">
              <w:rPr>
                <w:sz w:val="18"/>
                <w:szCs w:val="28"/>
                <w:rtl/>
                <w:lang w:val="en-GB" w:eastAsia="zh-TW"/>
              </w:rPr>
              <w:t>لا ينطبق</w:t>
            </w:r>
            <w:bookmarkEnd w:id="153"/>
          </w:p>
        </w:tc>
      </w:tr>
      <w:tr w:rsidR="00944A3C" w:rsidRPr="0099714A" w:rsidTr="00317979">
        <w:trPr>
          <w:cantSplit/>
        </w:trPr>
        <w:tc>
          <w:tcPr>
            <w:tcW w:w="3296" w:type="dxa"/>
            <w:shd w:val="clear" w:color="auto" w:fill="auto"/>
          </w:tcPr>
          <w:p w:rsidR="00944A3C" w:rsidRPr="0099714A" w:rsidRDefault="00944A3C" w:rsidP="002D7359">
            <w:pPr>
              <w:spacing w:before="40" w:after="60" w:line="320" w:lineRule="exact"/>
              <w:ind w:right="227"/>
              <w:textDirection w:val="tbRlV"/>
              <w:rPr>
                <w:sz w:val="18"/>
                <w:szCs w:val="28"/>
                <w:rtl/>
                <w:lang w:val="en-GB" w:eastAsia="zh-TW"/>
              </w:rPr>
            </w:pPr>
            <w:bookmarkStart w:id="154" w:name="bookmark_814"/>
            <w:r w:rsidRPr="0099714A">
              <w:rPr>
                <w:sz w:val="18"/>
                <w:szCs w:val="28"/>
                <w:rtl/>
                <w:lang w:val="en-GB" w:eastAsia="zh-TW"/>
              </w:rPr>
              <w:t>اتفاقية الحرية النقابية وحماية حق التنظيم، لعام 1948 (رقم 87)</w:t>
            </w:r>
            <w:bookmarkEnd w:id="154"/>
          </w:p>
        </w:tc>
        <w:tc>
          <w:tcPr>
            <w:tcW w:w="2824" w:type="dxa"/>
            <w:shd w:val="clear" w:color="auto" w:fill="auto"/>
          </w:tcPr>
          <w:p w:rsidR="00944A3C" w:rsidRPr="0099714A" w:rsidRDefault="00944A3C" w:rsidP="002D7359">
            <w:pPr>
              <w:spacing w:before="40" w:after="60" w:line="320" w:lineRule="exact"/>
              <w:ind w:right="170"/>
              <w:textDirection w:val="tbRlV"/>
              <w:rPr>
                <w:sz w:val="18"/>
                <w:szCs w:val="28"/>
                <w:rtl/>
                <w:lang w:val="en-GB" w:eastAsia="zh-TW"/>
              </w:rPr>
            </w:pPr>
            <w:bookmarkStart w:id="155" w:name="bookmark_815"/>
            <w:r w:rsidRPr="0099714A">
              <w:rPr>
                <w:rFonts w:hint="cs"/>
                <w:sz w:val="18"/>
                <w:szCs w:val="28"/>
                <w:rtl/>
                <w:lang w:val="en-GB" w:eastAsia="zh-TW"/>
              </w:rPr>
              <w:t xml:space="preserve">28 </w:t>
            </w:r>
            <w:r w:rsidRPr="0099714A">
              <w:rPr>
                <w:sz w:val="18"/>
                <w:szCs w:val="28"/>
                <w:rtl/>
                <w:lang w:val="en-GB" w:eastAsia="zh-TW"/>
              </w:rPr>
              <w:t>حزيران/يونيه 1951</w:t>
            </w:r>
            <w:bookmarkEnd w:id="155"/>
          </w:p>
        </w:tc>
        <w:tc>
          <w:tcPr>
            <w:tcW w:w="2268" w:type="dxa"/>
            <w:shd w:val="clear" w:color="auto" w:fill="auto"/>
          </w:tcPr>
          <w:p w:rsidR="00944A3C" w:rsidRPr="0099714A" w:rsidRDefault="00944A3C" w:rsidP="002D7359">
            <w:pPr>
              <w:spacing w:before="40" w:after="60" w:line="320" w:lineRule="exact"/>
              <w:ind w:left="57"/>
              <w:textDirection w:val="tbRlV"/>
              <w:rPr>
                <w:sz w:val="18"/>
                <w:szCs w:val="28"/>
                <w:rtl/>
                <w:lang w:val="en-GB" w:eastAsia="zh-TW"/>
              </w:rPr>
            </w:pPr>
            <w:bookmarkStart w:id="156" w:name="bookmark_816"/>
            <w:r w:rsidRPr="0099714A">
              <w:rPr>
                <w:sz w:val="18"/>
                <w:szCs w:val="28"/>
                <w:rtl/>
                <w:lang w:val="en-GB" w:eastAsia="zh-TW"/>
              </w:rPr>
              <w:t>لا ينطبق</w:t>
            </w:r>
            <w:bookmarkEnd w:id="156"/>
          </w:p>
        </w:tc>
      </w:tr>
      <w:tr w:rsidR="00944A3C" w:rsidRPr="0099714A" w:rsidTr="00317979">
        <w:trPr>
          <w:cantSplit/>
        </w:trPr>
        <w:tc>
          <w:tcPr>
            <w:tcW w:w="3296" w:type="dxa"/>
            <w:shd w:val="clear" w:color="auto" w:fill="auto"/>
          </w:tcPr>
          <w:p w:rsidR="00944A3C" w:rsidRPr="0099714A" w:rsidRDefault="00944A3C" w:rsidP="002D7359">
            <w:pPr>
              <w:spacing w:before="40" w:after="60" w:line="320" w:lineRule="exact"/>
              <w:ind w:right="227"/>
              <w:textDirection w:val="tbRlV"/>
              <w:rPr>
                <w:sz w:val="18"/>
                <w:szCs w:val="28"/>
                <w:rtl/>
                <w:lang w:val="en-GB" w:eastAsia="zh-TW"/>
              </w:rPr>
            </w:pPr>
            <w:bookmarkStart w:id="157" w:name="bookmark_817"/>
            <w:r w:rsidRPr="0099714A">
              <w:rPr>
                <w:sz w:val="18"/>
                <w:szCs w:val="28"/>
                <w:rtl/>
                <w:lang w:val="en-GB" w:eastAsia="zh-TW"/>
              </w:rPr>
              <w:t>اتفاقية العمال المهاجرين (مراجعة)، لعام</w:t>
            </w:r>
            <w:r w:rsidR="0086182B">
              <w:rPr>
                <w:rFonts w:hint="cs"/>
                <w:sz w:val="18"/>
                <w:szCs w:val="28"/>
                <w:rtl/>
                <w:lang w:val="en-GB" w:eastAsia="zh-TW"/>
              </w:rPr>
              <w:t> </w:t>
            </w:r>
            <w:r w:rsidRPr="0099714A">
              <w:rPr>
                <w:sz w:val="18"/>
                <w:szCs w:val="28"/>
                <w:rtl/>
                <w:lang w:val="en-GB" w:eastAsia="zh-TW"/>
              </w:rPr>
              <w:t>1949 (رقم 97)</w:t>
            </w:r>
            <w:bookmarkEnd w:id="157"/>
          </w:p>
        </w:tc>
        <w:tc>
          <w:tcPr>
            <w:tcW w:w="2824" w:type="dxa"/>
            <w:shd w:val="clear" w:color="auto" w:fill="auto"/>
          </w:tcPr>
          <w:p w:rsidR="00944A3C" w:rsidRPr="0099714A" w:rsidRDefault="00944A3C" w:rsidP="002D7359">
            <w:pPr>
              <w:spacing w:before="40" w:after="60" w:line="320" w:lineRule="exact"/>
              <w:ind w:right="170"/>
              <w:textDirection w:val="tbRlV"/>
              <w:rPr>
                <w:sz w:val="18"/>
                <w:szCs w:val="28"/>
                <w:rtl/>
                <w:lang w:val="en-GB" w:eastAsia="zh-TW"/>
              </w:rPr>
            </w:pPr>
            <w:bookmarkStart w:id="158" w:name="bookmark_818"/>
            <w:r w:rsidRPr="0099714A">
              <w:rPr>
                <w:rFonts w:hint="cs"/>
                <w:sz w:val="18"/>
                <w:szCs w:val="28"/>
                <w:rtl/>
                <w:lang w:val="en-GB" w:eastAsia="zh-TW"/>
              </w:rPr>
              <w:t xml:space="preserve">29 </w:t>
            </w:r>
            <w:r w:rsidRPr="0099714A">
              <w:rPr>
                <w:sz w:val="18"/>
                <w:szCs w:val="28"/>
                <w:rtl/>
                <w:lang w:val="en-GB" w:eastAsia="zh-TW"/>
              </w:rPr>
              <w:t>آذار/مارس 1954</w:t>
            </w:r>
            <w:bookmarkEnd w:id="158"/>
          </w:p>
        </w:tc>
        <w:tc>
          <w:tcPr>
            <w:tcW w:w="2268" w:type="dxa"/>
            <w:shd w:val="clear" w:color="auto" w:fill="auto"/>
          </w:tcPr>
          <w:p w:rsidR="00944A3C" w:rsidRPr="0099714A" w:rsidRDefault="00944A3C" w:rsidP="002D7359">
            <w:pPr>
              <w:spacing w:before="40" w:after="60" w:line="320" w:lineRule="exact"/>
              <w:ind w:left="57"/>
              <w:textDirection w:val="tbRlV"/>
              <w:rPr>
                <w:sz w:val="18"/>
                <w:szCs w:val="28"/>
                <w:rtl/>
                <w:lang w:val="en-GB" w:eastAsia="zh-TW"/>
              </w:rPr>
            </w:pPr>
            <w:bookmarkStart w:id="159" w:name="bookmark_819"/>
            <w:r w:rsidRPr="0099714A">
              <w:rPr>
                <w:rFonts w:hint="cs"/>
                <w:sz w:val="18"/>
                <w:szCs w:val="28"/>
                <w:rtl/>
                <w:lang w:val="en-GB" w:eastAsia="zh-TW"/>
              </w:rPr>
              <w:t>ا</w:t>
            </w:r>
            <w:r w:rsidRPr="0099714A">
              <w:rPr>
                <w:sz w:val="18"/>
                <w:szCs w:val="28"/>
                <w:rtl/>
                <w:lang w:val="en-GB" w:eastAsia="zh-TW"/>
              </w:rPr>
              <w:t>ستثن</w:t>
            </w:r>
            <w:r w:rsidRPr="0099714A">
              <w:rPr>
                <w:rFonts w:hint="cs"/>
                <w:sz w:val="18"/>
                <w:szCs w:val="28"/>
                <w:rtl/>
                <w:lang w:val="en-GB" w:eastAsia="zh-TW"/>
              </w:rPr>
              <w:t>يت</w:t>
            </w:r>
            <w:r w:rsidRPr="0099714A">
              <w:rPr>
                <w:sz w:val="18"/>
                <w:szCs w:val="28"/>
                <w:rtl/>
                <w:lang w:val="en-GB" w:eastAsia="zh-TW"/>
              </w:rPr>
              <w:t xml:space="preserve"> أحكام المرفق الثاني</w:t>
            </w:r>
            <w:bookmarkEnd w:id="159"/>
          </w:p>
        </w:tc>
      </w:tr>
      <w:tr w:rsidR="00944A3C" w:rsidRPr="0099714A" w:rsidTr="00317979">
        <w:trPr>
          <w:cantSplit/>
        </w:trPr>
        <w:tc>
          <w:tcPr>
            <w:tcW w:w="3296" w:type="dxa"/>
            <w:shd w:val="clear" w:color="auto" w:fill="auto"/>
          </w:tcPr>
          <w:p w:rsidR="00944A3C" w:rsidRPr="0099714A" w:rsidRDefault="00944A3C" w:rsidP="002D7359">
            <w:pPr>
              <w:spacing w:before="40" w:after="60" w:line="320" w:lineRule="exact"/>
              <w:ind w:right="227"/>
              <w:textDirection w:val="tbRlV"/>
              <w:rPr>
                <w:sz w:val="18"/>
                <w:szCs w:val="28"/>
                <w:rtl/>
                <w:lang w:val="en-GB" w:eastAsia="zh-TW"/>
              </w:rPr>
            </w:pPr>
            <w:bookmarkStart w:id="160" w:name="bookmark_820"/>
            <w:r w:rsidRPr="0099714A">
              <w:rPr>
                <w:sz w:val="18"/>
                <w:szCs w:val="28"/>
                <w:rtl/>
                <w:lang w:val="en-GB" w:eastAsia="zh-TW"/>
              </w:rPr>
              <w:t>اتفاقية حق التنظيم والمفاوضة ‏الجماعية، لعام</w:t>
            </w:r>
            <w:r w:rsidR="0086182B">
              <w:rPr>
                <w:rFonts w:hint="cs"/>
                <w:sz w:val="18"/>
                <w:szCs w:val="28"/>
                <w:rtl/>
                <w:lang w:val="en-GB" w:eastAsia="zh-TW"/>
              </w:rPr>
              <w:t> </w:t>
            </w:r>
            <w:r w:rsidRPr="0099714A">
              <w:rPr>
                <w:sz w:val="18"/>
                <w:szCs w:val="28"/>
                <w:rtl/>
                <w:lang w:val="en-GB" w:eastAsia="zh-TW"/>
              </w:rPr>
              <w:t>1949 (رقم 98)‏</w:t>
            </w:r>
            <w:bookmarkEnd w:id="160"/>
          </w:p>
        </w:tc>
        <w:tc>
          <w:tcPr>
            <w:tcW w:w="2824" w:type="dxa"/>
            <w:shd w:val="clear" w:color="auto" w:fill="auto"/>
          </w:tcPr>
          <w:p w:rsidR="00944A3C" w:rsidRPr="0099714A" w:rsidRDefault="00944A3C" w:rsidP="002D7359">
            <w:pPr>
              <w:spacing w:before="40" w:after="60" w:line="320" w:lineRule="exact"/>
              <w:ind w:right="170"/>
              <w:textDirection w:val="tbRlV"/>
              <w:rPr>
                <w:sz w:val="18"/>
                <w:szCs w:val="28"/>
                <w:rtl/>
                <w:lang w:val="en-GB" w:eastAsia="zh-TW"/>
              </w:rPr>
            </w:pPr>
            <w:bookmarkStart w:id="161" w:name="bookmark_821"/>
            <w:r w:rsidRPr="0099714A">
              <w:rPr>
                <w:rFonts w:hint="cs"/>
                <w:sz w:val="18"/>
                <w:szCs w:val="28"/>
                <w:rtl/>
                <w:lang w:val="en-GB" w:eastAsia="zh-TW"/>
              </w:rPr>
              <w:t xml:space="preserve">26 </w:t>
            </w:r>
            <w:r w:rsidRPr="0099714A">
              <w:rPr>
                <w:sz w:val="18"/>
                <w:szCs w:val="28"/>
                <w:rtl/>
                <w:lang w:val="en-GB" w:eastAsia="zh-TW"/>
              </w:rPr>
              <w:t>تشرين الأول/أكتوبر 1951</w:t>
            </w:r>
            <w:bookmarkEnd w:id="161"/>
          </w:p>
        </w:tc>
        <w:tc>
          <w:tcPr>
            <w:tcW w:w="2268" w:type="dxa"/>
            <w:shd w:val="clear" w:color="auto" w:fill="auto"/>
          </w:tcPr>
          <w:p w:rsidR="00944A3C" w:rsidRPr="0099714A" w:rsidRDefault="00944A3C" w:rsidP="002D7359">
            <w:pPr>
              <w:spacing w:before="40" w:after="60" w:line="320" w:lineRule="exact"/>
              <w:ind w:left="57"/>
              <w:textDirection w:val="tbRlV"/>
              <w:rPr>
                <w:sz w:val="18"/>
                <w:szCs w:val="28"/>
                <w:rtl/>
                <w:lang w:val="en-GB" w:eastAsia="zh-TW"/>
              </w:rPr>
            </w:pPr>
            <w:bookmarkStart w:id="162" w:name="bookmark_822"/>
            <w:r w:rsidRPr="0099714A">
              <w:rPr>
                <w:sz w:val="18"/>
                <w:szCs w:val="28"/>
                <w:rtl/>
                <w:lang w:val="en-GB" w:eastAsia="zh-TW"/>
              </w:rPr>
              <w:t>لا ينطبق</w:t>
            </w:r>
            <w:bookmarkEnd w:id="162"/>
          </w:p>
        </w:tc>
      </w:tr>
      <w:tr w:rsidR="00944A3C" w:rsidRPr="0099714A" w:rsidTr="00317979">
        <w:trPr>
          <w:cantSplit/>
        </w:trPr>
        <w:tc>
          <w:tcPr>
            <w:tcW w:w="3296" w:type="dxa"/>
            <w:shd w:val="clear" w:color="auto" w:fill="auto"/>
          </w:tcPr>
          <w:p w:rsidR="00944A3C" w:rsidRPr="0099714A" w:rsidRDefault="00944A3C" w:rsidP="002D7359">
            <w:pPr>
              <w:spacing w:before="40" w:after="60" w:line="320" w:lineRule="exact"/>
              <w:ind w:right="227"/>
              <w:textDirection w:val="tbRlV"/>
              <w:rPr>
                <w:sz w:val="18"/>
                <w:szCs w:val="28"/>
                <w:rtl/>
                <w:lang w:val="en-GB" w:eastAsia="zh-TW"/>
              </w:rPr>
            </w:pPr>
            <w:bookmarkStart w:id="163" w:name="bookmark_823"/>
            <w:r w:rsidRPr="0099714A">
              <w:rPr>
                <w:sz w:val="18"/>
                <w:szCs w:val="28"/>
                <w:rtl/>
                <w:lang w:val="en-GB" w:eastAsia="zh-TW"/>
              </w:rPr>
              <w:t>اتفاقية المساواة في الأجور، ‏‏لعام 1951 (رقم</w:t>
            </w:r>
            <w:r w:rsidR="0086182B">
              <w:rPr>
                <w:rFonts w:hint="cs"/>
                <w:sz w:val="18"/>
                <w:szCs w:val="28"/>
                <w:rtl/>
                <w:lang w:val="en-GB" w:eastAsia="zh-TW"/>
              </w:rPr>
              <w:t> </w:t>
            </w:r>
            <w:r w:rsidRPr="0099714A">
              <w:rPr>
                <w:sz w:val="18"/>
                <w:szCs w:val="28"/>
                <w:rtl/>
                <w:lang w:val="en-GB" w:eastAsia="zh-TW"/>
              </w:rPr>
              <w:t>100)‏</w:t>
            </w:r>
            <w:bookmarkEnd w:id="163"/>
          </w:p>
        </w:tc>
        <w:tc>
          <w:tcPr>
            <w:tcW w:w="2824" w:type="dxa"/>
            <w:shd w:val="clear" w:color="auto" w:fill="auto"/>
          </w:tcPr>
          <w:p w:rsidR="00944A3C" w:rsidRPr="0099714A" w:rsidRDefault="00944A3C" w:rsidP="002D7359">
            <w:pPr>
              <w:spacing w:before="40" w:after="60" w:line="320" w:lineRule="exact"/>
              <w:ind w:right="170"/>
              <w:textDirection w:val="tbRlV"/>
              <w:rPr>
                <w:sz w:val="18"/>
                <w:szCs w:val="28"/>
                <w:rtl/>
                <w:lang w:val="en-GB" w:eastAsia="zh-TW"/>
              </w:rPr>
            </w:pPr>
            <w:bookmarkStart w:id="164" w:name="bookmark_824"/>
            <w:r w:rsidRPr="0099714A">
              <w:rPr>
                <w:rFonts w:hint="cs"/>
                <w:sz w:val="18"/>
                <w:szCs w:val="28"/>
                <w:rtl/>
                <w:lang w:val="en-GB" w:eastAsia="zh-TW"/>
              </w:rPr>
              <w:t xml:space="preserve">10 </w:t>
            </w:r>
            <w:r w:rsidRPr="0099714A">
              <w:rPr>
                <w:sz w:val="18"/>
                <w:szCs w:val="28"/>
                <w:rtl/>
                <w:lang w:val="en-GB" w:eastAsia="zh-TW"/>
              </w:rPr>
              <w:t>آذار/مارس 1953</w:t>
            </w:r>
            <w:bookmarkEnd w:id="164"/>
          </w:p>
        </w:tc>
        <w:tc>
          <w:tcPr>
            <w:tcW w:w="2268" w:type="dxa"/>
            <w:shd w:val="clear" w:color="auto" w:fill="auto"/>
          </w:tcPr>
          <w:p w:rsidR="00944A3C" w:rsidRPr="0099714A" w:rsidRDefault="00944A3C" w:rsidP="002D7359">
            <w:pPr>
              <w:spacing w:before="40" w:after="60" w:line="320" w:lineRule="exact"/>
              <w:ind w:left="57"/>
              <w:textDirection w:val="tbRlV"/>
              <w:rPr>
                <w:sz w:val="18"/>
                <w:szCs w:val="28"/>
                <w:rtl/>
                <w:lang w:val="en-GB" w:eastAsia="zh-TW"/>
              </w:rPr>
            </w:pPr>
            <w:bookmarkStart w:id="165" w:name="bookmark_825"/>
            <w:r w:rsidRPr="0099714A">
              <w:rPr>
                <w:sz w:val="18"/>
                <w:szCs w:val="28"/>
                <w:rtl/>
                <w:lang w:val="en-GB" w:eastAsia="zh-TW"/>
              </w:rPr>
              <w:t>لا ينطبق</w:t>
            </w:r>
            <w:bookmarkEnd w:id="165"/>
          </w:p>
        </w:tc>
      </w:tr>
      <w:tr w:rsidR="00944A3C" w:rsidRPr="0099714A" w:rsidTr="00317979">
        <w:trPr>
          <w:cantSplit/>
        </w:trPr>
        <w:tc>
          <w:tcPr>
            <w:tcW w:w="3296" w:type="dxa"/>
            <w:shd w:val="clear" w:color="auto" w:fill="auto"/>
          </w:tcPr>
          <w:p w:rsidR="00944A3C" w:rsidRPr="0099714A" w:rsidRDefault="00944A3C" w:rsidP="002D7359">
            <w:pPr>
              <w:spacing w:before="40" w:after="60" w:line="320" w:lineRule="exact"/>
              <w:ind w:right="227"/>
              <w:textDirection w:val="tbRlV"/>
              <w:rPr>
                <w:sz w:val="18"/>
                <w:szCs w:val="28"/>
                <w:rtl/>
                <w:lang w:val="en-GB" w:eastAsia="zh-TW"/>
              </w:rPr>
            </w:pPr>
            <w:bookmarkStart w:id="166" w:name="bookmark_826"/>
            <w:r w:rsidRPr="0099714A">
              <w:rPr>
                <w:sz w:val="18"/>
                <w:szCs w:val="28"/>
                <w:rtl/>
                <w:lang w:val="en-GB" w:eastAsia="zh-TW"/>
              </w:rPr>
              <w:t>اتفاقية الضمان الاجتماعي (المعايير الدنيا)، لعام 1952 (رقم 102)</w:t>
            </w:r>
            <w:bookmarkEnd w:id="166"/>
          </w:p>
        </w:tc>
        <w:tc>
          <w:tcPr>
            <w:tcW w:w="2824" w:type="dxa"/>
            <w:shd w:val="clear" w:color="auto" w:fill="auto"/>
          </w:tcPr>
          <w:p w:rsidR="00944A3C" w:rsidRPr="0099714A" w:rsidRDefault="00944A3C" w:rsidP="002D7359">
            <w:pPr>
              <w:spacing w:before="40" w:after="60" w:line="320" w:lineRule="exact"/>
              <w:ind w:right="170"/>
              <w:textDirection w:val="tbRlV"/>
              <w:rPr>
                <w:sz w:val="18"/>
                <w:szCs w:val="28"/>
                <w:rtl/>
                <w:lang w:val="en-GB" w:eastAsia="zh-TW"/>
              </w:rPr>
            </w:pPr>
            <w:bookmarkStart w:id="167" w:name="bookmark_827"/>
            <w:r w:rsidRPr="0099714A">
              <w:rPr>
                <w:rFonts w:hint="cs"/>
                <w:sz w:val="18"/>
                <w:szCs w:val="28"/>
                <w:rtl/>
                <w:lang w:val="en-GB" w:eastAsia="zh-TW"/>
              </w:rPr>
              <w:t xml:space="preserve">14 </w:t>
            </w:r>
            <w:r w:rsidRPr="0099714A">
              <w:rPr>
                <w:sz w:val="18"/>
                <w:szCs w:val="28"/>
                <w:rtl/>
                <w:lang w:val="en-GB" w:eastAsia="zh-TW"/>
              </w:rPr>
              <w:t>حزيران/يونيه 1974</w:t>
            </w:r>
            <w:bookmarkEnd w:id="167"/>
          </w:p>
        </w:tc>
        <w:tc>
          <w:tcPr>
            <w:tcW w:w="2268" w:type="dxa"/>
            <w:shd w:val="clear" w:color="auto" w:fill="auto"/>
          </w:tcPr>
          <w:p w:rsidR="00944A3C" w:rsidRPr="0099714A" w:rsidRDefault="00944A3C" w:rsidP="002D7359">
            <w:pPr>
              <w:spacing w:before="40" w:after="60" w:line="320" w:lineRule="exact"/>
              <w:ind w:left="57"/>
              <w:textDirection w:val="tbRlV"/>
              <w:rPr>
                <w:sz w:val="18"/>
                <w:szCs w:val="28"/>
                <w:rtl/>
                <w:lang w:val="en-GB" w:eastAsia="zh-TW"/>
              </w:rPr>
            </w:pPr>
            <w:bookmarkStart w:id="168" w:name="bookmark_828"/>
            <w:r w:rsidRPr="0099714A">
              <w:rPr>
                <w:sz w:val="18"/>
                <w:szCs w:val="28"/>
                <w:rtl/>
                <w:lang w:val="en-GB" w:eastAsia="zh-TW"/>
              </w:rPr>
              <w:t xml:space="preserve">قبول </w:t>
            </w:r>
            <w:r w:rsidRPr="0099714A">
              <w:rPr>
                <w:rFonts w:hint="cs"/>
                <w:sz w:val="18"/>
                <w:szCs w:val="28"/>
                <w:rtl/>
                <w:lang w:val="en-GB" w:eastAsia="zh-TW"/>
              </w:rPr>
              <w:t xml:space="preserve">الأجزاء </w:t>
            </w:r>
            <w:r w:rsidRPr="0099714A">
              <w:rPr>
                <w:sz w:val="18"/>
                <w:szCs w:val="28"/>
                <w:rtl/>
                <w:lang w:val="en-GB" w:eastAsia="zh-TW"/>
              </w:rPr>
              <w:t>الثاني والرابع إلى التاسع</w:t>
            </w:r>
            <w:bookmarkEnd w:id="168"/>
          </w:p>
        </w:tc>
      </w:tr>
      <w:tr w:rsidR="00944A3C" w:rsidRPr="0099714A" w:rsidTr="00317979">
        <w:trPr>
          <w:cantSplit/>
        </w:trPr>
        <w:tc>
          <w:tcPr>
            <w:tcW w:w="3296" w:type="dxa"/>
            <w:shd w:val="clear" w:color="auto" w:fill="auto"/>
          </w:tcPr>
          <w:p w:rsidR="00944A3C" w:rsidRPr="0099714A" w:rsidRDefault="00944A3C" w:rsidP="002D7359">
            <w:pPr>
              <w:spacing w:before="40" w:after="60" w:line="320" w:lineRule="exact"/>
              <w:ind w:right="227"/>
              <w:textDirection w:val="tbRlV"/>
              <w:rPr>
                <w:sz w:val="18"/>
                <w:szCs w:val="28"/>
                <w:rtl/>
                <w:lang w:val="en-GB" w:eastAsia="zh-TW"/>
              </w:rPr>
            </w:pPr>
            <w:bookmarkStart w:id="169" w:name="bookmark_829"/>
            <w:r w:rsidRPr="0099714A">
              <w:rPr>
                <w:sz w:val="18"/>
                <w:szCs w:val="28"/>
                <w:rtl/>
                <w:lang w:val="en-GB" w:eastAsia="zh-TW"/>
              </w:rPr>
              <w:t>اتفاقية إلغاء العمل القسري، ‏‏لعام 1957 (رقم</w:t>
            </w:r>
            <w:r w:rsidR="0086182B">
              <w:rPr>
                <w:rFonts w:hint="cs"/>
                <w:sz w:val="18"/>
                <w:szCs w:val="28"/>
                <w:rtl/>
                <w:lang w:val="en-GB" w:eastAsia="zh-TW"/>
              </w:rPr>
              <w:t> </w:t>
            </w:r>
            <w:r w:rsidRPr="0099714A">
              <w:rPr>
                <w:sz w:val="18"/>
                <w:szCs w:val="28"/>
                <w:rtl/>
                <w:lang w:val="en-GB" w:eastAsia="zh-TW"/>
              </w:rPr>
              <w:t>105)‏</w:t>
            </w:r>
            <w:bookmarkEnd w:id="169"/>
          </w:p>
        </w:tc>
        <w:tc>
          <w:tcPr>
            <w:tcW w:w="2824" w:type="dxa"/>
            <w:shd w:val="clear" w:color="auto" w:fill="auto"/>
          </w:tcPr>
          <w:p w:rsidR="00944A3C" w:rsidRPr="0099714A" w:rsidRDefault="00944A3C" w:rsidP="002D7359">
            <w:pPr>
              <w:spacing w:before="40" w:after="60" w:line="320" w:lineRule="exact"/>
              <w:ind w:right="170"/>
              <w:textDirection w:val="tbRlV"/>
              <w:rPr>
                <w:sz w:val="18"/>
                <w:szCs w:val="28"/>
                <w:rtl/>
                <w:lang w:val="en-GB" w:eastAsia="zh-TW"/>
              </w:rPr>
            </w:pPr>
            <w:bookmarkStart w:id="170" w:name="bookmark_830"/>
            <w:r w:rsidRPr="0099714A">
              <w:rPr>
                <w:rFonts w:hint="cs"/>
                <w:sz w:val="18"/>
                <w:szCs w:val="28"/>
                <w:rtl/>
                <w:lang w:val="en-GB" w:eastAsia="zh-TW"/>
              </w:rPr>
              <w:t xml:space="preserve">18 </w:t>
            </w:r>
            <w:r w:rsidRPr="0099714A">
              <w:rPr>
                <w:sz w:val="18"/>
                <w:szCs w:val="28"/>
                <w:rtl/>
                <w:lang w:val="en-GB" w:eastAsia="zh-TW"/>
              </w:rPr>
              <w:t>كانون الأول/ديسمبر 1969</w:t>
            </w:r>
            <w:bookmarkEnd w:id="170"/>
          </w:p>
        </w:tc>
        <w:tc>
          <w:tcPr>
            <w:tcW w:w="2268" w:type="dxa"/>
            <w:shd w:val="clear" w:color="auto" w:fill="auto"/>
          </w:tcPr>
          <w:p w:rsidR="00944A3C" w:rsidRPr="0099714A" w:rsidRDefault="00944A3C" w:rsidP="002D7359">
            <w:pPr>
              <w:spacing w:before="40" w:after="60" w:line="320" w:lineRule="exact"/>
              <w:ind w:left="57"/>
              <w:textDirection w:val="tbRlV"/>
              <w:rPr>
                <w:sz w:val="18"/>
                <w:szCs w:val="28"/>
                <w:rtl/>
                <w:lang w:val="en-GB" w:eastAsia="zh-TW"/>
              </w:rPr>
            </w:pPr>
            <w:bookmarkStart w:id="171" w:name="bookmark_831"/>
            <w:r w:rsidRPr="0099714A">
              <w:rPr>
                <w:sz w:val="18"/>
                <w:szCs w:val="28"/>
                <w:rtl/>
                <w:lang w:val="en-GB" w:eastAsia="zh-TW"/>
              </w:rPr>
              <w:t>لا ينطبق</w:t>
            </w:r>
            <w:bookmarkEnd w:id="171"/>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172" w:name="bookmark_832"/>
            <w:r w:rsidRPr="0099714A">
              <w:rPr>
                <w:sz w:val="18"/>
                <w:szCs w:val="28"/>
                <w:rtl/>
                <w:lang w:val="en-GB" w:eastAsia="zh-TW"/>
              </w:rPr>
              <w:lastRenderedPageBreak/>
              <w:t>اتفاقية الراحة الأسبوعية ‏‏(التجارة والمكاتب)، لعام 1957 ‏‏(رقم 106)‏</w:t>
            </w:r>
            <w:bookmarkEnd w:id="172"/>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173" w:name="bookmark_833"/>
            <w:r w:rsidRPr="0099714A">
              <w:rPr>
                <w:rFonts w:hint="cs"/>
                <w:sz w:val="18"/>
                <w:szCs w:val="28"/>
                <w:rtl/>
                <w:lang w:val="en-GB" w:eastAsia="zh-TW"/>
              </w:rPr>
              <w:t xml:space="preserve">5 </w:t>
            </w:r>
            <w:r w:rsidRPr="0099714A">
              <w:rPr>
                <w:sz w:val="18"/>
                <w:szCs w:val="28"/>
                <w:rtl/>
                <w:lang w:val="en-GB" w:eastAsia="zh-TW"/>
              </w:rPr>
              <w:t>أيار/مايو 1971</w:t>
            </w:r>
            <w:bookmarkEnd w:id="173"/>
          </w:p>
        </w:tc>
        <w:tc>
          <w:tcPr>
            <w:tcW w:w="2268" w:type="dxa"/>
            <w:shd w:val="clear" w:color="auto" w:fill="auto"/>
          </w:tcPr>
          <w:p w:rsidR="00944A3C" w:rsidRPr="0054311D" w:rsidRDefault="00944A3C" w:rsidP="00323F71">
            <w:pPr>
              <w:spacing w:before="60" w:after="60" w:line="320" w:lineRule="exact"/>
              <w:ind w:left="57"/>
              <w:textDirection w:val="tbRlV"/>
              <w:rPr>
                <w:spacing w:val="-2"/>
                <w:sz w:val="18"/>
                <w:szCs w:val="28"/>
                <w:rtl/>
                <w:lang w:val="en-GB" w:eastAsia="zh-TW"/>
              </w:rPr>
            </w:pPr>
            <w:bookmarkStart w:id="174" w:name="bookmark_834"/>
            <w:r w:rsidRPr="0054311D">
              <w:rPr>
                <w:spacing w:val="-2"/>
                <w:sz w:val="18"/>
                <w:szCs w:val="28"/>
                <w:rtl/>
                <w:lang w:val="en-GB" w:eastAsia="zh-TW"/>
              </w:rPr>
              <w:t>تنطبق الاتفاقية أيضاً على موظفي المؤسسات المشار إليها في الفقرة 1 من المادة 3</w:t>
            </w:r>
            <w:bookmarkEnd w:id="174"/>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175" w:name="bookmark_835"/>
            <w:r w:rsidRPr="0099714A">
              <w:rPr>
                <w:sz w:val="18"/>
                <w:szCs w:val="28"/>
                <w:rtl/>
                <w:lang w:val="en-GB" w:eastAsia="zh-TW"/>
              </w:rPr>
              <w:t>اتفاقية التمييز (في الاستخدام والمهنة)، لعام</w:t>
            </w:r>
            <w:r w:rsidR="0086182B">
              <w:rPr>
                <w:rFonts w:hint="cs"/>
                <w:sz w:val="18"/>
                <w:szCs w:val="28"/>
                <w:rtl/>
                <w:lang w:val="en-GB" w:eastAsia="zh-TW"/>
              </w:rPr>
              <w:t> </w:t>
            </w:r>
            <w:r w:rsidRPr="0099714A">
              <w:rPr>
                <w:sz w:val="18"/>
                <w:szCs w:val="28"/>
                <w:rtl/>
                <w:lang w:val="en-GB" w:eastAsia="zh-TW"/>
              </w:rPr>
              <w:t>1958 (رقم 111)</w:t>
            </w:r>
            <w:bookmarkEnd w:id="175"/>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176" w:name="bookmark_836"/>
            <w:r w:rsidRPr="0099714A">
              <w:rPr>
                <w:rFonts w:hint="cs"/>
                <w:sz w:val="18"/>
                <w:szCs w:val="28"/>
                <w:rtl/>
                <w:lang w:val="en-GB" w:eastAsia="zh-TW"/>
              </w:rPr>
              <w:t xml:space="preserve">28 </w:t>
            </w:r>
            <w:r w:rsidRPr="0099714A">
              <w:rPr>
                <w:sz w:val="18"/>
                <w:szCs w:val="28"/>
                <w:rtl/>
                <w:lang w:val="en-GB" w:eastAsia="zh-TW"/>
              </w:rPr>
              <w:t>أيار/مايو 1981</w:t>
            </w:r>
            <w:bookmarkEnd w:id="176"/>
          </w:p>
        </w:tc>
        <w:tc>
          <w:tcPr>
            <w:tcW w:w="2268" w:type="dxa"/>
            <w:shd w:val="clear" w:color="auto" w:fill="auto"/>
          </w:tcPr>
          <w:p w:rsidR="00944A3C" w:rsidRPr="0099714A" w:rsidRDefault="00944A3C" w:rsidP="00323F71">
            <w:pPr>
              <w:spacing w:before="60" w:after="60" w:line="320" w:lineRule="exact"/>
              <w:ind w:left="57"/>
              <w:textDirection w:val="tbRlV"/>
              <w:rPr>
                <w:sz w:val="18"/>
                <w:szCs w:val="28"/>
                <w:rtl/>
                <w:lang w:val="en-GB" w:eastAsia="zh-TW"/>
              </w:rPr>
            </w:pPr>
            <w:bookmarkStart w:id="177" w:name="bookmark_837"/>
            <w:r w:rsidRPr="0099714A">
              <w:rPr>
                <w:sz w:val="18"/>
                <w:szCs w:val="28"/>
                <w:rtl/>
                <w:lang w:val="en-GB" w:eastAsia="zh-TW"/>
              </w:rPr>
              <w:t>لا ينطبق</w:t>
            </w:r>
            <w:bookmarkEnd w:id="177"/>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178" w:name="bookmark_838"/>
            <w:r w:rsidRPr="0099714A">
              <w:rPr>
                <w:sz w:val="18"/>
                <w:szCs w:val="28"/>
                <w:rtl/>
                <w:lang w:val="en-GB" w:eastAsia="zh-TW"/>
              </w:rPr>
              <w:t>اتفاقية المساواة في المعاملة (الضمان الاجتماعي)، لعام 1962 (رقم 118)</w:t>
            </w:r>
            <w:bookmarkEnd w:id="178"/>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179" w:name="bookmark_839"/>
            <w:r w:rsidRPr="0099714A">
              <w:rPr>
                <w:rFonts w:hint="cs"/>
                <w:sz w:val="18"/>
                <w:szCs w:val="28"/>
                <w:rtl/>
                <w:lang w:val="en-GB" w:eastAsia="zh-TW"/>
              </w:rPr>
              <w:t xml:space="preserve">13 </w:t>
            </w:r>
            <w:r w:rsidRPr="0099714A">
              <w:rPr>
                <w:sz w:val="18"/>
                <w:szCs w:val="28"/>
                <w:rtl/>
                <w:lang w:val="en-GB" w:eastAsia="zh-TW"/>
              </w:rPr>
              <w:t>أيار/مايو 1974</w:t>
            </w:r>
            <w:bookmarkEnd w:id="179"/>
          </w:p>
        </w:tc>
        <w:tc>
          <w:tcPr>
            <w:tcW w:w="2268" w:type="dxa"/>
            <w:shd w:val="clear" w:color="auto" w:fill="auto"/>
          </w:tcPr>
          <w:p w:rsidR="00944A3C" w:rsidRPr="0099714A" w:rsidRDefault="00944A3C" w:rsidP="00323F71">
            <w:pPr>
              <w:spacing w:before="60" w:after="60" w:line="320" w:lineRule="exact"/>
              <w:ind w:left="57"/>
              <w:textDirection w:val="tbRlV"/>
              <w:rPr>
                <w:sz w:val="18"/>
                <w:szCs w:val="28"/>
                <w:rtl/>
                <w:lang w:val="en-GB" w:eastAsia="zh-TW"/>
              </w:rPr>
            </w:pPr>
            <w:bookmarkStart w:id="180" w:name="bookmark_840"/>
            <w:r w:rsidRPr="0099714A">
              <w:rPr>
                <w:sz w:val="18"/>
                <w:szCs w:val="28"/>
                <w:rtl/>
                <w:lang w:val="en-GB" w:eastAsia="zh-TW"/>
              </w:rPr>
              <w:t>قبول الفروع من (أ) إلى (د) و(و) و(ز) و(ط)</w:t>
            </w:r>
            <w:bookmarkEnd w:id="180"/>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181" w:name="bookmark_841"/>
            <w:r w:rsidRPr="0099714A">
              <w:rPr>
                <w:sz w:val="18"/>
                <w:szCs w:val="28"/>
                <w:rtl/>
                <w:lang w:val="en-GB" w:eastAsia="zh-TW"/>
              </w:rPr>
              <w:t>اتفاقية سياسة العمالة، لعام 1964 (رقم</w:t>
            </w:r>
            <w:r w:rsidR="0086182B">
              <w:rPr>
                <w:rFonts w:hint="cs"/>
                <w:sz w:val="18"/>
                <w:szCs w:val="28"/>
                <w:rtl/>
                <w:lang w:val="en-GB" w:eastAsia="zh-TW"/>
              </w:rPr>
              <w:t> </w:t>
            </w:r>
            <w:r w:rsidRPr="0099714A">
              <w:rPr>
                <w:sz w:val="18"/>
                <w:szCs w:val="28"/>
                <w:rtl/>
                <w:lang w:val="en-GB" w:eastAsia="zh-TW"/>
              </w:rPr>
              <w:t>122)</w:t>
            </w:r>
            <w:bookmarkEnd w:id="181"/>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182" w:name="bookmark_842"/>
            <w:r w:rsidRPr="0099714A">
              <w:rPr>
                <w:rFonts w:hint="cs"/>
                <w:sz w:val="18"/>
                <w:szCs w:val="28"/>
                <w:rtl/>
                <w:lang w:val="en-GB" w:eastAsia="zh-TW"/>
              </w:rPr>
              <w:t xml:space="preserve">5 </w:t>
            </w:r>
            <w:r w:rsidRPr="0099714A">
              <w:rPr>
                <w:sz w:val="18"/>
                <w:szCs w:val="28"/>
                <w:rtl/>
                <w:lang w:val="en-GB" w:eastAsia="zh-TW"/>
              </w:rPr>
              <w:t>آب/أغسطس 1971</w:t>
            </w:r>
            <w:bookmarkEnd w:id="182"/>
          </w:p>
        </w:tc>
        <w:tc>
          <w:tcPr>
            <w:tcW w:w="2268" w:type="dxa"/>
            <w:shd w:val="clear" w:color="auto" w:fill="auto"/>
          </w:tcPr>
          <w:p w:rsidR="00944A3C" w:rsidRPr="0099714A" w:rsidRDefault="00944A3C" w:rsidP="00323F71">
            <w:pPr>
              <w:spacing w:before="60" w:after="60" w:line="320" w:lineRule="exact"/>
              <w:ind w:left="57"/>
              <w:textDirection w:val="tbRlV"/>
              <w:rPr>
                <w:sz w:val="18"/>
                <w:szCs w:val="28"/>
                <w:rtl/>
                <w:lang w:val="en-GB" w:eastAsia="zh-TW"/>
              </w:rPr>
            </w:pPr>
            <w:bookmarkStart w:id="183" w:name="bookmark_843"/>
            <w:r w:rsidRPr="0099714A">
              <w:rPr>
                <w:sz w:val="18"/>
                <w:szCs w:val="28"/>
                <w:rtl/>
                <w:lang w:val="en-GB" w:eastAsia="zh-TW"/>
              </w:rPr>
              <w:t>لا ينطبق</w:t>
            </w:r>
            <w:bookmarkEnd w:id="183"/>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184" w:name="bookmark_844"/>
            <w:r w:rsidRPr="0099714A">
              <w:rPr>
                <w:sz w:val="18"/>
                <w:szCs w:val="28"/>
                <w:rtl/>
                <w:lang w:val="en-GB" w:eastAsia="zh-TW"/>
              </w:rPr>
              <w:t>اتفاقية تفتيش العمل (الزراعة)، لعام 1969 (رقم 129)</w:t>
            </w:r>
            <w:bookmarkEnd w:id="184"/>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185" w:name="bookmark_845"/>
            <w:r w:rsidRPr="0099714A">
              <w:rPr>
                <w:rFonts w:hint="cs"/>
                <w:sz w:val="18"/>
                <w:szCs w:val="28"/>
                <w:rtl/>
                <w:lang w:val="en-GB" w:eastAsia="zh-TW"/>
              </w:rPr>
              <w:t xml:space="preserve">28 </w:t>
            </w:r>
            <w:r w:rsidRPr="0099714A">
              <w:rPr>
                <w:sz w:val="18"/>
                <w:szCs w:val="28"/>
                <w:rtl/>
                <w:lang w:val="en-GB" w:eastAsia="zh-TW"/>
              </w:rPr>
              <w:t>كانون الأول/ديسمبر 1972</w:t>
            </w:r>
            <w:bookmarkEnd w:id="185"/>
          </w:p>
        </w:tc>
        <w:tc>
          <w:tcPr>
            <w:tcW w:w="2268" w:type="dxa"/>
            <w:shd w:val="clear" w:color="auto" w:fill="auto"/>
          </w:tcPr>
          <w:p w:rsidR="00944A3C" w:rsidRPr="0099714A" w:rsidRDefault="00944A3C" w:rsidP="00323F71">
            <w:pPr>
              <w:spacing w:before="60" w:after="60" w:line="320" w:lineRule="exact"/>
              <w:ind w:left="57"/>
              <w:textDirection w:val="tbRlV"/>
              <w:rPr>
                <w:sz w:val="18"/>
                <w:szCs w:val="28"/>
                <w:rtl/>
                <w:lang w:val="en-GB" w:eastAsia="zh-TW"/>
              </w:rPr>
            </w:pPr>
            <w:bookmarkStart w:id="186" w:name="bookmark_846"/>
            <w:r w:rsidRPr="0099714A">
              <w:rPr>
                <w:sz w:val="18"/>
                <w:szCs w:val="28"/>
                <w:rtl/>
                <w:lang w:val="en-GB" w:eastAsia="zh-TW"/>
              </w:rPr>
              <w:t>لا ينطبق</w:t>
            </w:r>
            <w:bookmarkEnd w:id="186"/>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187" w:name="bookmark_847"/>
            <w:r w:rsidRPr="0099714A">
              <w:rPr>
                <w:sz w:val="18"/>
                <w:szCs w:val="28"/>
                <w:rtl/>
                <w:lang w:val="en-GB" w:eastAsia="zh-TW"/>
              </w:rPr>
              <w:t>اتفاقية تحديد المستويات الدنيا ‏للأجور، لعام</w:t>
            </w:r>
            <w:r w:rsidR="0086182B">
              <w:rPr>
                <w:rFonts w:hint="cs"/>
                <w:sz w:val="18"/>
                <w:szCs w:val="28"/>
                <w:rtl/>
                <w:lang w:val="en-GB" w:eastAsia="zh-TW"/>
              </w:rPr>
              <w:t> </w:t>
            </w:r>
            <w:r w:rsidRPr="0099714A">
              <w:rPr>
                <w:sz w:val="18"/>
                <w:szCs w:val="28"/>
                <w:rtl/>
                <w:lang w:val="en-GB" w:eastAsia="zh-TW"/>
              </w:rPr>
              <w:t>1970 (رقم 131)‏</w:t>
            </w:r>
            <w:bookmarkEnd w:id="187"/>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188" w:name="bookmark_848"/>
            <w:r w:rsidRPr="0099714A">
              <w:rPr>
                <w:rFonts w:hint="cs"/>
                <w:sz w:val="18"/>
                <w:szCs w:val="28"/>
                <w:rtl/>
                <w:lang w:val="en-GB" w:eastAsia="zh-TW"/>
              </w:rPr>
              <w:t xml:space="preserve">28 </w:t>
            </w:r>
            <w:r w:rsidRPr="0099714A">
              <w:rPr>
                <w:sz w:val="18"/>
                <w:szCs w:val="28"/>
                <w:rtl/>
                <w:lang w:val="en-GB" w:eastAsia="zh-TW"/>
              </w:rPr>
              <w:t>كانون الأول/ديسمبر 1972</w:t>
            </w:r>
            <w:bookmarkEnd w:id="188"/>
          </w:p>
        </w:tc>
        <w:tc>
          <w:tcPr>
            <w:tcW w:w="2268" w:type="dxa"/>
            <w:shd w:val="clear" w:color="auto" w:fill="auto"/>
          </w:tcPr>
          <w:p w:rsidR="00944A3C" w:rsidRPr="0099714A" w:rsidRDefault="00944A3C" w:rsidP="00323F71">
            <w:pPr>
              <w:spacing w:before="60" w:after="60" w:line="320" w:lineRule="exact"/>
              <w:ind w:left="57"/>
              <w:textDirection w:val="tbRlV"/>
              <w:rPr>
                <w:sz w:val="18"/>
                <w:szCs w:val="28"/>
                <w:rtl/>
                <w:lang w:val="en-GB" w:eastAsia="zh-TW"/>
              </w:rPr>
            </w:pPr>
            <w:bookmarkStart w:id="189" w:name="bookmark_849"/>
            <w:r w:rsidRPr="0099714A">
              <w:rPr>
                <w:sz w:val="18"/>
                <w:szCs w:val="28"/>
                <w:rtl/>
                <w:lang w:val="en-GB" w:eastAsia="zh-TW"/>
              </w:rPr>
              <w:t>لا ينطبق</w:t>
            </w:r>
            <w:bookmarkEnd w:id="189"/>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190" w:name="bookmark_850"/>
            <w:r w:rsidRPr="0099714A">
              <w:rPr>
                <w:sz w:val="18"/>
                <w:szCs w:val="28"/>
                <w:rtl/>
                <w:lang w:val="en-GB" w:eastAsia="zh-TW"/>
              </w:rPr>
              <w:t>اتفاقية الإجازة مدفوعة الأجر (مراجعة)، لعام</w:t>
            </w:r>
            <w:r w:rsidR="0086182B">
              <w:rPr>
                <w:rFonts w:hint="cs"/>
                <w:sz w:val="18"/>
                <w:szCs w:val="28"/>
                <w:rtl/>
                <w:lang w:val="en-GB" w:eastAsia="zh-TW"/>
              </w:rPr>
              <w:t> </w:t>
            </w:r>
            <w:r w:rsidRPr="0099714A">
              <w:rPr>
                <w:sz w:val="18"/>
                <w:szCs w:val="28"/>
                <w:rtl/>
                <w:lang w:val="en-GB" w:eastAsia="zh-TW"/>
              </w:rPr>
              <w:t>1970 (رقم 132)</w:t>
            </w:r>
            <w:bookmarkEnd w:id="190"/>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191" w:name="bookmark_851"/>
            <w:r w:rsidRPr="0099714A">
              <w:rPr>
                <w:sz w:val="18"/>
                <w:szCs w:val="28"/>
                <w:rtl/>
                <w:lang w:val="en-GB" w:eastAsia="zh-TW"/>
              </w:rPr>
              <w:t>لا ينطبق</w:t>
            </w:r>
            <w:bookmarkEnd w:id="191"/>
          </w:p>
        </w:tc>
        <w:tc>
          <w:tcPr>
            <w:tcW w:w="2268" w:type="dxa"/>
            <w:shd w:val="clear" w:color="auto" w:fill="auto"/>
          </w:tcPr>
          <w:p w:rsidR="00944A3C" w:rsidRPr="0099714A" w:rsidRDefault="000F47B2" w:rsidP="00323F71">
            <w:pPr>
              <w:spacing w:before="60" w:after="60" w:line="320" w:lineRule="exact"/>
              <w:ind w:left="57"/>
              <w:textDirection w:val="tbRlV"/>
              <w:rPr>
                <w:sz w:val="18"/>
                <w:szCs w:val="28"/>
                <w:rtl/>
                <w:lang w:val="en-GB" w:eastAsia="zh-TW"/>
              </w:rPr>
            </w:pPr>
            <w:r>
              <w:rPr>
                <w:rFonts w:hint="cs"/>
                <w:sz w:val="18"/>
                <w:szCs w:val="28"/>
                <w:rtl/>
                <w:lang w:val="en-GB" w:eastAsia="zh-TW"/>
              </w:rPr>
              <w:t>-</w:t>
            </w:r>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192" w:name="bookmark_853"/>
            <w:r w:rsidRPr="0099714A">
              <w:rPr>
                <w:sz w:val="18"/>
                <w:szCs w:val="28"/>
                <w:rtl/>
                <w:lang w:val="en-GB" w:eastAsia="zh-TW"/>
              </w:rPr>
              <w:t>اتفاقية الحد الأدنى للسن، لعام 1973 (رقم</w:t>
            </w:r>
            <w:r w:rsidR="0086182B">
              <w:rPr>
                <w:rFonts w:hint="cs"/>
                <w:sz w:val="18"/>
                <w:szCs w:val="28"/>
                <w:rtl/>
                <w:lang w:val="en-GB" w:eastAsia="zh-TW"/>
              </w:rPr>
              <w:t> </w:t>
            </w:r>
            <w:r w:rsidRPr="0099714A">
              <w:rPr>
                <w:sz w:val="18"/>
                <w:szCs w:val="28"/>
                <w:rtl/>
                <w:lang w:val="en-GB" w:eastAsia="zh-TW"/>
              </w:rPr>
              <w:t>138)</w:t>
            </w:r>
            <w:bookmarkEnd w:id="192"/>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193" w:name="bookmark_854"/>
            <w:r w:rsidRPr="0099714A">
              <w:rPr>
                <w:rFonts w:hint="cs"/>
                <w:sz w:val="18"/>
                <w:szCs w:val="28"/>
                <w:rtl/>
                <w:lang w:val="en-GB" w:eastAsia="zh-TW"/>
              </w:rPr>
              <w:t xml:space="preserve">13 </w:t>
            </w:r>
            <w:r w:rsidRPr="0099714A">
              <w:rPr>
                <w:sz w:val="18"/>
                <w:szCs w:val="28"/>
                <w:rtl/>
                <w:lang w:val="en-GB" w:eastAsia="zh-TW"/>
              </w:rPr>
              <w:t>تموز/يوليه 1990</w:t>
            </w:r>
            <w:bookmarkEnd w:id="193"/>
          </w:p>
        </w:tc>
        <w:tc>
          <w:tcPr>
            <w:tcW w:w="2268" w:type="dxa"/>
            <w:shd w:val="clear" w:color="auto" w:fill="auto"/>
          </w:tcPr>
          <w:p w:rsidR="00944A3C" w:rsidRPr="00B4300A" w:rsidRDefault="00944A3C" w:rsidP="00323F71">
            <w:pPr>
              <w:spacing w:before="60" w:after="60" w:line="320" w:lineRule="exact"/>
              <w:ind w:left="57"/>
              <w:textDirection w:val="tbRlV"/>
              <w:rPr>
                <w:spacing w:val="-4"/>
                <w:sz w:val="18"/>
                <w:szCs w:val="28"/>
                <w:rtl/>
                <w:lang w:val="en-GB" w:eastAsia="zh-TW"/>
              </w:rPr>
            </w:pPr>
            <w:bookmarkStart w:id="194" w:name="bookmark_855"/>
            <w:r w:rsidRPr="00B4300A">
              <w:rPr>
                <w:spacing w:val="-4"/>
                <w:sz w:val="18"/>
                <w:szCs w:val="28"/>
                <w:rtl/>
                <w:lang w:val="en-GB" w:eastAsia="zh-TW"/>
              </w:rPr>
              <w:t>الحد الأدنى لسن الاستخدام: 16 سنة</w:t>
            </w:r>
            <w:bookmarkEnd w:id="194"/>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195" w:name="bookmark_856"/>
            <w:r w:rsidRPr="0099714A">
              <w:rPr>
                <w:sz w:val="18"/>
                <w:szCs w:val="28"/>
                <w:rtl/>
                <w:lang w:val="en-GB" w:eastAsia="zh-TW"/>
              </w:rPr>
              <w:t>اتفاقية العمال المهاجرين ‏‏(أحكام تكميلية)، لعام 1975 ‏‏(رقم 143)‏</w:t>
            </w:r>
            <w:bookmarkEnd w:id="195"/>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196" w:name="bookmark_857"/>
            <w:r w:rsidRPr="0099714A">
              <w:rPr>
                <w:sz w:val="18"/>
                <w:szCs w:val="28"/>
                <w:rtl/>
                <w:lang w:val="en-GB" w:eastAsia="zh-TW"/>
              </w:rPr>
              <w:t>لا ينطبق</w:t>
            </w:r>
            <w:bookmarkEnd w:id="196"/>
          </w:p>
        </w:tc>
        <w:tc>
          <w:tcPr>
            <w:tcW w:w="2268" w:type="dxa"/>
            <w:shd w:val="clear" w:color="auto" w:fill="auto"/>
          </w:tcPr>
          <w:p w:rsidR="00944A3C" w:rsidRPr="0099714A" w:rsidRDefault="000F47B2" w:rsidP="00323F71">
            <w:pPr>
              <w:spacing w:before="60" w:after="60" w:line="320" w:lineRule="exact"/>
              <w:ind w:left="57"/>
              <w:textDirection w:val="tbRlV"/>
              <w:rPr>
                <w:sz w:val="18"/>
                <w:szCs w:val="28"/>
                <w:rtl/>
                <w:lang w:val="en-GB" w:eastAsia="zh-TW"/>
              </w:rPr>
            </w:pPr>
            <w:r>
              <w:rPr>
                <w:rFonts w:hint="cs"/>
                <w:sz w:val="18"/>
                <w:szCs w:val="28"/>
                <w:rtl/>
                <w:lang w:val="en-GB" w:eastAsia="zh-TW"/>
              </w:rPr>
              <w:t>-</w:t>
            </w:r>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197" w:name="bookmark_859"/>
            <w:r w:rsidRPr="0099714A">
              <w:rPr>
                <w:sz w:val="18"/>
                <w:szCs w:val="28"/>
                <w:rtl/>
                <w:lang w:val="en-GB" w:eastAsia="zh-TW"/>
              </w:rPr>
              <w:t>اتفاقية علاقات العمل في ‏الخدمة العامة، لعام</w:t>
            </w:r>
            <w:r w:rsidR="0086182B">
              <w:rPr>
                <w:rFonts w:hint="cs"/>
                <w:sz w:val="18"/>
                <w:szCs w:val="28"/>
                <w:rtl/>
                <w:lang w:val="en-GB" w:eastAsia="zh-TW"/>
              </w:rPr>
              <w:t> </w:t>
            </w:r>
            <w:r w:rsidRPr="0099714A">
              <w:rPr>
                <w:sz w:val="18"/>
                <w:szCs w:val="28"/>
                <w:rtl/>
                <w:lang w:val="en-GB" w:eastAsia="zh-TW"/>
              </w:rPr>
              <w:t>1978 (رقم ‏‏151)‏</w:t>
            </w:r>
            <w:bookmarkEnd w:id="197"/>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198" w:name="bookmark_860"/>
            <w:r w:rsidRPr="0099714A">
              <w:rPr>
                <w:sz w:val="18"/>
                <w:szCs w:val="28"/>
                <w:rtl/>
                <w:lang w:val="en-GB" w:eastAsia="zh-TW"/>
              </w:rPr>
              <w:t>لا ينطبق</w:t>
            </w:r>
            <w:bookmarkEnd w:id="198"/>
          </w:p>
        </w:tc>
        <w:tc>
          <w:tcPr>
            <w:tcW w:w="2268" w:type="dxa"/>
            <w:shd w:val="clear" w:color="auto" w:fill="auto"/>
          </w:tcPr>
          <w:p w:rsidR="00944A3C" w:rsidRPr="0099714A" w:rsidRDefault="000F47B2" w:rsidP="00323F71">
            <w:pPr>
              <w:spacing w:before="60" w:after="60" w:line="320" w:lineRule="exact"/>
              <w:ind w:left="57"/>
              <w:textDirection w:val="tbRlV"/>
              <w:rPr>
                <w:sz w:val="18"/>
                <w:szCs w:val="28"/>
                <w:rtl/>
                <w:lang w:val="en-GB" w:eastAsia="zh-TW"/>
              </w:rPr>
            </w:pPr>
            <w:r>
              <w:rPr>
                <w:rFonts w:hint="cs"/>
                <w:sz w:val="18"/>
                <w:szCs w:val="28"/>
                <w:rtl/>
                <w:lang w:val="en-GB" w:eastAsia="zh-TW"/>
              </w:rPr>
              <w:t>-</w:t>
            </w:r>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199" w:name="bookmark_862"/>
            <w:r w:rsidRPr="0099714A">
              <w:rPr>
                <w:sz w:val="18"/>
                <w:szCs w:val="28"/>
                <w:rtl/>
                <w:lang w:val="en-GB" w:eastAsia="zh-TW"/>
              </w:rPr>
              <w:t>اتفاقية السلامة ‏والصحة المهنيتين، لعام 1981</w:t>
            </w:r>
            <w:r w:rsidR="0086182B">
              <w:rPr>
                <w:rFonts w:hint="cs"/>
                <w:sz w:val="18"/>
                <w:szCs w:val="28"/>
                <w:rtl/>
                <w:lang w:val="en-GB" w:eastAsia="zh-TW"/>
              </w:rPr>
              <w:t> </w:t>
            </w:r>
            <w:r w:rsidRPr="0099714A">
              <w:rPr>
                <w:sz w:val="18"/>
                <w:szCs w:val="28"/>
                <w:rtl/>
                <w:lang w:val="en-GB" w:eastAsia="zh-TW"/>
              </w:rPr>
              <w:t>‏‏(رقم 155)‏</w:t>
            </w:r>
            <w:bookmarkEnd w:id="199"/>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200" w:name="bookmark_863"/>
            <w:r w:rsidRPr="0099714A">
              <w:rPr>
                <w:sz w:val="18"/>
                <w:szCs w:val="28"/>
                <w:rtl/>
                <w:lang w:val="en-GB" w:eastAsia="zh-TW"/>
              </w:rPr>
              <w:t>لا ينطبق</w:t>
            </w:r>
            <w:bookmarkEnd w:id="200"/>
          </w:p>
        </w:tc>
        <w:tc>
          <w:tcPr>
            <w:tcW w:w="2268" w:type="dxa"/>
            <w:shd w:val="clear" w:color="auto" w:fill="auto"/>
          </w:tcPr>
          <w:p w:rsidR="00944A3C" w:rsidRPr="0099714A" w:rsidRDefault="000F47B2" w:rsidP="00323F71">
            <w:pPr>
              <w:spacing w:before="60" w:after="60" w:line="320" w:lineRule="exact"/>
              <w:ind w:left="57"/>
              <w:textDirection w:val="tbRlV"/>
              <w:rPr>
                <w:sz w:val="18"/>
                <w:szCs w:val="28"/>
                <w:rtl/>
                <w:lang w:val="en-GB" w:eastAsia="zh-TW"/>
              </w:rPr>
            </w:pPr>
            <w:r>
              <w:rPr>
                <w:rFonts w:hint="cs"/>
                <w:sz w:val="18"/>
                <w:szCs w:val="28"/>
                <w:rtl/>
                <w:lang w:val="en-GB" w:eastAsia="zh-TW"/>
              </w:rPr>
              <w:t>-</w:t>
            </w:r>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201" w:name="bookmark_865"/>
            <w:r w:rsidRPr="0099714A">
              <w:rPr>
                <w:sz w:val="18"/>
                <w:szCs w:val="28"/>
                <w:rtl/>
                <w:lang w:val="en-GB" w:eastAsia="zh-TW"/>
              </w:rPr>
              <w:t>اتفاقية العمال ذوي المسؤوليات العائلية، لعام</w:t>
            </w:r>
            <w:r w:rsidR="0086182B">
              <w:rPr>
                <w:rFonts w:hint="cs"/>
                <w:sz w:val="18"/>
                <w:szCs w:val="28"/>
                <w:rtl/>
                <w:lang w:val="en-GB" w:eastAsia="zh-TW"/>
              </w:rPr>
              <w:t> </w:t>
            </w:r>
            <w:r w:rsidRPr="0099714A">
              <w:rPr>
                <w:sz w:val="18"/>
                <w:szCs w:val="28"/>
                <w:rtl/>
                <w:lang w:val="en-GB" w:eastAsia="zh-TW"/>
              </w:rPr>
              <w:t>1981 (رقم 156)</w:t>
            </w:r>
            <w:bookmarkEnd w:id="201"/>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202" w:name="bookmark_866"/>
            <w:r w:rsidRPr="0099714A">
              <w:rPr>
                <w:rFonts w:hint="cs"/>
                <w:sz w:val="18"/>
                <w:szCs w:val="28"/>
                <w:rtl/>
                <w:lang w:val="en-GB" w:eastAsia="zh-TW"/>
              </w:rPr>
              <w:t xml:space="preserve">16 </w:t>
            </w:r>
            <w:r w:rsidRPr="0099714A">
              <w:rPr>
                <w:sz w:val="18"/>
                <w:szCs w:val="28"/>
                <w:rtl/>
                <w:lang w:val="en-GB" w:eastAsia="zh-TW"/>
              </w:rPr>
              <w:t>آذار/مارس 1989</w:t>
            </w:r>
            <w:bookmarkEnd w:id="202"/>
          </w:p>
        </w:tc>
        <w:tc>
          <w:tcPr>
            <w:tcW w:w="2268" w:type="dxa"/>
            <w:shd w:val="clear" w:color="auto" w:fill="auto"/>
          </w:tcPr>
          <w:p w:rsidR="00944A3C" w:rsidRPr="0099714A" w:rsidRDefault="00944A3C" w:rsidP="00323F71">
            <w:pPr>
              <w:spacing w:before="60" w:after="60" w:line="320" w:lineRule="exact"/>
              <w:ind w:left="57"/>
              <w:textDirection w:val="tbRlV"/>
              <w:rPr>
                <w:sz w:val="18"/>
                <w:szCs w:val="28"/>
                <w:rtl/>
                <w:lang w:val="en-GB" w:eastAsia="zh-TW"/>
              </w:rPr>
            </w:pPr>
            <w:bookmarkStart w:id="203" w:name="bookmark_867"/>
            <w:r w:rsidRPr="0099714A">
              <w:rPr>
                <w:sz w:val="18"/>
                <w:szCs w:val="28"/>
                <w:rtl/>
                <w:lang w:val="en-GB" w:eastAsia="zh-TW"/>
              </w:rPr>
              <w:t>لا ينطبق</w:t>
            </w:r>
            <w:bookmarkEnd w:id="203"/>
          </w:p>
        </w:tc>
      </w:tr>
      <w:tr w:rsidR="00944A3C" w:rsidRPr="0099714A" w:rsidTr="00317979">
        <w:trPr>
          <w:cantSplit/>
        </w:trPr>
        <w:tc>
          <w:tcPr>
            <w:tcW w:w="3296" w:type="dxa"/>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204" w:name="bookmark_868"/>
            <w:r w:rsidRPr="0099714A">
              <w:rPr>
                <w:sz w:val="18"/>
                <w:szCs w:val="28"/>
                <w:rtl/>
                <w:lang w:val="en-GB" w:eastAsia="zh-TW"/>
              </w:rPr>
              <w:t>اتفاقية الشعوب الأصلية والقبلية، لعام 1989 (رقم 169)</w:t>
            </w:r>
            <w:bookmarkEnd w:id="204"/>
          </w:p>
        </w:tc>
        <w:tc>
          <w:tcPr>
            <w:tcW w:w="2824" w:type="dxa"/>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205" w:name="bookmark_869"/>
            <w:r w:rsidRPr="0099714A">
              <w:rPr>
                <w:sz w:val="18"/>
                <w:szCs w:val="28"/>
                <w:rtl/>
                <w:lang w:val="en-GB" w:eastAsia="zh-TW"/>
              </w:rPr>
              <w:t>لا ينطبق</w:t>
            </w:r>
            <w:bookmarkEnd w:id="205"/>
          </w:p>
        </w:tc>
        <w:tc>
          <w:tcPr>
            <w:tcW w:w="2268" w:type="dxa"/>
            <w:shd w:val="clear" w:color="auto" w:fill="auto"/>
          </w:tcPr>
          <w:p w:rsidR="00944A3C" w:rsidRPr="0054311D" w:rsidRDefault="00944A3C" w:rsidP="00323F71">
            <w:pPr>
              <w:spacing w:before="60" w:after="60" w:line="320" w:lineRule="exact"/>
              <w:ind w:left="57"/>
              <w:textDirection w:val="tbRlV"/>
              <w:rPr>
                <w:spacing w:val="-6"/>
                <w:sz w:val="18"/>
                <w:szCs w:val="28"/>
                <w:rtl/>
                <w:lang w:val="en-GB" w:eastAsia="zh-TW"/>
              </w:rPr>
            </w:pPr>
            <w:bookmarkStart w:id="206" w:name="bookmark_870"/>
            <w:r w:rsidRPr="0054311D">
              <w:rPr>
                <w:spacing w:val="-6"/>
                <w:sz w:val="18"/>
                <w:szCs w:val="28"/>
                <w:rtl/>
                <w:lang w:val="en-GB" w:eastAsia="zh-TW"/>
              </w:rPr>
              <w:t>يرد تفسير بشأن عدم التوقيع والتصديق على الاتفاقية في مرفق الوثيقة الأساسية الموحدة</w:t>
            </w:r>
            <w:bookmarkEnd w:id="206"/>
          </w:p>
        </w:tc>
      </w:tr>
      <w:tr w:rsidR="00944A3C" w:rsidRPr="0099714A" w:rsidTr="00317979">
        <w:trPr>
          <w:cantSplit/>
        </w:trPr>
        <w:tc>
          <w:tcPr>
            <w:tcW w:w="3296" w:type="dxa"/>
            <w:tcBorders>
              <w:bottom w:val="single" w:sz="4" w:space="0" w:color="auto"/>
            </w:tcBorders>
            <w:shd w:val="clear" w:color="auto" w:fill="auto"/>
          </w:tcPr>
          <w:p w:rsidR="00944A3C" w:rsidRPr="0099714A" w:rsidRDefault="00944A3C" w:rsidP="00323F71">
            <w:pPr>
              <w:spacing w:before="60" w:after="60" w:line="320" w:lineRule="exact"/>
              <w:ind w:right="227"/>
              <w:textDirection w:val="tbRlV"/>
              <w:rPr>
                <w:sz w:val="18"/>
                <w:szCs w:val="28"/>
                <w:rtl/>
                <w:lang w:val="en-GB" w:eastAsia="zh-TW"/>
              </w:rPr>
            </w:pPr>
            <w:bookmarkStart w:id="207" w:name="bookmark_871"/>
            <w:r w:rsidRPr="0099714A">
              <w:rPr>
                <w:sz w:val="18"/>
                <w:szCs w:val="28"/>
                <w:rtl/>
                <w:lang w:val="en-GB" w:eastAsia="zh-TW"/>
              </w:rPr>
              <w:t>اتفاقية أسوأ أشكال ‏عمل الأطفال، لعام 1999 (رقم ‏‏182)‏</w:t>
            </w:r>
            <w:bookmarkEnd w:id="207"/>
          </w:p>
        </w:tc>
        <w:tc>
          <w:tcPr>
            <w:tcW w:w="2824" w:type="dxa"/>
            <w:tcBorders>
              <w:bottom w:val="single" w:sz="4" w:space="0" w:color="auto"/>
            </w:tcBorders>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208" w:name="bookmark_872"/>
            <w:r w:rsidRPr="0099714A">
              <w:rPr>
                <w:rFonts w:hint="cs"/>
                <w:sz w:val="18"/>
                <w:szCs w:val="28"/>
                <w:rtl/>
                <w:lang w:val="en-GB" w:eastAsia="zh-TW"/>
              </w:rPr>
              <w:t xml:space="preserve">11 </w:t>
            </w:r>
            <w:r w:rsidRPr="0099714A">
              <w:rPr>
                <w:sz w:val="18"/>
                <w:szCs w:val="28"/>
                <w:rtl/>
                <w:lang w:val="en-GB" w:eastAsia="zh-TW"/>
              </w:rPr>
              <w:t>أيلول/سبتمبر 2001</w:t>
            </w:r>
            <w:bookmarkEnd w:id="208"/>
          </w:p>
        </w:tc>
        <w:tc>
          <w:tcPr>
            <w:tcW w:w="2268" w:type="dxa"/>
            <w:tcBorders>
              <w:bottom w:val="single" w:sz="4" w:space="0" w:color="auto"/>
            </w:tcBorders>
            <w:shd w:val="clear" w:color="auto" w:fill="auto"/>
          </w:tcPr>
          <w:p w:rsidR="00944A3C" w:rsidRPr="0099714A" w:rsidRDefault="00944A3C" w:rsidP="00323F71">
            <w:pPr>
              <w:spacing w:before="60" w:after="60" w:line="320" w:lineRule="exact"/>
              <w:ind w:left="57"/>
              <w:textDirection w:val="tbRlV"/>
              <w:rPr>
                <w:sz w:val="18"/>
                <w:szCs w:val="28"/>
                <w:rtl/>
                <w:lang w:val="en-GB" w:eastAsia="zh-TW"/>
              </w:rPr>
            </w:pPr>
            <w:bookmarkStart w:id="209" w:name="bookmark_873"/>
            <w:r w:rsidRPr="0099714A">
              <w:rPr>
                <w:sz w:val="18"/>
                <w:szCs w:val="28"/>
                <w:rtl/>
                <w:lang w:val="en-GB" w:eastAsia="zh-TW"/>
              </w:rPr>
              <w:t>لا ينطبق</w:t>
            </w:r>
            <w:bookmarkEnd w:id="209"/>
          </w:p>
        </w:tc>
      </w:tr>
      <w:tr w:rsidR="00944A3C" w:rsidRPr="0099714A" w:rsidTr="00317979">
        <w:trPr>
          <w:cantSplit/>
        </w:trPr>
        <w:tc>
          <w:tcPr>
            <w:tcW w:w="3296" w:type="dxa"/>
            <w:tcBorders>
              <w:bottom w:val="single" w:sz="12" w:space="0" w:color="auto"/>
            </w:tcBorders>
            <w:shd w:val="clear" w:color="auto" w:fill="auto"/>
          </w:tcPr>
          <w:p w:rsidR="00944A3C" w:rsidRPr="0054311D" w:rsidRDefault="00944A3C" w:rsidP="00CB62C2">
            <w:pPr>
              <w:spacing w:before="60" w:after="60" w:line="320" w:lineRule="exact"/>
              <w:ind w:right="227"/>
              <w:textDirection w:val="tbRlV"/>
              <w:rPr>
                <w:spacing w:val="-12"/>
                <w:sz w:val="18"/>
                <w:szCs w:val="28"/>
                <w:rtl/>
                <w:lang w:val="en-GB" w:eastAsia="zh-TW"/>
              </w:rPr>
            </w:pPr>
            <w:bookmarkStart w:id="210" w:name="bookmark_874"/>
            <w:r w:rsidRPr="0054311D">
              <w:rPr>
                <w:spacing w:val="-12"/>
                <w:sz w:val="18"/>
                <w:szCs w:val="28"/>
                <w:rtl/>
                <w:lang w:val="en-GB" w:eastAsia="zh-TW"/>
              </w:rPr>
              <w:t>‏</w:t>
            </w:r>
            <w:r w:rsidRPr="00CB62C2">
              <w:rPr>
                <w:sz w:val="18"/>
                <w:szCs w:val="28"/>
                <w:rtl/>
                <w:lang w:val="en-GB" w:eastAsia="zh-TW"/>
              </w:rPr>
              <w:t>اتفاقية حماية ‏الأمومة، لعام 2000 (رقم</w:t>
            </w:r>
            <w:r w:rsidR="00CB62C2">
              <w:rPr>
                <w:rFonts w:hint="cs"/>
                <w:sz w:val="18"/>
                <w:szCs w:val="28"/>
                <w:rtl/>
                <w:lang w:val="en-GB" w:eastAsia="zh-TW"/>
              </w:rPr>
              <w:t> </w:t>
            </w:r>
            <w:r w:rsidRPr="00CB62C2">
              <w:rPr>
                <w:sz w:val="18"/>
                <w:szCs w:val="28"/>
                <w:rtl/>
                <w:lang w:val="en-GB" w:eastAsia="zh-TW"/>
              </w:rPr>
              <w:t>183)‏</w:t>
            </w:r>
            <w:bookmarkEnd w:id="210"/>
          </w:p>
        </w:tc>
        <w:tc>
          <w:tcPr>
            <w:tcW w:w="2824" w:type="dxa"/>
            <w:tcBorders>
              <w:bottom w:val="single" w:sz="12" w:space="0" w:color="auto"/>
            </w:tcBorders>
            <w:shd w:val="clear" w:color="auto" w:fill="auto"/>
          </w:tcPr>
          <w:p w:rsidR="00944A3C" w:rsidRPr="0099714A" w:rsidRDefault="00944A3C" w:rsidP="00323F71">
            <w:pPr>
              <w:spacing w:before="60" w:after="60" w:line="320" w:lineRule="exact"/>
              <w:ind w:right="170"/>
              <w:textDirection w:val="tbRlV"/>
              <w:rPr>
                <w:sz w:val="18"/>
                <w:szCs w:val="28"/>
                <w:rtl/>
                <w:lang w:val="en-GB" w:eastAsia="zh-TW"/>
              </w:rPr>
            </w:pPr>
            <w:bookmarkStart w:id="211" w:name="bookmark_875"/>
            <w:r w:rsidRPr="0099714A">
              <w:rPr>
                <w:sz w:val="18"/>
                <w:szCs w:val="28"/>
                <w:rtl/>
                <w:lang w:val="en-GB" w:eastAsia="zh-TW"/>
              </w:rPr>
              <w:t>لا ينطبق</w:t>
            </w:r>
            <w:bookmarkEnd w:id="211"/>
          </w:p>
        </w:tc>
        <w:tc>
          <w:tcPr>
            <w:tcW w:w="2268" w:type="dxa"/>
            <w:tcBorders>
              <w:bottom w:val="single" w:sz="12" w:space="0" w:color="auto"/>
            </w:tcBorders>
            <w:shd w:val="clear" w:color="auto" w:fill="auto"/>
          </w:tcPr>
          <w:p w:rsidR="00944A3C" w:rsidRPr="0099714A" w:rsidRDefault="00944A3C" w:rsidP="00323F71">
            <w:pPr>
              <w:spacing w:before="60" w:after="60" w:line="320" w:lineRule="exact"/>
              <w:ind w:left="57"/>
              <w:rPr>
                <w:sz w:val="18"/>
                <w:szCs w:val="28"/>
                <w:lang w:val="fr-FR"/>
              </w:rPr>
            </w:pPr>
          </w:p>
        </w:tc>
      </w:tr>
    </w:tbl>
    <w:p w:rsidR="00944A3C" w:rsidRDefault="007C0291" w:rsidP="008F7F42">
      <w:pPr>
        <w:pStyle w:val="H23GA"/>
        <w:pageBreakBefore/>
        <w:spacing w:before="120" w:after="240"/>
        <w:rPr>
          <w:rStyle w:val="EndnoteReference"/>
          <w:b w:val="0"/>
          <w:bCs w:val="0"/>
          <w:spacing w:val="-2"/>
          <w:rtl/>
        </w:rPr>
      </w:pPr>
      <w:r>
        <w:rPr>
          <w:rtl/>
        </w:rPr>
        <w:lastRenderedPageBreak/>
        <w:tab/>
      </w:r>
      <w:r w:rsidR="00944A3C" w:rsidRPr="005D0C50">
        <w:rPr>
          <w:rFonts w:hint="cs"/>
          <w:rtl/>
        </w:rPr>
        <w:t>3-</w:t>
      </w:r>
      <w:r w:rsidR="00944A3C" w:rsidRPr="005D0C50">
        <w:rPr>
          <w:rtl/>
        </w:rPr>
        <w:tab/>
      </w:r>
      <w:r w:rsidR="00944A3C" w:rsidRPr="005D0C50">
        <w:rPr>
          <w:rFonts w:hint="cs"/>
          <w:rtl/>
        </w:rPr>
        <w:t xml:space="preserve">قبول </w:t>
      </w:r>
      <w:r w:rsidR="00944A3C" w:rsidRPr="005D0C50">
        <w:rPr>
          <w:rtl/>
        </w:rPr>
        <w:t>اتفاقيات لاهاي للقانون الدولي الخاص</w:t>
      </w:r>
      <w:r w:rsidR="00944A3C">
        <w:rPr>
          <w:rStyle w:val="EndnoteReference"/>
          <w:b w:val="0"/>
          <w:bCs w:val="0"/>
          <w:spacing w:val="-2"/>
          <w:rtl/>
        </w:rPr>
        <w:t>(</w:t>
      </w:r>
      <w:r w:rsidR="00944A3C" w:rsidRPr="005D0C50">
        <w:rPr>
          <w:rStyle w:val="EndnoteReference"/>
          <w:b w:val="0"/>
          <w:bCs w:val="0"/>
          <w:spacing w:val="-2"/>
          <w:rtl/>
        </w:rPr>
        <w:endnoteReference w:id="192"/>
      </w:r>
      <w:r w:rsidR="00944A3C">
        <w:rPr>
          <w:rStyle w:val="EndnoteReference"/>
          <w:b w:val="0"/>
          <w:bCs w:val="0"/>
          <w:spacing w:val="-2"/>
          <w:rtl/>
        </w:rPr>
        <w:t>)</w:t>
      </w:r>
    </w:p>
    <w:tbl>
      <w:tblPr>
        <w:bidiVisual/>
        <w:tblW w:w="8413" w:type="dxa"/>
        <w:tblInd w:w="133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54"/>
        <w:gridCol w:w="2863"/>
        <w:gridCol w:w="2296"/>
      </w:tblGrid>
      <w:tr w:rsidR="00944A3C" w:rsidRPr="009640C6" w:rsidTr="002D7359">
        <w:trPr>
          <w:tblHeader/>
        </w:trPr>
        <w:tc>
          <w:tcPr>
            <w:tcW w:w="3254" w:type="dxa"/>
            <w:tcBorders>
              <w:bottom w:val="single" w:sz="12" w:space="0" w:color="auto"/>
            </w:tcBorders>
            <w:shd w:val="clear" w:color="auto" w:fill="auto"/>
            <w:vAlign w:val="bottom"/>
          </w:tcPr>
          <w:p w:rsidR="00944A3C" w:rsidRPr="009640C6" w:rsidRDefault="00944A3C" w:rsidP="002D7359">
            <w:pPr>
              <w:spacing w:before="40" w:after="60" w:line="320" w:lineRule="exact"/>
              <w:ind w:right="227"/>
              <w:jc w:val="left"/>
              <w:textDirection w:val="tbRlV"/>
              <w:rPr>
                <w:i/>
                <w:iCs/>
                <w:sz w:val="18"/>
                <w:szCs w:val="28"/>
                <w:rtl/>
                <w:lang w:val="en-GB" w:eastAsia="zh-TW"/>
              </w:rPr>
            </w:pPr>
            <w:bookmarkStart w:id="212" w:name="bookmark_878"/>
            <w:r w:rsidRPr="009640C6">
              <w:rPr>
                <w:i/>
                <w:iCs/>
                <w:sz w:val="18"/>
                <w:szCs w:val="28"/>
                <w:rtl/>
                <w:lang w:val="en-GB" w:eastAsia="zh-TW"/>
              </w:rPr>
              <w:t>الصك الدولي</w:t>
            </w:r>
            <w:bookmarkEnd w:id="212"/>
          </w:p>
        </w:tc>
        <w:tc>
          <w:tcPr>
            <w:tcW w:w="2863" w:type="dxa"/>
            <w:tcBorders>
              <w:bottom w:val="single" w:sz="12" w:space="0" w:color="auto"/>
            </w:tcBorders>
            <w:shd w:val="clear" w:color="auto" w:fill="auto"/>
            <w:vAlign w:val="bottom"/>
          </w:tcPr>
          <w:p w:rsidR="00944A3C" w:rsidRPr="002A12D6" w:rsidRDefault="00944A3C" w:rsidP="002D7359">
            <w:pPr>
              <w:spacing w:before="40" w:after="60" w:line="320" w:lineRule="exact"/>
              <w:ind w:right="170"/>
              <w:jc w:val="left"/>
              <w:textDirection w:val="tbRlV"/>
              <w:rPr>
                <w:i/>
                <w:iCs/>
                <w:spacing w:val="-4"/>
                <w:sz w:val="18"/>
                <w:szCs w:val="28"/>
                <w:rtl/>
                <w:lang w:val="en-GB" w:eastAsia="zh-TW"/>
              </w:rPr>
            </w:pPr>
            <w:bookmarkStart w:id="213" w:name="bookmark_879"/>
            <w:r w:rsidRPr="002A12D6">
              <w:rPr>
                <w:i/>
                <w:iCs/>
                <w:spacing w:val="-4"/>
                <w:sz w:val="18"/>
                <w:szCs w:val="28"/>
                <w:rtl/>
                <w:lang w:val="en-GB" w:eastAsia="zh-TW"/>
              </w:rPr>
              <w:t>التصديق/الانضمام وقبول التعديلات والإجراءات الاختيارية</w:t>
            </w:r>
            <w:bookmarkEnd w:id="213"/>
          </w:p>
        </w:tc>
        <w:tc>
          <w:tcPr>
            <w:tcW w:w="2296" w:type="dxa"/>
            <w:tcBorders>
              <w:bottom w:val="single" w:sz="12" w:space="0" w:color="auto"/>
            </w:tcBorders>
            <w:shd w:val="clear" w:color="auto" w:fill="auto"/>
            <w:vAlign w:val="bottom"/>
          </w:tcPr>
          <w:p w:rsidR="00944A3C" w:rsidRPr="009640C6" w:rsidRDefault="00944A3C" w:rsidP="002D7359">
            <w:pPr>
              <w:spacing w:before="40" w:after="60" w:line="320" w:lineRule="exact"/>
              <w:ind w:left="57"/>
              <w:jc w:val="left"/>
              <w:textDirection w:val="tbRlV"/>
              <w:rPr>
                <w:i/>
                <w:iCs/>
                <w:sz w:val="18"/>
                <w:szCs w:val="28"/>
                <w:rtl/>
                <w:lang w:val="en-GB" w:eastAsia="zh-TW"/>
              </w:rPr>
            </w:pPr>
            <w:bookmarkStart w:id="214" w:name="bookmark_880"/>
            <w:r w:rsidRPr="009640C6">
              <w:rPr>
                <w:i/>
                <w:iCs/>
                <w:sz w:val="18"/>
                <w:szCs w:val="28"/>
                <w:rtl/>
                <w:lang w:val="en-GB" w:eastAsia="zh-TW"/>
              </w:rPr>
              <w:t>الإعلانات التفسيرية والتحفظات</w:t>
            </w:r>
            <w:bookmarkEnd w:id="214"/>
          </w:p>
        </w:tc>
      </w:tr>
      <w:tr w:rsidR="00944A3C" w:rsidRPr="009640C6" w:rsidTr="002D7359">
        <w:tc>
          <w:tcPr>
            <w:tcW w:w="3254" w:type="dxa"/>
            <w:tcBorders>
              <w:top w:val="single" w:sz="12" w:space="0" w:color="auto"/>
            </w:tcBorders>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15" w:name="bookmark_881"/>
            <w:r w:rsidRPr="009640C6">
              <w:rPr>
                <w:sz w:val="18"/>
                <w:szCs w:val="28"/>
                <w:rtl/>
                <w:lang w:val="en-GB" w:eastAsia="zh-TW"/>
              </w:rPr>
              <w:t>الاتفاقية المتعلقة بتسوية تنازع القانون الوطني وقانون محل الإقامة (1955)</w:t>
            </w:r>
            <w:bookmarkEnd w:id="215"/>
          </w:p>
        </w:tc>
        <w:tc>
          <w:tcPr>
            <w:tcW w:w="2863" w:type="dxa"/>
            <w:tcBorders>
              <w:top w:val="single" w:sz="12" w:space="0" w:color="auto"/>
            </w:tcBorders>
            <w:shd w:val="clear" w:color="auto" w:fill="auto"/>
          </w:tcPr>
          <w:p w:rsidR="00944A3C" w:rsidRPr="009640C6" w:rsidRDefault="00944A3C" w:rsidP="002D7359">
            <w:pPr>
              <w:spacing w:before="40" w:after="60" w:line="320" w:lineRule="exact"/>
              <w:ind w:right="170"/>
              <w:textDirection w:val="tbRlV"/>
              <w:rPr>
                <w:sz w:val="18"/>
                <w:szCs w:val="28"/>
                <w:rtl/>
                <w:lang w:val="en-GB" w:eastAsia="zh-TW"/>
              </w:rPr>
            </w:pPr>
            <w:bookmarkStart w:id="216" w:name="bookmark_882"/>
            <w:r w:rsidRPr="009640C6">
              <w:rPr>
                <w:sz w:val="18"/>
                <w:szCs w:val="28"/>
                <w:rtl/>
                <w:lang w:val="en-GB" w:eastAsia="zh-TW"/>
              </w:rPr>
              <w:t>لا ينطبق (جرى التوقيع عليها في 25 تموز/يوليه 1955)</w:t>
            </w:r>
            <w:bookmarkEnd w:id="216"/>
          </w:p>
        </w:tc>
        <w:tc>
          <w:tcPr>
            <w:tcW w:w="2296" w:type="dxa"/>
            <w:tcBorders>
              <w:top w:val="single" w:sz="12" w:space="0" w:color="auto"/>
            </w:tcBorders>
            <w:shd w:val="clear" w:color="auto" w:fill="auto"/>
          </w:tcPr>
          <w:p w:rsidR="00944A3C" w:rsidRPr="009640C6" w:rsidRDefault="00944A3C" w:rsidP="002D7359">
            <w:pPr>
              <w:spacing w:before="40" w:after="60" w:line="320" w:lineRule="exact"/>
              <w:ind w:left="57"/>
              <w:textDirection w:val="tbRlV"/>
              <w:rPr>
                <w:sz w:val="18"/>
                <w:szCs w:val="28"/>
                <w:rtl/>
                <w:lang w:val="en-GB" w:eastAsia="zh-TW"/>
              </w:rPr>
            </w:pPr>
            <w:bookmarkStart w:id="217" w:name="bookmark_883"/>
            <w:r w:rsidRPr="009640C6">
              <w:rPr>
                <w:sz w:val="18"/>
                <w:szCs w:val="28"/>
                <w:rtl/>
                <w:lang w:val="en-GB" w:eastAsia="zh-TW"/>
              </w:rPr>
              <w:t>لا ينطبق</w:t>
            </w:r>
            <w:bookmarkEnd w:id="217"/>
          </w:p>
        </w:tc>
      </w:tr>
      <w:tr w:rsidR="00944A3C" w:rsidRPr="009640C6" w:rsidTr="002D7359">
        <w:tc>
          <w:tcPr>
            <w:tcW w:w="3254" w:type="dxa"/>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18" w:name="bookmark_884"/>
            <w:r w:rsidRPr="009640C6">
              <w:rPr>
                <w:sz w:val="18"/>
                <w:szCs w:val="28"/>
                <w:rtl/>
                <w:lang w:val="en-GB" w:eastAsia="zh-TW"/>
              </w:rPr>
              <w:t>الاتفاقية المتعلقة بالقانون المنطبق على التزامات النفقة تجاه الأطفال (1956)</w:t>
            </w:r>
            <w:bookmarkEnd w:id="218"/>
          </w:p>
        </w:tc>
        <w:tc>
          <w:tcPr>
            <w:tcW w:w="2863" w:type="dxa"/>
            <w:shd w:val="clear" w:color="auto" w:fill="auto"/>
          </w:tcPr>
          <w:p w:rsidR="00944A3C" w:rsidRPr="009640C6" w:rsidRDefault="00944A3C" w:rsidP="002D7359">
            <w:pPr>
              <w:spacing w:before="40" w:after="60" w:line="320" w:lineRule="exact"/>
              <w:ind w:right="170"/>
              <w:textDirection w:val="tbRlV"/>
              <w:rPr>
                <w:sz w:val="18"/>
                <w:szCs w:val="28"/>
                <w:rtl/>
                <w:lang w:val="en-GB" w:eastAsia="zh-TW"/>
              </w:rPr>
            </w:pPr>
            <w:bookmarkStart w:id="219" w:name="bookmark_885"/>
            <w:r w:rsidRPr="009640C6">
              <w:rPr>
                <w:sz w:val="18"/>
                <w:szCs w:val="28"/>
                <w:rtl/>
                <w:lang w:val="en-GB" w:eastAsia="zh-TW"/>
              </w:rPr>
              <w:t>2 أيار/مايو 1963</w:t>
            </w:r>
            <w:bookmarkEnd w:id="219"/>
          </w:p>
        </w:tc>
        <w:tc>
          <w:tcPr>
            <w:tcW w:w="2296" w:type="dxa"/>
            <w:shd w:val="clear" w:color="auto" w:fill="auto"/>
          </w:tcPr>
          <w:p w:rsidR="00944A3C" w:rsidRPr="009640C6" w:rsidRDefault="00944A3C" w:rsidP="002D7359">
            <w:pPr>
              <w:spacing w:before="40" w:after="60" w:line="320" w:lineRule="exact"/>
              <w:ind w:left="57"/>
              <w:textDirection w:val="tbRlV"/>
              <w:rPr>
                <w:sz w:val="18"/>
                <w:szCs w:val="28"/>
                <w:rtl/>
                <w:lang w:val="en-GB" w:eastAsia="zh-TW"/>
              </w:rPr>
            </w:pPr>
            <w:bookmarkStart w:id="220" w:name="bookmark_886"/>
            <w:r w:rsidRPr="009640C6">
              <w:rPr>
                <w:rFonts w:hint="cs"/>
                <w:sz w:val="18"/>
                <w:szCs w:val="28"/>
                <w:rtl/>
                <w:lang w:val="en-GB" w:eastAsia="zh-TW"/>
              </w:rPr>
              <w:t>إخطار ب</w:t>
            </w:r>
            <w:r w:rsidRPr="009640C6">
              <w:rPr>
                <w:sz w:val="18"/>
                <w:szCs w:val="28"/>
                <w:rtl/>
                <w:lang w:val="en-GB" w:eastAsia="zh-TW"/>
              </w:rPr>
              <w:t>توسيع نطاق التطبيق الإقليمي للاتفاقية.</w:t>
            </w:r>
            <w:bookmarkEnd w:id="220"/>
          </w:p>
        </w:tc>
      </w:tr>
      <w:tr w:rsidR="00944A3C" w:rsidRPr="009640C6" w:rsidTr="002D7359">
        <w:tc>
          <w:tcPr>
            <w:tcW w:w="3254" w:type="dxa"/>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21" w:name="bookmark_887"/>
            <w:r w:rsidRPr="009640C6">
              <w:rPr>
                <w:sz w:val="18"/>
                <w:szCs w:val="28"/>
                <w:rtl/>
                <w:lang w:val="en-GB" w:eastAsia="zh-TW"/>
              </w:rPr>
              <w:t>الاتفاقية المتعلقة بالاعتراف بالأحكام المتصلة بالتزامات النفقة إزاء الأطفال وتنفيذها (1958)</w:t>
            </w:r>
            <w:bookmarkEnd w:id="221"/>
          </w:p>
        </w:tc>
        <w:tc>
          <w:tcPr>
            <w:tcW w:w="2863" w:type="dxa"/>
            <w:shd w:val="clear" w:color="auto" w:fill="auto"/>
          </w:tcPr>
          <w:p w:rsidR="00944A3C" w:rsidRPr="009640C6" w:rsidRDefault="00944A3C" w:rsidP="002D7359">
            <w:pPr>
              <w:spacing w:before="40" w:after="60" w:line="320" w:lineRule="exact"/>
              <w:ind w:right="170"/>
              <w:textDirection w:val="tbRlV"/>
              <w:rPr>
                <w:sz w:val="18"/>
                <w:szCs w:val="28"/>
                <w:rtl/>
                <w:lang w:val="en-GB" w:eastAsia="zh-TW"/>
              </w:rPr>
            </w:pPr>
            <w:bookmarkStart w:id="222" w:name="bookmark_888"/>
            <w:r w:rsidRPr="009640C6">
              <w:rPr>
                <w:sz w:val="18"/>
                <w:szCs w:val="28"/>
                <w:rtl/>
                <w:lang w:val="en-GB" w:eastAsia="zh-TW"/>
              </w:rPr>
              <w:t>26 أيار/مايو 1966</w:t>
            </w:r>
            <w:bookmarkEnd w:id="222"/>
          </w:p>
        </w:tc>
        <w:tc>
          <w:tcPr>
            <w:tcW w:w="2296" w:type="dxa"/>
            <w:shd w:val="clear" w:color="auto" w:fill="auto"/>
          </w:tcPr>
          <w:p w:rsidR="00944A3C" w:rsidRPr="009640C6" w:rsidRDefault="00944A3C" w:rsidP="002D7359">
            <w:pPr>
              <w:spacing w:before="40" w:after="60" w:line="320" w:lineRule="exact"/>
              <w:ind w:left="57"/>
              <w:textDirection w:val="tbRlV"/>
              <w:rPr>
                <w:sz w:val="18"/>
                <w:szCs w:val="28"/>
                <w:rtl/>
                <w:lang w:val="en-GB" w:eastAsia="zh-TW"/>
              </w:rPr>
            </w:pPr>
            <w:bookmarkStart w:id="223" w:name="bookmark_889"/>
            <w:r w:rsidRPr="009640C6">
              <w:rPr>
                <w:rFonts w:hint="cs"/>
                <w:sz w:val="18"/>
                <w:szCs w:val="28"/>
                <w:rtl/>
                <w:lang w:val="en-GB" w:eastAsia="zh-TW"/>
              </w:rPr>
              <w:t>إخطار ب</w:t>
            </w:r>
            <w:r w:rsidRPr="009640C6">
              <w:rPr>
                <w:sz w:val="18"/>
                <w:szCs w:val="28"/>
                <w:rtl/>
                <w:lang w:val="en-GB" w:eastAsia="zh-TW"/>
              </w:rPr>
              <w:t>توسيع نطاق التطبيق الإقليمي للاتفاقية.</w:t>
            </w:r>
            <w:bookmarkEnd w:id="223"/>
          </w:p>
        </w:tc>
      </w:tr>
      <w:tr w:rsidR="00944A3C" w:rsidRPr="009640C6" w:rsidTr="002D7359">
        <w:tc>
          <w:tcPr>
            <w:tcW w:w="3254" w:type="dxa"/>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24" w:name="bookmark_890"/>
            <w:r w:rsidRPr="009640C6">
              <w:rPr>
                <w:sz w:val="18"/>
                <w:szCs w:val="28"/>
                <w:rtl/>
                <w:lang w:val="en-GB" w:eastAsia="zh-TW"/>
              </w:rPr>
              <w:t>الاتفاقية المتعلقة باختصاصات السلطات والقانون الساري في مجال حماية القُصر (1961)</w:t>
            </w:r>
            <w:bookmarkEnd w:id="224"/>
          </w:p>
        </w:tc>
        <w:tc>
          <w:tcPr>
            <w:tcW w:w="2863" w:type="dxa"/>
            <w:shd w:val="clear" w:color="auto" w:fill="auto"/>
          </w:tcPr>
          <w:p w:rsidR="00944A3C" w:rsidRPr="009640C6" w:rsidRDefault="00944A3C" w:rsidP="002D7359">
            <w:pPr>
              <w:spacing w:before="40" w:after="60" w:line="320" w:lineRule="exact"/>
              <w:ind w:right="170"/>
              <w:textDirection w:val="tbRlV"/>
              <w:rPr>
                <w:sz w:val="18"/>
                <w:szCs w:val="28"/>
                <w:rtl/>
                <w:lang w:val="en-GB" w:eastAsia="zh-TW"/>
              </w:rPr>
            </w:pPr>
            <w:bookmarkStart w:id="225" w:name="bookmark_891"/>
            <w:r w:rsidRPr="009640C6">
              <w:rPr>
                <w:sz w:val="18"/>
                <w:szCs w:val="28"/>
                <w:rtl/>
                <w:lang w:val="en-GB" w:eastAsia="zh-TW"/>
              </w:rPr>
              <w:t>11 أيلول/سبتمبر 1972</w:t>
            </w:r>
            <w:bookmarkEnd w:id="225"/>
          </w:p>
        </w:tc>
        <w:tc>
          <w:tcPr>
            <w:tcW w:w="2296" w:type="dxa"/>
            <w:shd w:val="clear" w:color="auto" w:fill="auto"/>
          </w:tcPr>
          <w:p w:rsidR="00944A3C" w:rsidRPr="002A12D6" w:rsidRDefault="00944A3C" w:rsidP="002D7359">
            <w:pPr>
              <w:spacing w:before="40" w:after="60" w:line="320" w:lineRule="exact"/>
              <w:ind w:left="57"/>
              <w:textDirection w:val="tbRlV"/>
              <w:rPr>
                <w:spacing w:val="-4"/>
                <w:sz w:val="18"/>
                <w:szCs w:val="28"/>
                <w:rtl/>
                <w:lang w:val="en-GB" w:eastAsia="zh-TW"/>
              </w:rPr>
            </w:pPr>
            <w:bookmarkStart w:id="226" w:name="bookmark_892"/>
            <w:r w:rsidRPr="002A12D6">
              <w:rPr>
                <w:rFonts w:hint="cs"/>
                <w:spacing w:val="-4"/>
                <w:sz w:val="18"/>
                <w:szCs w:val="28"/>
                <w:rtl/>
                <w:lang w:val="en-GB" w:eastAsia="zh-TW"/>
              </w:rPr>
              <w:t>إخطار ب</w:t>
            </w:r>
            <w:r w:rsidRPr="002A12D6">
              <w:rPr>
                <w:spacing w:val="-4"/>
                <w:sz w:val="18"/>
                <w:szCs w:val="28"/>
                <w:rtl/>
                <w:lang w:val="en-GB" w:eastAsia="zh-TW"/>
              </w:rPr>
              <w:t>سحب التحفظ المنصوص عليه في المادة 15.</w:t>
            </w:r>
            <w:bookmarkEnd w:id="226"/>
          </w:p>
        </w:tc>
      </w:tr>
      <w:tr w:rsidR="00944A3C" w:rsidRPr="009640C6" w:rsidTr="002D7359">
        <w:tc>
          <w:tcPr>
            <w:tcW w:w="3254" w:type="dxa"/>
            <w:shd w:val="clear" w:color="auto" w:fill="auto"/>
          </w:tcPr>
          <w:p w:rsidR="00944A3C" w:rsidRPr="009640C6" w:rsidRDefault="00944A3C" w:rsidP="002D7359">
            <w:pPr>
              <w:keepNext/>
              <w:spacing w:before="40" w:after="60" w:line="320" w:lineRule="exact"/>
              <w:ind w:right="227"/>
              <w:textDirection w:val="tbRlV"/>
              <w:rPr>
                <w:sz w:val="18"/>
                <w:szCs w:val="28"/>
                <w:rtl/>
                <w:lang w:val="en-GB" w:eastAsia="zh-TW"/>
              </w:rPr>
            </w:pPr>
            <w:bookmarkStart w:id="227" w:name="bookmark_893"/>
            <w:r w:rsidRPr="009640C6">
              <w:rPr>
                <w:sz w:val="18"/>
                <w:szCs w:val="28"/>
                <w:rtl/>
                <w:lang w:val="en-GB" w:eastAsia="zh-TW"/>
              </w:rPr>
              <w:t>الاتفاقية المتعلقة بالولاية القضائية والقانون الواجب التطبيق والاعتراف بالمراسيم المتعلقة بالتبني (1965)</w:t>
            </w:r>
            <w:bookmarkEnd w:id="227"/>
          </w:p>
        </w:tc>
        <w:tc>
          <w:tcPr>
            <w:tcW w:w="2863" w:type="dxa"/>
            <w:shd w:val="clear" w:color="auto" w:fill="auto"/>
          </w:tcPr>
          <w:p w:rsidR="00944A3C" w:rsidRPr="009640C6" w:rsidRDefault="00944A3C" w:rsidP="002D7359">
            <w:pPr>
              <w:keepNext/>
              <w:spacing w:before="40" w:after="60" w:line="320" w:lineRule="exact"/>
              <w:ind w:right="170"/>
              <w:textDirection w:val="tbRlV"/>
              <w:rPr>
                <w:sz w:val="18"/>
                <w:szCs w:val="28"/>
                <w:rtl/>
                <w:lang w:val="en-GB" w:eastAsia="zh-TW"/>
              </w:rPr>
            </w:pPr>
            <w:bookmarkStart w:id="228" w:name="bookmark_894"/>
            <w:r w:rsidRPr="009640C6">
              <w:rPr>
                <w:sz w:val="18"/>
                <w:szCs w:val="28"/>
                <w:rtl/>
                <w:lang w:val="en-GB" w:eastAsia="zh-TW"/>
              </w:rPr>
              <w:t>لا ينطبق</w:t>
            </w:r>
            <w:bookmarkEnd w:id="228"/>
          </w:p>
        </w:tc>
        <w:tc>
          <w:tcPr>
            <w:tcW w:w="2296" w:type="dxa"/>
            <w:shd w:val="clear" w:color="auto" w:fill="auto"/>
          </w:tcPr>
          <w:p w:rsidR="00944A3C" w:rsidRPr="009640C6" w:rsidRDefault="00944A3C" w:rsidP="002D7359">
            <w:pPr>
              <w:keepNext/>
              <w:spacing w:before="40" w:after="60" w:line="320" w:lineRule="exact"/>
              <w:ind w:left="57"/>
              <w:textDirection w:val="tbRlV"/>
              <w:rPr>
                <w:sz w:val="18"/>
                <w:szCs w:val="28"/>
                <w:rtl/>
                <w:lang w:val="en-GB" w:eastAsia="zh-TW"/>
              </w:rPr>
            </w:pPr>
            <w:bookmarkStart w:id="229" w:name="bookmark_895"/>
            <w:r w:rsidRPr="009640C6">
              <w:rPr>
                <w:sz w:val="18"/>
                <w:szCs w:val="28"/>
                <w:rtl/>
                <w:lang w:val="en-GB" w:eastAsia="zh-TW"/>
              </w:rPr>
              <w:t>لا ينطبق</w:t>
            </w:r>
            <w:bookmarkEnd w:id="229"/>
          </w:p>
        </w:tc>
      </w:tr>
      <w:tr w:rsidR="00944A3C" w:rsidRPr="009640C6" w:rsidTr="002D7359">
        <w:tc>
          <w:tcPr>
            <w:tcW w:w="3254" w:type="dxa"/>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30" w:name="bookmark_896"/>
            <w:r w:rsidRPr="009640C6">
              <w:rPr>
                <w:sz w:val="18"/>
                <w:szCs w:val="28"/>
                <w:rtl/>
                <w:lang w:val="en-GB" w:eastAsia="zh-TW"/>
              </w:rPr>
              <w:t>الاتفاقية المتعلقة بالقانون المنطبق على التزامات النفقة (1973)</w:t>
            </w:r>
            <w:bookmarkEnd w:id="230"/>
          </w:p>
        </w:tc>
        <w:tc>
          <w:tcPr>
            <w:tcW w:w="2863" w:type="dxa"/>
            <w:shd w:val="clear" w:color="auto" w:fill="auto"/>
          </w:tcPr>
          <w:p w:rsidR="00944A3C" w:rsidRPr="009640C6" w:rsidRDefault="00944A3C" w:rsidP="002D7359">
            <w:pPr>
              <w:spacing w:before="40" w:after="60" w:line="320" w:lineRule="exact"/>
              <w:ind w:right="170"/>
              <w:textDirection w:val="tbRlV"/>
              <w:rPr>
                <w:sz w:val="18"/>
                <w:szCs w:val="28"/>
                <w:rtl/>
                <w:lang w:val="en-GB" w:eastAsia="zh-TW"/>
              </w:rPr>
            </w:pPr>
            <w:bookmarkStart w:id="231" w:name="bookmark_897"/>
            <w:r w:rsidRPr="009640C6">
              <w:rPr>
                <w:sz w:val="18"/>
                <w:szCs w:val="28"/>
                <w:rtl/>
                <w:lang w:val="en-GB" w:eastAsia="zh-TW"/>
              </w:rPr>
              <w:t>19 تموز/يوليه 1977</w:t>
            </w:r>
            <w:bookmarkEnd w:id="231"/>
          </w:p>
        </w:tc>
        <w:tc>
          <w:tcPr>
            <w:tcW w:w="2296" w:type="dxa"/>
            <w:shd w:val="clear" w:color="auto" w:fill="auto"/>
          </w:tcPr>
          <w:p w:rsidR="00944A3C" w:rsidRPr="009640C6" w:rsidRDefault="00944A3C" w:rsidP="002D7359">
            <w:pPr>
              <w:spacing w:before="40" w:after="60" w:line="320" w:lineRule="exact"/>
              <w:ind w:left="57"/>
              <w:textDirection w:val="tbRlV"/>
              <w:rPr>
                <w:sz w:val="18"/>
                <w:szCs w:val="28"/>
                <w:rtl/>
                <w:lang w:val="en-GB" w:eastAsia="zh-TW"/>
              </w:rPr>
            </w:pPr>
            <w:bookmarkStart w:id="232" w:name="bookmark_898"/>
            <w:r w:rsidRPr="009640C6">
              <w:rPr>
                <w:sz w:val="18"/>
                <w:szCs w:val="28"/>
                <w:rtl/>
                <w:lang w:val="en-GB" w:eastAsia="zh-TW"/>
              </w:rPr>
              <w:t>لا ينطبق</w:t>
            </w:r>
            <w:bookmarkEnd w:id="232"/>
          </w:p>
        </w:tc>
      </w:tr>
      <w:tr w:rsidR="00944A3C" w:rsidRPr="009640C6" w:rsidTr="002D7359">
        <w:tc>
          <w:tcPr>
            <w:tcW w:w="3254" w:type="dxa"/>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33" w:name="bookmark_899"/>
            <w:r w:rsidRPr="009640C6">
              <w:rPr>
                <w:sz w:val="18"/>
                <w:szCs w:val="28"/>
                <w:rtl/>
                <w:lang w:val="en-GB" w:eastAsia="zh-TW"/>
              </w:rPr>
              <w:t>الاتفاقية المتعلقة بالاعتراف بالطلاق والهجر (1970)</w:t>
            </w:r>
            <w:bookmarkEnd w:id="233"/>
          </w:p>
        </w:tc>
        <w:tc>
          <w:tcPr>
            <w:tcW w:w="2863" w:type="dxa"/>
            <w:shd w:val="clear" w:color="auto" w:fill="auto"/>
          </w:tcPr>
          <w:p w:rsidR="00944A3C" w:rsidRPr="009640C6" w:rsidRDefault="00944A3C" w:rsidP="002D7359">
            <w:pPr>
              <w:spacing w:before="40" w:after="60" w:line="320" w:lineRule="exact"/>
              <w:ind w:right="170"/>
              <w:textDirection w:val="tbRlV"/>
              <w:rPr>
                <w:sz w:val="18"/>
                <w:szCs w:val="28"/>
                <w:rtl/>
                <w:lang w:val="en-GB" w:eastAsia="zh-TW"/>
              </w:rPr>
            </w:pPr>
            <w:bookmarkStart w:id="234" w:name="bookmark_900"/>
            <w:r w:rsidRPr="009640C6">
              <w:rPr>
                <w:sz w:val="18"/>
                <w:szCs w:val="28"/>
                <w:rtl/>
                <w:lang w:val="en-GB" w:eastAsia="zh-TW"/>
              </w:rPr>
              <w:t>لا ينطبق</w:t>
            </w:r>
            <w:bookmarkEnd w:id="234"/>
          </w:p>
        </w:tc>
        <w:tc>
          <w:tcPr>
            <w:tcW w:w="2296" w:type="dxa"/>
            <w:shd w:val="clear" w:color="auto" w:fill="auto"/>
          </w:tcPr>
          <w:p w:rsidR="00944A3C" w:rsidRPr="009640C6" w:rsidRDefault="00944A3C" w:rsidP="002D7359">
            <w:pPr>
              <w:spacing w:before="40" w:after="60" w:line="320" w:lineRule="exact"/>
              <w:ind w:left="57"/>
              <w:textDirection w:val="tbRlV"/>
              <w:rPr>
                <w:sz w:val="18"/>
                <w:szCs w:val="28"/>
                <w:rtl/>
                <w:lang w:val="en-GB" w:eastAsia="zh-TW"/>
              </w:rPr>
            </w:pPr>
            <w:bookmarkStart w:id="235" w:name="bookmark_901"/>
            <w:r w:rsidRPr="009640C6">
              <w:rPr>
                <w:sz w:val="18"/>
                <w:szCs w:val="28"/>
                <w:rtl/>
                <w:lang w:val="en-GB" w:eastAsia="zh-TW"/>
              </w:rPr>
              <w:t>لا ينطبق</w:t>
            </w:r>
            <w:bookmarkEnd w:id="235"/>
          </w:p>
        </w:tc>
      </w:tr>
      <w:tr w:rsidR="00944A3C" w:rsidRPr="009640C6" w:rsidTr="002D7359">
        <w:tc>
          <w:tcPr>
            <w:tcW w:w="3254" w:type="dxa"/>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36" w:name="bookmark_902"/>
            <w:r w:rsidRPr="009640C6">
              <w:rPr>
                <w:sz w:val="18"/>
                <w:szCs w:val="28"/>
                <w:rtl/>
                <w:lang w:val="en-GB" w:eastAsia="zh-TW"/>
              </w:rPr>
              <w:t>الاتفاقية المتعلقة بالاعتراف بالقرارات ذات الصلة بالتزامات النفقة وتنفيذها (1973)</w:t>
            </w:r>
            <w:bookmarkEnd w:id="236"/>
          </w:p>
        </w:tc>
        <w:tc>
          <w:tcPr>
            <w:tcW w:w="2863" w:type="dxa"/>
            <w:shd w:val="clear" w:color="auto" w:fill="auto"/>
          </w:tcPr>
          <w:p w:rsidR="00944A3C" w:rsidRPr="009640C6" w:rsidRDefault="00944A3C" w:rsidP="002D7359">
            <w:pPr>
              <w:spacing w:before="40" w:after="60" w:line="320" w:lineRule="exact"/>
              <w:ind w:right="170"/>
              <w:textDirection w:val="tbRlV"/>
              <w:rPr>
                <w:sz w:val="18"/>
                <w:szCs w:val="28"/>
                <w:rtl/>
                <w:lang w:val="en-GB" w:eastAsia="zh-TW"/>
              </w:rPr>
            </w:pPr>
            <w:bookmarkStart w:id="237" w:name="bookmark_903"/>
            <w:r w:rsidRPr="009640C6">
              <w:rPr>
                <w:sz w:val="18"/>
                <w:szCs w:val="28"/>
                <w:rtl/>
                <w:lang w:val="en-GB" w:eastAsia="zh-TW"/>
              </w:rPr>
              <w:t>19 تموز/يوليه 1977</w:t>
            </w:r>
            <w:bookmarkEnd w:id="237"/>
          </w:p>
        </w:tc>
        <w:tc>
          <w:tcPr>
            <w:tcW w:w="2296" w:type="dxa"/>
            <w:shd w:val="clear" w:color="auto" w:fill="auto"/>
          </w:tcPr>
          <w:p w:rsidR="00944A3C" w:rsidRPr="009640C6" w:rsidRDefault="00944A3C" w:rsidP="002D7359">
            <w:pPr>
              <w:spacing w:before="40" w:after="60" w:line="320" w:lineRule="exact"/>
              <w:ind w:left="57"/>
              <w:textDirection w:val="tbRlV"/>
              <w:rPr>
                <w:sz w:val="18"/>
                <w:szCs w:val="28"/>
                <w:rtl/>
                <w:lang w:val="en-GB" w:eastAsia="zh-TW"/>
              </w:rPr>
            </w:pPr>
            <w:bookmarkStart w:id="238" w:name="bookmark_904"/>
            <w:r w:rsidRPr="009640C6">
              <w:rPr>
                <w:sz w:val="18"/>
                <w:szCs w:val="28"/>
                <w:rtl/>
                <w:lang w:val="en-GB" w:eastAsia="zh-TW"/>
              </w:rPr>
              <w:t>لا ينطبق</w:t>
            </w:r>
            <w:bookmarkEnd w:id="238"/>
          </w:p>
        </w:tc>
      </w:tr>
      <w:tr w:rsidR="00944A3C" w:rsidRPr="009640C6" w:rsidTr="002D7359">
        <w:tc>
          <w:tcPr>
            <w:tcW w:w="3254" w:type="dxa"/>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39" w:name="bookmark_905"/>
            <w:r w:rsidRPr="009640C6">
              <w:rPr>
                <w:sz w:val="18"/>
                <w:szCs w:val="28"/>
                <w:rtl/>
                <w:lang w:val="en-GB" w:eastAsia="zh-TW"/>
              </w:rPr>
              <w:t>الاتفاقية المتعلقة بالجوانب المدنية للاختطاف الدولي للأطفال (1980)</w:t>
            </w:r>
            <w:bookmarkEnd w:id="239"/>
          </w:p>
        </w:tc>
        <w:tc>
          <w:tcPr>
            <w:tcW w:w="2863" w:type="dxa"/>
            <w:shd w:val="clear" w:color="auto" w:fill="auto"/>
          </w:tcPr>
          <w:p w:rsidR="00944A3C" w:rsidRPr="009640C6" w:rsidRDefault="00944A3C" w:rsidP="002D7359">
            <w:pPr>
              <w:spacing w:before="40" w:after="60" w:line="320" w:lineRule="exact"/>
              <w:ind w:right="170"/>
              <w:textDirection w:val="tbRlV"/>
              <w:rPr>
                <w:sz w:val="18"/>
                <w:szCs w:val="28"/>
                <w:rtl/>
                <w:lang w:val="en-GB" w:eastAsia="zh-TW"/>
              </w:rPr>
            </w:pPr>
            <w:bookmarkStart w:id="240" w:name="bookmark_906"/>
            <w:r w:rsidRPr="009640C6">
              <w:rPr>
                <w:sz w:val="18"/>
                <w:szCs w:val="28"/>
                <w:rtl/>
                <w:lang w:val="en-GB" w:eastAsia="zh-TW"/>
              </w:rPr>
              <w:t>16 أيلول/سبتمبر 1982</w:t>
            </w:r>
            <w:bookmarkEnd w:id="240"/>
          </w:p>
        </w:tc>
        <w:tc>
          <w:tcPr>
            <w:tcW w:w="2296" w:type="dxa"/>
            <w:shd w:val="clear" w:color="auto" w:fill="auto"/>
          </w:tcPr>
          <w:p w:rsidR="00944A3C" w:rsidRPr="009640C6" w:rsidRDefault="00944A3C" w:rsidP="002D7359">
            <w:pPr>
              <w:spacing w:before="40" w:after="60" w:line="320" w:lineRule="exact"/>
              <w:ind w:left="57"/>
              <w:textDirection w:val="tbRlV"/>
              <w:rPr>
                <w:sz w:val="18"/>
                <w:szCs w:val="28"/>
                <w:rtl/>
                <w:lang w:val="en-GB" w:eastAsia="zh-TW"/>
              </w:rPr>
            </w:pPr>
            <w:bookmarkStart w:id="241" w:name="bookmark_907"/>
            <w:r w:rsidRPr="009640C6">
              <w:rPr>
                <w:sz w:val="18"/>
                <w:szCs w:val="28"/>
                <w:rtl/>
                <w:lang w:val="en-GB" w:eastAsia="zh-TW"/>
              </w:rPr>
              <w:t>إعلان</w:t>
            </w:r>
            <w:r w:rsidRPr="009640C6">
              <w:rPr>
                <w:rFonts w:hint="cs"/>
                <w:sz w:val="18"/>
                <w:szCs w:val="28"/>
                <w:rtl/>
                <w:lang w:val="en-GB" w:eastAsia="zh-TW"/>
              </w:rPr>
              <w:t xml:space="preserve">: </w:t>
            </w:r>
            <w:r w:rsidRPr="009640C6">
              <w:rPr>
                <w:sz w:val="18"/>
                <w:szCs w:val="28"/>
                <w:rtl/>
                <w:lang w:val="en-GB" w:eastAsia="zh-TW"/>
              </w:rPr>
              <w:t>المادة 39</w:t>
            </w:r>
            <w:bookmarkEnd w:id="241"/>
          </w:p>
          <w:p w:rsidR="00944A3C" w:rsidRPr="009640C6" w:rsidRDefault="00944A3C" w:rsidP="002D7359">
            <w:pPr>
              <w:spacing w:before="40" w:after="60" w:line="320" w:lineRule="exact"/>
              <w:ind w:left="57"/>
              <w:textDirection w:val="tbRlV"/>
              <w:rPr>
                <w:sz w:val="18"/>
                <w:szCs w:val="28"/>
                <w:rtl/>
                <w:lang w:val="en-GB" w:eastAsia="zh-TW"/>
              </w:rPr>
            </w:pPr>
            <w:bookmarkStart w:id="242" w:name="bookmark_908"/>
            <w:r w:rsidRPr="009640C6">
              <w:rPr>
                <w:sz w:val="18"/>
                <w:szCs w:val="28"/>
                <w:rtl/>
                <w:lang w:val="en-GB" w:eastAsia="zh-TW"/>
              </w:rPr>
              <w:t>تحفظات</w:t>
            </w:r>
            <w:r w:rsidRPr="009640C6">
              <w:rPr>
                <w:rFonts w:hint="cs"/>
                <w:sz w:val="18"/>
                <w:szCs w:val="28"/>
                <w:rtl/>
                <w:lang w:val="en-GB" w:eastAsia="zh-TW"/>
              </w:rPr>
              <w:t xml:space="preserve">: </w:t>
            </w:r>
            <w:r w:rsidRPr="009640C6">
              <w:rPr>
                <w:sz w:val="18"/>
                <w:szCs w:val="28"/>
                <w:rtl/>
                <w:lang w:val="en-GB" w:eastAsia="zh-TW"/>
              </w:rPr>
              <w:t>المادت</w:t>
            </w:r>
            <w:r w:rsidRPr="009640C6">
              <w:rPr>
                <w:rFonts w:hint="cs"/>
                <w:sz w:val="18"/>
                <w:szCs w:val="28"/>
                <w:rtl/>
                <w:lang w:val="en-GB" w:eastAsia="zh-TW"/>
              </w:rPr>
              <w:t>ا</w:t>
            </w:r>
            <w:r w:rsidRPr="009640C6">
              <w:rPr>
                <w:sz w:val="18"/>
                <w:szCs w:val="28"/>
                <w:rtl/>
                <w:lang w:val="en-GB" w:eastAsia="zh-TW"/>
              </w:rPr>
              <w:t>ن 24 و26</w:t>
            </w:r>
            <w:bookmarkEnd w:id="242"/>
          </w:p>
        </w:tc>
      </w:tr>
      <w:tr w:rsidR="00944A3C" w:rsidRPr="009640C6" w:rsidTr="002D7359">
        <w:tc>
          <w:tcPr>
            <w:tcW w:w="3254" w:type="dxa"/>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43" w:name="bookmark_909"/>
            <w:r w:rsidRPr="009640C6">
              <w:rPr>
                <w:sz w:val="18"/>
                <w:szCs w:val="28"/>
                <w:rtl/>
                <w:lang w:val="en-GB" w:eastAsia="zh-TW"/>
              </w:rPr>
              <w:t>الاتفاقية المتعلقة بإبرام عقود الزواج والاعتراف بصحتها (1978)</w:t>
            </w:r>
            <w:bookmarkEnd w:id="243"/>
          </w:p>
        </w:tc>
        <w:tc>
          <w:tcPr>
            <w:tcW w:w="2863" w:type="dxa"/>
            <w:shd w:val="clear" w:color="auto" w:fill="auto"/>
          </w:tcPr>
          <w:p w:rsidR="00944A3C" w:rsidRPr="009640C6" w:rsidRDefault="00944A3C" w:rsidP="002D7359">
            <w:pPr>
              <w:spacing w:before="40" w:after="60" w:line="320" w:lineRule="exact"/>
              <w:ind w:right="170"/>
              <w:textDirection w:val="tbRlV"/>
              <w:rPr>
                <w:sz w:val="18"/>
                <w:szCs w:val="28"/>
                <w:rtl/>
                <w:lang w:val="en-GB" w:eastAsia="zh-TW"/>
              </w:rPr>
            </w:pPr>
            <w:bookmarkStart w:id="244" w:name="bookmark_910"/>
            <w:r w:rsidRPr="009640C6">
              <w:rPr>
                <w:sz w:val="18"/>
                <w:szCs w:val="28"/>
                <w:rtl/>
                <w:lang w:val="en-GB" w:eastAsia="zh-TW"/>
              </w:rPr>
              <w:t>لا ينطبق</w:t>
            </w:r>
            <w:bookmarkEnd w:id="244"/>
          </w:p>
        </w:tc>
        <w:tc>
          <w:tcPr>
            <w:tcW w:w="2296" w:type="dxa"/>
            <w:shd w:val="clear" w:color="auto" w:fill="auto"/>
          </w:tcPr>
          <w:p w:rsidR="00944A3C" w:rsidRPr="009640C6" w:rsidRDefault="00944A3C" w:rsidP="002D7359">
            <w:pPr>
              <w:spacing w:before="40" w:after="60" w:line="320" w:lineRule="exact"/>
              <w:ind w:left="57"/>
              <w:textDirection w:val="tbRlV"/>
              <w:rPr>
                <w:sz w:val="18"/>
                <w:szCs w:val="28"/>
                <w:rtl/>
                <w:lang w:val="en-GB" w:eastAsia="zh-TW"/>
              </w:rPr>
            </w:pPr>
            <w:bookmarkStart w:id="245" w:name="bookmark_911"/>
            <w:r w:rsidRPr="009640C6">
              <w:rPr>
                <w:sz w:val="18"/>
                <w:szCs w:val="28"/>
                <w:rtl/>
                <w:lang w:val="en-GB" w:eastAsia="zh-TW"/>
              </w:rPr>
              <w:t>لا ينطبق</w:t>
            </w:r>
            <w:bookmarkEnd w:id="245"/>
          </w:p>
        </w:tc>
      </w:tr>
      <w:tr w:rsidR="00944A3C" w:rsidRPr="009640C6" w:rsidTr="002D7359">
        <w:tc>
          <w:tcPr>
            <w:tcW w:w="3254" w:type="dxa"/>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46" w:name="bookmark_912"/>
            <w:r w:rsidRPr="009640C6">
              <w:rPr>
                <w:sz w:val="18"/>
                <w:szCs w:val="28"/>
                <w:rtl/>
                <w:lang w:val="en-GB" w:eastAsia="zh-TW"/>
              </w:rPr>
              <w:t>الاتفاقية المتعلقة بالقانون الساري على النظام المالي للزوجية (1978)</w:t>
            </w:r>
            <w:bookmarkEnd w:id="246"/>
          </w:p>
        </w:tc>
        <w:tc>
          <w:tcPr>
            <w:tcW w:w="2863" w:type="dxa"/>
            <w:shd w:val="clear" w:color="auto" w:fill="auto"/>
          </w:tcPr>
          <w:p w:rsidR="00944A3C" w:rsidRPr="009640C6" w:rsidRDefault="00944A3C" w:rsidP="002D7359">
            <w:pPr>
              <w:spacing w:before="40" w:after="60" w:line="320" w:lineRule="exact"/>
              <w:ind w:right="170"/>
              <w:textDirection w:val="tbRlV"/>
              <w:rPr>
                <w:sz w:val="18"/>
                <w:szCs w:val="28"/>
                <w:rtl/>
                <w:lang w:val="en-GB" w:eastAsia="zh-TW"/>
              </w:rPr>
            </w:pPr>
            <w:bookmarkStart w:id="247" w:name="bookmark_913"/>
            <w:r w:rsidRPr="009640C6">
              <w:rPr>
                <w:sz w:val="18"/>
                <w:szCs w:val="28"/>
                <w:rtl/>
                <w:lang w:val="en-GB" w:eastAsia="zh-TW"/>
              </w:rPr>
              <w:t>26 أيلول/سبتمبر 1979</w:t>
            </w:r>
            <w:bookmarkEnd w:id="247"/>
          </w:p>
        </w:tc>
        <w:tc>
          <w:tcPr>
            <w:tcW w:w="2296" w:type="dxa"/>
            <w:shd w:val="clear" w:color="auto" w:fill="auto"/>
          </w:tcPr>
          <w:p w:rsidR="00944A3C" w:rsidRPr="009640C6" w:rsidRDefault="00944A3C" w:rsidP="002D7359">
            <w:pPr>
              <w:spacing w:before="40" w:after="60" w:line="320" w:lineRule="exact"/>
              <w:ind w:left="57"/>
              <w:textDirection w:val="tbRlV"/>
              <w:rPr>
                <w:sz w:val="18"/>
                <w:szCs w:val="28"/>
                <w:rtl/>
                <w:lang w:val="en-GB" w:eastAsia="zh-TW"/>
              </w:rPr>
            </w:pPr>
            <w:bookmarkStart w:id="248" w:name="bookmark_914"/>
            <w:r w:rsidRPr="009640C6">
              <w:rPr>
                <w:sz w:val="18"/>
                <w:szCs w:val="28"/>
                <w:rtl/>
                <w:lang w:val="en-GB" w:eastAsia="zh-TW"/>
              </w:rPr>
              <w:t>لا ينطبق</w:t>
            </w:r>
            <w:bookmarkEnd w:id="248"/>
          </w:p>
        </w:tc>
      </w:tr>
      <w:tr w:rsidR="00944A3C" w:rsidRPr="009640C6" w:rsidTr="002D7359">
        <w:tc>
          <w:tcPr>
            <w:tcW w:w="3254" w:type="dxa"/>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49" w:name="bookmark_915"/>
            <w:r w:rsidRPr="009640C6">
              <w:rPr>
                <w:sz w:val="18"/>
                <w:szCs w:val="28"/>
                <w:rtl/>
                <w:lang w:val="en-GB" w:eastAsia="zh-TW"/>
              </w:rPr>
              <w:t>الاتفاقية المتعلقة بتيسير الوصول إلى العدالة على الصعيد الدولي (1980)</w:t>
            </w:r>
            <w:bookmarkEnd w:id="249"/>
          </w:p>
        </w:tc>
        <w:tc>
          <w:tcPr>
            <w:tcW w:w="2863" w:type="dxa"/>
            <w:shd w:val="clear" w:color="auto" w:fill="auto"/>
          </w:tcPr>
          <w:p w:rsidR="00944A3C" w:rsidRPr="009640C6" w:rsidRDefault="00944A3C" w:rsidP="002D7359">
            <w:pPr>
              <w:spacing w:before="40" w:after="60" w:line="320" w:lineRule="exact"/>
              <w:ind w:right="170"/>
              <w:jc w:val="left"/>
              <w:textDirection w:val="tbRlV"/>
              <w:rPr>
                <w:sz w:val="18"/>
                <w:szCs w:val="28"/>
                <w:rtl/>
                <w:lang w:val="en-GB" w:eastAsia="zh-TW"/>
              </w:rPr>
            </w:pPr>
            <w:bookmarkStart w:id="250" w:name="bookmark_916"/>
            <w:r w:rsidRPr="009640C6">
              <w:rPr>
                <w:sz w:val="18"/>
                <w:szCs w:val="28"/>
                <w:rtl/>
                <w:lang w:val="en-GB" w:eastAsia="zh-TW"/>
              </w:rPr>
              <w:t>22 كانون الأول/</w:t>
            </w:r>
            <w:r w:rsidR="00710556">
              <w:rPr>
                <w:rFonts w:hint="cs"/>
                <w:sz w:val="18"/>
                <w:szCs w:val="28"/>
                <w:rtl/>
                <w:lang w:val="en-GB" w:eastAsia="zh-TW"/>
              </w:rPr>
              <w:t xml:space="preserve"> </w:t>
            </w:r>
            <w:r w:rsidR="00710556">
              <w:rPr>
                <w:sz w:val="18"/>
                <w:szCs w:val="28"/>
                <w:rtl/>
                <w:lang w:val="en-GB" w:eastAsia="zh-TW"/>
              </w:rPr>
              <w:br/>
            </w:r>
            <w:r w:rsidRPr="009640C6">
              <w:rPr>
                <w:sz w:val="18"/>
                <w:szCs w:val="28"/>
                <w:rtl/>
                <w:lang w:val="en-GB" w:eastAsia="zh-TW"/>
              </w:rPr>
              <w:t>ديسمبر 1982</w:t>
            </w:r>
            <w:bookmarkEnd w:id="250"/>
          </w:p>
        </w:tc>
        <w:tc>
          <w:tcPr>
            <w:tcW w:w="2296" w:type="dxa"/>
            <w:shd w:val="clear" w:color="auto" w:fill="auto"/>
          </w:tcPr>
          <w:p w:rsidR="00944A3C" w:rsidRPr="009640C6" w:rsidRDefault="00944A3C" w:rsidP="002D7359">
            <w:pPr>
              <w:spacing w:before="40" w:after="60" w:line="320" w:lineRule="exact"/>
              <w:ind w:left="57"/>
              <w:textDirection w:val="tbRlV"/>
              <w:rPr>
                <w:sz w:val="18"/>
                <w:szCs w:val="28"/>
                <w:rtl/>
                <w:lang w:val="en-GB" w:eastAsia="zh-TW"/>
              </w:rPr>
            </w:pPr>
            <w:bookmarkStart w:id="251" w:name="bookmark_917"/>
            <w:r w:rsidRPr="009640C6">
              <w:rPr>
                <w:sz w:val="18"/>
                <w:szCs w:val="28"/>
                <w:rtl/>
                <w:lang w:val="en-GB" w:eastAsia="zh-TW"/>
              </w:rPr>
              <w:t>إعلان</w:t>
            </w:r>
            <w:r w:rsidRPr="009640C6">
              <w:rPr>
                <w:rFonts w:hint="cs"/>
                <w:sz w:val="18"/>
                <w:szCs w:val="28"/>
                <w:rtl/>
                <w:lang w:val="en-GB" w:eastAsia="zh-TW"/>
              </w:rPr>
              <w:t xml:space="preserve">: </w:t>
            </w:r>
            <w:r w:rsidRPr="009640C6">
              <w:rPr>
                <w:sz w:val="18"/>
                <w:szCs w:val="28"/>
                <w:rtl/>
                <w:lang w:val="en-GB" w:eastAsia="zh-TW"/>
              </w:rPr>
              <w:t>المادة 33</w:t>
            </w:r>
            <w:bookmarkEnd w:id="251"/>
          </w:p>
          <w:p w:rsidR="00944A3C" w:rsidRPr="009640C6" w:rsidRDefault="00944A3C" w:rsidP="002D7359">
            <w:pPr>
              <w:spacing w:before="40" w:after="60" w:line="320" w:lineRule="exact"/>
              <w:ind w:left="57"/>
              <w:textDirection w:val="tbRlV"/>
              <w:rPr>
                <w:sz w:val="18"/>
                <w:szCs w:val="28"/>
                <w:rtl/>
                <w:lang w:val="en-GB" w:eastAsia="zh-TW"/>
              </w:rPr>
            </w:pPr>
            <w:bookmarkStart w:id="252" w:name="bookmark_918"/>
            <w:r w:rsidRPr="009640C6">
              <w:rPr>
                <w:sz w:val="18"/>
                <w:szCs w:val="28"/>
                <w:rtl/>
                <w:lang w:val="en-GB" w:eastAsia="zh-TW"/>
              </w:rPr>
              <w:t>تحفظ</w:t>
            </w:r>
            <w:r w:rsidRPr="009640C6">
              <w:rPr>
                <w:rFonts w:hint="cs"/>
                <w:sz w:val="18"/>
                <w:szCs w:val="28"/>
                <w:rtl/>
                <w:lang w:val="en-GB" w:eastAsia="zh-TW"/>
              </w:rPr>
              <w:t xml:space="preserve">: </w:t>
            </w:r>
            <w:r w:rsidRPr="009640C6">
              <w:rPr>
                <w:sz w:val="18"/>
                <w:szCs w:val="28"/>
                <w:rtl/>
                <w:lang w:val="en-GB" w:eastAsia="zh-TW"/>
              </w:rPr>
              <w:t>المادت</w:t>
            </w:r>
            <w:r w:rsidRPr="009640C6">
              <w:rPr>
                <w:rFonts w:hint="cs"/>
                <w:sz w:val="18"/>
                <w:szCs w:val="28"/>
                <w:rtl/>
                <w:lang w:val="en-GB" w:eastAsia="zh-TW"/>
              </w:rPr>
              <w:t>ا</w:t>
            </w:r>
            <w:r w:rsidRPr="009640C6">
              <w:rPr>
                <w:sz w:val="18"/>
                <w:szCs w:val="28"/>
                <w:rtl/>
                <w:lang w:val="en-GB" w:eastAsia="zh-TW"/>
              </w:rPr>
              <w:t>ن 1 و7</w:t>
            </w:r>
            <w:bookmarkEnd w:id="252"/>
          </w:p>
        </w:tc>
      </w:tr>
      <w:tr w:rsidR="00944A3C" w:rsidRPr="009640C6" w:rsidTr="002D7359">
        <w:tc>
          <w:tcPr>
            <w:tcW w:w="3254" w:type="dxa"/>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53" w:name="bookmark_919"/>
            <w:r w:rsidRPr="009640C6">
              <w:rPr>
                <w:sz w:val="18"/>
                <w:szCs w:val="28"/>
                <w:rtl/>
                <w:lang w:val="en-GB" w:eastAsia="zh-TW"/>
              </w:rPr>
              <w:t>الاتفاقية المتعلقة بالقانون الساري على تركات المتوفين (1989)</w:t>
            </w:r>
            <w:bookmarkEnd w:id="253"/>
          </w:p>
        </w:tc>
        <w:tc>
          <w:tcPr>
            <w:tcW w:w="2863" w:type="dxa"/>
            <w:shd w:val="clear" w:color="auto" w:fill="auto"/>
          </w:tcPr>
          <w:p w:rsidR="00944A3C" w:rsidRPr="009640C6" w:rsidRDefault="00944A3C" w:rsidP="002D7359">
            <w:pPr>
              <w:spacing w:before="40" w:after="60" w:line="320" w:lineRule="exact"/>
              <w:ind w:right="170"/>
              <w:textDirection w:val="tbRlV"/>
              <w:rPr>
                <w:sz w:val="18"/>
                <w:szCs w:val="28"/>
                <w:rtl/>
                <w:lang w:val="en-GB" w:eastAsia="zh-TW"/>
              </w:rPr>
            </w:pPr>
            <w:bookmarkStart w:id="254" w:name="bookmark_920"/>
            <w:r w:rsidRPr="009640C6">
              <w:rPr>
                <w:sz w:val="18"/>
                <w:szCs w:val="28"/>
                <w:rtl/>
                <w:lang w:val="en-GB" w:eastAsia="zh-TW"/>
              </w:rPr>
              <w:t>لا ينطبق</w:t>
            </w:r>
            <w:bookmarkEnd w:id="254"/>
          </w:p>
        </w:tc>
        <w:tc>
          <w:tcPr>
            <w:tcW w:w="2296" w:type="dxa"/>
            <w:shd w:val="clear" w:color="auto" w:fill="auto"/>
          </w:tcPr>
          <w:p w:rsidR="00944A3C" w:rsidRPr="009640C6" w:rsidRDefault="00944A3C" w:rsidP="002D7359">
            <w:pPr>
              <w:spacing w:before="40" w:after="60" w:line="320" w:lineRule="exact"/>
              <w:ind w:left="57"/>
              <w:textDirection w:val="tbRlV"/>
              <w:rPr>
                <w:sz w:val="18"/>
                <w:szCs w:val="28"/>
                <w:rtl/>
                <w:lang w:val="en-GB" w:eastAsia="zh-TW"/>
              </w:rPr>
            </w:pPr>
            <w:bookmarkStart w:id="255" w:name="bookmark_921"/>
            <w:r w:rsidRPr="009640C6">
              <w:rPr>
                <w:sz w:val="18"/>
                <w:szCs w:val="28"/>
                <w:rtl/>
                <w:lang w:val="en-GB" w:eastAsia="zh-TW"/>
              </w:rPr>
              <w:t>لا ينطبق</w:t>
            </w:r>
            <w:bookmarkEnd w:id="255"/>
          </w:p>
        </w:tc>
      </w:tr>
      <w:tr w:rsidR="00944A3C" w:rsidRPr="009640C6" w:rsidTr="002D7359">
        <w:tc>
          <w:tcPr>
            <w:tcW w:w="3254" w:type="dxa"/>
            <w:shd w:val="clear" w:color="auto" w:fill="auto"/>
          </w:tcPr>
          <w:p w:rsidR="00944A3C" w:rsidRPr="009640C6" w:rsidRDefault="00944A3C" w:rsidP="002D7359">
            <w:pPr>
              <w:spacing w:before="40" w:after="60" w:line="300" w:lineRule="exact"/>
              <w:ind w:right="227"/>
              <w:textDirection w:val="tbRlV"/>
              <w:rPr>
                <w:sz w:val="18"/>
                <w:szCs w:val="28"/>
                <w:rtl/>
                <w:lang w:val="en-GB" w:eastAsia="zh-TW"/>
              </w:rPr>
            </w:pPr>
            <w:bookmarkStart w:id="256" w:name="bookmark_922"/>
            <w:r w:rsidRPr="009640C6">
              <w:rPr>
                <w:sz w:val="18"/>
                <w:szCs w:val="28"/>
                <w:rtl/>
                <w:lang w:val="en-GB" w:eastAsia="zh-TW"/>
              </w:rPr>
              <w:t>اتفاقية حماية الأطفال والتعاون في مجال التبني على الصعيد الدولي (1993)</w:t>
            </w:r>
            <w:bookmarkEnd w:id="256"/>
          </w:p>
        </w:tc>
        <w:tc>
          <w:tcPr>
            <w:tcW w:w="2863" w:type="dxa"/>
            <w:shd w:val="clear" w:color="auto" w:fill="auto"/>
          </w:tcPr>
          <w:p w:rsidR="00944A3C" w:rsidRPr="009640C6" w:rsidRDefault="00944A3C" w:rsidP="002D7359">
            <w:pPr>
              <w:spacing w:before="40" w:after="60" w:line="300" w:lineRule="exact"/>
              <w:ind w:right="170"/>
              <w:textDirection w:val="tbRlV"/>
              <w:rPr>
                <w:sz w:val="18"/>
                <w:szCs w:val="28"/>
                <w:rtl/>
                <w:lang w:val="en-GB" w:eastAsia="zh-TW"/>
              </w:rPr>
            </w:pPr>
            <w:bookmarkStart w:id="257" w:name="bookmark_923"/>
            <w:r w:rsidRPr="009640C6">
              <w:rPr>
                <w:sz w:val="18"/>
                <w:szCs w:val="28"/>
                <w:rtl/>
                <w:lang w:val="en-GB" w:eastAsia="zh-TW"/>
              </w:rPr>
              <w:t>30 حزيران/يونيه 1998</w:t>
            </w:r>
            <w:bookmarkEnd w:id="257"/>
          </w:p>
        </w:tc>
        <w:tc>
          <w:tcPr>
            <w:tcW w:w="2296" w:type="dxa"/>
            <w:shd w:val="clear" w:color="auto" w:fill="auto"/>
          </w:tcPr>
          <w:p w:rsidR="00944A3C" w:rsidRPr="009640C6" w:rsidRDefault="00944A3C" w:rsidP="002D7359">
            <w:pPr>
              <w:spacing w:before="40" w:after="60" w:line="300" w:lineRule="exact"/>
              <w:ind w:left="57"/>
              <w:textDirection w:val="tbRlV"/>
              <w:rPr>
                <w:sz w:val="18"/>
                <w:szCs w:val="28"/>
                <w:rtl/>
                <w:lang w:val="en-GB" w:eastAsia="zh-TW"/>
              </w:rPr>
            </w:pPr>
            <w:bookmarkStart w:id="258" w:name="bookmark_924"/>
            <w:r w:rsidRPr="009640C6">
              <w:rPr>
                <w:sz w:val="18"/>
                <w:szCs w:val="28"/>
                <w:rtl/>
                <w:lang w:val="en-GB" w:eastAsia="zh-TW"/>
              </w:rPr>
              <w:t>إعلانات</w:t>
            </w:r>
            <w:r w:rsidRPr="009640C6">
              <w:rPr>
                <w:rFonts w:hint="cs"/>
                <w:sz w:val="18"/>
                <w:szCs w:val="28"/>
                <w:rtl/>
                <w:lang w:val="en-GB" w:eastAsia="zh-TW"/>
              </w:rPr>
              <w:t xml:space="preserve">: </w:t>
            </w:r>
            <w:r w:rsidRPr="009640C6">
              <w:rPr>
                <w:sz w:val="18"/>
                <w:szCs w:val="28"/>
                <w:rtl/>
                <w:lang w:val="en-GB" w:eastAsia="zh-TW"/>
              </w:rPr>
              <w:t>المواد 22(4) و23(2) و25 و45(1)</w:t>
            </w:r>
            <w:bookmarkEnd w:id="258"/>
          </w:p>
        </w:tc>
      </w:tr>
      <w:tr w:rsidR="00944A3C" w:rsidRPr="009640C6" w:rsidTr="002D7359">
        <w:tc>
          <w:tcPr>
            <w:tcW w:w="3254" w:type="dxa"/>
            <w:shd w:val="clear" w:color="auto" w:fill="auto"/>
          </w:tcPr>
          <w:p w:rsidR="00944A3C" w:rsidRPr="009640C6" w:rsidRDefault="00944A3C" w:rsidP="00CB62C2">
            <w:pPr>
              <w:keepNext/>
              <w:spacing w:before="40" w:after="60" w:line="300" w:lineRule="exact"/>
              <w:ind w:right="227"/>
              <w:textDirection w:val="tbRlV"/>
              <w:rPr>
                <w:sz w:val="18"/>
                <w:szCs w:val="28"/>
                <w:rtl/>
                <w:lang w:val="en-GB" w:eastAsia="zh-TW"/>
              </w:rPr>
            </w:pPr>
            <w:bookmarkStart w:id="259" w:name="bookmark_925"/>
            <w:r w:rsidRPr="009640C6">
              <w:rPr>
                <w:sz w:val="18"/>
                <w:szCs w:val="28"/>
                <w:rtl/>
                <w:lang w:val="en-GB" w:eastAsia="zh-TW"/>
              </w:rPr>
              <w:lastRenderedPageBreak/>
              <w:t>الاتفاقية الخاصة بالاختصاص، والقانون الواجب تطبيقه، والاعتراف، والإنفاذ والتعاون فيما يتعلق بالمسؤولية الأبوية وإجراءات حماية الطفل (1996)</w:t>
            </w:r>
            <w:bookmarkEnd w:id="259"/>
          </w:p>
        </w:tc>
        <w:tc>
          <w:tcPr>
            <w:tcW w:w="2863" w:type="dxa"/>
            <w:shd w:val="clear" w:color="auto" w:fill="auto"/>
          </w:tcPr>
          <w:p w:rsidR="00944A3C" w:rsidRPr="009640C6" w:rsidRDefault="00944A3C" w:rsidP="00CB62C2">
            <w:pPr>
              <w:keepNext/>
              <w:spacing w:before="40" w:after="60" w:line="300" w:lineRule="exact"/>
              <w:ind w:right="170"/>
              <w:jc w:val="left"/>
              <w:textDirection w:val="tbRlV"/>
              <w:rPr>
                <w:sz w:val="18"/>
                <w:szCs w:val="28"/>
                <w:rtl/>
                <w:lang w:val="en-GB" w:eastAsia="zh-TW"/>
              </w:rPr>
            </w:pPr>
            <w:bookmarkStart w:id="260" w:name="bookmark_926"/>
            <w:r w:rsidRPr="009640C6">
              <w:rPr>
                <w:sz w:val="18"/>
                <w:szCs w:val="28"/>
                <w:rtl/>
                <w:lang w:val="en-GB" w:eastAsia="zh-TW"/>
              </w:rPr>
              <w:t>15 تشرين الأول/</w:t>
            </w:r>
            <w:r w:rsidR="00710556">
              <w:rPr>
                <w:rFonts w:hint="cs"/>
                <w:sz w:val="18"/>
                <w:szCs w:val="28"/>
                <w:rtl/>
                <w:lang w:val="en-GB" w:eastAsia="zh-TW"/>
              </w:rPr>
              <w:t xml:space="preserve"> </w:t>
            </w:r>
            <w:r w:rsidR="00710556">
              <w:rPr>
                <w:sz w:val="18"/>
                <w:szCs w:val="28"/>
                <w:rtl/>
                <w:lang w:val="en-GB" w:eastAsia="zh-TW"/>
              </w:rPr>
              <w:br/>
            </w:r>
            <w:r w:rsidRPr="009640C6">
              <w:rPr>
                <w:sz w:val="18"/>
                <w:szCs w:val="28"/>
                <w:rtl/>
                <w:lang w:val="en-GB" w:eastAsia="zh-TW"/>
              </w:rPr>
              <w:t>أكتوبر 2010</w:t>
            </w:r>
            <w:bookmarkEnd w:id="260"/>
          </w:p>
        </w:tc>
        <w:tc>
          <w:tcPr>
            <w:tcW w:w="2296" w:type="dxa"/>
            <w:shd w:val="clear" w:color="auto" w:fill="auto"/>
          </w:tcPr>
          <w:p w:rsidR="00944A3C" w:rsidRPr="009640C6" w:rsidRDefault="00944A3C" w:rsidP="00CB62C2">
            <w:pPr>
              <w:keepNext/>
              <w:spacing w:before="40" w:after="60" w:line="300" w:lineRule="exact"/>
              <w:ind w:left="57"/>
              <w:textDirection w:val="tbRlV"/>
              <w:rPr>
                <w:sz w:val="18"/>
                <w:szCs w:val="28"/>
                <w:rtl/>
                <w:lang w:val="en-GB" w:eastAsia="zh-TW"/>
              </w:rPr>
            </w:pPr>
            <w:bookmarkStart w:id="261" w:name="bookmark_927"/>
            <w:r w:rsidRPr="009640C6">
              <w:rPr>
                <w:sz w:val="18"/>
                <w:szCs w:val="28"/>
                <w:rtl/>
                <w:lang w:val="en-GB" w:eastAsia="zh-TW"/>
              </w:rPr>
              <w:t>إعلان تفسيري</w:t>
            </w:r>
            <w:r w:rsidRPr="009640C6">
              <w:rPr>
                <w:rFonts w:hint="cs"/>
                <w:sz w:val="18"/>
                <w:szCs w:val="28"/>
                <w:rtl/>
                <w:lang w:val="en-GB" w:eastAsia="zh-TW"/>
              </w:rPr>
              <w:t xml:space="preserve">: </w:t>
            </w:r>
            <w:r w:rsidRPr="009640C6">
              <w:rPr>
                <w:sz w:val="18"/>
                <w:szCs w:val="28"/>
                <w:rtl/>
                <w:lang w:val="en-GB" w:eastAsia="zh-TW"/>
              </w:rPr>
              <w:t>المواد 23 و26 و52</w:t>
            </w:r>
            <w:bookmarkEnd w:id="261"/>
            <w:r w:rsidRPr="009640C6">
              <w:rPr>
                <w:rFonts w:hint="cs"/>
                <w:sz w:val="18"/>
                <w:szCs w:val="28"/>
                <w:rtl/>
                <w:lang w:val="en-GB" w:eastAsia="zh-TW"/>
              </w:rPr>
              <w:t xml:space="preserve"> مجتمعة</w:t>
            </w:r>
          </w:p>
          <w:p w:rsidR="00944A3C" w:rsidRPr="009640C6" w:rsidRDefault="00944A3C" w:rsidP="00CB62C2">
            <w:pPr>
              <w:keepNext/>
              <w:spacing w:before="40" w:after="60" w:line="300" w:lineRule="exact"/>
              <w:ind w:left="57"/>
              <w:textDirection w:val="tbRlV"/>
              <w:rPr>
                <w:sz w:val="18"/>
                <w:szCs w:val="28"/>
                <w:rtl/>
                <w:lang w:val="en-GB" w:eastAsia="zh-TW"/>
              </w:rPr>
            </w:pPr>
            <w:bookmarkStart w:id="262" w:name="bookmark_928"/>
            <w:r w:rsidRPr="009640C6">
              <w:rPr>
                <w:sz w:val="18"/>
                <w:szCs w:val="28"/>
                <w:rtl/>
                <w:lang w:val="en-GB" w:eastAsia="zh-TW"/>
              </w:rPr>
              <w:t>إعلان</w:t>
            </w:r>
            <w:r w:rsidRPr="009640C6">
              <w:rPr>
                <w:rFonts w:hint="cs"/>
                <w:sz w:val="18"/>
                <w:szCs w:val="28"/>
                <w:rtl/>
                <w:lang w:val="en-GB" w:eastAsia="zh-TW"/>
              </w:rPr>
              <w:t xml:space="preserve">: </w:t>
            </w:r>
            <w:r w:rsidRPr="009640C6">
              <w:rPr>
                <w:sz w:val="18"/>
                <w:szCs w:val="28"/>
                <w:rtl/>
                <w:lang w:val="en-GB" w:eastAsia="zh-TW"/>
              </w:rPr>
              <w:t>المادت</w:t>
            </w:r>
            <w:r w:rsidRPr="009640C6">
              <w:rPr>
                <w:rFonts w:hint="cs"/>
                <w:sz w:val="18"/>
                <w:szCs w:val="28"/>
                <w:rtl/>
                <w:lang w:val="en-GB" w:eastAsia="zh-TW"/>
              </w:rPr>
              <w:t>ا</w:t>
            </w:r>
            <w:r w:rsidRPr="009640C6">
              <w:rPr>
                <w:sz w:val="18"/>
                <w:szCs w:val="28"/>
                <w:rtl/>
                <w:lang w:val="en-GB" w:eastAsia="zh-TW"/>
              </w:rPr>
              <w:t>ن 34(2) و52(1)</w:t>
            </w:r>
            <w:bookmarkEnd w:id="262"/>
          </w:p>
        </w:tc>
      </w:tr>
      <w:tr w:rsidR="00944A3C" w:rsidRPr="009640C6" w:rsidTr="002D7359">
        <w:tc>
          <w:tcPr>
            <w:tcW w:w="3254" w:type="dxa"/>
            <w:shd w:val="clear" w:color="auto" w:fill="auto"/>
          </w:tcPr>
          <w:p w:rsidR="00944A3C" w:rsidRPr="009640C6" w:rsidRDefault="00944A3C" w:rsidP="002D7359">
            <w:pPr>
              <w:spacing w:before="40" w:after="60" w:line="300" w:lineRule="exact"/>
              <w:ind w:right="227"/>
              <w:textDirection w:val="tbRlV"/>
              <w:rPr>
                <w:sz w:val="18"/>
                <w:szCs w:val="28"/>
                <w:rtl/>
                <w:lang w:val="en-GB" w:eastAsia="zh-TW"/>
              </w:rPr>
            </w:pPr>
            <w:bookmarkStart w:id="263" w:name="bookmark_929"/>
            <w:r w:rsidRPr="009640C6">
              <w:rPr>
                <w:sz w:val="18"/>
                <w:szCs w:val="28"/>
                <w:rtl/>
                <w:lang w:val="en-GB" w:eastAsia="zh-TW"/>
              </w:rPr>
              <w:t>اتفاقية الحماية الدولية للبالغين (2000‏)</w:t>
            </w:r>
            <w:bookmarkEnd w:id="263"/>
          </w:p>
        </w:tc>
        <w:tc>
          <w:tcPr>
            <w:tcW w:w="2863" w:type="dxa"/>
            <w:shd w:val="clear" w:color="auto" w:fill="auto"/>
          </w:tcPr>
          <w:p w:rsidR="00944A3C" w:rsidRPr="009640C6" w:rsidRDefault="00944A3C" w:rsidP="002D7359">
            <w:pPr>
              <w:spacing w:before="40" w:after="60" w:line="300" w:lineRule="exact"/>
              <w:ind w:right="170"/>
              <w:textDirection w:val="tbRlV"/>
              <w:rPr>
                <w:sz w:val="18"/>
                <w:szCs w:val="28"/>
                <w:rtl/>
                <w:lang w:val="en-GB" w:eastAsia="zh-TW"/>
              </w:rPr>
            </w:pPr>
            <w:bookmarkStart w:id="264" w:name="bookmark_930"/>
            <w:r w:rsidRPr="009640C6">
              <w:rPr>
                <w:sz w:val="18"/>
                <w:szCs w:val="28"/>
                <w:rtl/>
                <w:lang w:val="en-GB" w:eastAsia="zh-TW"/>
              </w:rPr>
              <w:t>18 أيلول/سبتمبر 2008</w:t>
            </w:r>
            <w:bookmarkEnd w:id="264"/>
          </w:p>
        </w:tc>
        <w:tc>
          <w:tcPr>
            <w:tcW w:w="2296" w:type="dxa"/>
            <w:shd w:val="clear" w:color="auto" w:fill="auto"/>
          </w:tcPr>
          <w:p w:rsidR="00944A3C" w:rsidRPr="009640C6" w:rsidRDefault="00944A3C" w:rsidP="002D7359">
            <w:pPr>
              <w:spacing w:before="40" w:after="60" w:line="300" w:lineRule="exact"/>
              <w:ind w:left="57"/>
              <w:textDirection w:val="tbRlV"/>
              <w:rPr>
                <w:sz w:val="18"/>
                <w:szCs w:val="28"/>
                <w:rtl/>
                <w:lang w:val="en-GB" w:eastAsia="zh-TW"/>
              </w:rPr>
            </w:pPr>
            <w:bookmarkStart w:id="265" w:name="bookmark_931"/>
            <w:r w:rsidRPr="009640C6">
              <w:rPr>
                <w:sz w:val="18"/>
                <w:szCs w:val="28"/>
                <w:rtl/>
                <w:lang w:val="en-GB" w:eastAsia="zh-TW"/>
              </w:rPr>
              <w:t>إعلان</w:t>
            </w:r>
            <w:r w:rsidRPr="009640C6">
              <w:rPr>
                <w:rFonts w:hint="cs"/>
                <w:sz w:val="18"/>
                <w:szCs w:val="28"/>
                <w:rtl/>
                <w:lang w:val="en-GB" w:eastAsia="zh-TW"/>
              </w:rPr>
              <w:t xml:space="preserve">: </w:t>
            </w:r>
            <w:r w:rsidRPr="009640C6">
              <w:rPr>
                <w:sz w:val="18"/>
                <w:szCs w:val="28"/>
                <w:rtl/>
                <w:lang w:val="en-GB" w:eastAsia="zh-TW"/>
              </w:rPr>
              <w:t>المادة 32(2)</w:t>
            </w:r>
            <w:bookmarkEnd w:id="265"/>
          </w:p>
        </w:tc>
      </w:tr>
      <w:tr w:rsidR="00944A3C" w:rsidRPr="009640C6" w:rsidTr="002D7359">
        <w:tc>
          <w:tcPr>
            <w:tcW w:w="3254" w:type="dxa"/>
            <w:tcBorders>
              <w:bottom w:val="single" w:sz="4" w:space="0" w:color="auto"/>
            </w:tcBorders>
            <w:shd w:val="clear" w:color="auto" w:fill="auto"/>
          </w:tcPr>
          <w:p w:rsidR="00944A3C" w:rsidRPr="002D7359" w:rsidRDefault="00944A3C" w:rsidP="002D7359">
            <w:pPr>
              <w:spacing w:before="40" w:after="60" w:line="300" w:lineRule="exact"/>
              <w:ind w:right="227"/>
              <w:textDirection w:val="tbRlV"/>
              <w:rPr>
                <w:spacing w:val="-4"/>
                <w:sz w:val="18"/>
                <w:szCs w:val="28"/>
                <w:rtl/>
                <w:lang w:val="en-GB" w:eastAsia="zh-TW"/>
              </w:rPr>
            </w:pPr>
            <w:bookmarkStart w:id="266" w:name="bookmark_932"/>
            <w:r w:rsidRPr="002D7359">
              <w:rPr>
                <w:spacing w:val="-4"/>
                <w:sz w:val="18"/>
                <w:szCs w:val="28"/>
                <w:rtl/>
                <w:lang w:val="en-GB" w:eastAsia="zh-TW"/>
              </w:rPr>
              <w:t>اتفاقية التحصيل الدولي لنفقة الأطفال وغيرها من أشكال إعالة الأسرة (2007)</w:t>
            </w:r>
            <w:bookmarkEnd w:id="266"/>
          </w:p>
        </w:tc>
        <w:tc>
          <w:tcPr>
            <w:tcW w:w="2863" w:type="dxa"/>
            <w:tcBorders>
              <w:bottom w:val="single" w:sz="4" w:space="0" w:color="auto"/>
            </w:tcBorders>
            <w:shd w:val="clear" w:color="auto" w:fill="auto"/>
          </w:tcPr>
          <w:p w:rsidR="00944A3C" w:rsidRPr="009640C6" w:rsidRDefault="00944A3C" w:rsidP="002D7359">
            <w:pPr>
              <w:spacing w:before="40" w:after="60" w:line="300" w:lineRule="exact"/>
              <w:ind w:right="170"/>
              <w:textDirection w:val="tbRlV"/>
              <w:rPr>
                <w:sz w:val="18"/>
                <w:szCs w:val="28"/>
                <w:rtl/>
                <w:lang w:val="en-GB" w:eastAsia="zh-TW"/>
              </w:rPr>
            </w:pPr>
            <w:bookmarkStart w:id="267" w:name="bookmark_933"/>
            <w:r w:rsidRPr="009640C6">
              <w:rPr>
                <w:sz w:val="18"/>
                <w:szCs w:val="28"/>
                <w:rtl/>
                <w:lang w:val="en-GB" w:eastAsia="zh-TW"/>
              </w:rPr>
              <w:t>1 آب/أغسطس 2014</w:t>
            </w:r>
            <w:bookmarkEnd w:id="267"/>
          </w:p>
          <w:p w:rsidR="00944A3C" w:rsidRPr="00710556" w:rsidRDefault="00944A3C" w:rsidP="002D7359">
            <w:pPr>
              <w:spacing w:before="40" w:after="60" w:line="300" w:lineRule="exact"/>
              <w:ind w:right="170"/>
              <w:textDirection w:val="tbRlV"/>
              <w:rPr>
                <w:spacing w:val="-4"/>
                <w:sz w:val="18"/>
                <w:szCs w:val="28"/>
                <w:rtl/>
                <w:lang w:val="en-GB" w:eastAsia="zh-TW"/>
              </w:rPr>
            </w:pPr>
            <w:bookmarkStart w:id="268" w:name="bookmark_934"/>
            <w:r w:rsidRPr="00710556">
              <w:rPr>
                <w:spacing w:val="-4"/>
                <w:sz w:val="18"/>
                <w:szCs w:val="28"/>
                <w:rtl/>
                <w:lang w:val="en-GB" w:eastAsia="zh-TW"/>
              </w:rPr>
              <w:t>(نتيجة لانضمام الاتحاد الأوروبي)</w:t>
            </w:r>
            <w:bookmarkEnd w:id="268"/>
          </w:p>
        </w:tc>
        <w:tc>
          <w:tcPr>
            <w:tcW w:w="2296" w:type="dxa"/>
            <w:tcBorders>
              <w:bottom w:val="single" w:sz="4" w:space="0" w:color="auto"/>
            </w:tcBorders>
            <w:shd w:val="clear" w:color="auto" w:fill="auto"/>
          </w:tcPr>
          <w:p w:rsidR="00944A3C" w:rsidRPr="009640C6" w:rsidRDefault="00944A3C" w:rsidP="002D7359">
            <w:pPr>
              <w:spacing w:before="40" w:after="60" w:line="300" w:lineRule="exact"/>
              <w:ind w:left="57"/>
              <w:textDirection w:val="tbRlV"/>
              <w:rPr>
                <w:sz w:val="18"/>
                <w:szCs w:val="28"/>
                <w:rtl/>
                <w:lang w:val="en-GB" w:eastAsia="zh-TW"/>
              </w:rPr>
            </w:pPr>
            <w:bookmarkStart w:id="269" w:name="bookmark_935"/>
            <w:r w:rsidRPr="009640C6">
              <w:rPr>
                <w:sz w:val="18"/>
                <w:szCs w:val="28"/>
                <w:rtl/>
                <w:lang w:val="en-GB" w:eastAsia="zh-TW"/>
              </w:rPr>
              <w:t xml:space="preserve">إعلان: فرنسا ملزمة بالاتفاقية </w:t>
            </w:r>
            <w:r w:rsidRPr="009640C6">
              <w:rPr>
                <w:rFonts w:hint="cs"/>
                <w:sz w:val="18"/>
                <w:szCs w:val="28"/>
                <w:rtl/>
                <w:lang w:val="en-GB" w:eastAsia="zh-TW"/>
              </w:rPr>
              <w:t xml:space="preserve">بحكم </w:t>
            </w:r>
            <w:r w:rsidRPr="009640C6">
              <w:rPr>
                <w:sz w:val="18"/>
                <w:szCs w:val="28"/>
                <w:rtl/>
                <w:lang w:val="en-GB" w:eastAsia="zh-TW"/>
              </w:rPr>
              <w:t>موافقة الاتحاد الأوروبي</w:t>
            </w:r>
            <w:bookmarkEnd w:id="269"/>
            <w:r w:rsidRPr="009640C6">
              <w:rPr>
                <w:rFonts w:hint="cs"/>
                <w:sz w:val="18"/>
                <w:szCs w:val="28"/>
                <w:rtl/>
                <w:lang w:val="en-GB" w:eastAsia="zh-TW"/>
              </w:rPr>
              <w:t xml:space="preserve"> عليها</w:t>
            </w:r>
          </w:p>
          <w:p w:rsidR="00944A3C" w:rsidRPr="00E8716F" w:rsidRDefault="00944A3C" w:rsidP="002D7359">
            <w:pPr>
              <w:spacing w:before="40" w:after="60" w:line="300" w:lineRule="exact"/>
              <w:ind w:left="57"/>
              <w:textDirection w:val="tbRlV"/>
              <w:rPr>
                <w:spacing w:val="-6"/>
                <w:sz w:val="18"/>
                <w:szCs w:val="28"/>
                <w:rtl/>
                <w:lang w:val="en-GB" w:eastAsia="zh-TW"/>
              </w:rPr>
            </w:pPr>
            <w:bookmarkStart w:id="270" w:name="bookmark_936"/>
            <w:r w:rsidRPr="00E8716F">
              <w:rPr>
                <w:spacing w:val="-6"/>
                <w:sz w:val="18"/>
                <w:szCs w:val="28"/>
                <w:rtl/>
                <w:lang w:val="en-GB" w:eastAsia="zh-TW"/>
              </w:rPr>
              <w:t>إعلان الاتحاد الأوروبي</w:t>
            </w:r>
            <w:r w:rsidRPr="00E8716F">
              <w:rPr>
                <w:rFonts w:hint="cs"/>
                <w:spacing w:val="-6"/>
                <w:sz w:val="18"/>
                <w:szCs w:val="28"/>
                <w:rtl/>
                <w:lang w:val="en-GB" w:eastAsia="zh-TW"/>
              </w:rPr>
              <w:t xml:space="preserve">: </w:t>
            </w:r>
            <w:r w:rsidRPr="00E8716F">
              <w:rPr>
                <w:spacing w:val="-6"/>
                <w:sz w:val="18"/>
                <w:szCs w:val="28"/>
                <w:rtl/>
                <w:lang w:val="en-GB" w:eastAsia="zh-TW"/>
              </w:rPr>
              <w:t xml:space="preserve">المواد </w:t>
            </w:r>
            <w:r w:rsidR="00E8716F" w:rsidRPr="00E8716F">
              <w:rPr>
                <w:spacing w:val="-6"/>
                <w:sz w:val="18"/>
                <w:szCs w:val="28"/>
                <w:rtl/>
                <w:lang w:val="en-GB" w:eastAsia="zh-TW"/>
              </w:rPr>
              <w:t>59(3) و2(3) و11(1)</w:t>
            </w:r>
            <w:r w:rsidRPr="00E8716F">
              <w:rPr>
                <w:spacing w:val="-6"/>
                <w:sz w:val="18"/>
                <w:szCs w:val="28"/>
                <w:rtl/>
                <w:lang w:val="en-GB" w:eastAsia="zh-TW"/>
              </w:rPr>
              <w:t>"ز"</w:t>
            </w:r>
            <w:bookmarkEnd w:id="270"/>
          </w:p>
          <w:p w:rsidR="00944A3C" w:rsidRPr="00E8716F" w:rsidRDefault="00944A3C" w:rsidP="002D7359">
            <w:pPr>
              <w:spacing w:before="40" w:after="60" w:line="300" w:lineRule="exact"/>
              <w:ind w:left="57"/>
              <w:textDirection w:val="tbRlV"/>
              <w:rPr>
                <w:sz w:val="18"/>
                <w:szCs w:val="28"/>
                <w:rtl/>
                <w:lang w:val="en-GB" w:eastAsia="zh-TW"/>
              </w:rPr>
            </w:pPr>
            <w:bookmarkStart w:id="271" w:name="bookmark_937"/>
            <w:r w:rsidRPr="00E8716F">
              <w:rPr>
                <w:sz w:val="18"/>
                <w:szCs w:val="28"/>
                <w:rtl/>
                <w:lang w:val="en-GB" w:eastAsia="zh-TW"/>
              </w:rPr>
              <w:t>تحفظ الاتحاد الأوروبي</w:t>
            </w:r>
            <w:r w:rsidRPr="00E8716F">
              <w:rPr>
                <w:rFonts w:hint="cs"/>
                <w:sz w:val="18"/>
                <w:szCs w:val="28"/>
                <w:rtl/>
                <w:lang w:val="en-GB" w:eastAsia="zh-TW"/>
              </w:rPr>
              <w:t xml:space="preserve">: </w:t>
            </w:r>
            <w:r w:rsidRPr="00E8716F">
              <w:rPr>
                <w:sz w:val="18"/>
                <w:szCs w:val="28"/>
                <w:rtl/>
                <w:lang w:val="en-GB" w:eastAsia="zh-TW"/>
              </w:rPr>
              <w:t>المادة</w:t>
            </w:r>
            <w:r w:rsidR="00E8716F">
              <w:rPr>
                <w:rFonts w:hint="cs"/>
                <w:sz w:val="18"/>
                <w:szCs w:val="28"/>
                <w:rtl/>
                <w:lang w:val="en-GB" w:eastAsia="zh-TW"/>
              </w:rPr>
              <w:t> </w:t>
            </w:r>
            <w:r w:rsidRPr="00E8716F">
              <w:rPr>
                <w:sz w:val="18"/>
                <w:szCs w:val="28"/>
                <w:rtl/>
                <w:lang w:val="en-GB" w:eastAsia="zh-TW"/>
              </w:rPr>
              <w:t>44(3)</w:t>
            </w:r>
            <w:bookmarkEnd w:id="271"/>
          </w:p>
          <w:p w:rsidR="00944A3C" w:rsidRPr="002A12D6" w:rsidRDefault="00944A3C" w:rsidP="002D7359">
            <w:pPr>
              <w:spacing w:before="40" w:after="60" w:line="300" w:lineRule="exact"/>
              <w:ind w:left="57"/>
              <w:textDirection w:val="tbRlV"/>
              <w:rPr>
                <w:spacing w:val="-4"/>
                <w:sz w:val="18"/>
                <w:szCs w:val="28"/>
                <w:rtl/>
                <w:lang w:val="en-GB" w:eastAsia="zh-TW"/>
              </w:rPr>
            </w:pPr>
            <w:bookmarkStart w:id="272" w:name="bookmark_938"/>
            <w:r w:rsidRPr="002A12D6">
              <w:rPr>
                <w:spacing w:val="-4"/>
                <w:sz w:val="18"/>
                <w:szCs w:val="28"/>
                <w:rtl/>
                <w:lang w:val="en-GB" w:eastAsia="zh-TW"/>
              </w:rPr>
              <w:t xml:space="preserve">إعلان </w:t>
            </w:r>
            <w:r w:rsidRPr="002A12D6">
              <w:rPr>
                <w:rFonts w:hint="cs"/>
                <w:spacing w:val="-4"/>
                <w:sz w:val="18"/>
                <w:szCs w:val="28"/>
                <w:rtl/>
                <w:lang w:val="en-GB" w:eastAsia="zh-TW"/>
              </w:rPr>
              <w:t xml:space="preserve">أحادي الجانب </w:t>
            </w:r>
            <w:r w:rsidRPr="002A12D6">
              <w:rPr>
                <w:spacing w:val="-4"/>
                <w:sz w:val="18"/>
                <w:szCs w:val="28"/>
                <w:rtl/>
                <w:lang w:val="en-GB" w:eastAsia="zh-TW"/>
              </w:rPr>
              <w:t xml:space="preserve">للاتحاد الأوروبي </w:t>
            </w:r>
            <w:r w:rsidRPr="002A12D6">
              <w:rPr>
                <w:rFonts w:hint="cs"/>
                <w:spacing w:val="-4"/>
                <w:sz w:val="18"/>
                <w:szCs w:val="28"/>
                <w:rtl/>
                <w:lang w:val="en-GB" w:eastAsia="zh-TW"/>
              </w:rPr>
              <w:t>ي</w:t>
            </w:r>
            <w:r w:rsidRPr="002A12D6">
              <w:rPr>
                <w:spacing w:val="-4"/>
                <w:sz w:val="18"/>
                <w:szCs w:val="28"/>
                <w:rtl/>
                <w:lang w:val="en-GB" w:eastAsia="zh-TW"/>
              </w:rPr>
              <w:t xml:space="preserve">وسع نطاق تطبيق الفصلين الثاني والثالث على التزامات النفقة بين الأزواج والأزواج السابقين </w:t>
            </w:r>
            <w:r w:rsidRPr="002A12D6">
              <w:rPr>
                <w:rFonts w:hint="cs"/>
                <w:spacing w:val="-4"/>
                <w:sz w:val="18"/>
                <w:szCs w:val="28"/>
                <w:rtl/>
                <w:lang w:val="en-GB" w:eastAsia="zh-TW"/>
              </w:rPr>
              <w:t xml:space="preserve">ويشير </w:t>
            </w:r>
            <w:r w:rsidRPr="002A12D6">
              <w:rPr>
                <w:spacing w:val="-4"/>
                <w:sz w:val="18"/>
                <w:szCs w:val="28"/>
                <w:rtl/>
                <w:lang w:val="en-GB" w:eastAsia="zh-TW"/>
              </w:rPr>
              <w:t>إلى احتمال توسيع نطاق تطبيق مجمل الاتفاقية</w:t>
            </w:r>
            <w:r w:rsidRPr="002A12D6">
              <w:rPr>
                <w:rFonts w:hint="cs"/>
                <w:spacing w:val="-4"/>
                <w:sz w:val="18"/>
                <w:szCs w:val="28"/>
                <w:rtl/>
                <w:lang w:val="en-GB" w:eastAsia="zh-TW"/>
              </w:rPr>
              <w:t>، في المستقبل،</w:t>
            </w:r>
            <w:r w:rsidRPr="002A12D6">
              <w:rPr>
                <w:spacing w:val="-4"/>
                <w:sz w:val="18"/>
                <w:szCs w:val="28"/>
                <w:rtl/>
                <w:lang w:val="en-GB" w:eastAsia="zh-TW"/>
              </w:rPr>
              <w:t xml:space="preserve"> على جميع الالتزامات المترتبة على العلاقة الأسرية أو البنوة أو الزواج أو المصاهرة.</w:t>
            </w:r>
            <w:bookmarkEnd w:id="272"/>
          </w:p>
        </w:tc>
      </w:tr>
      <w:tr w:rsidR="00944A3C" w:rsidRPr="009640C6" w:rsidTr="002D7359">
        <w:tc>
          <w:tcPr>
            <w:tcW w:w="3254" w:type="dxa"/>
            <w:tcBorders>
              <w:bottom w:val="single" w:sz="12" w:space="0" w:color="auto"/>
            </w:tcBorders>
            <w:shd w:val="clear" w:color="auto" w:fill="auto"/>
          </w:tcPr>
          <w:p w:rsidR="00944A3C" w:rsidRPr="009640C6" w:rsidRDefault="00944A3C" w:rsidP="002D7359">
            <w:pPr>
              <w:spacing w:before="40" w:after="60" w:line="320" w:lineRule="exact"/>
              <w:ind w:right="227"/>
              <w:textDirection w:val="tbRlV"/>
              <w:rPr>
                <w:sz w:val="18"/>
                <w:szCs w:val="28"/>
                <w:rtl/>
                <w:lang w:val="en-GB" w:eastAsia="zh-TW"/>
              </w:rPr>
            </w:pPr>
            <w:bookmarkStart w:id="273" w:name="bookmark_939"/>
            <w:r w:rsidRPr="009640C6">
              <w:rPr>
                <w:sz w:val="18"/>
                <w:szCs w:val="28"/>
                <w:rtl/>
                <w:lang w:val="en-GB" w:eastAsia="zh-TW"/>
              </w:rPr>
              <w:t>البروتوكول المتعلق بالقانون المنطبق على التزامات النفقة، المؤرخ 23 تشرين الثاني/نوفمبر 2007</w:t>
            </w:r>
            <w:bookmarkEnd w:id="273"/>
          </w:p>
        </w:tc>
        <w:tc>
          <w:tcPr>
            <w:tcW w:w="2863" w:type="dxa"/>
            <w:tcBorders>
              <w:bottom w:val="single" w:sz="12" w:space="0" w:color="auto"/>
            </w:tcBorders>
            <w:shd w:val="clear" w:color="auto" w:fill="auto"/>
          </w:tcPr>
          <w:p w:rsidR="00944A3C" w:rsidRPr="009640C6" w:rsidRDefault="00944A3C" w:rsidP="002D7359">
            <w:pPr>
              <w:spacing w:before="40" w:after="60" w:line="320" w:lineRule="exact"/>
              <w:ind w:right="170"/>
              <w:textDirection w:val="tbRlV"/>
              <w:rPr>
                <w:sz w:val="18"/>
                <w:szCs w:val="28"/>
                <w:rtl/>
                <w:lang w:val="en-GB" w:eastAsia="zh-TW"/>
              </w:rPr>
            </w:pPr>
            <w:bookmarkStart w:id="274" w:name="bookmark_940"/>
            <w:r w:rsidRPr="009640C6">
              <w:rPr>
                <w:sz w:val="18"/>
                <w:szCs w:val="28"/>
                <w:rtl/>
                <w:lang w:val="en-GB" w:eastAsia="zh-TW"/>
              </w:rPr>
              <w:t>1 آب/أغسطس 2013 (نتيجة لتوقيع الاتحاد الأوروبي عليه)</w:t>
            </w:r>
            <w:bookmarkEnd w:id="274"/>
          </w:p>
        </w:tc>
        <w:tc>
          <w:tcPr>
            <w:tcW w:w="2296" w:type="dxa"/>
            <w:tcBorders>
              <w:bottom w:val="single" w:sz="12" w:space="0" w:color="auto"/>
            </w:tcBorders>
            <w:shd w:val="clear" w:color="auto" w:fill="auto"/>
          </w:tcPr>
          <w:p w:rsidR="00944A3C" w:rsidRPr="009640C6" w:rsidRDefault="00944A3C" w:rsidP="002D7359">
            <w:pPr>
              <w:spacing w:before="40" w:after="60" w:line="320" w:lineRule="exact"/>
              <w:ind w:left="57"/>
              <w:textDirection w:val="tbRlV"/>
              <w:rPr>
                <w:sz w:val="18"/>
                <w:szCs w:val="28"/>
                <w:rtl/>
                <w:lang w:val="en-GB" w:eastAsia="zh-TW"/>
              </w:rPr>
            </w:pPr>
            <w:bookmarkStart w:id="275" w:name="bookmark_941"/>
            <w:r w:rsidRPr="009640C6">
              <w:rPr>
                <w:sz w:val="18"/>
                <w:szCs w:val="28"/>
                <w:rtl/>
                <w:lang w:val="en-GB" w:eastAsia="zh-TW"/>
              </w:rPr>
              <w:t>إعلان بشأن المادة 24</w:t>
            </w:r>
            <w:bookmarkEnd w:id="275"/>
          </w:p>
        </w:tc>
      </w:tr>
    </w:tbl>
    <w:p w:rsidR="00944A3C" w:rsidRPr="005D0C50" w:rsidRDefault="007331ED" w:rsidP="002D7359">
      <w:pPr>
        <w:pStyle w:val="H23GA"/>
        <w:keepNext w:val="0"/>
        <w:rPr>
          <w:rtl/>
        </w:rPr>
      </w:pPr>
      <w:r>
        <w:rPr>
          <w:rtl/>
        </w:rPr>
        <w:tab/>
      </w:r>
      <w:r w:rsidR="00944A3C" w:rsidRPr="005D0C50">
        <w:rPr>
          <w:rFonts w:hint="cs"/>
          <w:rtl/>
        </w:rPr>
        <w:t>4-</w:t>
      </w:r>
      <w:r w:rsidR="00944A3C" w:rsidRPr="005D0C50">
        <w:rPr>
          <w:rtl/>
        </w:rPr>
        <w:tab/>
        <w:t>قبول اتفاقيات جنيف وغيرها من المعاهدات المتعلقة بالقانون الدولي الإنساني</w:t>
      </w:r>
      <w:r w:rsidR="00944A3C">
        <w:rPr>
          <w:rStyle w:val="EndnoteReference"/>
          <w:b w:val="0"/>
          <w:bCs w:val="0"/>
          <w:spacing w:val="-2"/>
          <w:rtl/>
        </w:rPr>
        <w:t>(</w:t>
      </w:r>
      <w:r w:rsidR="00944A3C" w:rsidRPr="005D0C50">
        <w:rPr>
          <w:rStyle w:val="EndnoteReference"/>
          <w:b w:val="0"/>
          <w:bCs w:val="0"/>
          <w:spacing w:val="-2"/>
          <w:rtl/>
        </w:rPr>
        <w:endnoteReference w:id="193"/>
      </w:r>
      <w:r w:rsidR="00944A3C">
        <w:rPr>
          <w:rStyle w:val="EndnoteReference"/>
          <w:b w:val="0"/>
          <w:bCs w:val="0"/>
          <w:spacing w:val="-2"/>
          <w:rtl/>
        </w:rPr>
        <w:t>)</w:t>
      </w:r>
    </w:p>
    <w:tbl>
      <w:tblPr>
        <w:bidiVisual/>
        <w:tblW w:w="8362" w:type="dxa"/>
        <w:tblInd w:w="133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54"/>
        <w:gridCol w:w="2556"/>
        <w:gridCol w:w="2552"/>
      </w:tblGrid>
      <w:tr w:rsidR="00944A3C" w:rsidRPr="00916573" w:rsidTr="00923147">
        <w:trPr>
          <w:cantSplit/>
          <w:tblHeader/>
        </w:trPr>
        <w:tc>
          <w:tcPr>
            <w:tcW w:w="3254" w:type="dxa"/>
            <w:tcBorders>
              <w:bottom w:val="single" w:sz="12" w:space="0" w:color="auto"/>
            </w:tcBorders>
            <w:shd w:val="clear" w:color="auto" w:fill="auto"/>
            <w:vAlign w:val="bottom"/>
          </w:tcPr>
          <w:p w:rsidR="00944A3C" w:rsidRPr="00437D92" w:rsidRDefault="00944A3C" w:rsidP="00323F71">
            <w:pPr>
              <w:spacing w:before="60" w:after="60" w:line="320" w:lineRule="exact"/>
              <w:ind w:right="227"/>
              <w:jc w:val="left"/>
              <w:textDirection w:val="tbRlV"/>
              <w:rPr>
                <w:rFonts w:ascii="Traditional Arabic" w:hAnsi="Traditional Arabic"/>
                <w:i/>
                <w:iCs/>
                <w:sz w:val="18"/>
                <w:szCs w:val="28"/>
                <w:rtl/>
                <w:lang w:val="en-GB" w:eastAsia="zh-TW"/>
              </w:rPr>
            </w:pPr>
            <w:bookmarkStart w:id="276" w:name="bookmark_944"/>
            <w:r w:rsidRPr="00437D92">
              <w:rPr>
                <w:rFonts w:ascii="Traditional Arabic" w:hAnsi="Traditional Arabic"/>
                <w:i/>
                <w:iCs/>
                <w:sz w:val="18"/>
                <w:szCs w:val="28"/>
                <w:rtl/>
                <w:lang w:val="en-GB" w:eastAsia="zh-TW"/>
              </w:rPr>
              <w:t>الصك الدولي</w:t>
            </w:r>
            <w:bookmarkEnd w:id="276"/>
          </w:p>
        </w:tc>
        <w:tc>
          <w:tcPr>
            <w:tcW w:w="2556" w:type="dxa"/>
            <w:tcBorders>
              <w:bottom w:val="single" w:sz="12" w:space="0" w:color="auto"/>
            </w:tcBorders>
            <w:shd w:val="clear" w:color="auto" w:fill="auto"/>
            <w:vAlign w:val="bottom"/>
          </w:tcPr>
          <w:p w:rsidR="00944A3C" w:rsidRPr="00437D92" w:rsidRDefault="00944A3C" w:rsidP="00323F71">
            <w:pPr>
              <w:spacing w:before="60" w:after="60" w:line="320" w:lineRule="exact"/>
              <w:ind w:left="57" w:right="57"/>
              <w:jc w:val="left"/>
              <w:textDirection w:val="tbRlV"/>
              <w:rPr>
                <w:rFonts w:ascii="Traditional Arabic" w:hAnsi="Traditional Arabic"/>
                <w:i/>
                <w:iCs/>
                <w:spacing w:val="-4"/>
                <w:sz w:val="18"/>
                <w:szCs w:val="28"/>
                <w:rtl/>
                <w:lang w:val="en-GB" w:eastAsia="zh-TW"/>
              </w:rPr>
            </w:pPr>
            <w:bookmarkStart w:id="277" w:name="bookmark_945"/>
            <w:r w:rsidRPr="00437D92">
              <w:rPr>
                <w:rFonts w:ascii="Traditional Arabic" w:hAnsi="Traditional Arabic"/>
                <w:i/>
                <w:iCs/>
                <w:spacing w:val="-4"/>
                <w:sz w:val="18"/>
                <w:szCs w:val="28"/>
                <w:rtl/>
                <w:lang w:val="en-GB" w:eastAsia="zh-TW"/>
              </w:rPr>
              <w:t>التصديق/الانضمام وقبول التعديلات والإجراءات الاختيارية</w:t>
            </w:r>
            <w:bookmarkEnd w:id="277"/>
          </w:p>
        </w:tc>
        <w:tc>
          <w:tcPr>
            <w:tcW w:w="2552" w:type="dxa"/>
            <w:tcBorders>
              <w:bottom w:val="single" w:sz="12" w:space="0" w:color="auto"/>
            </w:tcBorders>
            <w:shd w:val="clear" w:color="auto" w:fill="auto"/>
            <w:vAlign w:val="bottom"/>
          </w:tcPr>
          <w:p w:rsidR="00944A3C" w:rsidRPr="00437D92" w:rsidRDefault="00944A3C" w:rsidP="00323F71">
            <w:pPr>
              <w:spacing w:before="60" w:after="60" w:line="320" w:lineRule="exact"/>
              <w:ind w:left="57" w:right="57"/>
              <w:jc w:val="left"/>
              <w:textDirection w:val="tbRlV"/>
              <w:rPr>
                <w:rFonts w:ascii="Traditional Arabic" w:hAnsi="Traditional Arabic"/>
                <w:i/>
                <w:iCs/>
                <w:sz w:val="18"/>
                <w:szCs w:val="28"/>
                <w:rtl/>
                <w:lang w:val="en-GB" w:eastAsia="zh-TW"/>
              </w:rPr>
            </w:pPr>
            <w:bookmarkStart w:id="278" w:name="bookmark_946"/>
            <w:r w:rsidRPr="00437D92">
              <w:rPr>
                <w:rFonts w:ascii="Traditional Arabic" w:hAnsi="Traditional Arabic"/>
                <w:i/>
                <w:iCs/>
                <w:sz w:val="18"/>
                <w:szCs w:val="28"/>
                <w:rtl/>
                <w:lang w:val="en-GB" w:eastAsia="zh-TW"/>
              </w:rPr>
              <w:t>الإعلانات التفسيرية والتحفظات</w:t>
            </w:r>
            <w:bookmarkEnd w:id="278"/>
          </w:p>
        </w:tc>
      </w:tr>
      <w:tr w:rsidR="00944A3C" w:rsidRPr="00916573" w:rsidTr="00923147">
        <w:trPr>
          <w:cantSplit/>
        </w:trPr>
        <w:tc>
          <w:tcPr>
            <w:tcW w:w="3254" w:type="dxa"/>
            <w:tcBorders>
              <w:top w:val="single" w:sz="12" w:space="0" w:color="auto"/>
            </w:tcBorders>
            <w:shd w:val="clear" w:color="auto" w:fill="auto"/>
          </w:tcPr>
          <w:p w:rsidR="00944A3C" w:rsidRPr="00916573" w:rsidRDefault="00944A3C" w:rsidP="00323F71">
            <w:pPr>
              <w:spacing w:before="60" w:after="60" w:line="320" w:lineRule="exact"/>
              <w:ind w:right="227"/>
              <w:textDirection w:val="tbRlV"/>
              <w:rPr>
                <w:rFonts w:ascii="Traditional Arabic" w:hAnsi="Traditional Arabic"/>
                <w:sz w:val="18"/>
                <w:szCs w:val="28"/>
                <w:rtl/>
                <w:lang w:val="en-GB" w:eastAsia="zh-TW"/>
              </w:rPr>
            </w:pPr>
            <w:bookmarkStart w:id="279" w:name="bookmark_947"/>
            <w:r w:rsidRPr="00916573">
              <w:rPr>
                <w:rFonts w:ascii="Traditional Arabic" w:hAnsi="Traditional Arabic"/>
                <w:sz w:val="18"/>
                <w:szCs w:val="28"/>
                <w:rtl/>
                <w:lang w:val="en-GB" w:eastAsia="zh-TW"/>
              </w:rPr>
              <w:t>اتفاقية جنيف (الأولى) لتحسين حال الجرحى والمرضى بالقوات المسلحة في الميدان (1949)</w:t>
            </w:r>
            <w:bookmarkEnd w:id="279"/>
          </w:p>
        </w:tc>
        <w:tc>
          <w:tcPr>
            <w:tcW w:w="2556" w:type="dxa"/>
            <w:tcBorders>
              <w:top w:val="single" w:sz="12" w:space="0" w:color="auto"/>
            </w:tcBorders>
            <w:shd w:val="clear" w:color="auto" w:fill="auto"/>
          </w:tcPr>
          <w:p w:rsidR="00944A3C" w:rsidRPr="00916573" w:rsidRDefault="00944A3C" w:rsidP="00323F71">
            <w:pPr>
              <w:spacing w:before="60" w:after="60" w:line="320" w:lineRule="exact"/>
              <w:ind w:left="57" w:right="57"/>
              <w:textDirection w:val="tbRlV"/>
              <w:rPr>
                <w:rFonts w:ascii="Traditional Arabic" w:hAnsi="Traditional Arabic"/>
                <w:sz w:val="18"/>
                <w:szCs w:val="28"/>
                <w:rtl/>
                <w:lang w:val="en-GB" w:eastAsia="zh-TW"/>
              </w:rPr>
            </w:pPr>
            <w:bookmarkStart w:id="280" w:name="bookmark_948"/>
            <w:r w:rsidRPr="00916573">
              <w:rPr>
                <w:rFonts w:ascii="Traditional Arabic" w:hAnsi="Traditional Arabic"/>
                <w:sz w:val="18"/>
                <w:szCs w:val="28"/>
                <w:rtl/>
                <w:lang w:val="en-GB" w:eastAsia="zh-TW"/>
              </w:rPr>
              <w:t>28 حزيران/يونيه 1951</w:t>
            </w:r>
            <w:bookmarkEnd w:id="280"/>
          </w:p>
        </w:tc>
        <w:tc>
          <w:tcPr>
            <w:tcW w:w="2552" w:type="dxa"/>
            <w:tcBorders>
              <w:top w:val="single" w:sz="12" w:space="0" w:color="auto"/>
            </w:tcBorders>
            <w:shd w:val="clear" w:color="auto" w:fill="auto"/>
          </w:tcPr>
          <w:p w:rsidR="00944A3C" w:rsidRPr="00916573" w:rsidRDefault="00944A3C" w:rsidP="00323F71">
            <w:pPr>
              <w:spacing w:before="60" w:after="60" w:line="320" w:lineRule="exact"/>
              <w:ind w:left="57" w:right="57"/>
              <w:textDirection w:val="tbRlV"/>
              <w:rPr>
                <w:rFonts w:ascii="Traditional Arabic" w:hAnsi="Traditional Arabic"/>
                <w:sz w:val="18"/>
                <w:szCs w:val="28"/>
                <w:rtl/>
                <w:lang w:val="en-GB" w:eastAsia="zh-TW"/>
              </w:rPr>
            </w:pPr>
            <w:bookmarkStart w:id="281" w:name="bookmark_949"/>
            <w:r w:rsidRPr="00916573">
              <w:rPr>
                <w:rFonts w:ascii="Traditional Arabic" w:hAnsi="Traditional Arabic"/>
                <w:sz w:val="18"/>
                <w:szCs w:val="28"/>
                <w:rtl/>
                <w:lang w:val="en-GB" w:eastAsia="zh-TW"/>
              </w:rPr>
              <w:t>لا ينطبق</w:t>
            </w:r>
            <w:bookmarkEnd w:id="281"/>
          </w:p>
        </w:tc>
      </w:tr>
      <w:tr w:rsidR="00944A3C" w:rsidRPr="00916573" w:rsidTr="00923147">
        <w:trPr>
          <w:cantSplit/>
        </w:trPr>
        <w:tc>
          <w:tcPr>
            <w:tcW w:w="3254" w:type="dxa"/>
            <w:shd w:val="clear" w:color="auto" w:fill="auto"/>
          </w:tcPr>
          <w:p w:rsidR="00944A3C" w:rsidRPr="00916573" w:rsidRDefault="00944A3C" w:rsidP="00323F71">
            <w:pPr>
              <w:spacing w:before="60" w:after="60" w:line="320" w:lineRule="exact"/>
              <w:ind w:right="227"/>
              <w:textDirection w:val="tbRlV"/>
              <w:rPr>
                <w:rFonts w:ascii="Traditional Arabic" w:hAnsi="Traditional Arabic"/>
                <w:sz w:val="18"/>
                <w:szCs w:val="28"/>
                <w:rtl/>
                <w:lang w:val="en-GB" w:eastAsia="zh-TW"/>
              </w:rPr>
            </w:pPr>
            <w:bookmarkStart w:id="282" w:name="bookmark_950"/>
            <w:r w:rsidRPr="00916573">
              <w:rPr>
                <w:rFonts w:ascii="Traditional Arabic" w:hAnsi="Traditional Arabic"/>
                <w:sz w:val="18"/>
                <w:szCs w:val="28"/>
                <w:rtl/>
                <w:lang w:val="en-GB" w:eastAsia="zh-TW"/>
              </w:rPr>
              <w:t>اتفاقية جنيف (الثانية) لتحسين حال جرحى ومرضى وغرقى القوات المسلحة في البحار (1949)</w:t>
            </w:r>
            <w:bookmarkEnd w:id="282"/>
          </w:p>
        </w:tc>
        <w:tc>
          <w:tcPr>
            <w:tcW w:w="2556" w:type="dxa"/>
            <w:shd w:val="clear" w:color="auto" w:fill="auto"/>
          </w:tcPr>
          <w:p w:rsidR="00944A3C" w:rsidRPr="00916573" w:rsidRDefault="00944A3C" w:rsidP="00323F71">
            <w:pPr>
              <w:spacing w:before="60" w:after="60" w:line="320" w:lineRule="exact"/>
              <w:ind w:left="57" w:right="57"/>
              <w:textDirection w:val="tbRlV"/>
              <w:rPr>
                <w:rFonts w:ascii="Traditional Arabic" w:hAnsi="Traditional Arabic"/>
                <w:sz w:val="18"/>
                <w:szCs w:val="28"/>
                <w:rtl/>
                <w:lang w:val="en-GB" w:eastAsia="zh-TW"/>
              </w:rPr>
            </w:pPr>
            <w:bookmarkStart w:id="283" w:name="bookmark_951"/>
            <w:r w:rsidRPr="00916573">
              <w:rPr>
                <w:rFonts w:ascii="Traditional Arabic" w:hAnsi="Traditional Arabic"/>
                <w:sz w:val="18"/>
                <w:szCs w:val="28"/>
                <w:rtl/>
                <w:lang w:val="en-GB" w:eastAsia="zh-TW"/>
              </w:rPr>
              <w:t>28 حزيران/يونيه 1951</w:t>
            </w:r>
            <w:bookmarkEnd w:id="283"/>
          </w:p>
        </w:tc>
        <w:tc>
          <w:tcPr>
            <w:tcW w:w="2552" w:type="dxa"/>
            <w:shd w:val="clear" w:color="auto" w:fill="auto"/>
          </w:tcPr>
          <w:p w:rsidR="00944A3C" w:rsidRPr="00916573" w:rsidRDefault="00944A3C" w:rsidP="00323F71">
            <w:pPr>
              <w:spacing w:before="60" w:after="60" w:line="320" w:lineRule="exact"/>
              <w:ind w:left="57" w:right="57"/>
              <w:textDirection w:val="tbRlV"/>
              <w:rPr>
                <w:rFonts w:ascii="Traditional Arabic" w:hAnsi="Traditional Arabic"/>
                <w:sz w:val="18"/>
                <w:szCs w:val="28"/>
                <w:rtl/>
                <w:lang w:val="en-GB" w:eastAsia="zh-TW"/>
              </w:rPr>
            </w:pPr>
            <w:bookmarkStart w:id="284" w:name="bookmark_952"/>
            <w:r w:rsidRPr="00916573">
              <w:rPr>
                <w:rFonts w:ascii="Traditional Arabic" w:hAnsi="Traditional Arabic"/>
                <w:sz w:val="18"/>
                <w:szCs w:val="28"/>
                <w:rtl/>
                <w:lang w:val="en-GB" w:eastAsia="zh-TW"/>
              </w:rPr>
              <w:t>لا ينطبق</w:t>
            </w:r>
            <w:bookmarkEnd w:id="284"/>
          </w:p>
        </w:tc>
      </w:tr>
      <w:tr w:rsidR="00944A3C" w:rsidRPr="00916573" w:rsidTr="00923147">
        <w:trPr>
          <w:cantSplit/>
        </w:trPr>
        <w:tc>
          <w:tcPr>
            <w:tcW w:w="3254" w:type="dxa"/>
            <w:tcBorders>
              <w:bottom w:val="single" w:sz="4" w:space="0" w:color="auto"/>
            </w:tcBorders>
            <w:shd w:val="clear" w:color="auto" w:fill="auto"/>
          </w:tcPr>
          <w:p w:rsidR="00944A3C" w:rsidRPr="00916573" w:rsidRDefault="00944A3C" w:rsidP="00323F71">
            <w:pPr>
              <w:spacing w:before="60" w:after="60" w:line="320" w:lineRule="exact"/>
              <w:ind w:right="227"/>
              <w:textDirection w:val="tbRlV"/>
              <w:rPr>
                <w:rFonts w:ascii="Traditional Arabic" w:hAnsi="Traditional Arabic"/>
                <w:sz w:val="18"/>
                <w:szCs w:val="28"/>
                <w:rtl/>
                <w:lang w:val="en-GB" w:eastAsia="zh-TW"/>
              </w:rPr>
            </w:pPr>
            <w:bookmarkStart w:id="285" w:name="bookmark_953"/>
            <w:r w:rsidRPr="00916573">
              <w:rPr>
                <w:rFonts w:ascii="Traditional Arabic" w:hAnsi="Traditional Arabic"/>
                <w:sz w:val="18"/>
                <w:szCs w:val="28"/>
                <w:rtl/>
                <w:lang w:val="en-GB" w:eastAsia="zh-TW"/>
              </w:rPr>
              <w:t>اتفاقية جنيف (الثالثة) المتعلقة بمعاملة أسرى الحرب (1949)</w:t>
            </w:r>
            <w:bookmarkEnd w:id="285"/>
          </w:p>
        </w:tc>
        <w:tc>
          <w:tcPr>
            <w:tcW w:w="2556" w:type="dxa"/>
            <w:tcBorders>
              <w:bottom w:val="single" w:sz="4" w:space="0" w:color="auto"/>
            </w:tcBorders>
            <w:shd w:val="clear" w:color="auto" w:fill="auto"/>
          </w:tcPr>
          <w:p w:rsidR="00944A3C" w:rsidRPr="00916573" w:rsidRDefault="00944A3C" w:rsidP="00323F71">
            <w:pPr>
              <w:spacing w:before="60" w:after="60" w:line="320" w:lineRule="exact"/>
              <w:ind w:left="57" w:right="57"/>
              <w:textDirection w:val="tbRlV"/>
              <w:rPr>
                <w:rFonts w:ascii="Traditional Arabic" w:hAnsi="Traditional Arabic"/>
                <w:sz w:val="18"/>
                <w:szCs w:val="28"/>
                <w:rtl/>
                <w:lang w:val="en-GB" w:eastAsia="zh-TW"/>
              </w:rPr>
            </w:pPr>
            <w:bookmarkStart w:id="286" w:name="bookmark_954"/>
            <w:r w:rsidRPr="00916573">
              <w:rPr>
                <w:rFonts w:ascii="Traditional Arabic" w:hAnsi="Traditional Arabic"/>
                <w:sz w:val="18"/>
                <w:szCs w:val="28"/>
                <w:rtl/>
                <w:lang w:val="en-GB" w:eastAsia="zh-TW"/>
              </w:rPr>
              <w:t>28 حزيران/يونيه 1951</w:t>
            </w:r>
            <w:bookmarkEnd w:id="286"/>
          </w:p>
        </w:tc>
        <w:tc>
          <w:tcPr>
            <w:tcW w:w="2552" w:type="dxa"/>
            <w:tcBorders>
              <w:bottom w:val="single" w:sz="4" w:space="0" w:color="auto"/>
            </w:tcBorders>
            <w:shd w:val="clear" w:color="auto" w:fill="auto"/>
          </w:tcPr>
          <w:p w:rsidR="00944A3C" w:rsidRPr="00916573" w:rsidRDefault="00944A3C" w:rsidP="00323F71">
            <w:pPr>
              <w:spacing w:before="60" w:after="60" w:line="320" w:lineRule="exact"/>
              <w:ind w:left="57" w:right="57"/>
              <w:textDirection w:val="tbRlV"/>
              <w:rPr>
                <w:rFonts w:ascii="Traditional Arabic" w:hAnsi="Traditional Arabic"/>
                <w:sz w:val="18"/>
                <w:szCs w:val="28"/>
                <w:rtl/>
                <w:lang w:val="en-GB" w:eastAsia="zh-TW"/>
              </w:rPr>
            </w:pPr>
            <w:bookmarkStart w:id="287" w:name="bookmark_955"/>
            <w:r w:rsidRPr="00916573">
              <w:rPr>
                <w:rFonts w:ascii="Traditional Arabic" w:hAnsi="Traditional Arabic"/>
                <w:sz w:val="18"/>
                <w:szCs w:val="28"/>
                <w:rtl/>
                <w:lang w:val="en-GB" w:eastAsia="zh-TW"/>
              </w:rPr>
              <w:t>لا ينطبق</w:t>
            </w:r>
            <w:bookmarkEnd w:id="287"/>
          </w:p>
        </w:tc>
      </w:tr>
      <w:tr w:rsidR="00944A3C" w:rsidRPr="00916573" w:rsidTr="00923147">
        <w:trPr>
          <w:cantSplit/>
        </w:trPr>
        <w:tc>
          <w:tcPr>
            <w:tcW w:w="3254" w:type="dxa"/>
            <w:shd w:val="clear" w:color="auto" w:fill="auto"/>
          </w:tcPr>
          <w:p w:rsidR="00944A3C" w:rsidRPr="00747C96" w:rsidRDefault="00944A3C" w:rsidP="00323F71">
            <w:pPr>
              <w:spacing w:before="60" w:after="60" w:line="320" w:lineRule="exact"/>
              <w:ind w:right="227"/>
              <w:textDirection w:val="tbRlV"/>
              <w:rPr>
                <w:rFonts w:ascii="Traditional Arabic" w:hAnsi="Traditional Arabic"/>
                <w:sz w:val="18"/>
                <w:szCs w:val="28"/>
                <w:rtl/>
                <w:lang w:val="en-GB" w:eastAsia="zh-TW"/>
              </w:rPr>
            </w:pPr>
            <w:bookmarkStart w:id="288" w:name="bookmark_956"/>
            <w:r w:rsidRPr="00747C96">
              <w:rPr>
                <w:rFonts w:ascii="Traditional Arabic" w:hAnsi="Traditional Arabic"/>
                <w:sz w:val="18"/>
                <w:szCs w:val="28"/>
                <w:rtl/>
                <w:lang w:val="en-GB" w:eastAsia="zh-TW"/>
              </w:rPr>
              <w:lastRenderedPageBreak/>
              <w:t>اتفاقية جنيف (الرابعة) بشأن حماية الأشخاص المدنيين في وقت الحرب (1949)</w:t>
            </w:r>
            <w:bookmarkEnd w:id="288"/>
          </w:p>
        </w:tc>
        <w:tc>
          <w:tcPr>
            <w:tcW w:w="2556" w:type="dxa"/>
            <w:shd w:val="clear" w:color="auto" w:fill="auto"/>
          </w:tcPr>
          <w:p w:rsidR="00944A3C" w:rsidRPr="00916573" w:rsidRDefault="00944A3C" w:rsidP="00323F71">
            <w:pPr>
              <w:spacing w:before="60" w:after="60" w:line="320" w:lineRule="exact"/>
              <w:ind w:left="57" w:right="57"/>
              <w:textDirection w:val="tbRlV"/>
              <w:rPr>
                <w:rFonts w:ascii="Traditional Arabic" w:hAnsi="Traditional Arabic"/>
                <w:sz w:val="18"/>
                <w:szCs w:val="28"/>
                <w:rtl/>
                <w:lang w:val="en-GB" w:eastAsia="zh-TW"/>
              </w:rPr>
            </w:pPr>
            <w:bookmarkStart w:id="289" w:name="bookmark_957"/>
            <w:r w:rsidRPr="00916573">
              <w:rPr>
                <w:rFonts w:ascii="Traditional Arabic" w:hAnsi="Traditional Arabic"/>
                <w:sz w:val="18"/>
                <w:szCs w:val="28"/>
                <w:rtl/>
                <w:lang w:val="en-GB" w:eastAsia="zh-TW"/>
              </w:rPr>
              <w:t>28 حزيران/يونيه 1951</w:t>
            </w:r>
            <w:bookmarkEnd w:id="289"/>
          </w:p>
        </w:tc>
        <w:tc>
          <w:tcPr>
            <w:tcW w:w="2552" w:type="dxa"/>
            <w:shd w:val="clear" w:color="auto" w:fill="auto"/>
          </w:tcPr>
          <w:p w:rsidR="00944A3C" w:rsidRPr="00916573" w:rsidRDefault="00944A3C" w:rsidP="00323F71">
            <w:pPr>
              <w:spacing w:before="60" w:after="60" w:line="320" w:lineRule="exact"/>
              <w:ind w:left="57" w:right="57"/>
              <w:textDirection w:val="tbRlV"/>
              <w:rPr>
                <w:rFonts w:ascii="Traditional Arabic" w:hAnsi="Traditional Arabic"/>
                <w:sz w:val="18"/>
                <w:szCs w:val="28"/>
                <w:rtl/>
                <w:lang w:val="en-GB" w:eastAsia="zh-TW"/>
              </w:rPr>
            </w:pPr>
            <w:bookmarkStart w:id="290" w:name="bookmark_958"/>
            <w:r w:rsidRPr="00916573">
              <w:rPr>
                <w:rFonts w:ascii="Traditional Arabic" w:hAnsi="Traditional Arabic"/>
                <w:sz w:val="18"/>
                <w:szCs w:val="28"/>
                <w:rtl/>
                <w:lang w:val="en-GB" w:eastAsia="zh-TW"/>
              </w:rPr>
              <w:t>لا ينطبق</w:t>
            </w:r>
            <w:bookmarkEnd w:id="290"/>
          </w:p>
        </w:tc>
      </w:tr>
      <w:tr w:rsidR="00944A3C" w:rsidRPr="00916573" w:rsidTr="00923147">
        <w:trPr>
          <w:cantSplit/>
        </w:trPr>
        <w:tc>
          <w:tcPr>
            <w:tcW w:w="3254" w:type="dxa"/>
            <w:shd w:val="clear" w:color="auto" w:fill="auto"/>
          </w:tcPr>
          <w:p w:rsidR="00944A3C" w:rsidRPr="00916573" w:rsidRDefault="00944A3C" w:rsidP="002D7359">
            <w:pPr>
              <w:spacing w:after="60" w:line="320" w:lineRule="exact"/>
              <w:ind w:right="227"/>
              <w:textDirection w:val="tbRlV"/>
              <w:rPr>
                <w:rFonts w:ascii="Traditional Arabic" w:hAnsi="Traditional Arabic"/>
                <w:sz w:val="18"/>
                <w:szCs w:val="28"/>
                <w:rtl/>
                <w:lang w:val="en-GB" w:eastAsia="zh-TW"/>
              </w:rPr>
            </w:pPr>
            <w:bookmarkStart w:id="291" w:name="bookmark_959"/>
            <w:r w:rsidRPr="00916573">
              <w:rPr>
                <w:rFonts w:ascii="Traditional Arabic" w:hAnsi="Traditional Arabic"/>
                <w:sz w:val="18"/>
                <w:szCs w:val="28"/>
                <w:rtl/>
                <w:lang w:val="en-GB" w:eastAsia="zh-TW"/>
              </w:rPr>
              <w:t>البروتوكول الإضافي إلى اتفاقيات جنيف المعقودة في 12 آب/أغسطس 1949، المتعلق بحماية ضحايا المنازعات المسلحة الدولية (البروتوكول الأول) (1977)</w:t>
            </w:r>
            <w:bookmarkEnd w:id="291"/>
          </w:p>
        </w:tc>
        <w:tc>
          <w:tcPr>
            <w:tcW w:w="2556" w:type="dxa"/>
            <w:shd w:val="clear" w:color="auto" w:fill="auto"/>
          </w:tcPr>
          <w:p w:rsidR="00944A3C" w:rsidRPr="00916573" w:rsidRDefault="00944A3C" w:rsidP="002D7359">
            <w:pPr>
              <w:spacing w:after="60" w:line="320" w:lineRule="exact"/>
              <w:ind w:left="57" w:right="57"/>
              <w:textDirection w:val="tbRlV"/>
              <w:rPr>
                <w:rFonts w:ascii="Traditional Arabic" w:hAnsi="Traditional Arabic"/>
                <w:sz w:val="18"/>
                <w:szCs w:val="28"/>
                <w:rtl/>
                <w:lang w:val="en-GB" w:eastAsia="zh-TW"/>
              </w:rPr>
            </w:pPr>
            <w:bookmarkStart w:id="292" w:name="bookmark_960"/>
            <w:r w:rsidRPr="00916573">
              <w:rPr>
                <w:rFonts w:ascii="Traditional Arabic" w:hAnsi="Traditional Arabic"/>
                <w:sz w:val="18"/>
                <w:szCs w:val="28"/>
                <w:rtl/>
                <w:lang w:val="en-GB" w:eastAsia="zh-TW"/>
              </w:rPr>
              <w:t>11 نيسان/أبريل 2001</w:t>
            </w:r>
            <w:bookmarkEnd w:id="292"/>
          </w:p>
        </w:tc>
        <w:tc>
          <w:tcPr>
            <w:tcW w:w="2552" w:type="dxa"/>
            <w:shd w:val="clear" w:color="auto" w:fill="auto"/>
          </w:tcPr>
          <w:p w:rsidR="00944A3C" w:rsidRPr="00916573" w:rsidRDefault="00944A3C" w:rsidP="002D7359">
            <w:pPr>
              <w:spacing w:after="60" w:line="320" w:lineRule="exact"/>
              <w:ind w:left="57" w:right="57"/>
              <w:textDirection w:val="tbRlV"/>
              <w:rPr>
                <w:rFonts w:ascii="Traditional Arabic" w:hAnsi="Traditional Arabic"/>
                <w:sz w:val="18"/>
                <w:szCs w:val="28"/>
                <w:rtl/>
                <w:lang w:val="en-GB" w:eastAsia="zh-TW"/>
              </w:rPr>
            </w:pPr>
            <w:bookmarkStart w:id="293" w:name="bookmark_961"/>
            <w:r w:rsidRPr="00916573">
              <w:rPr>
                <w:rFonts w:ascii="Traditional Arabic" w:hAnsi="Traditional Arabic"/>
                <w:sz w:val="18"/>
                <w:szCs w:val="28"/>
                <w:rtl/>
                <w:lang w:val="en-GB" w:eastAsia="zh-TW"/>
              </w:rPr>
              <w:t>تحفظات وإعلانات تفسيرية</w:t>
            </w:r>
            <w:bookmarkEnd w:id="293"/>
          </w:p>
        </w:tc>
      </w:tr>
      <w:tr w:rsidR="00944A3C" w:rsidRPr="00916573" w:rsidTr="00923147">
        <w:trPr>
          <w:cantSplit/>
        </w:trPr>
        <w:tc>
          <w:tcPr>
            <w:tcW w:w="3254" w:type="dxa"/>
            <w:shd w:val="clear" w:color="auto" w:fill="auto"/>
          </w:tcPr>
          <w:p w:rsidR="00944A3C" w:rsidRPr="008F7F42" w:rsidRDefault="00944A3C" w:rsidP="002D7359">
            <w:pPr>
              <w:spacing w:after="60" w:line="320" w:lineRule="exact"/>
              <w:ind w:right="227"/>
              <w:textDirection w:val="tbRlV"/>
              <w:rPr>
                <w:rFonts w:ascii="Traditional Arabic" w:hAnsi="Traditional Arabic"/>
                <w:spacing w:val="-4"/>
                <w:sz w:val="18"/>
                <w:szCs w:val="28"/>
                <w:rtl/>
                <w:lang w:val="en-GB" w:eastAsia="zh-TW"/>
              </w:rPr>
            </w:pPr>
            <w:bookmarkStart w:id="294" w:name="bookmark_962"/>
            <w:r w:rsidRPr="008F7F42">
              <w:rPr>
                <w:rFonts w:ascii="Traditional Arabic" w:hAnsi="Traditional Arabic"/>
                <w:spacing w:val="-4"/>
                <w:sz w:val="18"/>
                <w:szCs w:val="28"/>
                <w:rtl/>
                <w:lang w:val="en-GB" w:eastAsia="zh-TW"/>
              </w:rPr>
              <w:t>البروتوكول الإضافي إلى اتفاقيات جنيف المعقودة في 12 آب/أغسطس 1949، المتعلق بحماية ضحايا المنازعات المسلحة غير الدولية (البروتوكول الثاني) (1977)</w:t>
            </w:r>
            <w:bookmarkEnd w:id="294"/>
          </w:p>
        </w:tc>
        <w:tc>
          <w:tcPr>
            <w:tcW w:w="2556" w:type="dxa"/>
            <w:shd w:val="clear" w:color="auto" w:fill="auto"/>
          </w:tcPr>
          <w:p w:rsidR="00944A3C" w:rsidRPr="00916573" w:rsidRDefault="00944A3C" w:rsidP="002D7359">
            <w:pPr>
              <w:spacing w:after="60" w:line="320" w:lineRule="exact"/>
              <w:ind w:left="57" w:right="57"/>
              <w:textDirection w:val="tbRlV"/>
              <w:rPr>
                <w:rFonts w:ascii="Traditional Arabic" w:hAnsi="Traditional Arabic"/>
                <w:sz w:val="18"/>
                <w:szCs w:val="28"/>
                <w:rtl/>
                <w:lang w:val="en-GB" w:eastAsia="zh-TW"/>
              </w:rPr>
            </w:pPr>
            <w:bookmarkStart w:id="295" w:name="bookmark_963"/>
            <w:r w:rsidRPr="00916573">
              <w:rPr>
                <w:rFonts w:ascii="Traditional Arabic" w:hAnsi="Traditional Arabic"/>
                <w:sz w:val="18"/>
                <w:szCs w:val="28"/>
                <w:rtl/>
                <w:lang w:val="en-GB" w:eastAsia="zh-TW"/>
              </w:rPr>
              <w:t>22 شباط/فبراير 1984</w:t>
            </w:r>
            <w:bookmarkEnd w:id="295"/>
          </w:p>
        </w:tc>
        <w:tc>
          <w:tcPr>
            <w:tcW w:w="2552" w:type="dxa"/>
            <w:shd w:val="clear" w:color="auto" w:fill="auto"/>
          </w:tcPr>
          <w:p w:rsidR="00944A3C" w:rsidRPr="00916573" w:rsidRDefault="00944A3C" w:rsidP="002D7359">
            <w:pPr>
              <w:spacing w:after="60" w:line="320" w:lineRule="exact"/>
              <w:ind w:left="57" w:right="57"/>
              <w:textDirection w:val="tbRlV"/>
              <w:rPr>
                <w:rFonts w:ascii="Traditional Arabic" w:hAnsi="Traditional Arabic"/>
                <w:sz w:val="18"/>
                <w:szCs w:val="28"/>
                <w:rtl/>
                <w:lang w:val="en-GB" w:eastAsia="zh-TW"/>
              </w:rPr>
            </w:pPr>
            <w:bookmarkStart w:id="296" w:name="bookmark_964"/>
            <w:r w:rsidRPr="00916573">
              <w:rPr>
                <w:rFonts w:ascii="Traditional Arabic" w:hAnsi="Traditional Arabic"/>
                <w:sz w:val="18"/>
                <w:szCs w:val="28"/>
                <w:rtl/>
                <w:lang w:val="en-GB" w:eastAsia="zh-TW"/>
              </w:rPr>
              <w:t>إعلان يوضح أسباب رفض الانضمام إلى البروتوكول الأول</w:t>
            </w:r>
            <w:bookmarkEnd w:id="296"/>
          </w:p>
        </w:tc>
      </w:tr>
      <w:tr w:rsidR="00944A3C" w:rsidRPr="00916573" w:rsidTr="00923147">
        <w:trPr>
          <w:cantSplit/>
        </w:trPr>
        <w:tc>
          <w:tcPr>
            <w:tcW w:w="3254" w:type="dxa"/>
            <w:shd w:val="clear" w:color="auto" w:fill="auto"/>
          </w:tcPr>
          <w:p w:rsidR="00944A3C" w:rsidRPr="00916573" w:rsidRDefault="00944A3C" w:rsidP="002D7359">
            <w:pPr>
              <w:spacing w:after="60" w:line="320" w:lineRule="exact"/>
              <w:ind w:right="227"/>
              <w:textDirection w:val="tbRlV"/>
              <w:rPr>
                <w:rFonts w:ascii="Traditional Arabic" w:hAnsi="Traditional Arabic"/>
                <w:sz w:val="18"/>
                <w:szCs w:val="28"/>
                <w:rtl/>
                <w:lang w:val="en-GB" w:eastAsia="zh-TW"/>
              </w:rPr>
            </w:pPr>
            <w:bookmarkStart w:id="297" w:name="bookmark_965"/>
            <w:r w:rsidRPr="00916573">
              <w:rPr>
                <w:rFonts w:ascii="Traditional Arabic" w:hAnsi="Traditional Arabic"/>
                <w:sz w:val="18"/>
                <w:szCs w:val="28"/>
                <w:rtl/>
                <w:lang w:val="en-GB" w:eastAsia="zh-TW"/>
              </w:rPr>
              <w:t>البروتوكول الإضافي إلى اتفاقيات جنيف المعقودة في 12 آب/أغسطس 1949، بشأن اعتماد شارة مميزة إضافية (البروتوكول الثالث)</w:t>
            </w:r>
            <w:bookmarkEnd w:id="297"/>
          </w:p>
        </w:tc>
        <w:tc>
          <w:tcPr>
            <w:tcW w:w="2556" w:type="dxa"/>
            <w:shd w:val="clear" w:color="auto" w:fill="auto"/>
          </w:tcPr>
          <w:p w:rsidR="00944A3C" w:rsidRPr="00916573" w:rsidRDefault="00944A3C" w:rsidP="002D7359">
            <w:pPr>
              <w:spacing w:after="60" w:line="320" w:lineRule="exact"/>
              <w:ind w:left="57" w:right="57"/>
              <w:textDirection w:val="tbRlV"/>
              <w:rPr>
                <w:rFonts w:ascii="Traditional Arabic" w:hAnsi="Traditional Arabic"/>
                <w:sz w:val="18"/>
                <w:szCs w:val="28"/>
                <w:rtl/>
                <w:lang w:val="en-GB" w:eastAsia="zh-TW"/>
              </w:rPr>
            </w:pPr>
            <w:bookmarkStart w:id="298" w:name="bookmark_966"/>
            <w:r w:rsidRPr="00916573">
              <w:rPr>
                <w:rFonts w:ascii="Traditional Arabic" w:hAnsi="Traditional Arabic"/>
                <w:sz w:val="18"/>
                <w:szCs w:val="28"/>
                <w:rtl/>
                <w:lang w:val="en-GB" w:eastAsia="zh-TW"/>
              </w:rPr>
              <w:t>17 تموز/يوليه 2009</w:t>
            </w:r>
            <w:bookmarkEnd w:id="298"/>
          </w:p>
        </w:tc>
        <w:tc>
          <w:tcPr>
            <w:tcW w:w="2552" w:type="dxa"/>
            <w:shd w:val="clear" w:color="auto" w:fill="auto"/>
          </w:tcPr>
          <w:p w:rsidR="00944A3C" w:rsidRPr="00916573" w:rsidRDefault="00944A3C" w:rsidP="002D7359">
            <w:pPr>
              <w:spacing w:after="60" w:line="320" w:lineRule="exact"/>
              <w:ind w:left="57" w:right="57"/>
              <w:textDirection w:val="tbRlV"/>
              <w:rPr>
                <w:rFonts w:ascii="Traditional Arabic" w:hAnsi="Traditional Arabic"/>
                <w:sz w:val="18"/>
                <w:szCs w:val="28"/>
                <w:rtl/>
                <w:lang w:val="en-GB" w:eastAsia="zh-TW"/>
              </w:rPr>
            </w:pPr>
            <w:bookmarkStart w:id="299" w:name="bookmark_967"/>
            <w:r w:rsidRPr="00916573">
              <w:rPr>
                <w:rFonts w:ascii="Traditional Arabic" w:hAnsi="Traditional Arabic"/>
                <w:sz w:val="18"/>
                <w:szCs w:val="28"/>
                <w:rtl/>
                <w:lang w:val="en-GB" w:eastAsia="zh-TW"/>
              </w:rPr>
              <w:t>لا ينطبق</w:t>
            </w:r>
            <w:bookmarkEnd w:id="299"/>
          </w:p>
        </w:tc>
      </w:tr>
      <w:tr w:rsidR="00944A3C" w:rsidRPr="00916573" w:rsidTr="00923147">
        <w:trPr>
          <w:cantSplit/>
        </w:trPr>
        <w:tc>
          <w:tcPr>
            <w:tcW w:w="3254" w:type="dxa"/>
            <w:shd w:val="clear" w:color="auto" w:fill="auto"/>
          </w:tcPr>
          <w:p w:rsidR="00944A3C" w:rsidRPr="00916573" w:rsidRDefault="00944A3C" w:rsidP="002D7359">
            <w:pPr>
              <w:spacing w:after="60" w:line="320" w:lineRule="exact"/>
              <w:ind w:right="227"/>
              <w:textDirection w:val="tbRlV"/>
              <w:rPr>
                <w:rFonts w:ascii="Traditional Arabic" w:hAnsi="Traditional Arabic"/>
                <w:sz w:val="18"/>
                <w:szCs w:val="28"/>
                <w:rtl/>
                <w:lang w:val="en-GB" w:eastAsia="zh-TW"/>
              </w:rPr>
            </w:pPr>
            <w:bookmarkStart w:id="300" w:name="bookmark_968"/>
            <w:r w:rsidRPr="00916573">
              <w:rPr>
                <w:rFonts w:ascii="Traditional Arabic" w:hAnsi="Traditional Arabic"/>
                <w:sz w:val="18"/>
                <w:szCs w:val="28"/>
                <w:rtl/>
                <w:lang w:val="en-GB" w:eastAsia="zh-TW"/>
              </w:rPr>
              <w:t>اتفاقية حقوق الطفل (1989)</w:t>
            </w:r>
            <w:bookmarkEnd w:id="300"/>
          </w:p>
        </w:tc>
        <w:tc>
          <w:tcPr>
            <w:tcW w:w="2556" w:type="dxa"/>
            <w:shd w:val="clear" w:color="auto" w:fill="auto"/>
          </w:tcPr>
          <w:p w:rsidR="00944A3C" w:rsidRPr="00916573" w:rsidRDefault="00944A3C" w:rsidP="002D7359">
            <w:pPr>
              <w:spacing w:after="60" w:line="320" w:lineRule="exact"/>
              <w:ind w:left="57" w:right="57"/>
              <w:textDirection w:val="tbRlV"/>
              <w:rPr>
                <w:rFonts w:ascii="Traditional Arabic" w:hAnsi="Traditional Arabic"/>
                <w:sz w:val="18"/>
                <w:szCs w:val="28"/>
                <w:rtl/>
                <w:lang w:val="en-GB" w:eastAsia="zh-TW"/>
              </w:rPr>
            </w:pPr>
            <w:bookmarkStart w:id="301" w:name="bookmark_969"/>
            <w:r w:rsidRPr="00916573">
              <w:rPr>
                <w:rFonts w:ascii="Traditional Arabic" w:hAnsi="Traditional Arabic"/>
                <w:sz w:val="18"/>
                <w:szCs w:val="28"/>
                <w:rtl/>
                <w:lang w:val="en-GB" w:eastAsia="zh-TW"/>
              </w:rPr>
              <w:t>7 آب/أغسطس 1990</w:t>
            </w:r>
            <w:bookmarkEnd w:id="301"/>
          </w:p>
        </w:tc>
        <w:tc>
          <w:tcPr>
            <w:tcW w:w="2552" w:type="dxa"/>
            <w:shd w:val="clear" w:color="auto" w:fill="auto"/>
          </w:tcPr>
          <w:p w:rsidR="00944A3C" w:rsidRPr="00916573" w:rsidRDefault="00944A3C" w:rsidP="000F47B2">
            <w:pPr>
              <w:spacing w:after="60" w:line="320" w:lineRule="exact"/>
              <w:ind w:left="57" w:right="57"/>
              <w:textDirection w:val="tbRlV"/>
              <w:rPr>
                <w:rFonts w:ascii="Traditional Arabic" w:hAnsi="Traditional Arabic"/>
                <w:sz w:val="18"/>
                <w:szCs w:val="28"/>
                <w:rtl/>
                <w:lang w:val="en-GB" w:eastAsia="zh-TW"/>
              </w:rPr>
            </w:pPr>
            <w:bookmarkStart w:id="302" w:name="bookmark_970"/>
            <w:r w:rsidRPr="00916573">
              <w:rPr>
                <w:rFonts w:ascii="Traditional Arabic" w:hAnsi="Traditional Arabic"/>
                <w:sz w:val="18"/>
                <w:szCs w:val="28"/>
                <w:rtl/>
                <w:lang w:val="en-GB" w:eastAsia="zh-TW"/>
              </w:rPr>
              <w:t>إعلان تفسيري</w:t>
            </w:r>
            <w:r w:rsidRPr="00916573">
              <w:rPr>
                <w:rFonts w:ascii="Traditional Arabic" w:hAnsi="Traditional Arabic" w:hint="cs"/>
                <w:sz w:val="18"/>
                <w:szCs w:val="28"/>
                <w:rtl/>
                <w:lang w:val="en-GB" w:eastAsia="zh-TW"/>
              </w:rPr>
              <w:t xml:space="preserve">: </w:t>
            </w:r>
            <w:r w:rsidRPr="00916573">
              <w:rPr>
                <w:rFonts w:ascii="Traditional Arabic" w:hAnsi="Traditional Arabic"/>
                <w:sz w:val="18"/>
                <w:szCs w:val="28"/>
                <w:rtl/>
                <w:lang w:val="en-GB" w:eastAsia="zh-TW"/>
              </w:rPr>
              <w:t>المادت</w:t>
            </w:r>
            <w:r w:rsidRPr="00916573">
              <w:rPr>
                <w:rFonts w:ascii="Traditional Arabic" w:hAnsi="Traditional Arabic" w:hint="cs"/>
                <w:sz w:val="18"/>
                <w:szCs w:val="28"/>
                <w:rtl/>
                <w:lang w:val="en-GB" w:eastAsia="zh-TW"/>
              </w:rPr>
              <w:t>ا</w:t>
            </w:r>
            <w:r w:rsidRPr="00916573">
              <w:rPr>
                <w:rFonts w:ascii="Traditional Arabic" w:hAnsi="Traditional Arabic"/>
                <w:sz w:val="18"/>
                <w:szCs w:val="28"/>
                <w:rtl/>
                <w:lang w:val="en-GB" w:eastAsia="zh-TW"/>
              </w:rPr>
              <w:t>ن 6 و40(2)(ب)</w:t>
            </w:r>
            <w:r w:rsidR="000F47B2">
              <w:rPr>
                <w:rFonts w:ascii="Traditional Arabic" w:hAnsi="Traditional Arabic" w:hint="cs"/>
                <w:sz w:val="18"/>
                <w:szCs w:val="28"/>
                <w:rtl/>
                <w:lang w:val="en-GB" w:eastAsia="zh-TW"/>
              </w:rPr>
              <w:t>‘</w:t>
            </w:r>
            <w:r w:rsidRPr="00916573">
              <w:rPr>
                <w:rFonts w:ascii="Traditional Arabic" w:hAnsi="Traditional Arabic"/>
                <w:sz w:val="18"/>
                <w:szCs w:val="28"/>
                <w:rtl/>
                <w:lang w:val="en-GB" w:eastAsia="zh-TW"/>
              </w:rPr>
              <w:t>5</w:t>
            </w:r>
            <w:bookmarkEnd w:id="302"/>
            <w:r w:rsidR="000F47B2">
              <w:rPr>
                <w:rFonts w:ascii="Traditional Arabic" w:hAnsi="Traditional Arabic" w:hint="cs"/>
                <w:sz w:val="18"/>
                <w:szCs w:val="28"/>
                <w:rtl/>
                <w:lang w:val="en-GB" w:eastAsia="zh-TW"/>
              </w:rPr>
              <w:t>‘</w:t>
            </w:r>
          </w:p>
          <w:p w:rsidR="00944A3C" w:rsidRPr="00916573" w:rsidRDefault="00944A3C" w:rsidP="002D7359">
            <w:pPr>
              <w:spacing w:after="60" w:line="320" w:lineRule="exact"/>
              <w:ind w:left="57" w:right="57"/>
              <w:textDirection w:val="tbRlV"/>
              <w:rPr>
                <w:rFonts w:ascii="Traditional Arabic" w:hAnsi="Traditional Arabic"/>
                <w:sz w:val="18"/>
                <w:szCs w:val="28"/>
                <w:rtl/>
                <w:lang w:val="en-GB" w:eastAsia="zh-TW"/>
              </w:rPr>
            </w:pPr>
            <w:bookmarkStart w:id="303" w:name="bookmark_971"/>
            <w:r w:rsidRPr="00916573">
              <w:rPr>
                <w:rFonts w:ascii="Traditional Arabic" w:hAnsi="Traditional Arabic"/>
                <w:sz w:val="18"/>
                <w:szCs w:val="28"/>
                <w:rtl/>
                <w:lang w:val="en-GB" w:eastAsia="zh-TW"/>
              </w:rPr>
              <w:t>تحفظ: عدم تطبيق المادة 30</w:t>
            </w:r>
            <w:bookmarkEnd w:id="303"/>
          </w:p>
        </w:tc>
      </w:tr>
      <w:tr w:rsidR="00944A3C" w:rsidRPr="00916573" w:rsidTr="00923147">
        <w:trPr>
          <w:cantSplit/>
        </w:trPr>
        <w:tc>
          <w:tcPr>
            <w:tcW w:w="3254" w:type="dxa"/>
            <w:tcBorders>
              <w:bottom w:val="single" w:sz="4" w:space="0" w:color="auto"/>
            </w:tcBorders>
            <w:shd w:val="clear" w:color="auto" w:fill="auto"/>
          </w:tcPr>
          <w:p w:rsidR="00944A3C" w:rsidRPr="00916573" w:rsidRDefault="00944A3C" w:rsidP="002D7359">
            <w:pPr>
              <w:spacing w:after="60" w:line="320" w:lineRule="exact"/>
              <w:ind w:right="227"/>
              <w:textDirection w:val="tbRlV"/>
              <w:rPr>
                <w:rFonts w:ascii="Traditional Arabic" w:hAnsi="Traditional Arabic"/>
                <w:sz w:val="18"/>
                <w:szCs w:val="28"/>
                <w:rtl/>
                <w:lang w:val="en-GB" w:eastAsia="zh-TW"/>
              </w:rPr>
            </w:pPr>
            <w:bookmarkStart w:id="304" w:name="bookmark_972"/>
            <w:r w:rsidRPr="00916573">
              <w:rPr>
                <w:rFonts w:ascii="Traditional Arabic" w:hAnsi="Traditional Arabic"/>
                <w:sz w:val="18"/>
                <w:szCs w:val="28"/>
                <w:rtl/>
                <w:lang w:val="en-GB" w:eastAsia="zh-TW"/>
              </w:rPr>
              <w:t>البروتوكول الاختياري لاتفاقية حقوق الطفل بشأن اشتراك الأطفال في المنازعات المسلحة (2000)</w:t>
            </w:r>
            <w:bookmarkEnd w:id="304"/>
          </w:p>
        </w:tc>
        <w:tc>
          <w:tcPr>
            <w:tcW w:w="2556" w:type="dxa"/>
            <w:tcBorders>
              <w:bottom w:val="single" w:sz="4" w:space="0" w:color="auto"/>
            </w:tcBorders>
            <w:shd w:val="clear" w:color="auto" w:fill="auto"/>
          </w:tcPr>
          <w:p w:rsidR="00944A3C" w:rsidRPr="00916573" w:rsidRDefault="00944A3C" w:rsidP="002D7359">
            <w:pPr>
              <w:spacing w:after="60" w:line="320" w:lineRule="exact"/>
              <w:ind w:left="57" w:right="57"/>
              <w:textDirection w:val="tbRlV"/>
              <w:rPr>
                <w:rFonts w:ascii="Traditional Arabic" w:hAnsi="Traditional Arabic"/>
                <w:sz w:val="18"/>
                <w:szCs w:val="28"/>
                <w:rtl/>
                <w:lang w:val="en-GB" w:eastAsia="zh-TW"/>
              </w:rPr>
            </w:pPr>
            <w:bookmarkStart w:id="305" w:name="bookmark_973"/>
            <w:r w:rsidRPr="00916573">
              <w:rPr>
                <w:rFonts w:ascii="Traditional Arabic" w:hAnsi="Traditional Arabic"/>
                <w:sz w:val="18"/>
                <w:szCs w:val="28"/>
                <w:rtl/>
                <w:lang w:val="en-GB" w:eastAsia="zh-TW"/>
              </w:rPr>
              <w:t>5 شباط/فبراير 2003</w:t>
            </w:r>
            <w:bookmarkEnd w:id="305"/>
          </w:p>
        </w:tc>
        <w:tc>
          <w:tcPr>
            <w:tcW w:w="2552" w:type="dxa"/>
            <w:tcBorders>
              <w:bottom w:val="single" w:sz="4" w:space="0" w:color="auto"/>
            </w:tcBorders>
            <w:shd w:val="clear" w:color="auto" w:fill="auto"/>
          </w:tcPr>
          <w:p w:rsidR="00944A3C" w:rsidRPr="00916573" w:rsidRDefault="00944A3C" w:rsidP="002D7359">
            <w:pPr>
              <w:spacing w:after="60" w:line="320" w:lineRule="exact"/>
              <w:ind w:left="57" w:right="57"/>
              <w:textDirection w:val="tbRlV"/>
              <w:rPr>
                <w:rFonts w:ascii="Traditional Arabic" w:hAnsi="Traditional Arabic"/>
                <w:sz w:val="18"/>
                <w:szCs w:val="28"/>
                <w:rtl/>
                <w:lang w:val="en-GB" w:eastAsia="zh-TW"/>
              </w:rPr>
            </w:pPr>
            <w:bookmarkStart w:id="306" w:name="bookmark_974"/>
            <w:r w:rsidRPr="00916573">
              <w:rPr>
                <w:rFonts w:ascii="Traditional Arabic" w:hAnsi="Traditional Arabic"/>
                <w:sz w:val="18"/>
                <w:szCs w:val="28"/>
                <w:rtl/>
                <w:lang w:val="en-GB" w:eastAsia="zh-TW"/>
              </w:rPr>
              <w:t>إعلان بشأن تجنيد المتطوعين البالغين 17 سنة من العمر بموافقة ممثليهم القانونيين</w:t>
            </w:r>
            <w:bookmarkEnd w:id="306"/>
          </w:p>
        </w:tc>
      </w:tr>
      <w:tr w:rsidR="00944A3C" w:rsidRPr="00916573" w:rsidTr="00923147">
        <w:trPr>
          <w:cantSplit/>
        </w:trPr>
        <w:tc>
          <w:tcPr>
            <w:tcW w:w="3254" w:type="dxa"/>
            <w:tcBorders>
              <w:bottom w:val="single" w:sz="12" w:space="0" w:color="auto"/>
            </w:tcBorders>
            <w:shd w:val="clear" w:color="auto" w:fill="auto"/>
          </w:tcPr>
          <w:p w:rsidR="00944A3C" w:rsidRPr="00916573" w:rsidRDefault="00944A3C" w:rsidP="002D7359">
            <w:pPr>
              <w:spacing w:after="60" w:line="320" w:lineRule="exact"/>
              <w:ind w:right="227"/>
              <w:textDirection w:val="tbRlV"/>
              <w:rPr>
                <w:rFonts w:ascii="Traditional Arabic" w:hAnsi="Traditional Arabic"/>
                <w:sz w:val="18"/>
                <w:szCs w:val="28"/>
                <w:rtl/>
                <w:lang w:val="en-GB" w:eastAsia="zh-TW"/>
              </w:rPr>
            </w:pPr>
            <w:bookmarkStart w:id="307" w:name="bookmark_975"/>
            <w:r w:rsidRPr="00916573">
              <w:rPr>
                <w:rFonts w:ascii="Traditional Arabic" w:hAnsi="Traditional Arabic"/>
                <w:sz w:val="18"/>
                <w:szCs w:val="28"/>
                <w:rtl/>
                <w:lang w:val="en-GB" w:eastAsia="zh-TW"/>
              </w:rPr>
              <w:t>اتفاقية أوتاوا بشأن حظر استعمال وتخزين وإنتاج ونقل الألغام المضادة للأفراد وتدمير تلك الألغام (1987)</w:t>
            </w:r>
            <w:bookmarkEnd w:id="307"/>
          </w:p>
        </w:tc>
        <w:tc>
          <w:tcPr>
            <w:tcW w:w="2556" w:type="dxa"/>
            <w:tcBorders>
              <w:bottom w:val="single" w:sz="12" w:space="0" w:color="auto"/>
            </w:tcBorders>
            <w:shd w:val="clear" w:color="auto" w:fill="auto"/>
          </w:tcPr>
          <w:p w:rsidR="00944A3C" w:rsidRPr="00916573" w:rsidRDefault="00944A3C" w:rsidP="002D7359">
            <w:pPr>
              <w:spacing w:after="60" w:line="320" w:lineRule="exact"/>
              <w:ind w:left="57" w:right="57"/>
              <w:textDirection w:val="tbRlV"/>
              <w:rPr>
                <w:rFonts w:ascii="Traditional Arabic" w:hAnsi="Traditional Arabic"/>
                <w:sz w:val="18"/>
                <w:szCs w:val="28"/>
                <w:rtl/>
                <w:lang w:val="en-GB" w:eastAsia="zh-TW"/>
              </w:rPr>
            </w:pPr>
            <w:bookmarkStart w:id="308" w:name="bookmark_976"/>
            <w:r w:rsidRPr="00916573">
              <w:rPr>
                <w:rFonts w:ascii="Traditional Arabic" w:hAnsi="Traditional Arabic"/>
                <w:sz w:val="18"/>
                <w:szCs w:val="28"/>
                <w:rtl/>
                <w:lang w:val="en-GB" w:eastAsia="zh-TW"/>
              </w:rPr>
              <w:t>23 تموز/يوليه 1998</w:t>
            </w:r>
            <w:bookmarkEnd w:id="308"/>
          </w:p>
        </w:tc>
        <w:tc>
          <w:tcPr>
            <w:tcW w:w="2552" w:type="dxa"/>
            <w:tcBorders>
              <w:bottom w:val="single" w:sz="12" w:space="0" w:color="auto"/>
            </w:tcBorders>
            <w:shd w:val="clear" w:color="auto" w:fill="auto"/>
          </w:tcPr>
          <w:p w:rsidR="00944A3C" w:rsidRPr="00916573" w:rsidRDefault="00944A3C" w:rsidP="002D7359">
            <w:pPr>
              <w:spacing w:after="60" w:line="320" w:lineRule="exact"/>
              <w:ind w:left="57" w:right="57"/>
              <w:textDirection w:val="tbRlV"/>
              <w:rPr>
                <w:rFonts w:ascii="Traditional Arabic" w:hAnsi="Traditional Arabic"/>
                <w:sz w:val="18"/>
                <w:szCs w:val="28"/>
                <w:rtl/>
                <w:lang w:val="en-GB" w:eastAsia="zh-TW"/>
              </w:rPr>
            </w:pPr>
            <w:bookmarkStart w:id="309" w:name="bookmark_977"/>
            <w:r w:rsidRPr="00916573">
              <w:rPr>
                <w:rFonts w:ascii="Traditional Arabic" w:hAnsi="Traditional Arabic"/>
                <w:sz w:val="18"/>
                <w:szCs w:val="28"/>
                <w:rtl/>
                <w:lang w:val="en-GB" w:eastAsia="zh-TW"/>
              </w:rPr>
              <w:t>لا ينطبق</w:t>
            </w:r>
            <w:bookmarkEnd w:id="309"/>
          </w:p>
        </w:tc>
      </w:tr>
    </w:tbl>
    <w:p w:rsidR="00944A3C" w:rsidRPr="005D0C50" w:rsidRDefault="00944A3C" w:rsidP="008F7F42">
      <w:pPr>
        <w:pStyle w:val="H1GA"/>
        <w:spacing w:before="360"/>
        <w:rPr>
          <w:spacing w:val="-2"/>
          <w:rtl/>
        </w:rPr>
      </w:pPr>
      <w:r w:rsidRPr="005D0C50">
        <w:rPr>
          <w:rtl/>
        </w:rPr>
        <w:tab/>
      </w:r>
      <w:bookmarkStart w:id="310" w:name="_Toc508623283"/>
      <w:r w:rsidRPr="005D0C50">
        <w:rPr>
          <w:rFonts w:hint="cs"/>
          <w:rtl/>
        </w:rPr>
        <w:t>جيم-</w:t>
      </w:r>
      <w:r w:rsidRPr="005D0C50">
        <w:rPr>
          <w:rtl/>
        </w:rPr>
        <w:tab/>
        <w:t>قبول الصكوك الإقليمية لحقوق الإنسان</w:t>
      </w:r>
      <w:r w:rsidRPr="00C4375A">
        <w:rPr>
          <w:rStyle w:val="EndnoteReference"/>
          <w:b w:val="0"/>
          <w:bCs w:val="0"/>
          <w:rtl/>
        </w:rPr>
        <w:t>(</w:t>
      </w:r>
      <w:r w:rsidRPr="00C4375A">
        <w:rPr>
          <w:rStyle w:val="EndnoteReference"/>
          <w:b w:val="0"/>
          <w:bCs w:val="0"/>
          <w:rtl/>
        </w:rPr>
        <w:endnoteReference w:id="194"/>
      </w:r>
      <w:r w:rsidRPr="00C4375A">
        <w:rPr>
          <w:rStyle w:val="EndnoteReference"/>
          <w:b w:val="0"/>
          <w:bCs w:val="0"/>
          <w:rtl/>
        </w:rPr>
        <w:t>)</w:t>
      </w:r>
      <w:bookmarkEnd w:id="310"/>
    </w:p>
    <w:p w:rsidR="00944A3C" w:rsidRPr="000D1BA4" w:rsidRDefault="00944A3C" w:rsidP="000D1BA4">
      <w:pPr>
        <w:pStyle w:val="SingleTxtGA"/>
        <w:rPr>
          <w:rtl/>
        </w:rPr>
      </w:pPr>
      <w:r w:rsidRPr="005D0C50">
        <w:rPr>
          <w:rFonts w:hint="cs"/>
          <w:rtl/>
        </w:rPr>
        <w:t>227-</w:t>
      </w:r>
      <w:r w:rsidRPr="005D0C50">
        <w:rPr>
          <w:rtl/>
        </w:rPr>
        <w:tab/>
      </w:r>
      <w:r w:rsidRPr="000D1BA4">
        <w:rPr>
          <w:rtl/>
        </w:rPr>
        <w:t>صدقت فرنسا، في إطار مجلس أوروبا، على 135 اتفاقا</w:t>
      </w:r>
      <w:r w:rsidR="00CD290E" w:rsidRPr="000D1BA4">
        <w:rPr>
          <w:rFonts w:hint="cs"/>
          <w:rtl/>
        </w:rPr>
        <w:t>ً</w:t>
      </w:r>
      <w:r w:rsidRPr="000D1BA4">
        <w:rPr>
          <w:rStyle w:val="EndnoteReference"/>
          <w:rtl/>
        </w:rPr>
        <w:t>(</w:t>
      </w:r>
      <w:r w:rsidRPr="000D1BA4">
        <w:rPr>
          <w:rStyle w:val="EndnoteReference"/>
          <w:rtl/>
        </w:rPr>
        <w:endnoteReference w:id="195"/>
      </w:r>
      <w:r w:rsidRPr="000D1BA4">
        <w:rPr>
          <w:rStyle w:val="EndnoteReference"/>
          <w:rtl/>
        </w:rPr>
        <w:t>)</w:t>
      </w:r>
      <w:r w:rsidRPr="000D1BA4">
        <w:rPr>
          <w:rtl/>
        </w:rPr>
        <w:t>، يتعلق عدد منها بحقوق</w:t>
      </w:r>
      <w:r w:rsidR="000D1BA4">
        <w:rPr>
          <w:rFonts w:hint="cs"/>
          <w:rtl/>
        </w:rPr>
        <w:t> </w:t>
      </w:r>
      <w:r w:rsidRPr="000D1BA4">
        <w:rPr>
          <w:rtl/>
        </w:rPr>
        <w:t>الإنسان.</w:t>
      </w:r>
    </w:p>
    <w:tbl>
      <w:tblPr>
        <w:bidiVisual/>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97"/>
        <w:gridCol w:w="2097"/>
        <w:gridCol w:w="2702"/>
        <w:gridCol w:w="2143"/>
      </w:tblGrid>
      <w:tr w:rsidR="00944A3C" w:rsidRPr="009D5894" w:rsidTr="00923147">
        <w:trPr>
          <w:cantSplit/>
          <w:tblHeader/>
          <w:jc w:val="center"/>
        </w:trPr>
        <w:tc>
          <w:tcPr>
            <w:tcW w:w="2697" w:type="dxa"/>
            <w:tcBorders>
              <w:bottom w:val="single" w:sz="12" w:space="0" w:color="auto"/>
            </w:tcBorders>
            <w:shd w:val="clear" w:color="auto" w:fill="auto"/>
            <w:vAlign w:val="bottom"/>
          </w:tcPr>
          <w:p w:rsidR="00944A3C" w:rsidRPr="00437D92" w:rsidRDefault="00944A3C" w:rsidP="002D7359">
            <w:pPr>
              <w:spacing w:before="40" w:after="60" w:line="320" w:lineRule="exact"/>
              <w:ind w:right="227"/>
              <w:jc w:val="left"/>
              <w:textDirection w:val="tbRlV"/>
              <w:rPr>
                <w:i/>
                <w:iCs/>
                <w:sz w:val="18"/>
                <w:szCs w:val="28"/>
                <w:rtl/>
                <w:lang w:val="en-GB" w:eastAsia="zh-TW"/>
              </w:rPr>
            </w:pPr>
            <w:bookmarkStart w:id="311" w:name="bookmark_982"/>
            <w:r w:rsidRPr="00437D92">
              <w:rPr>
                <w:i/>
                <w:iCs/>
                <w:sz w:val="18"/>
                <w:szCs w:val="28"/>
                <w:rtl/>
                <w:lang w:val="en-GB" w:eastAsia="zh-TW"/>
              </w:rPr>
              <w:t>الصك الدولي</w:t>
            </w:r>
            <w:bookmarkEnd w:id="311"/>
          </w:p>
        </w:tc>
        <w:tc>
          <w:tcPr>
            <w:tcW w:w="2097" w:type="dxa"/>
            <w:tcBorders>
              <w:bottom w:val="single" w:sz="12" w:space="0" w:color="auto"/>
            </w:tcBorders>
            <w:shd w:val="clear" w:color="auto" w:fill="auto"/>
            <w:vAlign w:val="bottom"/>
          </w:tcPr>
          <w:p w:rsidR="00944A3C" w:rsidRPr="00437D92" w:rsidRDefault="00944A3C" w:rsidP="002D7359">
            <w:pPr>
              <w:spacing w:before="40" w:after="60" w:line="320" w:lineRule="exact"/>
              <w:ind w:left="57" w:right="227"/>
              <w:jc w:val="left"/>
              <w:textDirection w:val="tbRlV"/>
              <w:rPr>
                <w:i/>
                <w:iCs/>
                <w:sz w:val="18"/>
                <w:szCs w:val="28"/>
                <w:rtl/>
                <w:lang w:val="en-GB" w:eastAsia="zh-TW"/>
              </w:rPr>
            </w:pPr>
            <w:bookmarkStart w:id="312" w:name="bookmark_983"/>
            <w:r w:rsidRPr="00437D92">
              <w:rPr>
                <w:i/>
                <w:iCs/>
                <w:sz w:val="18"/>
                <w:szCs w:val="28"/>
                <w:rtl/>
                <w:lang w:val="en-GB" w:eastAsia="zh-TW"/>
              </w:rPr>
              <w:t>التوقيع</w:t>
            </w:r>
            <w:bookmarkEnd w:id="312"/>
          </w:p>
        </w:tc>
        <w:tc>
          <w:tcPr>
            <w:tcW w:w="2702" w:type="dxa"/>
            <w:tcBorders>
              <w:bottom w:val="single" w:sz="12" w:space="0" w:color="auto"/>
            </w:tcBorders>
            <w:shd w:val="clear" w:color="auto" w:fill="auto"/>
            <w:vAlign w:val="bottom"/>
          </w:tcPr>
          <w:p w:rsidR="00944A3C" w:rsidRPr="00437D92" w:rsidRDefault="00944A3C" w:rsidP="002D7359">
            <w:pPr>
              <w:spacing w:before="40" w:after="60" w:line="320" w:lineRule="exact"/>
              <w:ind w:left="57" w:right="227"/>
              <w:jc w:val="left"/>
              <w:textDirection w:val="tbRlV"/>
              <w:rPr>
                <w:i/>
                <w:iCs/>
                <w:spacing w:val="-6"/>
                <w:sz w:val="18"/>
                <w:szCs w:val="28"/>
                <w:rtl/>
                <w:lang w:val="en-GB" w:eastAsia="zh-TW"/>
              </w:rPr>
            </w:pPr>
            <w:bookmarkStart w:id="313" w:name="bookmark_984"/>
            <w:r w:rsidRPr="00437D92">
              <w:rPr>
                <w:i/>
                <w:iCs/>
                <w:spacing w:val="-6"/>
                <w:sz w:val="18"/>
                <w:szCs w:val="28"/>
                <w:rtl/>
                <w:lang w:val="en-GB" w:eastAsia="zh-TW"/>
              </w:rPr>
              <w:t>التصديق/الانضمام وقبول التعديلات والإجراءات الاختيارية</w:t>
            </w:r>
            <w:bookmarkEnd w:id="313"/>
          </w:p>
        </w:tc>
        <w:tc>
          <w:tcPr>
            <w:tcW w:w="2143" w:type="dxa"/>
            <w:tcBorders>
              <w:bottom w:val="single" w:sz="12" w:space="0" w:color="auto"/>
            </w:tcBorders>
            <w:shd w:val="clear" w:color="auto" w:fill="auto"/>
            <w:vAlign w:val="bottom"/>
          </w:tcPr>
          <w:p w:rsidR="00944A3C" w:rsidRPr="00437D92" w:rsidRDefault="00944A3C" w:rsidP="002D7359">
            <w:pPr>
              <w:spacing w:before="40" w:after="60" w:line="320" w:lineRule="exact"/>
              <w:ind w:left="57" w:right="227"/>
              <w:jc w:val="left"/>
              <w:textDirection w:val="tbRlV"/>
              <w:rPr>
                <w:i/>
                <w:iCs/>
                <w:sz w:val="18"/>
                <w:szCs w:val="28"/>
                <w:rtl/>
                <w:lang w:val="en-GB" w:eastAsia="zh-TW"/>
              </w:rPr>
            </w:pPr>
            <w:bookmarkStart w:id="314" w:name="bookmark_985"/>
            <w:r w:rsidRPr="00437D92">
              <w:rPr>
                <w:i/>
                <w:iCs/>
                <w:sz w:val="18"/>
                <w:szCs w:val="28"/>
                <w:rtl/>
                <w:lang w:val="en-GB" w:eastAsia="zh-TW"/>
              </w:rPr>
              <w:t>الإعلانات التفسيرية والتحفظات</w:t>
            </w:r>
            <w:bookmarkEnd w:id="314"/>
          </w:p>
        </w:tc>
      </w:tr>
      <w:tr w:rsidR="00944A3C" w:rsidRPr="009D5894" w:rsidTr="00923147">
        <w:trPr>
          <w:cantSplit/>
          <w:jc w:val="center"/>
        </w:trPr>
        <w:tc>
          <w:tcPr>
            <w:tcW w:w="2697" w:type="dxa"/>
            <w:tcBorders>
              <w:top w:val="single" w:sz="12" w:space="0" w:color="auto"/>
            </w:tcBorders>
            <w:shd w:val="clear" w:color="auto" w:fill="auto"/>
          </w:tcPr>
          <w:p w:rsidR="00944A3C" w:rsidRPr="009D5894" w:rsidRDefault="00944A3C" w:rsidP="002D7359">
            <w:pPr>
              <w:spacing w:before="40" w:after="60" w:line="320" w:lineRule="exact"/>
              <w:ind w:right="227"/>
              <w:textDirection w:val="tbRlV"/>
              <w:rPr>
                <w:sz w:val="18"/>
                <w:szCs w:val="28"/>
                <w:rtl/>
                <w:lang w:val="en-GB" w:eastAsia="zh-TW"/>
              </w:rPr>
            </w:pPr>
            <w:bookmarkStart w:id="315" w:name="bookmark_986"/>
            <w:r w:rsidRPr="009D5894">
              <w:rPr>
                <w:sz w:val="18"/>
                <w:szCs w:val="28"/>
                <w:rtl/>
                <w:lang w:val="en-GB" w:eastAsia="zh-TW"/>
              </w:rPr>
              <w:t>النظام الأساسي لمجلس أوروبا</w:t>
            </w:r>
            <w:bookmarkEnd w:id="315"/>
          </w:p>
        </w:tc>
        <w:tc>
          <w:tcPr>
            <w:tcW w:w="2097" w:type="dxa"/>
            <w:tcBorders>
              <w:top w:val="single" w:sz="12" w:space="0" w:color="auto"/>
            </w:tcBorders>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16" w:name="bookmark_987"/>
            <w:r w:rsidRPr="009D5894">
              <w:rPr>
                <w:sz w:val="18"/>
                <w:szCs w:val="28"/>
                <w:rtl/>
                <w:lang w:val="en-GB" w:eastAsia="zh-TW"/>
              </w:rPr>
              <w:t>5 أيار/مايو 1949</w:t>
            </w:r>
            <w:bookmarkEnd w:id="316"/>
          </w:p>
        </w:tc>
        <w:tc>
          <w:tcPr>
            <w:tcW w:w="2702" w:type="dxa"/>
            <w:tcBorders>
              <w:top w:val="single" w:sz="12" w:space="0" w:color="auto"/>
            </w:tcBorders>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17" w:name="bookmark_988"/>
            <w:r w:rsidRPr="009D5894">
              <w:rPr>
                <w:sz w:val="18"/>
                <w:szCs w:val="28"/>
                <w:rtl/>
                <w:lang w:val="en-GB" w:eastAsia="zh-TW"/>
              </w:rPr>
              <w:t>4 آب/أغسطس 1949</w:t>
            </w:r>
            <w:bookmarkEnd w:id="317"/>
          </w:p>
        </w:tc>
        <w:tc>
          <w:tcPr>
            <w:tcW w:w="2143" w:type="dxa"/>
            <w:tcBorders>
              <w:top w:val="single" w:sz="12" w:space="0" w:color="auto"/>
            </w:tcBorders>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18" w:name="bookmark_989"/>
            <w:r w:rsidRPr="009D5894">
              <w:rPr>
                <w:sz w:val="18"/>
                <w:szCs w:val="28"/>
                <w:rtl/>
                <w:lang w:val="en-GB" w:eastAsia="zh-TW"/>
              </w:rPr>
              <w:t>لا ينطبق</w:t>
            </w:r>
            <w:bookmarkEnd w:id="318"/>
          </w:p>
        </w:tc>
      </w:tr>
      <w:tr w:rsidR="00944A3C" w:rsidRPr="009D5894" w:rsidTr="00923147">
        <w:trPr>
          <w:cantSplit/>
          <w:jc w:val="center"/>
        </w:trPr>
        <w:tc>
          <w:tcPr>
            <w:tcW w:w="2697" w:type="dxa"/>
            <w:shd w:val="clear" w:color="auto" w:fill="auto"/>
          </w:tcPr>
          <w:p w:rsidR="00944A3C" w:rsidRPr="00923147" w:rsidRDefault="00944A3C" w:rsidP="002D7359">
            <w:pPr>
              <w:spacing w:before="40" w:after="60" w:line="320" w:lineRule="exact"/>
              <w:ind w:right="227"/>
              <w:textDirection w:val="tbRlV"/>
              <w:rPr>
                <w:sz w:val="18"/>
                <w:szCs w:val="28"/>
                <w:rtl/>
                <w:lang w:val="en-GB" w:eastAsia="zh-TW"/>
              </w:rPr>
            </w:pPr>
            <w:bookmarkStart w:id="319" w:name="bookmark_990"/>
            <w:r w:rsidRPr="00923147">
              <w:rPr>
                <w:sz w:val="18"/>
                <w:szCs w:val="28"/>
                <w:rtl/>
                <w:lang w:val="en-GB" w:eastAsia="zh-TW"/>
              </w:rPr>
              <w:t>الاتفاقية الأوروبية لحماية حقوق الإنسان والحريات الأساسية (1950)</w:t>
            </w:r>
            <w:bookmarkEnd w:id="319"/>
          </w:p>
        </w:tc>
        <w:tc>
          <w:tcPr>
            <w:tcW w:w="2097" w:type="dxa"/>
            <w:shd w:val="clear" w:color="auto" w:fill="auto"/>
          </w:tcPr>
          <w:p w:rsidR="00944A3C" w:rsidRPr="009D5894" w:rsidRDefault="00944A3C" w:rsidP="002D7359">
            <w:pPr>
              <w:spacing w:before="40" w:after="60" w:line="320" w:lineRule="exact"/>
              <w:ind w:left="57" w:right="227"/>
              <w:jc w:val="left"/>
              <w:textDirection w:val="tbRlV"/>
              <w:rPr>
                <w:sz w:val="18"/>
                <w:szCs w:val="28"/>
                <w:rtl/>
                <w:lang w:val="en-GB" w:eastAsia="zh-TW"/>
              </w:rPr>
            </w:pPr>
            <w:bookmarkStart w:id="320" w:name="bookmark_991"/>
            <w:r w:rsidRPr="009D5894">
              <w:rPr>
                <w:sz w:val="18"/>
                <w:szCs w:val="28"/>
                <w:rtl/>
                <w:lang w:val="en-GB" w:eastAsia="zh-TW"/>
              </w:rPr>
              <w:t>4 تشرين الثاني/</w:t>
            </w:r>
            <w:r w:rsidR="00C4375A">
              <w:rPr>
                <w:rFonts w:hint="cs"/>
                <w:sz w:val="18"/>
                <w:szCs w:val="28"/>
                <w:rtl/>
                <w:lang w:val="en-GB" w:eastAsia="zh-TW"/>
              </w:rPr>
              <w:t xml:space="preserve"> </w:t>
            </w:r>
            <w:r w:rsidR="00C4375A">
              <w:rPr>
                <w:sz w:val="18"/>
                <w:szCs w:val="28"/>
                <w:rtl/>
                <w:lang w:val="en-GB" w:eastAsia="zh-TW"/>
              </w:rPr>
              <w:br/>
            </w:r>
            <w:r w:rsidRPr="009D5894">
              <w:rPr>
                <w:sz w:val="18"/>
                <w:szCs w:val="28"/>
                <w:rtl/>
                <w:lang w:val="en-GB" w:eastAsia="zh-TW"/>
              </w:rPr>
              <w:t>نوفمبر 1950</w:t>
            </w:r>
            <w:bookmarkEnd w:id="320"/>
          </w:p>
        </w:tc>
        <w:tc>
          <w:tcPr>
            <w:tcW w:w="2702" w:type="dxa"/>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21" w:name="bookmark_992"/>
            <w:r w:rsidRPr="009D5894">
              <w:rPr>
                <w:sz w:val="18"/>
                <w:szCs w:val="28"/>
                <w:rtl/>
                <w:lang w:val="en-GB" w:eastAsia="zh-TW"/>
              </w:rPr>
              <w:t>3 أيار/مايو 1974</w:t>
            </w:r>
            <w:bookmarkEnd w:id="321"/>
          </w:p>
        </w:tc>
        <w:tc>
          <w:tcPr>
            <w:tcW w:w="2143" w:type="dxa"/>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22" w:name="bookmark_993"/>
            <w:r w:rsidRPr="009D5894">
              <w:rPr>
                <w:sz w:val="18"/>
                <w:szCs w:val="28"/>
                <w:rtl/>
                <w:lang w:val="en-GB" w:eastAsia="zh-TW"/>
              </w:rPr>
              <w:t>إعلان</w:t>
            </w:r>
            <w:r w:rsidRPr="009D5894">
              <w:rPr>
                <w:rFonts w:hint="cs"/>
                <w:sz w:val="18"/>
                <w:szCs w:val="28"/>
                <w:rtl/>
                <w:lang w:val="en-GB" w:eastAsia="zh-TW"/>
              </w:rPr>
              <w:t xml:space="preserve">: </w:t>
            </w:r>
            <w:r w:rsidRPr="009D5894">
              <w:rPr>
                <w:sz w:val="18"/>
                <w:szCs w:val="28"/>
                <w:rtl/>
                <w:lang w:val="en-GB" w:eastAsia="zh-TW"/>
              </w:rPr>
              <w:t>المادة 56</w:t>
            </w:r>
            <w:bookmarkEnd w:id="322"/>
          </w:p>
          <w:p w:rsidR="00944A3C" w:rsidRPr="009D5894" w:rsidRDefault="00944A3C" w:rsidP="002D7359">
            <w:pPr>
              <w:spacing w:before="40" w:after="60" w:line="320" w:lineRule="exact"/>
              <w:ind w:left="57" w:right="227"/>
              <w:textDirection w:val="tbRlV"/>
              <w:rPr>
                <w:sz w:val="18"/>
                <w:szCs w:val="28"/>
                <w:rtl/>
                <w:lang w:val="en-GB" w:eastAsia="zh-TW"/>
              </w:rPr>
            </w:pPr>
            <w:bookmarkStart w:id="323" w:name="bookmark_994"/>
            <w:r w:rsidRPr="009D5894">
              <w:rPr>
                <w:sz w:val="18"/>
                <w:szCs w:val="28"/>
                <w:rtl/>
                <w:lang w:val="en-GB" w:eastAsia="zh-TW"/>
              </w:rPr>
              <w:t>تحفظات</w:t>
            </w:r>
            <w:r w:rsidRPr="009D5894">
              <w:rPr>
                <w:rFonts w:hint="cs"/>
                <w:sz w:val="18"/>
                <w:szCs w:val="28"/>
                <w:rtl/>
                <w:lang w:val="en-GB" w:eastAsia="zh-TW"/>
              </w:rPr>
              <w:t xml:space="preserve">: </w:t>
            </w:r>
            <w:r w:rsidRPr="009D5894">
              <w:rPr>
                <w:sz w:val="18"/>
                <w:szCs w:val="28"/>
                <w:rtl/>
                <w:lang w:val="en-GB" w:eastAsia="zh-TW"/>
              </w:rPr>
              <w:t>المواد 5 و6 و15(1)</w:t>
            </w:r>
            <w:bookmarkEnd w:id="323"/>
          </w:p>
        </w:tc>
      </w:tr>
      <w:tr w:rsidR="00944A3C" w:rsidRPr="009D5894" w:rsidTr="00923147">
        <w:trPr>
          <w:cantSplit/>
          <w:jc w:val="center"/>
        </w:trPr>
        <w:tc>
          <w:tcPr>
            <w:tcW w:w="2697" w:type="dxa"/>
            <w:shd w:val="clear" w:color="auto" w:fill="auto"/>
          </w:tcPr>
          <w:p w:rsidR="00944A3C" w:rsidRPr="009D5894" w:rsidRDefault="00944A3C" w:rsidP="002D7359">
            <w:pPr>
              <w:spacing w:before="40" w:after="60" w:line="320" w:lineRule="exact"/>
              <w:ind w:right="227"/>
              <w:textDirection w:val="tbRlV"/>
              <w:rPr>
                <w:sz w:val="18"/>
                <w:szCs w:val="28"/>
                <w:rtl/>
                <w:lang w:val="en-GB" w:eastAsia="zh-TW"/>
              </w:rPr>
            </w:pPr>
            <w:bookmarkStart w:id="324" w:name="bookmark_995"/>
            <w:r w:rsidRPr="009D5894">
              <w:rPr>
                <w:sz w:val="18"/>
                <w:szCs w:val="28"/>
                <w:rtl/>
                <w:lang w:val="en-GB" w:eastAsia="zh-TW"/>
              </w:rPr>
              <w:lastRenderedPageBreak/>
              <w:t>البروتوكول رقم 6 الملحق باتفاقية حماية حقوق الإنسان والحريات الأساسية بشأن إلغاء عقوبة الإعدام (1983)</w:t>
            </w:r>
            <w:bookmarkEnd w:id="324"/>
          </w:p>
        </w:tc>
        <w:tc>
          <w:tcPr>
            <w:tcW w:w="2097" w:type="dxa"/>
            <w:shd w:val="clear" w:color="auto" w:fill="auto"/>
          </w:tcPr>
          <w:p w:rsidR="00944A3C" w:rsidRPr="000D1BA4" w:rsidRDefault="00944A3C" w:rsidP="002D7359">
            <w:pPr>
              <w:spacing w:before="40" w:after="60" w:line="320" w:lineRule="exact"/>
              <w:ind w:left="57" w:right="227"/>
              <w:jc w:val="left"/>
              <w:textDirection w:val="tbRlV"/>
              <w:rPr>
                <w:spacing w:val="-8"/>
                <w:sz w:val="18"/>
                <w:szCs w:val="28"/>
                <w:rtl/>
                <w:lang w:val="en-GB" w:eastAsia="zh-TW"/>
              </w:rPr>
            </w:pPr>
            <w:bookmarkStart w:id="325" w:name="bookmark_996"/>
            <w:r w:rsidRPr="000D1BA4">
              <w:rPr>
                <w:spacing w:val="-8"/>
                <w:sz w:val="18"/>
                <w:szCs w:val="28"/>
                <w:rtl/>
                <w:lang w:val="en-GB" w:eastAsia="zh-TW"/>
              </w:rPr>
              <w:t>28 نيسان/أبريل 1983</w:t>
            </w:r>
            <w:bookmarkEnd w:id="325"/>
          </w:p>
        </w:tc>
        <w:tc>
          <w:tcPr>
            <w:tcW w:w="2702" w:type="dxa"/>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26" w:name="bookmark_997"/>
            <w:r w:rsidRPr="009D5894">
              <w:rPr>
                <w:sz w:val="18"/>
                <w:szCs w:val="28"/>
                <w:rtl/>
                <w:lang w:val="en-GB" w:eastAsia="zh-TW"/>
              </w:rPr>
              <w:t>17 شباط/فبراير 1986</w:t>
            </w:r>
            <w:bookmarkEnd w:id="326"/>
          </w:p>
        </w:tc>
        <w:tc>
          <w:tcPr>
            <w:tcW w:w="2143" w:type="dxa"/>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27" w:name="bookmark_998"/>
            <w:r w:rsidRPr="009D5894">
              <w:rPr>
                <w:sz w:val="18"/>
                <w:szCs w:val="28"/>
                <w:rtl/>
                <w:lang w:val="en-GB" w:eastAsia="zh-TW"/>
              </w:rPr>
              <w:t>لا ينطبق</w:t>
            </w:r>
            <w:bookmarkEnd w:id="327"/>
          </w:p>
        </w:tc>
      </w:tr>
      <w:tr w:rsidR="00944A3C" w:rsidRPr="009D5894" w:rsidTr="00923147">
        <w:trPr>
          <w:cantSplit/>
          <w:jc w:val="center"/>
        </w:trPr>
        <w:tc>
          <w:tcPr>
            <w:tcW w:w="2697" w:type="dxa"/>
            <w:shd w:val="clear" w:color="auto" w:fill="auto"/>
          </w:tcPr>
          <w:p w:rsidR="00944A3C" w:rsidRPr="009D5894" w:rsidRDefault="00944A3C" w:rsidP="00923147">
            <w:pPr>
              <w:spacing w:before="40" w:after="60" w:line="320" w:lineRule="exact"/>
              <w:ind w:right="227"/>
              <w:textDirection w:val="tbRlV"/>
              <w:rPr>
                <w:sz w:val="18"/>
                <w:szCs w:val="28"/>
                <w:rtl/>
                <w:lang w:val="en-GB" w:eastAsia="zh-TW"/>
              </w:rPr>
            </w:pPr>
            <w:bookmarkStart w:id="328" w:name="bookmark_999"/>
            <w:r w:rsidRPr="009D5894">
              <w:rPr>
                <w:sz w:val="18"/>
                <w:szCs w:val="28"/>
                <w:rtl/>
                <w:lang w:val="en-GB" w:eastAsia="zh-TW"/>
              </w:rPr>
              <w:t>البروتوكول رقم 13 لاتفاقية حماية حقوق الإنسان والحريات الأساسية الخاص بإلغاء عقوبة الإعدام في جميع الظروف</w:t>
            </w:r>
            <w:bookmarkEnd w:id="328"/>
          </w:p>
        </w:tc>
        <w:tc>
          <w:tcPr>
            <w:tcW w:w="2097" w:type="dxa"/>
            <w:shd w:val="clear" w:color="auto" w:fill="auto"/>
          </w:tcPr>
          <w:p w:rsidR="00944A3C" w:rsidRPr="009D5894" w:rsidRDefault="00944A3C" w:rsidP="00923147">
            <w:pPr>
              <w:spacing w:before="40" w:after="60" w:line="320" w:lineRule="exact"/>
              <w:ind w:left="57" w:right="227"/>
              <w:textDirection w:val="tbRlV"/>
              <w:rPr>
                <w:sz w:val="18"/>
                <w:szCs w:val="28"/>
                <w:rtl/>
                <w:lang w:val="en-GB" w:eastAsia="zh-TW"/>
              </w:rPr>
            </w:pPr>
            <w:bookmarkStart w:id="329" w:name="bookmark_1000"/>
            <w:r w:rsidRPr="009D5894">
              <w:rPr>
                <w:sz w:val="18"/>
                <w:szCs w:val="28"/>
                <w:rtl/>
                <w:lang w:val="en-GB" w:eastAsia="zh-TW"/>
              </w:rPr>
              <w:t>3 أيار/مايو 2002</w:t>
            </w:r>
            <w:bookmarkEnd w:id="329"/>
          </w:p>
        </w:tc>
        <w:tc>
          <w:tcPr>
            <w:tcW w:w="2702" w:type="dxa"/>
            <w:shd w:val="clear" w:color="auto" w:fill="auto"/>
          </w:tcPr>
          <w:p w:rsidR="00944A3C" w:rsidRPr="00B903D6" w:rsidRDefault="00944A3C" w:rsidP="00923147">
            <w:pPr>
              <w:spacing w:before="40" w:after="60" w:line="320" w:lineRule="exact"/>
              <w:ind w:left="57" w:right="227"/>
              <w:textDirection w:val="tbRlV"/>
              <w:rPr>
                <w:spacing w:val="-6"/>
                <w:sz w:val="18"/>
                <w:szCs w:val="28"/>
                <w:rtl/>
                <w:lang w:val="en-GB" w:eastAsia="zh-TW"/>
              </w:rPr>
            </w:pPr>
            <w:bookmarkStart w:id="330" w:name="bookmark_1001"/>
            <w:r w:rsidRPr="00B903D6">
              <w:rPr>
                <w:spacing w:val="-6"/>
                <w:sz w:val="18"/>
                <w:szCs w:val="28"/>
                <w:rtl/>
                <w:lang w:val="en-GB" w:eastAsia="zh-TW"/>
              </w:rPr>
              <w:t>10 تشرين الأول/أكتوبر 2007</w:t>
            </w:r>
            <w:bookmarkEnd w:id="330"/>
          </w:p>
        </w:tc>
        <w:tc>
          <w:tcPr>
            <w:tcW w:w="2143" w:type="dxa"/>
            <w:shd w:val="clear" w:color="auto" w:fill="auto"/>
          </w:tcPr>
          <w:p w:rsidR="00944A3C" w:rsidRPr="009D5894" w:rsidRDefault="00944A3C" w:rsidP="00923147">
            <w:pPr>
              <w:spacing w:before="40" w:after="60" w:line="320" w:lineRule="exact"/>
              <w:ind w:left="57" w:right="227"/>
              <w:textDirection w:val="tbRlV"/>
              <w:rPr>
                <w:sz w:val="18"/>
                <w:szCs w:val="28"/>
                <w:rtl/>
                <w:lang w:val="en-GB" w:eastAsia="zh-TW"/>
              </w:rPr>
            </w:pPr>
            <w:bookmarkStart w:id="331" w:name="bookmark_1002"/>
            <w:r w:rsidRPr="009D5894">
              <w:rPr>
                <w:sz w:val="18"/>
                <w:szCs w:val="28"/>
                <w:rtl/>
                <w:lang w:val="en-GB" w:eastAsia="zh-TW"/>
              </w:rPr>
              <w:t>لا ينطبق</w:t>
            </w:r>
            <w:bookmarkEnd w:id="331"/>
          </w:p>
        </w:tc>
      </w:tr>
      <w:tr w:rsidR="00944A3C" w:rsidRPr="009D5894" w:rsidTr="00923147">
        <w:trPr>
          <w:cantSplit/>
          <w:jc w:val="center"/>
        </w:trPr>
        <w:tc>
          <w:tcPr>
            <w:tcW w:w="2697" w:type="dxa"/>
            <w:shd w:val="clear" w:color="auto" w:fill="auto"/>
          </w:tcPr>
          <w:p w:rsidR="00944A3C" w:rsidRPr="009D5894" w:rsidRDefault="00944A3C" w:rsidP="002D7359">
            <w:pPr>
              <w:spacing w:before="40" w:after="60" w:line="320" w:lineRule="exact"/>
              <w:ind w:right="227"/>
              <w:textDirection w:val="tbRlV"/>
              <w:rPr>
                <w:sz w:val="18"/>
                <w:szCs w:val="28"/>
                <w:rtl/>
                <w:lang w:val="en-GB" w:eastAsia="zh-TW"/>
              </w:rPr>
            </w:pPr>
            <w:bookmarkStart w:id="332" w:name="bookmark_1003"/>
            <w:r w:rsidRPr="009D5894">
              <w:rPr>
                <w:sz w:val="18"/>
                <w:szCs w:val="28"/>
                <w:rtl/>
                <w:lang w:val="en-GB" w:eastAsia="zh-TW"/>
              </w:rPr>
              <w:t>الميثاق الاجتماعي الأوروبي المنقح (1996) والبروتوكول الإضافي الذي ينص على نظام للشكاوى الجماعية (1988)</w:t>
            </w:r>
            <w:bookmarkEnd w:id="332"/>
          </w:p>
        </w:tc>
        <w:tc>
          <w:tcPr>
            <w:tcW w:w="2097" w:type="dxa"/>
            <w:shd w:val="clear" w:color="auto" w:fill="auto"/>
          </w:tcPr>
          <w:p w:rsidR="00944A3C" w:rsidRPr="000D1BA4" w:rsidRDefault="00944A3C" w:rsidP="002D7359">
            <w:pPr>
              <w:spacing w:before="40" w:after="60" w:line="320" w:lineRule="exact"/>
              <w:ind w:left="57" w:right="227"/>
              <w:textDirection w:val="tbRlV"/>
              <w:rPr>
                <w:spacing w:val="-14"/>
                <w:sz w:val="18"/>
                <w:szCs w:val="28"/>
                <w:rtl/>
                <w:lang w:val="en-GB" w:eastAsia="zh-TW"/>
              </w:rPr>
            </w:pPr>
            <w:bookmarkStart w:id="333" w:name="bookmark_1004"/>
            <w:r w:rsidRPr="000D1BA4">
              <w:rPr>
                <w:sz w:val="18"/>
                <w:szCs w:val="28"/>
                <w:rtl/>
                <w:lang w:val="en-GB" w:eastAsia="zh-TW"/>
              </w:rPr>
              <w:t>3 أيار/مايو 1996</w:t>
            </w:r>
            <w:r w:rsidRPr="000D1BA4">
              <w:rPr>
                <w:spacing w:val="-14"/>
                <w:sz w:val="18"/>
                <w:szCs w:val="28"/>
                <w:rtl/>
                <w:lang w:val="en-GB" w:eastAsia="zh-TW"/>
              </w:rPr>
              <w:t xml:space="preserve"> و22 حزيران/يونيه 1989</w:t>
            </w:r>
            <w:bookmarkEnd w:id="333"/>
          </w:p>
        </w:tc>
        <w:tc>
          <w:tcPr>
            <w:tcW w:w="2702" w:type="dxa"/>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34" w:name="bookmark_1005"/>
            <w:r w:rsidRPr="009D5894">
              <w:rPr>
                <w:sz w:val="18"/>
                <w:szCs w:val="28"/>
                <w:rtl/>
                <w:lang w:val="en-GB" w:eastAsia="zh-TW"/>
              </w:rPr>
              <w:t>7 أيار/مايو 1999</w:t>
            </w:r>
            <w:bookmarkEnd w:id="334"/>
          </w:p>
        </w:tc>
        <w:tc>
          <w:tcPr>
            <w:tcW w:w="2143" w:type="dxa"/>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35" w:name="bookmark_1006"/>
            <w:r w:rsidRPr="009D5894">
              <w:rPr>
                <w:sz w:val="18"/>
                <w:szCs w:val="28"/>
                <w:rtl/>
                <w:lang w:val="en-GB" w:eastAsia="zh-TW"/>
              </w:rPr>
              <w:t>لا ينطبق</w:t>
            </w:r>
            <w:bookmarkEnd w:id="335"/>
          </w:p>
        </w:tc>
      </w:tr>
      <w:tr w:rsidR="00944A3C" w:rsidRPr="009D5894" w:rsidTr="00923147">
        <w:trPr>
          <w:cantSplit/>
          <w:jc w:val="center"/>
        </w:trPr>
        <w:tc>
          <w:tcPr>
            <w:tcW w:w="2697" w:type="dxa"/>
            <w:shd w:val="clear" w:color="auto" w:fill="auto"/>
          </w:tcPr>
          <w:p w:rsidR="00944A3C" w:rsidRPr="009D5894" w:rsidRDefault="00944A3C" w:rsidP="002D7359">
            <w:pPr>
              <w:spacing w:before="40" w:after="60" w:line="320" w:lineRule="exact"/>
              <w:ind w:right="227"/>
              <w:textDirection w:val="tbRlV"/>
              <w:rPr>
                <w:sz w:val="18"/>
                <w:szCs w:val="28"/>
                <w:rtl/>
                <w:lang w:val="en-GB" w:eastAsia="zh-TW"/>
              </w:rPr>
            </w:pPr>
            <w:bookmarkStart w:id="336" w:name="bookmark_1007"/>
            <w:r w:rsidRPr="009D5894">
              <w:rPr>
                <w:sz w:val="18"/>
                <w:szCs w:val="28"/>
                <w:rtl/>
                <w:lang w:val="en-GB" w:eastAsia="zh-TW"/>
              </w:rPr>
              <w:t>ميثاق الحقوق الأساسية للاتحاد الأوروبي (2000)</w:t>
            </w:r>
            <w:bookmarkEnd w:id="336"/>
          </w:p>
        </w:tc>
        <w:tc>
          <w:tcPr>
            <w:tcW w:w="2097" w:type="dxa"/>
            <w:shd w:val="clear" w:color="auto" w:fill="auto"/>
          </w:tcPr>
          <w:p w:rsidR="00944A3C" w:rsidRPr="009D5894" w:rsidRDefault="00944A3C" w:rsidP="002D7359">
            <w:pPr>
              <w:spacing w:before="40" w:after="60" w:line="320" w:lineRule="exact"/>
              <w:ind w:left="57" w:right="227"/>
              <w:jc w:val="left"/>
              <w:textDirection w:val="tbRlV"/>
              <w:rPr>
                <w:sz w:val="18"/>
                <w:szCs w:val="28"/>
                <w:rtl/>
                <w:lang w:val="en-GB" w:eastAsia="zh-TW"/>
              </w:rPr>
            </w:pPr>
            <w:bookmarkStart w:id="337" w:name="bookmark_1008"/>
            <w:r w:rsidRPr="009D5894">
              <w:rPr>
                <w:sz w:val="18"/>
                <w:szCs w:val="28"/>
                <w:rtl/>
                <w:lang w:val="en-GB" w:eastAsia="zh-TW"/>
              </w:rPr>
              <w:t>7 كانون الأول/</w:t>
            </w:r>
            <w:r w:rsidR="00C4375A">
              <w:rPr>
                <w:rFonts w:hint="cs"/>
                <w:sz w:val="18"/>
                <w:szCs w:val="28"/>
                <w:rtl/>
                <w:lang w:val="en-GB" w:eastAsia="zh-TW"/>
              </w:rPr>
              <w:t xml:space="preserve"> </w:t>
            </w:r>
            <w:r w:rsidR="00C4375A">
              <w:rPr>
                <w:sz w:val="18"/>
                <w:szCs w:val="28"/>
                <w:rtl/>
                <w:lang w:val="en-GB" w:eastAsia="zh-TW"/>
              </w:rPr>
              <w:br/>
            </w:r>
            <w:r w:rsidRPr="009D5894">
              <w:rPr>
                <w:sz w:val="18"/>
                <w:szCs w:val="28"/>
                <w:rtl/>
                <w:lang w:val="en-GB" w:eastAsia="zh-TW"/>
              </w:rPr>
              <w:t>ديسمبر 2000</w:t>
            </w:r>
            <w:bookmarkEnd w:id="337"/>
          </w:p>
        </w:tc>
        <w:tc>
          <w:tcPr>
            <w:tcW w:w="2702" w:type="dxa"/>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r w:rsidRPr="009D5894">
              <w:rPr>
                <w:sz w:val="18"/>
                <w:szCs w:val="28"/>
                <w:rtl/>
                <w:lang w:val="en-GB" w:eastAsia="zh-TW"/>
              </w:rPr>
              <w:t>جرى التصديق عليه في 14 شباط/فبراير 2008 ودخل حيز النفاذ في 1 كانون الأول/ديسمبر 2009، على غرار معاهدة لشبونة</w:t>
            </w:r>
          </w:p>
        </w:tc>
        <w:tc>
          <w:tcPr>
            <w:tcW w:w="2143" w:type="dxa"/>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38" w:name="bookmark_1010"/>
            <w:r w:rsidRPr="009D5894">
              <w:rPr>
                <w:sz w:val="18"/>
                <w:szCs w:val="28"/>
                <w:rtl/>
                <w:lang w:val="en-GB" w:eastAsia="zh-TW"/>
              </w:rPr>
              <w:t>لا ينطبق</w:t>
            </w:r>
            <w:bookmarkEnd w:id="338"/>
          </w:p>
        </w:tc>
      </w:tr>
      <w:tr w:rsidR="00944A3C" w:rsidRPr="009D5894" w:rsidTr="00923147">
        <w:trPr>
          <w:cantSplit/>
          <w:jc w:val="center"/>
        </w:trPr>
        <w:tc>
          <w:tcPr>
            <w:tcW w:w="2697" w:type="dxa"/>
            <w:shd w:val="clear" w:color="auto" w:fill="auto"/>
          </w:tcPr>
          <w:p w:rsidR="00944A3C" w:rsidRPr="009D5894" w:rsidRDefault="00944A3C" w:rsidP="002D7359">
            <w:pPr>
              <w:spacing w:before="40" w:after="60" w:line="320" w:lineRule="exact"/>
              <w:ind w:right="227"/>
              <w:textDirection w:val="tbRlV"/>
              <w:rPr>
                <w:sz w:val="18"/>
                <w:szCs w:val="28"/>
                <w:rtl/>
                <w:lang w:val="en-GB" w:eastAsia="zh-TW"/>
              </w:rPr>
            </w:pPr>
            <w:bookmarkStart w:id="339" w:name="bookmark_1011"/>
            <w:r w:rsidRPr="009D5894">
              <w:rPr>
                <w:sz w:val="18"/>
                <w:szCs w:val="28"/>
                <w:rtl/>
                <w:lang w:val="en-GB" w:eastAsia="zh-TW"/>
              </w:rPr>
              <w:t>الاتفاقية الأوروبية لمنع التعذيب والمعاملة أو العقوبة اللاإنسانية أو المهينة (1987)</w:t>
            </w:r>
            <w:bookmarkEnd w:id="339"/>
          </w:p>
        </w:tc>
        <w:tc>
          <w:tcPr>
            <w:tcW w:w="2097" w:type="dxa"/>
            <w:shd w:val="clear" w:color="auto" w:fill="auto"/>
          </w:tcPr>
          <w:p w:rsidR="00944A3C" w:rsidRPr="009D5894" w:rsidRDefault="00944A3C" w:rsidP="002D7359">
            <w:pPr>
              <w:spacing w:before="40" w:after="60" w:line="320" w:lineRule="exact"/>
              <w:ind w:left="57" w:right="227"/>
              <w:jc w:val="left"/>
              <w:textDirection w:val="tbRlV"/>
              <w:rPr>
                <w:sz w:val="18"/>
                <w:szCs w:val="28"/>
                <w:rtl/>
                <w:lang w:val="en-GB" w:eastAsia="zh-TW"/>
              </w:rPr>
            </w:pPr>
            <w:bookmarkStart w:id="340" w:name="bookmark_1012"/>
            <w:r w:rsidRPr="009D5894">
              <w:rPr>
                <w:sz w:val="18"/>
                <w:szCs w:val="28"/>
                <w:rtl/>
                <w:lang w:val="en-GB" w:eastAsia="zh-TW"/>
              </w:rPr>
              <w:t>26 تشرين الثاني/</w:t>
            </w:r>
            <w:r w:rsidR="00C4375A">
              <w:rPr>
                <w:rFonts w:hint="cs"/>
                <w:sz w:val="18"/>
                <w:szCs w:val="28"/>
                <w:rtl/>
                <w:lang w:val="en-GB" w:eastAsia="zh-TW"/>
              </w:rPr>
              <w:t xml:space="preserve"> </w:t>
            </w:r>
            <w:r w:rsidR="00C4375A">
              <w:rPr>
                <w:sz w:val="18"/>
                <w:szCs w:val="28"/>
                <w:rtl/>
                <w:lang w:val="en-GB" w:eastAsia="zh-TW"/>
              </w:rPr>
              <w:br/>
            </w:r>
            <w:r w:rsidRPr="009D5894">
              <w:rPr>
                <w:sz w:val="18"/>
                <w:szCs w:val="28"/>
                <w:rtl/>
                <w:lang w:val="en-GB" w:eastAsia="zh-TW"/>
              </w:rPr>
              <w:t>نوفمبر 1987</w:t>
            </w:r>
            <w:bookmarkEnd w:id="340"/>
          </w:p>
        </w:tc>
        <w:tc>
          <w:tcPr>
            <w:tcW w:w="2702" w:type="dxa"/>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41" w:name="bookmark_1013"/>
            <w:r w:rsidRPr="009D5894">
              <w:rPr>
                <w:sz w:val="18"/>
                <w:szCs w:val="28"/>
                <w:rtl/>
                <w:lang w:val="en-GB" w:eastAsia="zh-TW"/>
              </w:rPr>
              <w:t>9 كانون الثاني/يناير 1989</w:t>
            </w:r>
            <w:bookmarkEnd w:id="341"/>
          </w:p>
        </w:tc>
        <w:tc>
          <w:tcPr>
            <w:tcW w:w="2143" w:type="dxa"/>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42" w:name="bookmark_1014"/>
            <w:r w:rsidRPr="009D5894">
              <w:rPr>
                <w:sz w:val="18"/>
                <w:szCs w:val="28"/>
                <w:rtl/>
                <w:lang w:val="en-GB" w:eastAsia="zh-TW"/>
              </w:rPr>
              <w:t>لا ينطبق</w:t>
            </w:r>
            <w:bookmarkEnd w:id="342"/>
          </w:p>
        </w:tc>
      </w:tr>
      <w:tr w:rsidR="00944A3C" w:rsidRPr="009D5894" w:rsidTr="00923147">
        <w:trPr>
          <w:cantSplit/>
          <w:jc w:val="center"/>
        </w:trPr>
        <w:tc>
          <w:tcPr>
            <w:tcW w:w="2697" w:type="dxa"/>
            <w:tcBorders>
              <w:bottom w:val="single" w:sz="4" w:space="0" w:color="auto"/>
            </w:tcBorders>
            <w:shd w:val="clear" w:color="auto" w:fill="auto"/>
          </w:tcPr>
          <w:p w:rsidR="00944A3C" w:rsidRPr="002D7359" w:rsidRDefault="00944A3C" w:rsidP="002D7359">
            <w:pPr>
              <w:spacing w:before="40" w:after="60" w:line="320" w:lineRule="exact"/>
              <w:ind w:right="227"/>
              <w:textDirection w:val="tbRlV"/>
              <w:rPr>
                <w:spacing w:val="-4"/>
                <w:sz w:val="18"/>
                <w:szCs w:val="28"/>
                <w:rtl/>
                <w:lang w:val="en-GB" w:eastAsia="zh-TW"/>
              </w:rPr>
            </w:pPr>
            <w:bookmarkStart w:id="343" w:name="bookmark_1015"/>
            <w:r w:rsidRPr="002D7359">
              <w:rPr>
                <w:spacing w:val="-4"/>
                <w:sz w:val="18"/>
                <w:szCs w:val="28"/>
                <w:rtl/>
                <w:lang w:val="en-GB" w:eastAsia="zh-TW"/>
              </w:rPr>
              <w:t>الاتفاقية الأوروبية المتعلقة بممارسة حقوق الطفل (1996)</w:t>
            </w:r>
            <w:bookmarkEnd w:id="343"/>
          </w:p>
        </w:tc>
        <w:tc>
          <w:tcPr>
            <w:tcW w:w="2097" w:type="dxa"/>
            <w:tcBorders>
              <w:bottom w:val="single" w:sz="4" w:space="0" w:color="auto"/>
            </w:tcBorders>
            <w:shd w:val="clear" w:color="auto" w:fill="auto"/>
          </w:tcPr>
          <w:p w:rsidR="00944A3C" w:rsidRPr="000D1BA4" w:rsidRDefault="00944A3C" w:rsidP="002D7359">
            <w:pPr>
              <w:spacing w:before="40" w:after="60" w:line="320" w:lineRule="exact"/>
              <w:ind w:left="57" w:right="227"/>
              <w:jc w:val="left"/>
              <w:textDirection w:val="tbRlV"/>
              <w:rPr>
                <w:spacing w:val="-2"/>
                <w:sz w:val="18"/>
                <w:szCs w:val="28"/>
                <w:rtl/>
                <w:lang w:val="en-GB" w:eastAsia="zh-TW"/>
              </w:rPr>
            </w:pPr>
            <w:bookmarkStart w:id="344" w:name="bookmark_1016"/>
            <w:r w:rsidRPr="000D1BA4">
              <w:rPr>
                <w:spacing w:val="-2"/>
                <w:sz w:val="18"/>
                <w:szCs w:val="28"/>
                <w:rtl/>
                <w:lang w:val="en-GB" w:eastAsia="zh-TW"/>
              </w:rPr>
              <w:t>6 حزيران/يونيه 1996</w:t>
            </w:r>
            <w:bookmarkEnd w:id="344"/>
          </w:p>
        </w:tc>
        <w:tc>
          <w:tcPr>
            <w:tcW w:w="2702" w:type="dxa"/>
            <w:tcBorders>
              <w:bottom w:val="single" w:sz="4" w:space="0" w:color="auto"/>
            </w:tcBorders>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45" w:name="bookmark_1017"/>
            <w:r w:rsidRPr="009D5894">
              <w:rPr>
                <w:sz w:val="18"/>
                <w:szCs w:val="28"/>
                <w:rtl/>
                <w:lang w:val="en-GB" w:eastAsia="zh-TW"/>
              </w:rPr>
              <w:t>19 أيلول/سبتمبر 2007</w:t>
            </w:r>
            <w:bookmarkEnd w:id="345"/>
          </w:p>
        </w:tc>
        <w:tc>
          <w:tcPr>
            <w:tcW w:w="2143" w:type="dxa"/>
            <w:tcBorders>
              <w:bottom w:val="single" w:sz="4" w:space="0" w:color="auto"/>
            </w:tcBorders>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46" w:name="bookmark_1018"/>
            <w:r w:rsidRPr="009D5894">
              <w:rPr>
                <w:sz w:val="18"/>
                <w:szCs w:val="28"/>
                <w:rtl/>
                <w:lang w:val="en-GB" w:eastAsia="zh-TW"/>
              </w:rPr>
              <w:t>إعلان</w:t>
            </w:r>
            <w:r w:rsidRPr="009D5894">
              <w:rPr>
                <w:rFonts w:hint="cs"/>
                <w:sz w:val="18"/>
                <w:szCs w:val="28"/>
                <w:rtl/>
                <w:lang w:val="en-GB" w:eastAsia="zh-TW"/>
              </w:rPr>
              <w:t xml:space="preserve">: </w:t>
            </w:r>
            <w:r w:rsidRPr="009D5894">
              <w:rPr>
                <w:sz w:val="18"/>
                <w:szCs w:val="28"/>
                <w:rtl/>
                <w:lang w:val="en-GB" w:eastAsia="zh-TW"/>
              </w:rPr>
              <w:t>المادة 1(4). إعلان تفسيري</w:t>
            </w:r>
            <w:r w:rsidRPr="009D5894">
              <w:rPr>
                <w:rFonts w:hint="cs"/>
                <w:sz w:val="18"/>
                <w:szCs w:val="28"/>
                <w:rtl/>
                <w:lang w:val="en-GB" w:eastAsia="zh-TW"/>
              </w:rPr>
              <w:t xml:space="preserve">: </w:t>
            </w:r>
            <w:r w:rsidRPr="009D5894">
              <w:rPr>
                <w:sz w:val="18"/>
                <w:szCs w:val="28"/>
                <w:rtl/>
                <w:lang w:val="en-GB" w:eastAsia="zh-TW"/>
              </w:rPr>
              <w:t>المادة 2(ب)</w:t>
            </w:r>
            <w:bookmarkEnd w:id="346"/>
          </w:p>
        </w:tc>
      </w:tr>
      <w:tr w:rsidR="00944A3C" w:rsidRPr="009D5894" w:rsidTr="00923147">
        <w:trPr>
          <w:cantSplit/>
          <w:jc w:val="center"/>
        </w:trPr>
        <w:tc>
          <w:tcPr>
            <w:tcW w:w="2697" w:type="dxa"/>
            <w:tcBorders>
              <w:bottom w:val="single" w:sz="12" w:space="0" w:color="auto"/>
            </w:tcBorders>
            <w:shd w:val="clear" w:color="auto" w:fill="auto"/>
          </w:tcPr>
          <w:p w:rsidR="00944A3C" w:rsidRPr="002D7359" w:rsidRDefault="00944A3C" w:rsidP="002D7359">
            <w:pPr>
              <w:spacing w:before="40" w:after="60" w:line="320" w:lineRule="exact"/>
              <w:ind w:right="227"/>
              <w:textDirection w:val="tbRlV"/>
              <w:rPr>
                <w:spacing w:val="-4"/>
                <w:sz w:val="18"/>
                <w:szCs w:val="28"/>
                <w:rtl/>
                <w:lang w:val="en-GB" w:eastAsia="zh-TW"/>
              </w:rPr>
            </w:pPr>
            <w:bookmarkStart w:id="347" w:name="bookmark_1019"/>
            <w:r w:rsidRPr="002D7359">
              <w:rPr>
                <w:spacing w:val="-4"/>
                <w:sz w:val="18"/>
                <w:szCs w:val="28"/>
                <w:rtl/>
                <w:lang w:val="en-GB" w:eastAsia="zh-TW"/>
              </w:rPr>
              <w:t>اتفاقية مجلس أوروبا بشأن مكافحة الاتجار بالبشر (2005)</w:t>
            </w:r>
            <w:bookmarkEnd w:id="347"/>
          </w:p>
        </w:tc>
        <w:tc>
          <w:tcPr>
            <w:tcW w:w="2097" w:type="dxa"/>
            <w:tcBorders>
              <w:bottom w:val="single" w:sz="12" w:space="0" w:color="auto"/>
            </w:tcBorders>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48" w:name="bookmark_1020"/>
            <w:r w:rsidRPr="009D5894">
              <w:rPr>
                <w:sz w:val="18"/>
                <w:szCs w:val="28"/>
                <w:rtl/>
                <w:lang w:val="en-GB" w:eastAsia="zh-TW"/>
              </w:rPr>
              <w:t>22 أيار/مايو 2006</w:t>
            </w:r>
            <w:bookmarkEnd w:id="348"/>
          </w:p>
        </w:tc>
        <w:tc>
          <w:tcPr>
            <w:tcW w:w="2702" w:type="dxa"/>
            <w:tcBorders>
              <w:bottom w:val="single" w:sz="12" w:space="0" w:color="auto"/>
            </w:tcBorders>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49" w:name="bookmark_1021"/>
            <w:r w:rsidRPr="009D5894">
              <w:rPr>
                <w:sz w:val="18"/>
                <w:szCs w:val="28"/>
                <w:rtl/>
                <w:lang w:val="en-GB" w:eastAsia="zh-TW"/>
              </w:rPr>
              <w:t>9 كانون الثاني/يناير 2008</w:t>
            </w:r>
            <w:bookmarkEnd w:id="349"/>
          </w:p>
        </w:tc>
        <w:tc>
          <w:tcPr>
            <w:tcW w:w="2143" w:type="dxa"/>
            <w:tcBorders>
              <w:bottom w:val="single" w:sz="12" w:space="0" w:color="auto"/>
            </w:tcBorders>
            <w:shd w:val="clear" w:color="auto" w:fill="auto"/>
          </w:tcPr>
          <w:p w:rsidR="00944A3C" w:rsidRPr="009D5894" w:rsidRDefault="00944A3C" w:rsidP="002D7359">
            <w:pPr>
              <w:spacing w:before="40" w:after="60" w:line="320" w:lineRule="exact"/>
              <w:ind w:left="57" w:right="227"/>
              <w:textDirection w:val="tbRlV"/>
              <w:rPr>
                <w:sz w:val="18"/>
                <w:szCs w:val="28"/>
                <w:rtl/>
                <w:lang w:val="en-GB" w:eastAsia="zh-TW"/>
              </w:rPr>
            </w:pPr>
            <w:bookmarkStart w:id="350" w:name="bookmark_1022"/>
            <w:r w:rsidRPr="009D5894">
              <w:rPr>
                <w:sz w:val="18"/>
                <w:szCs w:val="28"/>
                <w:rtl/>
                <w:lang w:val="en-GB" w:eastAsia="zh-TW"/>
              </w:rPr>
              <w:t>تحفظات</w:t>
            </w:r>
            <w:r w:rsidRPr="009D5894">
              <w:rPr>
                <w:rFonts w:hint="cs"/>
                <w:sz w:val="18"/>
                <w:szCs w:val="28"/>
                <w:rtl/>
                <w:lang w:val="en-GB" w:eastAsia="zh-TW"/>
              </w:rPr>
              <w:t xml:space="preserve">: </w:t>
            </w:r>
            <w:r w:rsidRPr="009D5894">
              <w:rPr>
                <w:sz w:val="18"/>
                <w:szCs w:val="28"/>
                <w:rtl/>
                <w:lang w:val="en-GB" w:eastAsia="zh-TW"/>
              </w:rPr>
              <w:t>الفقرت</w:t>
            </w:r>
            <w:r w:rsidRPr="009D5894">
              <w:rPr>
                <w:rFonts w:hint="cs"/>
                <w:sz w:val="18"/>
                <w:szCs w:val="28"/>
                <w:rtl/>
                <w:lang w:val="en-GB" w:eastAsia="zh-TW"/>
              </w:rPr>
              <w:t>ا</w:t>
            </w:r>
            <w:r w:rsidRPr="009D5894">
              <w:rPr>
                <w:sz w:val="18"/>
                <w:szCs w:val="28"/>
                <w:rtl/>
                <w:lang w:val="en-GB" w:eastAsia="zh-TW"/>
              </w:rPr>
              <w:t>ن الفرعيت</w:t>
            </w:r>
            <w:r w:rsidRPr="009D5894">
              <w:rPr>
                <w:rFonts w:hint="cs"/>
                <w:sz w:val="18"/>
                <w:szCs w:val="28"/>
                <w:rtl/>
                <w:lang w:val="en-GB" w:eastAsia="zh-TW"/>
              </w:rPr>
              <w:t>ا</w:t>
            </w:r>
            <w:r w:rsidRPr="009D5894">
              <w:rPr>
                <w:sz w:val="18"/>
                <w:szCs w:val="28"/>
                <w:rtl/>
                <w:lang w:val="en-GB" w:eastAsia="zh-TW"/>
              </w:rPr>
              <w:t xml:space="preserve">ن (د) و(ه) </w:t>
            </w:r>
            <w:r w:rsidRPr="00101884">
              <w:rPr>
                <w:spacing w:val="-5"/>
                <w:sz w:val="18"/>
                <w:szCs w:val="28"/>
                <w:rtl/>
                <w:lang w:val="en-GB" w:eastAsia="zh-TW"/>
              </w:rPr>
              <w:t>من الفقرة 1 من المادة 31</w:t>
            </w:r>
            <w:bookmarkEnd w:id="350"/>
          </w:p>
        </w:tc>
      </w:tr>
    </w:tbl>
    <w:p w:rsidR="00944A3C" w:rsidRPr="00A10A96" w:rsidRDefault="00944A3C" w:rsidP="002D7359">
      <w:pPr>
        <w:pStyle w:val="HChGA"/>
        <w:rPr>
          <w:rtl/>
        </w:rPr>
      </w:pPr>
      <w:r w:rsidRPr="00A10A96">
        <w:rPr>
          <w:rtl/>
        </w:rPr>
        <w:tab/>
      </w:r>
      <w:bookmarkStart w:id="351" w:name="_Toc508623284"/>
      <w:r w:rsidRPr="00A10A96">
        <w:rPr>
          <w:rFonts w:hint="cs"/>
          <w:rtl/>
        </w:rPr>
        <w:t>رابعاً</w:t>
      </w:r>
      <w:r w:rsidRPr="00A10A96">
        <w:rPr>
          <w:rtl/>
        </w:rPr>
        <w:t>-</w:t>
      </w:r>
      <w:r w:rsidRPr="00A10A96">
        <w:rPr>
          <w:rtl/>
        </w:rPr>
        <w:tab/>
        <w:t>الإطار القانوني لحماية حقوق الإنسان على الصعيد الوطني</w:t>
      </w:r>
      <w:bookmarkEnd w:id="351"/>
    </w:p>
    <w:p w:rsidR="00944A3C" w:rsidRPr="00A10A96" w:rsidRDefault="00944A3C" w:rsidP="00C4375A">
      <w:pPr>
        <w:pStyle w:val="H1GA"/>
        <w:rPr>
          <w:rtl/>
        </w:rPr>
      </w:pPr>
      <w:r w:rsidRPr="00A10A96">
        <w:rPr>
          <w:rtl/>
        </w:rPr>
        <w:tab/>
      </w:r>
      <w:bookmarkStart w:id="352" w:name="_Toc508623285"/>
      <w:r w:rsidRPr="00A10A96">
        <w:rPr>
          <w:rtl/>
        </w:rPr>
        <w:t>ألف-</w:t>
      </w:r>
      <w:r w:rsidRPr="00A10A96">
        <w:rPr>
          <w:rtl/>
        </w:rPr>
        <w:tab/>
        <w:t xml:space="preserve">حماية القانون المحلي </w:t>
      </w:r>
      <w:r w:rsidRPr="00A10A96">
        <w:rPr>
          <w:rFonts w:hint="cs"/>
          <w:rtl/>
        </w:rPr>
        <w:t>ل</w:t>
      </w:r>
      <w:r w:rsidRPr="00A10A96">
        <w:rPr>
          <w:rtl/>
        </w:rPr>
        <w:t xml:space="preserve">لحقوق المنصوص عليها في </w:t>
      </w:r>
      <w:r w:rsidRPr="00A10A96">
        <w:rPr>
          <w:rFonts w:hint="cs"/>
          <w:rtl/>
        </w:rPr>
        <w:t xml:space="preserve">الصكوك </w:t>
      </w:r>
      <w:r w:rsidRPr="00A10A96">
        <w:rPr>
          <w:rtl/>
        </w:rPr>
        <w:t>الدولية</w:t>
      </w:r>
      <w:bookmarkEnd w:id="352"/>
      <w:r w:rsidRPr="00A10A96">
        <w:rPr>
          <w:rtl/>
        </w:rPr>
        <w:t xml:space="preserve"> </w:t>
      </w:r>
    </w:p>
    <w:p w:rsidR="00944A3C" w:rsidRPr="00A10A96" w:rsidRDefault="00944A3C" w:rsidP="007F1D0A">
      <w:pPr>
        <w:pStyle w:val="H23GA"/>
        <w:rPr>
          <w:rtl/>
        </w:rPr>
      </w:pPr>
      <w:r w:rsidRPr="00A10A96">
        <w:rPr>
          <w:rtl/>
        </w:rPr>
        <w:tab/>
        <w:t>1-</w:t>
      </w:r>
      <w:r w:rsidRPr="00A10A96">
        <w:rPr>
          <w:rtl/>
        </w:rPr>
        <w:tab/>
        <w:t>الحقوق المكفولة</w:t>
      </w:r>
    </w:p>
    <w:p w:rsidR="00944A3C" w:rsidRPr="00A10A96" w:rsidRDefault="00944A3C" w:rsidP="007F1D0A">
      <w:pPr>
        <w:pStyle w:val="H23GA"/>
        <w:rPr>
          <w:rtl/>
          <w:lang w:val="es-ES" w:eastAsia="es-ES"/>
        </w:rPr>
      </w:pPr>
      <w:r w:rsidRPr="00A10A96">
        <w:rPr>
          <w:rtl/>
        </w:rPr>
        <w:tab/>
      </w:r>
      <w:r w:rsidRPr="00A10A96">
        <w:rPr>
          <w:rFonts w:hint="cs"/>
          <w:rtl/>
        </w:rPr>
        <w:t>(أ)</w:t>
      </w:r>
      <w:r w:rsidRPr="00A10A96">
        <w:rPr>
          <w:rtl/>
        </w:rPr>
        <w:tab/>
        <w:t xml:space="preserve">الحقوق المكفولة بموجب </w:t>
      </w:r>
      <w:r w:rsidRPr="00A10A96">
        <w:rPr>
          <w:rFonts w:hint="cs"/>
          <w:rtl/>
        </w:rPr>
        <w:t xml:space="preserve">مجموعة القوانين </w:t>
      </w:r>
      <w:r w:rsidRPr="00A10A96">
        <w:rPr>
          <w:rtl/>
        </w:rPr>
        <w:t>الدستوري</w:t>
      </w:r>
      <w:r w:rsidRPr="00A10A96">
        <w:rPr>
          <w:rFonts w:hint="cs"/>
          <w:rtl/>
        </w:rPr>
        <w:t>ة</w:t>
      </w:r>
    </w:p>
    <w:p w:rsidR="00944A3C" w:rsidRPr="00A10A96" w:rsidRDefault="00944A3C" w:rsidP="00D60E9C">
      <w:pPr>
        <w:pStyle w:val="SingleTxtGA"/>
        <w:rPr>
          <w:rtl/>
        </w:rPr>
      </w:pPr>
      <w:r w:rsidRPr="00A10A96">
        <w:rPr>
          <w:rFonts w:hint="cs"/>
          <w:rtl/>
        </w:rPr>
        <w:t>228-</w:t>
      </w:r>
      <w:r w:rsidRPr="00A10A96">
        <w:rPr>
          <w:rFonts w:hint="cs"/>
          <w:rtl/>
        </w:rPr>
        <w:tab/>
      </w:r>
      <w:r w:rsidRPr="00A10A96">
        <w:rPr>
          <w:rtl/>
        </w:rPr>
        <w:t>تعيد ديباجة الدستور المؤرخ 4 تشرين الأول/أكتوبر 1958 تأكيد التزام الشعب الفرنسي بإعلان حقوق الإنسان والمواطن لعام 1789، الذي تؤكده وتكمله ديباجة دستور عام</w:t>
      </w:r>
      <w:r w:rsidR="00685476">
        <w:rPr>
          <w:rFonts w:hint="cs"/>
          <w:rtl/>
        </w:rPr>
        <w:t> </w:t>
      </w:r>
      <w:r w:rsidRPr="00A10A96">
        <w:rPr>
          <w:rtl/>
        </w:rPr>
        <w:t>1946</w:t>
      </w:r>
      <w:r w:rsidRPr="00A10A96">
        <w:rPr>
          <w:rFonts w:hint="cs"/>
          <w:rtl/>
        </w:rPr>
        <w:t xml:space="preserve">. ولهذه </w:t>
      </w:r>
      <w:r w:rsidRPr="00A10A96">
        <w:rPr>
          <w:rtl/>
        </w:rPr>
        <w:t xml:space="preserve">النصوص </w:t>
      </w:r>
      <w:r w:rsidRPr="00A10A96">
        <w:rPr>
          <w:rFonts w:hint="cs"/>
          <w:rtl/>
        </w:rPr>
        <w:t xml:space="preserve">كلها </w:t>
      </w:r>
      <w:r w:rsidRPr="00A10A96">
        <w:rPr>
          <w:rtl/>
        </w:rPr>
        <w:t>قيمة دستورية</w:t>
      </w:r>
      <w:r w:rsidRPr="00A10A96">
        <w:rPr>
          <w:rFonts w:hint="cs"/>
          <w:rtl/>
        </w:rPr>
        <w:t xml:space="preserve">. </w:t>
      </w:r>
      <w:r w:rsidRPr="00A10A96">
        <w:rPr>
          <w:rtl/>
        </w:rPr>
        <w:t>ويعترف الدستور أيض</w:t>
      </w:r>
      <w:r w:rsidR="00B27C28">
        <w:rPr>
          <w:rtl/>
        </w:rPr>
        <w:t xml:space="preserve">اً </w:t>
      </w:r>
      <w:r w:rsidRPr="00A10A96">
        <w:rPr>
          <w:rtl/>
        </w:rPr>
        <w:t xml:space="preserve">بالمساواة بين المواطنين أمام القانون دون تمييز على أساس الأصل أو العرق أو الدين، وكذلك بحرية المعتقد (المادة 1)، </w:t>
      </w:r>
      <w:r w:rsidRPr="00A10A96">
        <w:rPr>
          <w:rtl/>
        </w:rPr>
        <w:lastRenderedPageBreak/>
        <w:t>وحرية التجمع لغرض سياسي (المادة 4) والسلامة أو الحرية الشخصية (المادة 66)، وحظر عقوبة الإعدام (المادة 66</w:t>
      </w:r>
      <w:r w:rsidRPr="00A10A96">
        <w:rPr>
          <w:rFonts w:hint="cs"/>
          <w:rtl/>
        </w:rPr>
        <w:t>-1</w:t>
      </w:r>
      <w:r w:rsidRPr="00A10A96">
        <w:rPr>
          <w:rtl/>
        </w:rPr>
        <w:t>)</w:t>
      </w:r>
      <w:r w:rsidRPr="00A10A96">
        <w:rPr>
          <w:rFonts w:hint="cs"/>
          <w:rtl/>
        </w:rPr>
        <w:t>.</w:t>
      </w:r>
    </w:p>
    <w:p w:rsidR="00944A3C" w:rsidRPr="00A10A96" w:rsidRDefault="00944A3C" w:rsidP="00D60E9C">
      <w:pPr>
        <w:pStyle w:val="SingleTxtGA"/>
        <w:rPr>
          <w:rtl/>
        </w:rPr>
      </w:pPr>
      <w:r w:rsidRPr="00A10A96">
        <w:rPr>
          <w:rFonts w:hint="cs"/>
          <w:rtl/>
        </w:rPr>
        <w:t>229-</w:t>
      </w:r>
      <w:r w:rsidRPr="00A10A96">
        <w:rPr>
          <w:rFonts w:hint="cs"/>
          <w:rtl/>
        </w:rPr>
        <w:tab/>
      </w:r>
      <w:r w:rsidRPr="00A10A96">
        <w:rPr>
          <w:rtl/>
        </w:rPr>
        <w:t>وأكد المجلس الدستوري أيض</w:t>
      </w:r>
      <w:r w:rsidR="0031739C">
        <w:rPr>
          <w:rtl/>
        </w:rPr>
        <w:t>اً،</w:t>
      </w:r>
      <w:r w:rsidRPr="00A10A96">
        <w:rPr>
          <w:rtl/>
        </w:rPr>
        <w:t xml:space="preserve"> من خلال اجتهاداته، القيمة الدستورية للحقوق والحريات الأساسية</w:t>
      </w:r>
      <w:r w:rsidRPr="00A10A96">
        <w:rPr>
          <w:rFonts w:hint="cs"/>
          <w:rtl/>
        </w:rPr>
        <w:t>:</w:t>
      </w:r>
    </w:p>
    <w:p w:rsidR="00944A3C" w:rsidRPr="00A10A96" w:rsidRDefault="00944A3C" w:rsidP="00D60E9C">
      <w:pPr>
        <w:pStyle w:val="Bullet1GA"/>
        <w:bidi/>
      </w:pPr>
      <w:r w:rsidRPr="00A10A96">
        <w:rPr>
          <w:rtl/>
        </w:rPr>
        <w:t>الكرامة الإنسانية</w:t>
      </w:r>
      <w:r w:rsidRPr="00A10A96">
        <w:rPr>
          <w:rFonts w:hint="cs"/>
          <w:rtl/>
        </w:rPr>
        <w:t>؛</w:t>
      </w:r>
    </w:p>
    <w:p w:rsidR="00944A3C" w:rsidRPr="00A10A96" w:rsidRDefault="00944A3C" w:rsidP="00D60E9C">
      <w:pPr>
        <w:pStyle w:val="Bullet1GA"/>
        <w:bidi/>
      </w:pPr>
      <w:r w:rsidRPr="00A10A96">
        <w:rPr>
          <w:rtl/>
        </w:rPr>
        <w:t>مختلف عناصر الحرية: الحرية الفردية، وحرية التنقل، والحق في حرمة الحياة الخاصة، وحرية التعبير، وحرية الاتصال، وحرية تكوين الجمعيات، والحرية النقابية، والحق في الإضراب، وحرية التعليم والبحث، وحق الملكية</w:t>
      </w:r>
      <w:r w:rsidRPr="00A10A96">
        <w:rPr>
          <w:rFonts w:hint="cs"/>
          <w:rtl/>
        </w:rPr>
        <w:t>؛</w:t>
      </w:r>
    </w:p>
    <w:p w:rsidR="00944A3C" w:rsidRPr="00D60E9C" w:rsidRDefault="00944A3C" w:rsidP="00D60E9C">
      <w:pPr>
        <w:pStyle w:val="Bullet1GA"/>
        <w:bidi/>
        <w:rPr>
          <w:spacing w:val="-2"/>
        </w:rPr>
      </w:pPr>
      <w:r w:rsidRPr="00D60E9C">
        <w:rPr>
          <w:spacing w:val="-2"/>
          <w:rtl/>
        </w:rPr>
        <w:t>مختلف عناصر المساواة: المساواة أمام القانون الضريبي، والمساواة بين الرجل والمرأة</w:t>
      </w:r>
      <w:r w:rsidRPr="00D60E9C">
        <w:rPr>
          <w:rFonts w:hint="cs"/>
          <w:spacing w:val="-2"/>
          <w:rtl/>
        </w:rPr>
        <w:t>؛</w:t>
      </w:r>
    </w:p>
    <w:p w:rsidR="00944A3C" w:rsidRPr="00D60E9C" w:rsidRDefault="00944A3C" w:rsidP="00D60E9C">
      <w:pPr>
        <w:pStyle w:val="Bullet1GA"/>
        <w:bidi/>
        <w:rPr>
          <w:spacing w:val="-2"/>
        </w:rPr>
      </w:pPr>
      <w:r w:rsidRPr="00D60E9C">
        <w:rPr>
          <w:spacing w:val="-2"/>
          <w:rtl/>
        </w:rPr>
        <w:t>الحقوق الاجتماعية: الحق في العمل، والحق في الصحة، والحق في السكن اللائق</w:t>
      </w:r>
      <w:r w:rsidRPr="00D60E9C">
        <w:rPr>
          <w:rFonts w:hint="cs"/>
          <w:spacing w:val="-2"/>
          <w:rtl/>
        </w:rPr>
        <w:t>؛</w:t>
      </w:r>
    </w:p>
    <w:p w:rsidR="00944A3C" w:rsidRPr="00A10A96" w:rsidRDefault="00944A3C" w:rsidP="00D60E9C">
      <w:pPr>
        <w:pStyle w:val="Bullet1GA"/>
        <w:bidi/>
      </w:pPr>
      <w:r w:rsidRPr="00A10A96">
        <w:rPr>
          <w:rtl/>
        </w:rPr>
        <w:t>حقوق الأجانب، وحق اللجوء</w:t>
      </w:r>
      <w:r w:rsidRPr="00A10A96">
        <w:rPr>
          <w:rFonts w:hint="cs"/>
          <w:rtl/>
        </w:rPr>
        <w:t>؛</w:t>
      </w:r>
    </w:p>
    <w:p w:rsidR="00944A3C" w:rsidRPr="00A10A96" w:rsidRDefault="00944A3C" w:rsidP="00B27C28">
      <w:pPr>
        <w:pStyle w:val="Bullet1GA"/>
        <w:bidi/>
        <w:rPr>
          <w:rtl/>
        </w:rPr>
      </w:pPr>
      <w:r w:rsidRPr="00A10A96">
        <w:rPr>
          <w:rtl/>
        </w:rPr>
        <w:t>ضمانات حقوق المتقاضين: استقلال القضاء، ومبدأ لا جريمة ولا عقوبة إلا</w:t>
      </w:r>
      <w:r w:rsidR="00B27C28">
        <w:rPr>
          <w:rFonts w:hint="cs"/>
          <w:rtl/>
        </w:rPr>
        <w:t> </w:t>
      </w:r>
      <w:r w:rsidRPr="00A10A96">
        <w:rPr>
          <w:rtl/>
        </w:rPr>
        <w:t>بنص، وعدم تطبيق قانون العقوبات بأثر رجعي على نحو أكثر صرامة، والحق في الدفاع، وقرينة البراءة، وضرورة تناسب العقوبات، وتفريد العقوبات</w:t>
      </w:r>
      <w:r w:rsidRPr="00A10A96">
        <w:rPr>
          <w:rFonts w:hint="cs"/>
          <w:rtl/>
        </w:rPr>
        <w:t>.</w:t>
      </w:r>
    </w:p>
    <w:p w:rsidR="00944A3C" w:rsidRPr="00A10A96" w:rsidRDefault="00944A3C" w:rsidP="005714DA">
      <w:pPr>
        <w:pStyle w:val="H23GA"/>
        <w:rPr>
          <w:rtl/>
          <w:lang w:val="es-ES" w:eastAsia="es-ES"/>
        </w:rPr>
      </w:pPr>
      <w:r w:rsidRPr="00A10A96">
        <w:rPr>
          <w:rtl/>
        </w:rPr>
        <w:tab/>
      </w:r>
      <w:r w:rsidRPr="00A10A96">
        <w:rPr>
          <w:rFonts w:hint="cs"/>
          <w:rtl/>
        </w:rPr>
        <w:t>(</w:t>
      </w:r>
      <w:r w:rsidR="005714DA">
        <w:rPr>
          <w:rFonts w:hint="cs"/>
          <w:rtl/>
        </w:rPr>
        <w:t>ب</w:t>
      </w:r>
      <w:r w:rsidRPr="00A10A96">
        <w:rPr>
          <w:rFonts w:hint="cs"/>
          <w:rtl/>
        </w:rPr>
        <w:t>)</w:t>
      </w:r>
      <w:r w:rsidRPr="00A10A96">
        <w:rPr>
          <w:rtl/>
        </w:rPr>
        <w:tab/>
        <w:t xml:space="preserve">الحقوق المكفولة بموجب </w:t>
      </w:r>
      <w:r w:rsidRPr="00A10A96">
        <w:rPr>
          <w:rFonts w:hint="cs"/>
          <w:rtl/>
        </w:rPr>
        <w:t>القانون</w:t>
      </w:r>
    </w:p>
    <w:p w:rsidR="00944A3C" w:rsidRPr="00A10A96" w:rsidRDefault="00944A3C" w:rsidP="00D60E9C">
      <w:pPr>
        <w:pStyle w:val="SingleTxtGA"/>
        <w:rPr>
          <w:rtl/>
        </w:rPr>
      </w:pPr>
      <w:r w:rsidRPr="00A10A96">
        <w:rPr>
          <w:rFonts w:hint="cs"/>
          <w:rtl/>
        </w:rPr>
        <w:t>230-</w:t>
      </w:r>
      <w:r w:rsidRPr="00A10A96">
        <w:rPr>
          <w:rFonts w:hint="cs"/>
          <w:rtl/>
        </w:rPr>
        <w:tab/>
      </w:r>
      <w:r w:rsidRPr="00A10A96">
        <w:rPr>
          <w:rtl/>
        </w:rPr>
        <w:t xml:space="preserve">وُضعت أحكام تشريعية لتطوير وتعزيز حماية </w:t>
      </w:r>
      <w:r w:rsidRPr="00A10A96">
        <w:rPr>
          <w:rFonts w:hint="cs"/>
          <w:rtl/>
        </w:rPr>
        <w:t>بعض ال</w:t>
      </w:r>
      <w:r w:rsidRPr="00A10A96">
        <w:rPr>
          <w:rtl/>
        </w:rPr>
        <w:t>حقوق وفق</w:t>
      </w:r>
      <w:r w:rsidR="00B27C28">
        <w:rPr>
          <w:rtl/>
        </w:rPr>
        <w:t xml:space="preserve">اً </w:t>
      </w:r>
      <w:r w:rsidRPr="00A10A96">
        <w:rPr>
          <w:rtl/>
        </w:rPr>
        <w:t>للمعاهدات الدولية التي صدقت عليها فرنسا</w:t>
      </w:r>
      <w:r w:rsidRPr="00A10A96">
        <w:rPr>
          <w:rFonts w:hint="cs"/>
          <w:rtl/>
        </w:rPr>
        <w:t>.</w:t>
      </w:r>
    </w:p>
    <w:p w:rsidR="00944A3C" w:rsidRPr="00A10A96" w:rsidRDefault="00D60E9C" w:rsidP="005714DA">
      <w:pPr>
        <w:pStyle w:val="H4GA"/>
        <w:rPr>
          <w:rtl/>
          <w:lang w:val="es-ES" w:eastAsia="es-ES"/>
        </w:rPr>
      </w:pPr>
      <w:r>
        <w:rPr>
          <w:rtl/>
        </w:rPr>
        <w:tab/>
      </w:r>
      <w:r w:rsidR="005714DA">
        <w:rPr>
          <w:rFonts w:hint="cs"/>
          <w:rtl/>
        </w:rPr>
        <w:t>‘</w:t>
      </w:r>
      <w:r w:rsidR="00944A3C" w:rsidRPr="00A10A96">
        <w:rPr>
          <w:rFonts w:hint="cs"/>
          <w:rtl/>
        </w:rPr>
        <w:t>1</w:t>
      </w:r>
      <w:r w:rsidR="005714DA">
        <w:rPr>
          <w:rFonts w:hint="cs"/>
          <w:rtl/>
        </w:rPr>
        <w:t>‘</w:t>
      </w:r>
      <w:r w:rsidR="00944A3C" w:rsidRPr="00A10A96">
        <w:rPr>
          <w:rtl/>
        </w:rPr>
        <w:tab/>
        <w:t>إدانة مرتكبي الجرائم ضد الإنسانية</w:t>
      </w:r>
    </w:p>
    <w:p w:rsidR="00944A3C" w:rsidRPr="00A10A96" w:rsidRDefault="00944A3C" w:rsidP="00D33C79">
      <w:pPr>
        <w:pStyle w:val="SingleTxtGA"/>
        <w:rPr>
          <w:rtl/>
        </w:rPr>
      </w:pPr>
      <w:r w:rsidRPr="00A10A96">
        <w:rPr>
          <w:rFonts w:hint="cs"/>
          <w:rtl/>
        </w:rPr>
        <w:t>231-</w:t>
      </w:r>
      <w:r w:rsidRPr="00A10A96">
        <w:rPr>
          <w:rFonts w:hint="cs"/>
          <w:rtl/>
        </w:rPr>
        <w:tab/>
      </w:r>
      <w:r w:rsidRPr="00A10A96">
        <w:rPr>
          <w:rtl/>
        </w:rPr>
        <w:t>صدقت فرنسا على اتفاقية الأمم المتحدة لمنع جريمة الإبادة الجماعية والمعاقبة عليها</w:t>
      </w:r>
      <w:r w:rsidRPr="00A10A96">
        <w:rPr>
          <w:rFonts w:hint="cs"/>
          <w:rtl/>
        </w:rPr>
        <w:t>.</w:t>
      </w:r>
    </w:p>
    <w:p w:rsidR="00944A3C" w:rsidRPr="00A10A96" w:rsidRDefault="00944A3C" w:rsidP="00B27C28">
      <w:pPr>
        <w:pStyle w:val="SingleTxtGA"/>
        <w:rPr>
          <w:rtl/>
        </w:rPr>
      </w:pPr>
      <w:r w:rsidRPr="00A10A96">
        <w:rPr>
          <w:rFonts w:hint="cs"/>
          <w:rtl/>
        </w:rPr>
        <w:t>232-</w:t>
      </w:r>
      <w:r w:rsidRPr="00A10A96">
        <w:rPr>
          <w:rFonts w:hint="cs"/>
          <w:rtl/>
        </w:rPr>
        <w:tab/>
      </w:r>
      <w:r w:rsidRPr="00A10A96">
        <w:rPr>
          <w:rtl/>
        </w:rPr>
        <w:t>ويعاقَب جنائي</w:t>
      </w:r>
      <w:r w:rsidR="00B27C28">
        <w:rPr>
          <w:rtl/>
        </w:rPr>
        <w:t xml:space="preserve">اً </w:t>
      </w:r>
      <w:r w:rsidRPr="00A10A96">
        <w:rPr>
          <w:rtl/>
        </w:rPr>
        <w:t>على الجرائم المرتكبة ضد الإنسانية (المواد 211-1 وما يليها</w:t>
      </w:r>
      <w:r w:rsidRPr="00A10A96">
        <w:rPr>
          <w:rFonts w:hint="cs"/>
          <w:rtl/>
        </w:rPr>
        <w:t xml:space="preserve"> </w:t>
      </w:r>
      <w:r w:rsidRPr="00A10A96">
        <w:rPr>
          <w:rtl/>
        </w:rPr>
        <w:t xml:space="preserve">من قانون </w:t>
      </w:r>
      <w:r w:rsidRPr="00A10A96">
        <w:rPr>
          <w:rFonts w:hint="cs"/>
          <w:rtl/>
        </w:rPr>
        <w:t>العقوبات</w:t>
      </w:r>
      <w:r w:rsidRPr="00A10A96">
        <w:rPr>
          <w:rtl/>
        </w:rPr>
        <w:t xml:space="preserve">)، وعلى الدعوة إليها (المادة 24 من القانون المؤرخ 29 تموز/يوليه 1881 بشأن حرية الصحافة) </w:t>
      </w:r>
      <w:r w:rsidRPr="00A10A96">
        <w:rPr>
          <w:rFonts w:hint="cs"/>
          <w:rtl/>
        </w:rPr>
        <w:t>ونفي</w:t>
      </w:r>
      <w:r w:rsidRPr="00A10A96">
        <w:rPr>
          <w:rtl/>
        </w:rPr>
        <w:t xml:space="preserve"> وجودها (المادة 24 </w:t>
      </w:r>
      <w:r w:rsidRPr="00670E59">
        <w:rPr>
          <w:i/>
          <w:iCs/>
          <w:rtl/>
        </w:rPr>
        <w:t>مكرر</w:t>
      </w:r>
      <w:r w:rsidR="00B27C28" w:rsidRPr="00670E59">
        <w:rPr>
          <w:i/>
          <w:iCs/>
          <w:rtl/>
        </w:rPr>
        <w:t xml:space="preserve">اً </w:t>
      </w:r>
      <w:r w:rsidRPr="00A10A96">
        <w:rPr>
          <w:rtl/>
        </w:rPr>
        <w:t>من القانون المؤرخ 29 تموز/يوليه 1881 بشأن حرية الصحافة)، على التوالي بالسجن مدى الحياة</w:t>
      </w:r>
      <w:r w:rsidRPr="00A10A96">
        <w:rPr>
          <w:rFonts w:hint="cs"/>
          <w:rtl/>
        </w:rPr>
        <w:t xml:space="preserve">؛ </w:t>
      </w:r>
      <w:r w:rsidRPr="00A10A96">
        <w:rPr>
          <w:rtl/>
        </w:rPr>
        <w:t>و</w:t>
      </w:r>
      <w:r w:rsidRPr="00A10A96">
        <w:rPr>
          <w:rFonts w:hint="cs"/>
          <w:rtl/>
        </w:rPr>
        <w:t>ب</w:t>
      </w:r>
      <w:r w:rsidRPr="00A10A96">
        <w:rPr>
          <w:rtl/>
        </w:rPr>
        <w:t>الحبس مدة خمس سنوات مع غرامة مالية قدرها</w:t>
      </w:r>
      <w:r w:rsidR="00D60E9C">
        <w:rPr>
          <w:rFonts w:hint="cs"/>
          <w:rtl/>
        </w:rPr>
        <w:t> </w:t>
      </w:r>
      <w:r w:rsidRPr="00A10A96">
        <w:rPr>
          <w:rtl/>
        </w:rPr>
        <w:t>000 45 يورو؛</w:t>
      </w:r>
      <w:r w:rsidRPr="00A10A96">
        <w:rPr>
          <w:rFonts w:hint="cs"/>
          <w:rtl/>
        </w:rPr>
        <w:t xml:space="preserve"> </w:t>
      </w:r>
      <w:r w:rsidRPr="00A10A96">
        <w:rPr>
          <w:rtl/>
        </w:rPr>
        <w:t>و</w:t>
      </w:r>
      <w:r w:rsidRPr="00A10A96">
        <w:rPr>
          <w:rFonts w:hint="cs"/>
          <w:rtl/>
        </w:rPr>
        <w:t>ب</w:t>
      </w:r>
      <w:r w:rsidRPr="00A10A96">
        <w:rPr>
          <w:rtl/>
        </w:rPr>
        <w:t>الحبس مدة سنة واحدة و/أو غرامة مالية قدرها 000 45 يورو</w:t>
      </w:r>
      <w:r w:rsidRPr="00A10A96">
        <w:rPr>
          <w:rFonts w:hint="cs"/>
          <w:rtl/>
        </w:rPr>
        <w:t xml:space="preserve">. </w:t>
      </w:r>
      <w:r w:rsidRPr="00A10A96">
        <w:rPr>
          <w:rtl/>
        </w:rPr>
        <w:t>ولا</w:t>
      </w:r>
      <w:r w:rsidR="00B27C28">
        <w:rPr>
          <w:rFonts w:hint="cs"/>
          <w:rtl/>
        </w:rPr>
        <w:t> </w:t>
      </w:r>
      <w:r w:rsidRPr="00A10A96">
        <w:rPr>
          <w:rtl/>
        </w:rPr>
        <w:t>يسري حكم التقادم على الدعوى العامة المتعلقة بهذه الجرائم ولا على العقوبات الصادرة بشأنها (المادة 213-5 من قانون العقوبات)</w:t>
      </w:r>
      <w:r w:rsidRPr="00A10A96">
        <w:rPr>
          <w:rFonts w:hint="cs"/>
          <w:rtl/>
        </w:rPr>
        <w:t>.</w:t>
      </w:r>
    </w:p>
    <w:p w:rsidR="00944A3C" w:rsidRPr="00A10A96" w:rsidRDefault="00944A3C" w:rsidP="00D33C79">
      <w:pPr>
        <w:pStyle w:val="SingleTxtGA"/>
        <w:rPr>
          <w:rtl/>
        </w:rPr>
      </w:pPr>
      <w:r w:rsidRPr="00A10A96">
        <w:rPr>
          <w:rFonts w:hint="cs"/>
          <w:rtl/>
        </w:rPr>
        <w:t>233-</w:t>
      </w:r>
      <w:r w:rsidRPr="00A10A96">
        <w:rPr>
          <w:rFonts w:hint="cs"/>
          <w:rtl/>
        </w:rPr>
        <w:tab/>
      </w:r>
      <w:r w:rsidRPr="00A10A96">
        <w:rPr>
          <w:rtl/>
        </w:rPr>
        <w:t>وأنشأت محكمة الدرجة العليا في باريس، في كانون الثاني/يناير 2012، شعبة متخصصة لمكافحة الجرائم المرتكبة ضد الإنسانية، وجنح الحرب، وجرائم الحرب</w:t>
      </w:r>
      <w:r w:rsidRPr="00A10A96">
        <w:rPr>
          <w:rStyle w:val="EndnoteReference"/>
          <w:rtl/>
        </w:rPr>
        <w:t>(</w:t>
      </w:r>
      <w:r w:rsidRPr="00A10A96">
        <w:rPr>
          <w:rStyle w:val="EndnoteReference"/>
          <w:rtl/>
        </w:rPr>
        <w:endnoteReference w:id="196"/>
      </w:r>
      <w:r w:rsidRPr="00A10A96">
        <w:rPr>
          <w:rStyle w:val="EndnoteReference"/>
          <w:rtl/>
        </w:rPr>
        <w:t>)</w:t>
      </w:r>
      <w:r w:rsidRPr="00A10A96">
        <w:rPr>
          <w:rFonts w:hint="cs"/>
          <w:rtl/>
        </w:rPr>
        <w:t xml:space="preserve">. </w:t>
      </w:r>
      <w:r w:rsidRPr="00A10A96">
        <w:rPr>
          <w:rtl/>
        </w:rPr>
        <w:t>وفي الوقت الراهن، تباشر هذه الشعبة المتخصصة 33 إجراءً للتحقيق، يتعلق 27 منها بجريمة الإبادة الجماعية المرتكبة في رواندا في عام 1994</w:t>
      </w:r>
      <w:r w:rsidRPr="00A10A96">
        <w:rPr>
          <w:rFonts w:hint="cs"/>
          <w:rtl/>
        </w:rPr>
        <w:t xml:space="preserve">. </w:t>
      </w:r>
      <w:r w:rsidRPr="00A10A96">
        <w:rPr>
          <w:rtl/>
        </w:rPr>
        <w:t>وعلاوة على ذلك، أُنشئ في 7 تشرين الثاني/</w:t>
      </w:r>
      <w:r w:rsidR="00D33C79">
        <w:rPr>
          <w:rFonts w:hint="cs"/>
          <w:rtl/>
        </w:rPr>
        <w:t xml:space="preserve"> </w:t>
      </w:r>
      <w:r w:rsidRPr="00A10A96">
        <w:rPr>
          <w:rtl/>
        </w:rPr>
        <w:t>نوفمبر</w:t>
      </w:r>
      <w:r w:rsidR="00D33C79">
        <w:rPr>
          <w:rFonts w:hint="cs"/>
          <w:rtl/>
        </w:rPr>
        <w:t> </w:t>
      </w:r>
      <w:r w:rsidRPr="00A10A96">
        <w:rPr>
          <w:rtl/>
        </w:rPr>
        <w:t>2013 مكتب مركزي لمكافحة الجرائم المرتكبة ضد الإنسانية وجرائم الإبادة الجماعية وجرائم الحرب، تابعٍ للشرطة القضائية</w:t>
      </w:r>
      <w:r w:rsidRPr="00A10A96">
        <w:rPr>
          <w:rStyle w:val="EndnoteReference"/>
          <w:rtl/>
        </w:rPr>
        <w:t>(</w:t>
      </w:r>
      <w:r w:rsidRPr="00A10A96">
        <w:rPr>
          <w:rStyle w:val="EndnoteReference"/>
          <w:rtl/>
        </w:rPr>
        <w:endnoteReference w:id="197"/>
      </w:r>
      <w:r w:rsidRPr="00A10A96">
        <w:rPr>
          <w:rStyle w:val="EndnoteReference"/>
          <w:rtl/>
        </w:rPr>
        <w:t>)</w:t>
      </w:r>
      <w:r w:rsidRPr="00A10A96">
        <w:rPr>
          <w:rFonts w:hint="cs"/>
          <w:rtl/>
        </w:rPr>
        <w:t xml:space="preserve">. </w:t>
      </w:r>
      <w:r w:rsidRPr="00A10A96">
        <w:rPr>
          <w:rtl/>
        </w:rPr>
        <w:t xml:space="preserve">ويختص المكتب بالتالي </w:t>
      </w:r>
      <w:r w:rsidRPr="00A10A96">
        <w:rPr>
          <w:rFonts w:hint="cs"/>
          <w:rtl/>
        </w:rPr>
        <w:t>ب</w:t>
      </w:r>
      <w:r w:rsidRPr="00A10A96">
        <w:rPr>
          <w:rtl/>
        </w:rPr>
        <w:t xml:space="preserve">مكافحة هذه الأفعال، </w:t>
      </w:r>
      <w:r w:rsidRPr="00A10A96">
        <w:rPr>
          <w:rtl/>
        </w:rPr>
        <w:lastRenderedPageBreak/>
        <w:t xml:space="preserve">وكذلك </w:t>
      </w:r>
      <w:r w:rsidRPr="00A10A96">
        <w:rPr>
          <w:rFonts w:hint="cs"/>
          <w:rtl/>
        </w:rPr>
        <w:t>ب</w:t>
      </w:r>
      <w:r w:rsidRPr="00A10A96">
        <w:rPr>
          <w:rtl/>
        </w:rPr>
        <w:t>البحث عن الأشخاص المشتبه في ارتكابهم لها، إ</w:t>
      </w:r>
      <w:r w:rsidRPr="00A10A96">
        <w:rPr>
          <w:rFonts w:hint="cs"/>
          <w:rtl/>
        </w:rPr>
        <w:t>ن</w:t>
      </w:r>
      <w:r w:rsidRPr="00A10A96">
        <w:rPr>
          <w:rtl/>
        </w:rPr>
        <w:t xml:space="preserve"> احتُمل وجودهم في الإقليم الفرنسي أو إذا كانت المحاكم الفرنسية مختصة</w:t>
      </w:r>
      <w:r w:rsidRPr="00A10A96">
        <w:rPr>
          <w:rFonts w:hint="cs"/>
          <w:rtl/>
        </w:rPr>
        <w:t>.</w:t>
      </w:r>
    </w:p>
    <w:p w:rsidR="00944A3C" w:rsidRPr="00A10A96" w:rsidRDefault="00D33C79" w:rsidP="005714DA">
      <w:pPr>
        <w:pStyle w:val="H4GA"/>
        <w:rPr>
          <w:rtl/>
          <w:lang w:val="es-ES" w:eastAsia="es-ES"/>
        </w:rPr>
      </w:pPr>
      <w:r>
        <w:rPr>
          <w:rtl/>
        </w:rPr>
        <w:tab/>
      </w:r>
      <w:r w:rsidR="005714DA">
        <w:rPr>
          <w:rFonts w:hint="cs"/>
          <w:rtl/>
        </w:rPr>
        <w:t>‘</w:t>
      </w:r>
      <w:r w:rsidR="00944A3C" w:rsidRPr="00A10A96">
        <w:rPr>
          <w:rFonts w:hint="cs"/>
          <w:rtl/>
        </w:rPr>
        <w:t>2</w:t>
      </w:r>
      <w:r w:rsidR="005714DA">
        <w:rPr>
          <w:rFonts w:hint="cs"/>
          <w:rtl/>
        </w:rPr>
        <w:t>‘</w:t>
      </w:r>
      <w:r w:rsidR="00944A3C" w:rsidRPr="00A10A96">
        <w:rPr>
          <w:rtl/>
        </w:rPr>
        <w:tab/>
      </w:r>
      <w:r w:rsidR="00944A3C" w:rsidRPr="00A10A96">
        <w:rPr>
          <w:rFonts w:hint="cs"/>
          <w:rtl/>
        </w:rPr>
        <w:t>الحق في الحياة</w:t>
      </w:r>
    </w:p>
    <w:p w:rsidR="00944A3C" w:rsidRPr="00A10A96" w:rsidRDefault="00944A3C" w:rsidP="00050FB2">
      <w:pPr>
        <w:pStyle w:val="SingleTxtGA"/>
        <w:spacing w:line="370" w:lineRule="exact"/>
        <w:rPr>
          <w:rtl/>
        </w:rPr>
      </w:pPr>
      <w:r w:rsidRPr="00A10A96">
        <w:rPr>
          <w:rFonts w:hint="cs"/>
          <w:rtl/>
        </w:rPr>
        <w:t>234-</w:t>
      </w:r>
      <w:r w:rsidRPr="00A10A96">
        <w:rPr>
          <w:rFonts w:hint="cs"/>
          <w:rtl/>
        </w:rPr>
        <w:tab/>
      </w:r>
      <w:r w:rsidRPr="00A10A96">
        <w:rPr>
          <w:rtl/>
        </w:rPr>
        <w:t>انضمت فرنسا إلى الاتفاقية الأوروبية لحقوق الإنسان التي تحمي المادة 2 منها الحق في الحياة</w:t>
      </w:r>
      <w:r w:rsidRPr="00A10A96">
        <w:rPr>
          <w:rFonts w:hint="cs"/>
          <w:rtl/>
        </w:rPr>
        <w:t xml:space="preserve">. </w:t>
      </w:r>
      <w:r w:rsidRPr="00A10A96">
        <w:rPr>
          <w:rtl/>
        </w:rPr>
        <w:t xml:space="preserve">وصدقت على البروتوكول الاختياري الثاني الملحق بالعهد الدولي الخاص بالحقوق المدنية والسياسية، الهادف إلى إلغاء عقوبة الإعدام، وعلى البروتوكول رقم 6 الملحق بالاتفاقية الأوروبية لحقوق الإنسان </w:t>
      </w:r>
      <w:r w:rsidRPr="00A10A96">
        <w:rPr>
          <w:rFonts w:hint="cs"/>
          <w:rtl/>
        </w:rPr>
        <w:t>الخاص ب</w:t>
      </w:r>
      <w:r w:rsidRPr="00A10A96">
        <w:rPr>
          <w:rtl/>
        </w:rPr>
        <w:t xml:space="preserve">إلغاء عقوبة الإعدام، وعلى البروتوكول رقم 13 الملحق بالاتفاقية ذاتها </w:t>
      </w:r>
      <w:r w:rsidRPr="00A10A96">
        <w:rPr>
          <w:rFonts w:hint="cs"/>
          <w:rtl/>
        </w:rPr>
        <w:t>الخاص ب</w:t>
      </w:r>
      <w:r w:rsidRPr="00A10A96">
        <w:rPr>
          <w:rtl/>
        </w:rPr>
        <w:t>إلغاء عقوبة الإعدام في جميع الظروف</w:t>
      </w:r>
      <w:r w:rsidRPr="00A10A96">
        <w:rPr>
          <w:rFonts w:hint="cs"/>
          <w:rtl/>
        </w:rPr>
        <w:t>.</w:t>
      </w:r>
    </w:p>
    <w:p w:rsidR="00944A3C" w:rsidRPr="00A10A96" w:rsidRDefault="00944A3C" w:rsidP="00050FB2">
      <w:pPr>
        <w:pStyle w:val="SingleTxtGA"/>
        <w:spacing w:line="370" w:lineRule="exact"/>
        <w:rPr>
          <w:rtl/>
        </w:rPr>
      </w:pPr>
      <w:r w:rsidRPr="00A10A96">
        <w:rPr>
          <w:rFonts w:hint="cs"/>
          <w:rtl/>
        </w:rPr>
        <w:t>235-</w:t>
      </w:r>
      <w:r w:rsidRPr="00A10A96">
        <w:rPr>
          <w:rFonts w:hint="cs"/>
          <w:rtl/>
        </w:rPr>
        <w:tab/>
      </w:r>
      <w:r w:rsidRPr="00A10A96">
        <w:rPr>
          <w:rtl/>
        </w:rPr>
        <w:t>ويتعلق القانون رقم 81-908 المؤرخ 9 تشرين الأول/أكتوبر 1981 بإلغاء عقوبة الإعدام</w:t>
      </w:r>
      <w:r w:rsidRPr="00A10A96">
        <w:rPr>
          <w:rFonts w:hint="cs"/>
          <w:rtl/>
        </w:rPr>
        <w:t xml:space="preserve">. </w:t>
      </w:r>
      <w:r w:rsidRPr="00A10A96">
        <w:rPr>
          <w:rtl/>
        </w:rPr>
        <w:t>وأضفى القانونُ الدستوري رقم 2007-239 المؤرخ 23 شباط/فبراير 2007 المتعلق بحظر عقوبة الإعدام</w:t>
      </w:r>
      <w:r w:rsidRPr="00A10A96">
        <w:rPr>
          <w:rFonts w:hint="cs"/>
          <w:rtl/>
        </w:rPr>
        <w:t xml:space="preserve"> </w:t>
      </w:r>
      <w:r w:rsidRPr="00A10A96">
        <w:rPr>
          <w:rtl/>
        </w:rPr>
        <w:t>الطابعَ الدستوري على هذا المكتسب</w:t>
      </w:r>
      <w:r w:rsidRPr="00A10A96">
        <w:rPr>
          <w:rFonts w:hint="cs"/>
          <w:rtl/>
        </w:rPr>
        <w:t>.</w:t>
      </w:r>
    </w:p>
    <w:p w:rsidR="00944A3C" w:rsidRPr="005714DA" w:rsidRDefault="00D33C79" w:rsidP="005714DA">
      <w:pPr>
        <w:pStyle w:val="H4GA"/>
        <w:rPr>
          <w:rtl/>
          <w:lang w:val="es-ES" w:eastAsia="es-ES"/>
        </w:rPr>
      </w:pPr>
      <w:r w:rsidRPr="005714DA">
        <w:rPr>
          <w:rtl/>
        </w:rPr>
        <w:tab/>
      </w:r>
      <w:r w:rsidR="005714DA" w:rsidRPr="005714DA">
        <w:rPr>
          <w:rFonts w:hint="cs"/>
          <w:rtl/>
        </w:rPr>
        <w:t>‘</w:t>
      </w:r>
      <w:r w:rsidR="00944A3C" w:rsidRPr="005714DA">
        <w:rPr>
          <w:rFonts w:hint="cs"/>
          <w:rtl/>
        </w:rPr>
        <w:t>3</w:t>
      </w:r>
      <w:r w:rsidR="005714DA" w:rsidRPr="005714DA">
        <w:rPr>
          <w:rFonts w:hint="cs"/>
          <w:rtl/>
        </w:rPr>
        <w:t>‘</w:t>
      </w:r>
      <w:r w:rsidR="00944A3C" w:rsidRPr="005714DA">
        <w:rPr>
          <w:rtl/>
        </w:rPr>
        <w:tab/>
        <w:t xml:space="preserve">الحق في عدم التعرض للتعذيب </w:t>
      </w:r>
      <w:r w:rsidR="00944A3C" w:rsidRPr="005714DA">
        <w:rPr>
          <w:rFonts w:hint="cs"/>
          <w:rtl/>
        </w:rPr>
        <w:t xml:space="preserve">وضروب </w:t>
      </w:r>
      <w:r w:rsidR="00944A3C" w:rsidRPr="005714DA">
        <w:rPr>
          <w:rtl/>
        </w:rPr>
        <w:t xml:space="preserve">المعاملة اللاإنسانية </w:t>
      </w:r>
      <w:r w:rsidR="00944A3C" w:rsidRPr="005714DA">
        <w:rPr>
          <w:rFonts w:hint="cs"/>
          <w:rtl/>
        </w:rPr>
        <w:t>و</w:t>
      </w:r>
      <w:r w:rsidR="00944A3C" w:rsidRPr="005714DA">
        <w:rPr>
          <w:rtl/>
        </w:rPr>
        <w:t>المهينة</w:t>
      </w:r>
    </w:p>
    <w:p w:rsidR="00944A3C" w:rsidRPr="00A10A96" w:rsidRDefault="00944A3C" w:rsidP="00050FB2">
      <w:pPr>
        <w:pStyle w:val="SingleTxtGA"/>
        <w:spacing w:line="370" w:lineRule="exact"/>
        <w:rPr>
          <w:rtl/>
        </w:rPr>
      </w:pPr>
      <w:r w:rsidRPr="00A10A96">
        <w:rPr>
          <w:rFonts w:hint="cs"/>
          <w:rtl/>
        </w:rPr>
        <w:t>236-</w:t>
      </w:r>
      <w:r w:rsidRPr="00A10A96">
        <w:rPr>
          <w:rFonts w:hint="cs"/>
          <w:rtl/>
        </w:rPr>
        <w:tab/>
      </w:r>
      <w:r w:rsidRPr="00A10A96">
        <w:rPr>
          <w:rtl/>
        </w:rPr>
        <w:t>صدقت فرنسا على اتفاقية الأمم المتحدة لمناهضة التعذيب وغيره من ضروب المعاملة أو العقوبة القاسية أو اللاإنسانية أو المهينة، وبروتوكولها الاختياري، وعلى الاتفاقية الأوروبية لمنع التعذيب والمعاملة أو العقوبة اللاإنسانية أو المهينة</w:t>
      </w:r>
      <w:r w:rsidRPr="00A10A96">
        <w:rPr>
          <w:rFonts w:hint="cs"/>
          <w:rtl/>
        </w:rPr>
        <w:t>.</w:t>
      </w:r>
    </w:p>
    <w:p w:rsidR="00944A3C" w:rsidRPr="00A10A96" w:rsidRDefault="00944A3C" w:rsidP="00050FB2">
      <w:pPr>
        <w:pStyle w:val="SingleTxtGA"/>
        <w:spacing w:line="370" w:lineRule="exact"/>
        <w:rPr>
          <w:rtl/>
        </w:rPr>
      </w:pPr>
      <w:r w:rsidRPr="00D33C79">
        <w:rPr>
          <w:rFonts w:hint="cs"/>
          <w:spacing w:val="-4"/>
          <w:rtl/>
        </w:rPr>
        <w:t>237-</w:t>
      </w:r>
      <w:r w:rsidRPr="00D33C79">
        <w:rPr>
          <w:rFonts w:hint="cs"/>
          <w:spacing w:val="-4"/>
          <w:rtl/>
        </w:rPr>
        <w:tab/>
      </w:r>
      <w:r w:rsidRPr="00D33C79">
        <w:rPr>
          <w:spacing w:val="-4"/>
          <w:rtl/>
        </w:rPr>
        <w:t>ووفق</w:t>
      </w:r>
      <w:r w:rsidR="00B27C28">
        <w:rPr>
          <w:spacing w:val="-4"/>
          <w:rtl/>
        </w:rPr>
        <w:t xml:space="preserve">اً </w:t>
      </w:r>
      <w:r w:rsidRPr="00D33C79">
        <w:rPr>
          <w:spacing w:val="-4"/>
          <w:rtl/>
        </w:rPr>
        <w:t>لمقتضيات اتفاقية الأمم المتحدة، استحدثت المادة 72 من القانون رقم 85-1407</w:t>
      </w:r>
      <w:r w:rsidRPr="00A10A96">
        <w:rPr>
          <w:rtl/>
        </w:rPr>
        <w:t xml:space="preserve"> المؤرخ 30 كانون الأول/ديسمبر 1985، المدمَج في قانون الإجراءات الجنائية (المادة 689-2) قاعدة الولاية القضائية العالمية للمحاكم المحلية فيما يتعلق بالتعذيب</w:t>
      </w:r>
      <w:r w:rsidRPr="00A10A96">
        <w:rPr>
          <w:rFonts w:hint="cs"/>
          <w:rtl/>
        </w:rPr>
        <w:t xml:space="preserve">. </w:t>
      </w:r>
      <w:r w:rsidRPr="00A10A96">
        <w:rPr>
          <w:rtl/>
        </w:rPr>
        <w:t>ويعني ذلك أن المحاكم الجنائية الفرنسية لديها الولاية القضائية للنظر حتى في الأفعال المرتكبة خارج الإقليم الفرنسي، سواء كان مرتكب فعل التعذيب فرنسي الجنسية أم لا</w:t>
      </w:r>
      <w:r w:rsidRPr="00A10A96">
        <w:rPr>
          <w:rFonts w:hint="cs"/>
          <w:rtl/>
        </w:rPr>
        <w:t>.</w:t>
      </w:r>
    </w:p>
    <w:p w:rsidR="00944A3C" w:rsidRPr="00D33C79" w:rsidRDefault="00944A3C" w:rsidP="00050FB2">
      <w:pPr>
        <w:pStyle w:val="SingleTxtGA"/>
        <w:spacing w:line="370" w:lineRule="exact"/>
        <w:rPr>
          <w:rtl/>
        </w:rPr>
      </w:pPr>
      <w:r w:rsidRPr="00A10A96">
        <w:rPr>
          <w:rFonts w:hint="cs"/>
          <w:rtl/>
        </w:rPr>
        <w:t>238-</w:t>
      </w:r>
      <w:r w:rsidRPr="00A10A96">
        <w:rPr>
          <w:rFonts w:hint="cs"/>
          <w:rtl/>
        </w:rPr>
        <w:tab/>
      </w:r>
      <w:r w:rsidRPr="00A10A96">
        <w:rPr>
          <w:rtl/>
        </w:rPr>
        <w:t>ويعاقَب على أفعال التعذيب والوحشية بالسجن مدة 15 سنة، مع إمكانية رفع المدة في حالة وجود ظروف مشددة</w:t>
      </w:r>
      <w:r w:rsidRPr="00A10A96">
        <w:rPr>
          <w:rFonts w:hint="cs"/>
          <w:rtl/>
        </w:rPr>
        <w:t xml:space="preserve">. </w:t>
      </w:r>
      <w:r w:rsidRPr="00A10A96">
        <w:rPr>
          <w:rtl/>
        </w:rPr>
        <w:t>ويؤدي ارتكاب جرائم أخرى قبل هذه الأفعال أو بالتزامن معها أو بعده</w:t>
      </w:r>
      <w:r w:rsidRPr="00A10A96">
        <w:rPr>
          <w:rFonts w:hint="cs"/>
          <w:rtl/>
        </w:rPr>
        <w:t>ا</w:t>
      </w:r>
      <w:r w:rsidRPr="00A10A96">
        <w:rPr>
          <w:rtl/>
        </w:rPr>
        <w:t xml:space="preserve"> إلى رفع العقوبة إلى السجن مدى الحياة (المادة 221-1 وما يليها من قانون العقوبات)</w:t>
      </w:r>
      <w:r w:rsidRPr="00A10A96">
        <w:rPr>
          <w:rFonts w:hint="cs"/>
          <w:rtl/>
        </w:rPr>
        <w:t xml:space="preserve">. </w:t>
      </w:r>
      <w:r w:rsidRPr="00A10A96">
        <w:rPr>
          <w:rtl/>
        </w:rPr>
        <w:t>وينص القانون الفرنسي على عقوبة السجن مدى الحياة في حالة استخدام المجرمين للتعذيب من أجل تنفيذ جرائمهم (المادة 222-2 من قانون العقوبات)، وكذلك في حالة التعذيب المصاحب للاغتصاب (المادة 222-26 من قانون العقوبات) أو للقتل (المادة</w:t>
      </w:r>
      <w:r w:rsidR="00D33C79">
        <w:rPr>
          <w:rFonts w:hint="cs"/>
          <w:rtl/>
        </w:rPr>
        <w:t> </w:t>
      </w:r>
      <w:r w:rsidRPr="00A10A96">
        <w:rPr>
          <w:rtl/>
        </w:rPr>
        <w:t>221-2 من قانون العقوبات)</w:t>
      </w:r>
      <w:r w:rsidRPr="00A10A96">
        <w:rPr>
          <w:rFonts w:hint="cs"/>
          <w:rtl/>
        </w:rPr>
        <w:t xml:space="preserve">. </w:t>
      </w:r>
      <w:r w:rsidRPr="00A10A96">
        <w:rPr>
          <w:rtl/>
        </w:rPr>
        <w:t>وتشمل الظروف المشددة للعقوبة</w:t>
      </w:r>
      <w:r w:rsidRPr="00A10A96">
        <w:rPr>
          <w:rFonts w:hint="cs"/>
          <w:rtl/>
        </w:rPr>
        <w:t>، على وجه الخصوص،</w:t>
      </w:r>
      <w:r w:rsidRPr="00A10A96">
        <w:rPr>
          <w:rtl/>
        </w:rPr>
        <w:t xml:space="preserve"> أن يكون مرتكب الجريمة شخص</w:t>
      </w:r>
      <w:r w:rsidR="00B27C28">
        <w:rPr>
          <w:rtl/>
        </w:rPr>
        <w:t xml:space="preserve">اً </w:t>
      </w:r>
      <w:r w:rsidRPr="00A10A96">
        <w:rPr>
          <w:rtl/>
        </w:rPr>
        <w:t xml:space="preserve">عُهد إليه بمسؤولية السلطة العامة أو كُلف في إطار أداء مهامه </w:t>
      </w:r>
      <w:r w:rsidRPr="00D33C79">
        <w:rPr>
          <w:rtl/>
        </w:rPr>
        <w:t xml:space="preserve">بمهمة في مجال الخدمة العامة (المواد 222-3(7)، و222-8(7)، و222-10(7)، </w:t>
      </w:r>
      <w:r w:rsidR="00D33C79">
        <w:rPr>
          <w:rFonts w:hint="cs"/>
          <w:rtl/>
        </w:rPr>
        <w:t xml:space="preserve">        </w:t>
      </w:r>
      <w:r w:rsidRPr="00D33C79">
        <w:rPr>
          <w:rtl/>
        </w:rPr>
        <w:t xml:space="preserve">و222-12(7)، و222-13(7) من قانون </w:t>
      </w:r>
      <w:r w:rsidRPr="00D33C79">
        <w:rPr>
          <w:rFonts w:hint="cs"/>
          <w:rtl/>
        </w:rPr>
        <w:t>العقوبات</w:t>
      </w:r>
      <w:r w:rsidRPr="00D33C79">
        <w:rPr>
          <w:rtl/>
        </w:rPr>
        <w:t>)</w:t>
      </w:r>
      <w:r w:rsidRPr="00D33C79">
        <w:rPr>
          <w:rFonts w:hint="cs"/>
          <w:rtl/>
        </w:rPr>
        <w:t>.</w:t>
      </w:r>
    </w:p>
    <w:p w:rsidR="00944A3C" w:rsidRPr="00A10A96" w:rsidRDefault="00944A3C" w:rsidP="00050FB2">
      <w:pPr>
        <w:pStyle w:val="SingleTxtGA"/>
        <w:spacing w:line="366" w:lineRule="exact"/>
        <w:rPr>
          <w:rtl/>
        </w:rPr>
      </w:pPr>
      <w:r w:rsidRPr="00A10A96">
        <w:rPr>
          <w:rFonts w:hint="cs"/>
          <w:rtl/>
        </w:rPr>
        <w:t>239-</w:t>
      </w:r>
      <w:r w:rsidRPr="00A10A96">
        <w:rPr>
          <w:rFonts w:hint="cs"/>
          <w:rtl/>
        </w:rPr>
        <w:tab/>
      </w:r>
      <w:r w:rsidRPr="00A10A96">
        <w:rPr>
          <w:b/>
          <w:bCs/>
          <w:rtl/>
        </w:rPr>
        <w:t xml:space="preserve">مكافحة </w:t>
      </w:r>
      <w:r w:rsidRPr="00A10A96">
        <w:rPr>
          <w:rFonts w:hint="cs"/>
          <w:b/>
          <w:bCs/>
          <w:rtl/>
        </w:rPr>
        <w:t xml:space="preserve">أفعال </w:t>
      </w:r>
      <w:r w:rsidRPr="00A10A96">
        <w:rPr>
          <w:b/>
          <w:bCs/>
          <w:rtl/>
        </w:rPr>
        <w:t>العنف ضد المرأة</w:t>
      </w:r>
      <w:r w:rsidRPr="00A10A96">
        <w:rPr>
          <w:rtl/>
        </w:rPr>
        <w:t xml:space="preserve">: تشكل مكافحة أفعال العنف المرتكبة ضد المرأة </w:t>
      </w:r>
      <w:r w:rsidRPr="00A10A96">
        <w:rPr>
          <w:rFonts w:hint="cs"/>
          <w:rtl/>
        </w:rPr>
        <w:t xml:space="preserve">إحدى </w:t>
      </w:r>
      <w:r w:rsidRPr="00A10A96">
        <w:rPr>
          <w:rtl/>
        </w:rPr>
        <w:t>أولويات السلطات العامة</w:t>
      </w:r>
      <w:r w:rsidRPr="00A10A96">
        <w:rPr>
          <w:rFonts w:hint="cs"/>
          <w:rtl/>
        </w:rPr>
        <w:t>.</w:t>
      </w:r>
    </w:p>
    <w:p w:rsidR="00944A3C" w:rsidRPr="00A10A96" w:rsidRDefault="00944A3C" w:rsidP="00050FB2">
      <w:pPr>
        <w:pStyle w:val="SingleTxtGA"/>
        <w:spacing w:line="366" w:lineRule="exact"/>
        <w:rPr>
          <w:rtl/>
        </w:rPr>
      </w:pPr>
      <w:r w:rsidRPr="00A10A96">
        <w:rPr>
          <w:rFonts w:hint="cs"/>
          <w:rtl/>
        </w:rPr>
        <w:lastRenderedPageBreak/>
        <w:t>240-</w:t>
      </w:r>
      <w:r w:rsidRPr="00A10A96">
        <w:rPr>
          <w:rFonts w:hint="cs"/>
          <w:rtl/>
        </w:rPr>
        <w:tab/>
      </w:r>
      <w:r w:rsidRPr="00A10A96">
        <w:rPr>
          <w:rtl/>
        </w:rPr>
        <w:t>و</w:t>
      </w:r>
      <w:r w:rsidRPr="00A10A96">
        <w:rPr>
          <w:rFonts w:hint="cs"/>
          <w:rtl/>
        </w:rPr>
        <w:t xml:space="preserve">قد </w:t>
      </w:r>
      <w:r w:rsidRPr="00A10A96">
        <w:rPr>
          <w:rtl/>
        </w:rPr>
        <w:t>اعتُمد في 9 تموز/يوليه 2010 قانون متعلق بأفعال العنف المرتكبة تحديد</w:t>
      </w:r>
      <w:r w:rsidR="00B27C28">
        <w:rPr>
          <w:rtl/>
        </w:rPr>
        <w:t xml:space="preserve">اً </w:t>
      </w:r>
      <w:r w:rsidRPr="00A10A96">
        <w:rPr>
          <w:rtl/>
        </w:rPr>
        <w:t>ضد المرأة، في إطار العلاقة الزوجية، وبآثارها على الأطفال</w:t>
      </w:r>
      <w:r w:rsidR="002F2DD7">
        <w:rPr>
          <w:rStyle w:val="FootnoteReference"/>
          <w:rtl/>
        </w:rPr>
        <w:footnoteReference w:customMarkFollows="1" w:id="6"/>
        <w:t>(</w:t>
      </w:r>
      <w:r w:rsidR="002F2DD7">
        <w:rPr>
          <w:rStyle w:val="FootnoteReference"/>
          <w:rFonts w:hint="cs"/>
          <w:rtl/>
        </w:rPr>
        <w:t>3</w:t>
      </w:r>
      <w:r w:rsidR="002F2DD7">
        <w:rPr>
          <w:rStyle w:val="FootnoteReference"/>
          <w:rtl/>
        </w:rPr>
        <w:t>)</w:t>
      </w:r>
      <w:r w:rsidRPr="00A10A96">
        <w:rPr>
          <w:rFonts w:hint="cs"/>
          <w:rtl/>
        </w:rPr>
        <w:t xml:space="preserve">. </w:t>
      </w:r>
      <w:r w:rsidRPr="00A10A96">
        <w:rPr>
          <w:rtl/>
        </w:rPr>
        <w:t>ويتضمن هذا القانون أحكام</w:t>
      </w:r>
      <w:r w:rsidR="00B27C28">
        <w:rPr>
          <w:rtl/>
        </w:rPr>
        <w:t xml:space="preserve">اً </w:t>
      </w:r>
      <w:r w:rsidRPr="00A10A96">
        <w:rPr>
          <w:rtl/>
        </w:rPr>
        <w:t>ترمي إلى تعزيز حماية الضحايا ومنع أفعال العنف ومعاقبة مرتكبيها</w:t>
      </w:r>
      <w:r w:rsidRPr="00A10A96">
        <w:rPr>
          <w:rFonts w:hint="cs"/>
          <w:rtl/>
        </w:rPr>
        <w:t xml:space="preserve">. </w:t>
      </w:r>
      <w:r w:rsidRPr="00A10A96">
        <w:rPr>
          <w:rtl/>
        </w:rPr>
        <w:t>وينص بشكل خاص على إصدار أمر بحماية ضحايا العنف، يسمح بطرد الزوج العنيف على الفور، مع إلزامه أحياناً بوضع سوار إلكتروني</w:t>
      </w:r>
      <w:r w:rsidRPr="00A10A96">
        <w:rPr>
          <w:rFonts w:hint="cs"/>
          <w:rtl/>
        </w:rPr>
        <w:t xml:space="preserve">. </w:t>
      </w:r>
      <w:r w:rsidRPr="00A10A96">
        <w:rPr>
          <w:rtl/>
        </w:rPr>
        <w:t xml:space="preserve">كما ينص هذا القانون على منح أو تجديد رخصة الإقامة للنساء اللائي </w:t>
      </w:r>
      <w:r w:rsidRPr="00A10A96">
        <w:rPr>
          <w:rFonts w:hint="cs"/>
          <w:rtl/>
        </w:rPr>
        <w:t xml:space="preserve">قَدِمن </w:t>
      </w:r>
      <w:r w:rsidRPr="00A10A96">
        <w:rPr>
          <w:rtl/>
        </w:rPr>
        <w:t>إلى فرنسا في إطار لم شمل الأسرة واللائي صدر لصالحهن أمر بالحماية، حتى بعد انفصالهن عن أزواجهن بسبب التعرض للعنف</w:t>
      </w:r>
      <w:r w:rsidRPr="00A10A96">
        <w:rPr>
          <w:rFonts w:hint="cs"/>
          <w:rtl/>
        </w:rPr>
        <w:t xml:space="preserve">. </w:t>
      </w:r>
      <w:r w:rsidRPr="00A10A96">
        <w:rPr>
          <w:rtl/>
        </w:rPr>
        <w:t>وينظّم هذا القانون أيضاً إجراءات إصدار بطاقة الإقامة المؤقتة للأشخاص المقيمين بصورة غير قانونية الذين صدر لصالحهم أمر بالحماية</w:t>
      </w:r>
      <w:r w:rsidRPr="00A10A96">
        <w:rPr>
          <w:rFonts w:hint="cs"/>
          <w:rtl/>
        </w:rPr>
        <w:t>.</w:t>
      </w:r>
    </w:p>
    <w:p w:rsidR="00944A3C" w:rsidRPr="00A10A96" w:rsidRDefault="00944A3C" w:rsidP="00050FB2">
      <w:pPr>
        <w:pStyle w:val="SingleTxtGA"/>
        <w:spacing w:line="366" w:lineRule="exact"/>
        <w:rPr>
          <w:rtl/>
        </w:rPr>
      </w:pPr>
      <w:r w:rsidRPr="00A10A96">
        <w:rPr>
          <w:rFonts w:hint="cs"/>
          <w:rtl/>
        </w:rPr>
        <w:t>241-</w:t>
      </w:r>
      <w:r w:rsidRPr="00A10A96">
        <w:rPr>
          <w:rFonts w:hint="cs"/>
          <w:rtl/>
        </w:rPr>
        <w:tab/>
      </w:r>
      <w:r w:rsidRPr="00A10A96">
        <w:rPr>
          <w:rtl/>
        </w:rPr>
        <w:t xml:space="preserve">وفي كانون الثاني/يناير 2013، أُسندت إلى هيئة مشتركة بين الوزارات لحماية المرأة من العنف ولمكافحة الاتجار بالأشخاص مهمة المرصد الوطني </w:t>
      </w:r>
      <w:r w:rsidRPr="00A10A96">
        <w:rPr>
          <w:rFonts w:hint="cs"/>
          <w:rtl/>
        </w:rPr>
        <w:t>ل</w:t>
      </w:r>
      <w:r w:rsidRPr="00A10A96">
        <w:rPr>
          <w:rtl/>
        </w:rPr>
        <w:t>لعنف ضد المرأة</w:t>
      </w:r>
      <w:r w:rsidRPr="00A10A96">
        <w:rPr>
          <w:rFonts w:hint="cs"/>
          <w:rtl/>
        </w:rPr>
        <w:t xml:space="preserve">. </w:t>
      </w:r>
      <w:r w:rsidRPr="00A10A96">
        <w:rPr>
          <w:rtl/>
        </w:rPr>
        <w:t>وفي هذا الصدد، يضطلع بجمع وتحليل ونشر المعلومات والبيانات ذات الصلة بهذا الموضوع، من أجل تنظيم إجراءات منع هذا العنف، فضل</w:t>
      </w:r>
      <w:r w:rsidR="00B27C28">
        <w:rPr>
          <w:rtl/>
        </w:rPr>
        <w:t xml:space="preserve">اً </w:t>
      </w:r>
      <w:r w:rsidRPr="00A10A96">
        <w:rPr>
          <w:rtl/>
        </w:rPr>
        <w:t>عن توفير الحماية والمساعدة للضحايا</w:t>
      </w:r>
      <w:r w:rsidR="00153506">
        <w:rPr>
          <w:rStyle w:val="FootnoteReference"/>
          <w:rtl/>
        </w:rPr>
        <w:footnoteReference w:customMarkFollows="1" w:id="7"/>
        <w:t>(</w:t>
      </w:r>
      <w:r w:rsidR="00153506">
        <w:rPr>
          <w:rStyle w:val="FootnoteReference"/>
          <w:rFonts w:hint="cs"/>
          <w:rtl/>
        </w:rPr>
        <w:t>4</w:t>
      </w:r>
      <w:r w:rsidR="00153506">
        <w:rPr>
          <w:rStyle w:val="FootnoteReference"/>
          <w:rtl/>
        </w:rPr>
        <w:t>)</w:t>
      </w:r>
      <w:r w:rsidRPr="00A10A96">
        <w:rPr>
          <w:rFonts w:hint="cs"/>
          <w:rtl/>
        </w:rPr>
        <w:t>.</w:t>
      </w:r>
    </w:p>
    <w:p w:rsidR="00944A3C" w:rsidRPr="00A10A96" w:rsidRDefault="00944A3C" w:rsidP="002D7359">
      <w:pPr>
        <w:pStyle w:val="SingleTxtGA"/>
        <w:spacing w:line="370" w:lineRule="exact"/>
        <w:rPr>
          <w:rtl/>
        </w:rPr>
      </w:pPr>
      <w:r w:rsidRPr="00A10A96">
        <w:rPr>
          <w:rFonts w:hint="cs"/>
          <w:rtl/>
        </w:rPr>
        <w:t>242-</w:t>
      </w:r>
      <w:r w:rsidRPr="00A10A96">
        <w:rPr>
          <w:rFonts w:hint="cs"/>
          <w:rtl/>
        </w:rPr>
        <w:tab/>
      </w:r>
      <w:r w:rsidRPr="00A10A96">
        <w:rPr>
          <w:rtl/>
        </w:rPr>
        <w:t xml:space="preserve">وعلاوة على ذلك، </w:t>
      </w:r>
      <w:r w:rsidRPr="00A10A96">
        <w:rPr>
          <w:rFonts w:hint="cs"/>
          <w:rtl/>
        </w:rPr>
        <w:t xml:space="preserve">أدخل </w:t>
      </w:r>
      <w:r w:rsidRPr="00A10A96">
        <w:rPr>
          <w:rtl/>
        </w:rPr>
        <w:t>القانون المؤرخ 6 آب/أغسطس 2012</w:t>
      </w:r>
      <w:r w:rsidR="00C87775">
        <w:rPr>
          <w:rStyle w:val="FootnoteReference"/>
          <w:rtl/>
        </w:rPr>
        <w:footnoteReference w:customMarkFollows="1" w:id="8"/>
        <w:t>(</w:t>
      </w:r>
      <w:r w:rsidR="00C87775">
        <w:rPr>
          <w:rStyle w:val="FootnoteReference"/>
          <w:rFonts w:hint="cs"/>
          <w:rtl/>
        </w:rPr>
        <w:t>5</w:t>
      </w:r>
      <w:r w:rsidR="00C87775">
        <w:rPr>
          <w:rStyle w:val="FootnoteReference"/>
          <w:rtl/>
        </w:rPr>
        <w:t>)</w:t>
      </w:r>
      <w:r w:rsidR="00C87775">
        <w:rPr>
          <w:rFonts w:hint="cs"/>
          <w:rtl/>
        </w:rPr>
        <w:t xml:space="preserve"> </w:t>
      </w:r>
      <w:r w:rsidRPr="00A10A96">
        <w:rPr>
          <w:rtl/>
        </w:rPr>
        <w:t>تعريف</w:t>
      </w:r>
      <w:r w:rsidR="00B27C28">
        <w:rPr>
          <w:rtl/>
        </w:rPr>
        <w:t xml:space="preserve">اً </w:t>
      </w:r>
      <w:r w:rsidRPr="00A10A96">
        <w:rPr>
          <w:rtl/>
        </w:rPr>
        <w:t>جديد</w:t>
      </w:r>
      <w:r w:rsidR="00B27C28">
        <w:rPr>
          <w:rtl/>
        </w:rPr>
        <w:t xml:space="preserve">اً </w:t>
      </w:r>
      <w:r w:rsidRPr="00A10A96">
        <w:rPr>
          <w:rtl/>
        </w:rPr>
        <w:t>أدق وأوسع نطاق</w:t>
      </w:r>
      <w:r w:rsidR="00B27C28">
        <w:rPr>
          <w:rtl/>
        </w:rPr>
        <w:t xml:space="preserve">اً </w:t>
      </w:r>
      <w:r w:rsidRPr="00A10A96">
        <w:rPr>
          <w:rtl/>
        </w:rPr>
        <w:t xml:space="preserve">لمفهوم التحرش الجنسي في قانون العقوبات، وقانون العمل، والنظام الأساسي للوظيفة العمومية، </w:t>
      </w:r>
      <w:r w:rsidRPr="00A10A96">
        <w:rPr>
          <w:rFonts w:hint="cs"/>
          <w:rtl/>
        </w:rPr>
        <w:t>و</w:t>
      </w:r>
      <w:r w:rsidRPr="00A10A96">
        <w:rPr>
          <w:rtl/>
        </w:rPr>
        <w:t>في الوقت ذاته عقوبات أكثر صرامة، وذلك وفق</w:t>
      </w:r>
      <w:r w:rsidR="00B27C28">
        <w:rPr>
          <w:rtl/>
        </w:rPr>
        <w:t xml:space="preserve">اً </w:t>
      </w:r>
      <w:r w:rsidRPr="00A10A96">
        <w:rPr>
          <w:rtl/>
        </w:rPr>
        <w:t>للقانون الأوروبي</w:t>
      </w:r>
      <w:r w:rsidRPr="00A10A96">
        <w:rPr>
          <w:rFonts w:hint="cs"/>
          <w:rtl/>
        </w:rPr>
        <w:t>.</w:t>
      </w:r>
    </w:p>
    <w:p w:rsidR="00944A3C" w:rsidRPr="00A10A96" w:rsidRDefault="00944A3C" w:rsidP="002D7359">
      <w:pPr>
        <w:pStyle w:val="SingleTxtGA"/>
        <w:spacing w:line="370" w:lineRule="exact"/>
        <w:rPr>
          <w:rtl/>
        </w:rPr>
      </w:pPr>
      <w:r w:rsidRPr="00A10A96">
        <w:rPr>
          <w:rFonts w:hint="cs"/>
          <w:rtl/>
        </w:rPr>
        <w:t>243-</w:t>
      </w:r>
      <w:r w:rsidRPr="00A10A96">
        <w:rPr>
          <w:rFonts w:hint="cs"/>
          <w:rtl/>
        </w:rPr>
        <w:tab/>
      </w:r>
      <w:r w:rsidRPr="00A10A96">
        <w:rPr>
          <w:b/>
          <w:bCs/>
          <w:rtl/>
        </w:rPr>
        <w:t xml:space="preserve">مكافحة </w:t>
      </w:r>
      <w:r w:rsidRPr="00A10A96">
        <w:rPr>
          <w:rFonts w:hint="cs"/>
          <w:b/>
          <w:bCs/>
          <w:rtl/>
        </w:rPr>
        <w:t xml:space="preserve">أفعال </w:t>
      </w:r>
      <w:r w:rsidRPr="00A10A96">
        <w:rPr>
          <w:b/>
          <w:bCs/>
          <w:rtl/>
        </w:rPr>
        <w:t>العنف ضد الأطفال</w:t>
      </w:r>
      <w:r w:rsidRPr="00A10A96">
        <w:rPr>
          <w:rtl/>
        </w:rPr>
        <w:t>: تأخذ السلطات العامة في الاعتبار حماية الأطفال من العنف، ولا سيما العنف العائلي</w:t>
      </w:r>
      <w:r w:rsidRPr="00A10A96">
        <w:rPr>
          <w:rFonts w:hint="cs"/>
          <w:rtl/>
        </w:rPr>
        <w:t xml:space="preserve">. </w:t>
      </w:r>
      <w:r w:rsidRPr="00A10A96">
        <w:rPr>
          <w:rtl/>
        </w:rPr>
        <w:t>ووُضعت بالتالي خطة لمكافحة أفعال العنف بهدف تعزيز الاهتمام بظاهرة الأطفال المعرضين للعنف في إطار العلاقة الزوجية من خلال تعميم توصيات في هذا الشأن على السلطات العامة والأخصائيين المعنيين</w:t>
      </w:r>
      <w:r w:rsidRPr="00A10A96">
        <w:rPr>
          <w:rFonts w:hint="cs"/>
          <w:rtl/>
        </w:rPr>
        <w:t>.</w:t>
      </w:r>
    </w:p>
    <w:p w:rsidR="00944A3C" w:rsidRPr="00A10A96" w:rsidRDefault="00944A3C" w:rsidP="007F1D0A">
      <w:pPr>
        <w:pStyle w:val="SingleTxtGA"/>
        <w:spacing w:line="370" w:lineRule="exact"/>
        <w:rPr>
          <w:rtl/>
        </w:rPr>
      </w:pPr>
      <w:r w:rsidRPr="00A10A96">
        <w:rPr>
          <w:rFonts w:hint="cs"/>
          <w:rtl/>
        </w:rPr>
        <w:t>244-</w:t>
      </w:r>
      <w:r w:rsidRPr="00A10A96">
        <w:rPr>
          <w:rFonts w:hint="cs"/>
          <w:rtl/>
        </w:rPr>
        <w:tab/>
        <w:t xml:space="preserve">وواصلت </w:t>
      </w:r>
      <w:r w:rsidRPr="00A10A96">
        <w:rPr>
          <w:rtl/>
        </w:rPr>
        <w:t>الخطة الرابعة</w:t>
      </w:r>
      <w:r w:rsidR="00C87775">
        <w:rPr>
          <w:rStyle w:val="FootnoteReference"/>
          <w:rtl/>
        </w:rPr>
        <w:footnoteReference w:customMarkFollows="1" w:id="9"/>
        <w:t>(</w:t>
      </w:r>
      <w:r w:rsidR="00C87775">
        <w:rPr>
          <w:rStyle w:val="FootnoteReference"/>
          <w:rFonts w:hint="cs"/>
          <w:rtl/>
        </w:rPr>
        <w:t>6</w:t>
      </w:r>
      <w:r w:rsidR="00C87775">
        <w:rPr>
          <w:rStyle w:val="FootnoteReference"/>
          <w:rtl/>
        </w:rPr>
        <w:t>)</w:t>
      </w:r>
      <w:r w:rsidR="00C87775">
        <w:rPr>
          <w:rFonts w:hint="cs"/>
          <w:rtl/>
        </w:rPr>
        <w:t xml:space="preserve"> </w:t>
      </w:r>
      <w:r w:rsidRPr="00A10A96">
        <w:rPr>
          <w:rtl/>
        </w:rPr>
        <w:t>لمكافحة العنف ضد المرأة (2014</w:t>
      </w:r>
      <w:r w:rsidR="007F1D0A">
        <w:rPr>
          <w:rtl/>
        </w:rPr>
        <w:noBreakHyphen/>
      </w:r>
      <w:r w:rsidRPr="00A10A96">
        <w:rPr>
          <w:rtl/>
        </w:rPr>
        <w:t>2016) هذا النهج، واستندت، بالمقارنة مع الخطة السابقة، إلى عدد أقل من الأولويات التي تلتزم بها الحكومة وتُساءل عنها أمام البرلمان بوجه خاص</w:t>
      </w:r>
      <w:r w:rsidRPr="00A10A96">
        <w:rPr>
          <w:rFonts w:hint="cs"/>
          <w:rtl/>
        </w:rPr>
        <w:t xml:space="preserve">. </w:t>
      </w:r>
      <w:r w:rsidRPr="00A10A96">
        <w:rPr>
          <w:rtl/>
        </w:rPr>
        <w:t>وتتمثل أهدافها فيما يلي:</w:t>
      </w:r>
    </w:p>
    <w:p w:rsidR="00944A3C" w:rsidRPr="007F1D0A" w:rsidRDefault="00944A3C" w:rsidP="002D7359">
      <w:pPr>
        <w:pStyle w:val="Bullet1GA"/>
        <w:bidi/>
        <w:spacing w:line="370" w:lineRule="exact"/>
      </w:pPr>
      <w:r w:rsidRPr="007F1D0A">
        <w:rPr>
          <w:rtl/>
        </w:rPr>
        <w:t>تنظيم الإجراءات العامة على أساس مبدأ بسيط للعمل: عدم تجاهل أي إبلاغ عن العنف؛</w:t>
      </w:r>
    </w:p>
    <w:p w:rsidR="00944A3C" w:rsidRPr="00A10A96" w:rsidRDefault="00944A3C" w:rsidP="002D7359">
      <w:pPr>
        <w:pStyle w:val="Bullet1GA"/>
        <w:bidi/>
        <w:spacing w:line="370" w:lineRule="exact"/>
      </w:pPr>
      <w:r w:rsidRPr="00A10A96">
        <w:rPr>
          <w:rtl/>
        </w:rPr>
        <w:t>حماية الضحايا</w:t>
      </w:r>
      <w:r w:rsidRPr="00A10A96">
        <w:rPr>
          <w:rFonts w:hint="cs"/>
          <w:rtl/>
        </w:rPr>
        <w:t>؛</w:t>
      </w:r>
    </w:p>
    <w:p w:rsidR="00944A3C" w:rsidRPr="00A10A96" w:rsidRDefault="00944A3C" w:rsidP="002D7359">
      <w:pPr>
        <w:pStyle w:val="Bullet1GA"/>
        <w:bidi/>
        <w:spacing w:line="370" w:lineRule="exact"/>
        <w:rPr>
          <w:rtl/>
        </w:rPr>
      </w:pPr>
      <w:r w:rsidRPr="00A10A96">
        <w:rPr>
          <w:rtl/>
        </w:rPr>
        <w:t>تعبئة المجتمع ككل</w:t>
      </w:r>
      <w:r w:rsidRPr="00A10A96">
        <w:rPr>
          <w:rFonts w:hint="cs"/>
          <w:rtl/>
        </w:rPr>
        <w:t>.</w:t>
      </w:r>
    </w:p>
    <w:p w:rsidR="00944A3C" w:rsidRPr="00A10A96" w:rsidRDefault="00317E96" w:rsidP="005714DA">
      <w:pPr>
        <w:pStyle w:val="H4GA"/>
        <w:spacing w:line="370" w:lineRule="exact"/>
        <w:rPr>
          <w:rtl/>
          <w:lang w:val="es-ES" w:eastAsia="es-ES"/>
        </w:rPr>
      </w:pPr>
      <w:r>
        <w:rPr>
          <w:rtl/>
        </w:rPr>
        <w:lastRenderedPageBreak/>
        <w:tab/>
      </w:r>
      <w:r w:rsidR="005714DA">
        <w:rPr>
          <w:rFonts w:hint="cs"/>
          <w:rtl/>
        </w:rPr>
        <w:t>‘</w:t>
      </w:r>
      <w:r w:rsidR="00944A3C" w:rsidRPr="00A10A96">
        <w:rPr>
          <w:rFonts w:hint="cs"/>
          <w:rtl/>
        </w:rPr>
        <w:t>4</w:t>
      </w:r>
      <w:r w:rsidR="005714DA">
        <w:rPr>
          <w:rFonts w:hint="cs"/>
          <w:rtl/>
        </w:rPr>
        <w:t>‘</w:t>
      </w:r>
      <w:r w:rsidR="00944A3C" w:rsidRPr="00A10A96">
        <w:rPr>
          <w:rtl/>
        </w:rPr>
        <w:tab/>
        <w:t>الحق في عدم التعرض للاسترقاق</w:t>
      </w:r>
    </w:p>
    <w:p w:rsidR="00944A3C" w:rsidRPr="00A10A96" w:rsidRDefault="00944A3C" w:rsidP="002D7359">
      <w:pPr>
        <w:pStyle w:val="SingleTxtGA"/>
        <w:spacing w:line="370" w:lineRule="exact"/>
        <w:rPr>
          <w:rtl/>
        </w:rPr>
      </w:pPr>
      <w:r w:rsidRPr="00A10A96">
        <w:rPr>
          <w:rFonts w:hint="cs"/>
          <w:rtl/>
        </w:rPr>
        <w:t>245-</w:t>
      </w:r>
      <w:r w:rsidRPr="00A10A96">
        <w:rPr>
          <w:rFonts w:hint="cs"/>
          <w:rtl/>
        </w:rPr>
        <w:tab/>
      </w:r>
      <w:r w:rsidRPr="00A10A96">
        <w:rPr>
          <w:rtl/>
        </w:rPr>
        <w:t>صدقت فرنسا على الاتفاقية الخاصة بالرق المعدلة ببروتوكول عام 1953</w:t>
      </w:r>
      <w:r w:rsidRPr="00A10A96">
        <w:rPr>
          <w:rFonts w:hint="cs"/>
          <w:rtl/>
        </w:rPr>
        <w:t>.</w:t>
      </w:r>
    </w:p>
    <w:p w:rsidR="00944A3C" w:rsidRPr="00A10A96" w:rsidRDefault="00944A3C" w:rsidP="002D7359">
      <w:pPr>
        <w:pStyle w:val="SingleTxtGA"/>
        <w:spacing w:line="370" w:lineRule="exact"/>
        <w:rPr>
          <w:rtl/>
        </w:rPr>
      </w:pPr>
      <w:r w:rsidRPr="00A10A96">
        <w:rPr>
          <w:rFonts w:hint="cs"/>
          <w:rtl/>
        </w:rPr>
        <w:t>246-</w:t>
      </w:r>
      <w:r w:rsidRPr="00A10A96">
        <w:rPr>
          <w:rFonts w:hint="cs"/>
          <w:rtl/>
        </w:rPr>
        <w:tab/>
      </w:r>
      <w:r w:rsidRPr="00A10A96">
        <w:rPr>
          <w:rtl/>
        </w:rPr>
        <w:t>وبالإضافة إلى أن الاسترقاق يعاق</w:t>
      </w:r>
      <w:r w:rsidRPr="00A10A96">
        <w:rPr>
          <w:rFonts w:hint="cs"/>
          <w:rtl/>
        </w:rPr>
        <w:t>َ</w:t>
      </w:r>
      <w:r w:rsidRPr="00A10A96">
        <w:rPr>
          <w:rtl/>
        </w:rPr>
        <w:t>ب عليه جنائي</w:t>
      </w:r>
      <w:r w:rsidR="00B27C28">
        <w:rPr>
          <w:rtl/>
        </w:rPr>
        <w:t xml:space="preserve">اً </w:t>
      </w:r>
      <w:r w:rsidRPr="00A10A96">
        <w:rPr>
          <w:rtl/>
        </w:rPr>
        <w:t>بالسجن مدة عشرين سنة، فهو يعتبر جريمة ضد الإنسانية في القانون الفرنسي</w:t>
      </w:r>
      <w:r w:rsidRPr="00A10A96">
        <w:rPr>
          <w:rFonts w:hint="cs"/>
          <w:rtl/>
        </w:rPr>
        <w:t xml:space="preserve">. </w:t>
      </w:r>
      <w:r w:rsidRPr="00A10A96">
        <w:rPr>
          <w:rtl/>
        </w:rPr>
        <w:t>كما يعاقَب على الاستغلال الجنسي للأشخاص المسترقين بالسجن مدة عشرين سنة</w:t>
      </w:r>
      <w:r w:rsidRPr="00A10A96">
        <w:rPr>
          <w:rFonts w:hint="cs"/>
          <w:rtl/>
        </w:rPr>
        <w:t xml:space="preserve">. </w:t>
      </w:r>
      <w:r w:rsidRPr="00A10A96">
        <w:rPr>
          <w:rtl/>
        </w:rPr>
        <w:t xml:space="preserve">ويؤدي ارتكاب جرائم أخرى إلى رفع مدة الحبس إلى ثلاثين سنة. وقد يؤدي وجود ظروف مشددة للعقوبة إلى رفع المدة إلى السجن مدى الحياة (المادة 224-1 </w:t>
      </w:r>
      <w:r w:rsidRPr="00A10A96">
        <w:rPr>
          <w:rFonts w:hint="cs"/>
          <w:rtl/>
        </w:rPr>
        <w:t>"</w:t>
      </w:r>
      <w:r w:rsidRPr="00A10A96">
        <w:rPr>
          <w:rtl/>
        </w:rPr>
        <w:t>ألف</w:t>
      </w:r>
      <w:r w:rsidRPr="00A10A96">
        <w:rPr>
          <w:rFonts w:hint="cs"/>
          <w:rtl/>
        </w:rPr>
        <w:t>"</w:t>
      </w:r>
      <w:r w:rsidRPr="00A10A96">
        <w:rPr>
          <w:rtl/>
        </w:rPr>
        <w:t xml:space="preserve"> وما يليها من قانون العقوبات)</w:t>
      </w:r>
      <w:r w:rsidRPr="00A10A96">
        <w:rPr>
          <w:rFonts w:hint="cs"/>
          <w:rtl/>
        </w:rPr>
        <w:t>.</w:t>
      </w:r>
    </w:p>
    <w:p w:rsidR="00944A3C" w:rsidRPr="00A10A96" w:rsidRDefault="00944A3C" w:rsidP="002D7359">
      <w:pPr>
        <w:pStyle w:val="SingleTxtGA"/>
        <w:spacing w:line="370" w:lineRule="exact"/>
        <w:rPr>
          <w:rtl/>
        </w:rPr>
      </w:pPr>
      <w:r w:rsidRPr="00A10A96">
        <w:rPr>
          <w:rFonts w:hint="cs"/>
          <w:rtl/>
        </w:rPr>
        <w:t>247-</w:t>
      </w:r>
      <w:r w:rsidRPr="00A10A96">
        <w:rPr>
          <w:rFonts w:hint="cs"/>
          <w:rtl/>
        </w:rPr>
        <w:tab/>
      </w:r>
      <w:r w:rsidRPr="00A10A96">
        <w:rPr>
          <w:rtl/>
        </w:rPr>
        <w:t>وأُنشئت لجنة للذاكرة والتاريخ في مجال الرق بموجب القانون المؤرخ 21 أيار/</w:t>
      </w:r>
      <w:r w:rsidR="00317E96">
        <w:rPr>
          <w:rFonts w:hint="cs"/>
          <w:rtl/>
        </w:rPr>
        <w:t xml:space="preserve"> </w:t>
      </w:r>
      <w:r w:rsidRPr="00A10A96">
        <w:rPr>
          <w:rtl/>
        </w:rPr>
        <w:t>مايو</w:t>
      </w:r>
      <w:r w:rsidR="00317E96">
        <w:rPr>
          <w:rFonts w:hint="cs"/>
          <w:rtl/>
        </w:rPr>
        <w:t> </w:t>
      </w:r>
      <w:r w:rsidRPr="00A10A96">
        <w:rPr>
          <w:rtl/>
        </w:rPr>
        <w:t>2001</w:t>
      </w:r>
      <w:r w:rsidR="00C87775">
        <w:rPr>
          <w:rStyle w:val="FootnoteReference"/>
          <w:rtl/>
        </w:rPr>
        <w:footnoteReference w:customMarkFollows="1" w:id="10"/>
        <w:t>(</w:t>
      </w:r>
      <w:r w:rsidR="00C87775">
        <w:rPr>
          <w:rStyle w:val="FootnoteReference"/>
          <w:rFonts w:hint="cs"/>
          <w:rtl/>
        </w:rPr>
        <w:t>7</w:t>
      </w:r>
      <w:r w:rsidR="00C87775">
        <w:rPr>
          <w:rStyle w:val="FootnoteReference"/>
          <w:rtl/>
        </w:rPr>
        <w:t>)</w:t>
      </w:r>
      <w:r w:rsidRPr="00A10A96">
        <w:rPr>
          <w:rFonts w:hint="cs"/>
          <w:rtl/>
        </w:rPr>
        <w:t xml:space="preserve">. </w:t>
      </w:r>
      <w:r w:rsidRPr="00A10A96">
        <w:rPr>
          <w:rtl/>
        </w:rPr>
        <w:t xml:space="preserve">وتتمثل مهمتها في تقديم المشورة والتوصيات إلى الحكومة بشأن المسائل المتعلقة بأنشطة البحث </w:t>
      </w:r>
      <w:r w:rsidRPr="00A10A96">
        <w:rPr>
          <w:rFonts w:hint="cs"/>
          <w:rtl/>
        </w:rPr>
        <w:t>و</w:t>
      </w:r>
      <w:r w:rsidRPr="00A10A96">
        <w:rPr>
          <w:rtl/>
        </w:rPr>
        <w:t xml:space="preserve">التعليم </w:t>
      </w:r>
      <w:r w:rsidRPr="00A10A96">
        <w:rPr>
          <w:rFonts w:hint="cs"/>
          <w:rtl/>
        </w:rPr>
        <w:t>و</w:t>
      </w:r>
      <w:r w:rsidRPr="00A10A96">
        <w:rPr>
          <w:rtl/>
        </w:rPr>
        <w:t xml:space="preserve">حفظ </w:t>
      </w:r>
      <w:r w:rsidRPr="00A10A96">
        <w:rPr>
          <w:rFonts w:hint="cs"/>
          <w:rtl/>
        </w:rPr>
        <w:t>المعلومات و</w:t>
      </w:r>
      <w:r w:rsidRPr="00A10A96">
        <w:rPr>
          <w:rtl/>
        </w:rPr>
        <w:t>نشر</w:t>
      </w:r>
      <w:r w:rsidRPr="00A10A96">
        <w:rPr>
          <w:rFonts w:hint="cs"/>
          <w:rtl/>
        </w:rPr>
        <w:t>ها</w:t>
      </w:r>
      <w:r w:rsidRPr="00A10A96">
        <w:rPr>
          <w:rtl/>
        </w:rPr>
        <w:t xml:space="preserve"> أو </w:t>
      </w:r>
      <w:r w:rsidRPr="00A10A96">
        <w:rPr>
          <w:rFonts w:hint="cs"/>
          <w:rtl/>
        </w:rPr>
        <w:t xml:space="preserve">نقلها </w:t>
      </w:r>
      <w:r w:rsidRPr="00A10A96">
        <w:rPr>
          <w:rtl/>
        </w:rPr>
        <w:t>التي تتناول التاريخ والذاكرة في مجال تجارة الرقيق والرق وإلغائهما</w:t>
      </w:r>
      <w:r w:rsidRPr="00A10A96">
        <w:rPr>
          <w:rFonts w:hint="cs"/>
          <w:rtl/>
        </w:rPr>
        <w:t xml:space="preserve">. </w:t>
      </w:r>
      <w:r w:rsidRPr="00A10A96">
        <w:rPr>
          <w:rtl/>
        </w:rPr>
        <w:t>ويجوز لها أن تنظر في مسألة ما بناء على طلب من رئيس الوزراء أو الوزراء المعنيين، أو بمبادرة ذاتية منها</w:t>
      </w:r>
      <w:r w:rsidRPr="00A10A96">
        <w:rPr>
          <w:rFonts w:hint="cs"/>
          <w:rtl/>
        </w:rPr>
        <w:t>.</w:t>
      </w:r>
    </w:p>
    <w:p w:rsidR="00944A3C" w:rsidRPr="00A10A96" w:rsidRDefault="00317E96" w:rsidP="005714DA">
      <w:pPr>
        <w:pStyle w:val="H4GA"/>
        <w:rPr>
          <w:rtl/>
          <w:lang w:val="es-ES" w:eastAsia="es-ES"/>
        </w:rPr>
      </w:pPr>
      <w:r>
        <w:rPr>
          <w:rtl/>
        </w:rPr>
        <w:tab/>
      </w:r>
      <w:r w:rsidR="005714DA">
        <w:rPr>
          <w:rFonts w:hint="cs"/>
          <w:rtl/>
        </w:rPr>
        <w:t>‘</w:t>
      </w:r>
      <w:r w:rsidR="00944A3C" w:rsidRPr="00A10A96">
        <w:rPr>
          <w:rFonts w:hint="cs"/>
          <w:rtl/>
        </w:rPr>
        <w:t>5</w:t>
      </w:r>
      <w:r w:rsidR="005714DA">
        <w:rPr>
          <w:rFonts w:hint="cs"/>
          <w:rtl/>
        </w:rPr>
        <w:t>‘</w:t>
      </w:r>
      <w:r w:rsidR="00944A3C" w:rsidRPr="00A10A96">
        <w:rPr>
          <w:rtl/>
        </w:rPr>
        <w:tab/>
        <w:t>الحق في عدم التعرض للتمييز</w:t>
      </w:r>
    </w:p>
    <w:p w:rsidR="00944A3C" w:rsidRPr="00A10A96" w:rsidRDefault="00317E96" w:rsidP="00317E96">
      <w:pPr>
        <w:pStyle w:val="H56GA"/>
        <w:rPr>
          <w:rtl/>
        </w:rPr>
      </w:pPr>
      <w:r>
        <w:rPr>
          <w:rtl/>
        </w:rPr>
        <w:tab/>
      </w:r>
      <w:r>
        <w:rPr>
          <w:rtl/>
        </w:rPr>
        <w:tab/>
      </w:r>
      <w:r w:rsidR="00944A3C" w:rsidRPr="00A10A96">
        <w:rPr>
          <w:rtl/>
        </w:rPr>
        <w:t>أحكام عامة</w:t>
      </w:r>
    </w:p>
    <w:p w:rsidR="00944A3C" w:rsidRPr="00A10A96" w:rsidRDefault="00944A3C" w:rsidP="00317E96">
      <w:pPr>
        <w:pStyle w:val="SingleTxtGA"/>
        <w:rPr>
          <w:rtl/>
        </w:rPr>
      </w:pPr>
      <w:r w:rsidRPr="00A10A96">
        <w:rPr>
          <w:rFonts w:hint="cs"/>
          <w:rtl/>
        </w:rPr>
        <w:t>248-</w:t>
      </w:r>
      <w:r w:rsidRPr="00A10A96">
        <w:rPr>
          <w:rFonts w:hint="cs"/>
          <w:rtl/>
        </w:rPr>
        <w:tab/>
      </w:r>
      <w:r w:rsidRPr="00A10A96">
        <w:rPr>
          <w:rtl/>
        </w:rPr>
        <w:t>صدقت فرنسا على الاتفاقية الدولية للقضاء على جميع أشكال التمييز العنصري، وكذلك على الاتفاقية الأوروبية لحقوق الإنسان وميثاق الحقوق الأساسية للاتحاد الأوروبي اللذين يحظران جميع أنواع التمييز، في المادتين 14 و21 منهما، على التوالي</w:t>
      </w:r>
      <w:r w:rsidRPr="00A10A96">
        <w:rPr>
          <w:rFonts w:hint="cs"/>
          <w:rtl/>
        </w:rPr>
        <w:t>.</w:t>
      </w:r>
    </w:p>
    <w:p w:rsidR="00944A3C" w:rsidRPr="00A10A96" w:rsidRDefault="00944A3C" w:rsidP="00317E96">
      <w:pPr>
        <w:pStyle w:val="SingleTxtGA"/>
        <w:rPr>
          <w:rtl/>
        </w:rPr>
      </w:pPr>
      <w:r w:rsidRPr="00A10A96">
        <w:rPr>
          <w:rFonts w:hint="cs"/>
          <w:rtl/>
        </w:rPr>
        <w:t>249-</w:t>
      </w:r>
      <w:r w:rsidRPr="00A10A96">
        <w:rPr>
          <w:rFonts w:hint="cs"/>
          <w:rtl/>
        </w:rPr>
        <w:tab/>
      </w:r>
      <w:r w:rsidRPr="00A10A96">
        <w:rPr>
          <w:rtl/>
        </w:rPr>
        <w:t>ويعاقب القانون رقم 72-546 المؤرخ 1 تموز/يوليه 1972 بشأن مكافحة التمييز العنصري على التحريض على التمييز و</w:t>
      </w:r>
      <w:r w:rsidRPr="00A10A96">
        <w:rPr>
          <w:rFonts w:hint="cs"/>
          <w:rtl/>
        </w:rPr>
        <w:t xml:space="preserve">على </w:t>
      </w:r>
      <w:r w:rsidRPr="00A10A96">
        <w:rPr>
          <w:rtl/>
        </w:rPr>
        <w:t>التشهير بشخص ما بسبب أصله، أو انتمائه أو</w:t>
      </w:r>
      <w:r w:rsidR="00317E96">
        <w:rPr>
          <w:rFonts w:hint="cs"/>
          <w:rtl/>
        </w:rPr>
        <w:t> </w:t>
      </w:r>
      <w:r w:rsidRPr="00A10A96">
        <w:rPr>
          <w:rtl/>
        </w:rPr>
        <w:t>عدم انتمائه إلى جماعة إثنية أو قومية أو عرقية أو دينية معينة، أو</w:t>
      </w:r>
      <w:r w:rsidRPr="00A10A96">
        <w:rPr>
          <w:rFonts w:hint="cs"/>
          <w:rtl/>
        </w:rPr>
        <w:t xml:space="preserve"> سبِّ </w:t>
      </w:r>
      <w:r w:rsidRPr="00A10A96">
        <w:rPr>
          <w:rtl/>
        </w:rPr>
        <w:t>شخص ما للأسباب ذاتها</w:t>
      </w:r>
      <w:r w:rsidRPr="00A10A96">
        <w:rPr>
          <w:rFonts w:hint="cs"/>
          <w:rtl/>
        </w:rPr>
        <w:t xml:space="preserve">. </w:t>
      </w:r>
      <w:r w:rsidRPr="00A10A96">
        <w:rPr>
          <w:rtl/>
        </w:rPr>
        <w:t>ويتعلق القانون رقم 2001-1066 المؤرخ 16 تشرين الثاني/نوفمبر 2001 بمكافحة أشكال التمييز في حالات مختلفة للغاية: في التوظيف، أو المعاقبة أو التسريح، أو في مكان العمل، أو في الانتساب إلى الضمان الاجتماعي، أو في وضع لوائح الناخبين</w:t>
      </w:r>
      <w:r w:rsidRPr="00A10A96">
        <w:rPr>
          <w:rFonts w:hint="cs"/>
          <w:rtl/>
        </w:rPr>
        <w:t xml:space="preserve">. </w:t>
      </w:r>
      <w:r w:rsidRPr="00A10A96">
        <w:rPr>
          <w:rtl/>
        </w:rPr>
        <w:t>وشدد القانون رقم 2003-88 المؤرخ 3 شباط/فبراير 2003 العقوبات المنطبقة على الجرائم المتسمة بالعنصرية أو بمعاداة السامية أو بكره الأجانب</w:t>
      </w:r>
      <w:r w:rsidRPr="00A10A96">
        <w:rPr>
          <w:rFonts w:hint="cs"/>
          <w:rtl/>
        </w:rPr>
        <w:t xml:space="preserve">. </w:t>
      </w:r>
      <w:r w:rsidRPr="00A10A96">
        <w:rPr>
          <w:rtl/>
        </w:rPr>
        <w:t>وأُدرجت هذه الأحكام في قانون العقوبات</w:t>
      </w:r>
      <w:r w:rsidRPr="00A10A96">
        <w:rPr>
          <w:rFonts w:hint="cs"/>
          <w:rtl/>
        </w:rPr>
        <w:t>.</w:t>
      </w:r>
    </w:p>
    <w:p w:rsidR="00944A3C" w:rsidRPr="00A10A96" w:rsidRDefault="00944A3C" w:rsidP="00317E96">
      <w:pPr>
        <w:pStyle w:val="SingleTxtGA"/>
        <w:rPr>
          <w:rtl/>
        </w:rPr>
      </w:pPr>
      <w:r w:rsidRPr="00A10A96">
        <w:rPr>
          <w:rFonts w:hint="cs"/>
          <w:rtl/>
        </w:rPr>
        <w:t>250-</w:t>
      </w:r>
      <w:r w:rsidRPr="00A10A96">
        <w:rPr>
          <w:rFonts w:hint="cs"/>
          <w:rtl/>
        </w:rPr>
        <w:tab/>
      </w:r>
      <w:r w:rsidRPr="00A10A96">
        <w:rPr>
          <w:rtl/>
        </w:rPr>
        <w:t>وتعاقب المادة 225-1 من قانون العقوبات على التصرفات التمييزية تجاه الأشخاص الطبيعيين والكيانات القانونية بسبب</w:t>
      </w:r>
      <w:r w:rsidRPr="00A10A96">
        <w:rPr>
          <w:rFonts w:hint="cs"/>
          <w:rtl/>
        </w:rPr>
        <w:t xml:space="preserve"> خصائص</w:t>
      </w:r>
      <w:r w:rsidRPr="00A10A96">
        <w:rPr>
          <w:rtl/>
        </w:rPr>
        <w:t xml:space="preserve"> أعضائها</w:t>
      </w:r>
      <w:r w:rsidRPr="00A10A96">
        <w:rPr>
          <w:rFonts w:hint="cs"/>
          <w:rtl/>
        </w:rPr>
        <w:t xml:space="preserve">. </w:t>
      </w:r>
      <w:r w:rsidRPr="00A10A96">
        <w:rPr>
          <w:rtl/>
        </w:rPr>
        <w:t xml:space="preserve">ونطاق التصرفات المعاقب عليها واسع للغاية، حيث </w:t>
      </w:r>
      <w:r w:rsidRPr="00A10A96">
        <w:rPr>
          <w:rFonts w:hint="cs"/>
          <w:rtl/>
        </w:rPr>
        <w:t xml:space="preserve">يشمل </w:t>
      </w:r>
      <w:r w:rsidRPr="00A10A96">
        <w:rPr>
          <w:rtl/>
        </w:rPr>
        <w:t>حالات التمييز على أساس الأصل، ونوع الجنس، والحالة العائلية، والحمل، والمظهر الخارجي، والنسب، والحالة الصحية، والإعاقة، والخصائص الوراثية، والعادات، والميل الجنسي أو الهوية الجنسانية، والسن، والآراء السياسية، والانتماء النقابي، والانتماء أو عدم الانتماء الفعلي أو المفترض إلى جماعة إثنية أو قومية أو عرقية أو دينية معينة</w:t>
      </w:r>
      <w:r w:rsidRPr="00A10A96">
        <w:rPr>
          <w:rFonts w:hint="cs"/>
          <w:rtl/>
        </w:rPr>
        <w:t>.</w:t>
      </w:r>
    </w:p>
    <w:p w:rsidR="00944A3C" w:rsidRPr="00A10A96" w:rsidRDefault="00944A3C" w:rsidP="00317E96">
      <w:pPr>
        <w:pStyle w:val="SingleTxtGA"/>
        <w:rPr>
          <w:rtl/>
        </w:rPr>
      </w:pPr>
      <w:r w:rsidRPr="00A10A96">
        <w:rPr>
          <w:rFonts w:hint="cs"/>
          <w:rtl/>
        </w:rPr>
        <w:lastRenderedPageBreak/>
        <w:t>251-</w:t>
      </w:r>
      <w:r w:rsidRPr="00A10A96">
        <w:rPr>
          <w:rFonts w:hint="cs"/>
          <w:rtl/>
        </w:rPr>
        <w:tab/>
      </w:r>
      <w:r w:rsidRPr="00A10A96">
        <w:rPr>
          <w:rtl/>
        </w:rPr>
        <w:t>ولا تزال مسألة مكافحة التمييز في مجال العمل وضمان المساواة بين جميع الأشخاص في الحصول على العمل، بصرف النظر عن أصلهم القومي أو العرقي أو الإثني أو الديني، تشكل أولوية بالنسبة للسلطات العامة الفرنسية</w:t>
      </w:r>
      <w:r w:rsidRPr="00A10A96">
        <w:rPr>
          <w:rFonts w:hint="cs"/>
          <w:rtl/>
        </w:rPr>
        <w:t xml:space="preserve">. </w:t>
      </w:r>
      <w:r w:rsidRPr="00A10A96">
        <w:rPr>
          <w:rtl/>
        </w:rPr>
        <w:t xml:space="preserve">وتحدد المادة 225-2 من قانون العقوبات، بالتالي، التصرفات التمييزية المرتبطة بمجال العمل، التي </w:t>
      </w:r>
      <w:r w:rsidRPr="00A10A96">
        <w:rPr>
          <w:rFonts w:hint="cs"/>
          <w:rtl/>
        </w:rPr>
        <w:t xml:space="preserve">قد </w:t>
      </w:r>
      <w:r w:rsidRPr="00A10A96">
        <w:rPr>
          <w:rtl/>
        </w:rPr>
        <w:t>تتمثل فيما يلي</w:t>
      </w:r>
      <w:r w:rsidRPr="00A10A96">
        <w:rPr>
          <w:rFonts w:hint="cs"/>
          <w:rtl/>
        </w:rPr>
        <w:t>:</w:t>
      </w:r>
    </w:p>
    <w:p w:rsidR="00944A3C" w:rsidRPr="00A10A96" w:rsidRDefault="00944A3C" w:rsidP="00317E96">
      <w:pPr>
        <w:pStyle w:val="Bullet1GA"/>
        <w:bidi/>
      </w:pPr>
      <w:r w:rsidRPr="00A10A96">
        <w:rPr>
          <w:rtl/>
        </w:rPr>
        <w:t>الامتناع عن تقديم منفعة أو خدمة</w:t>
      </w:r>
      <w:r w:rsidRPr="00A10A96">
        <w:rPr>
          <w:rFonts w:hint="cs"/>
          <w:rtl/>
        </w:rPr>
        <w:t>؛</w:t>
      </w:r>
    </w:p>
    <w:p w:rsidR="00944A3C" w:rsidRPr="00A10A96" w:rsidRDefault="00944A3C" w:rsidP="00317E96">
      <w:pPr>
        <w:pStyle w:val="Bullet1GA"/>
        <w:bidi/>
      </w:pPr>
      <w:r w:rsidRPr="00A10A96">
        <w:rPr>
          <w:rtl/>
        </w:rPr>
        <w:t>عرقلة الممارسة العادية لأي نشاط اقتصادي</w:t>
      </w:r>
      <w:r w:rsidRPr="00A10A96">
        <w:rPr>
          <w:rFonts w:hint="cs"/>
          <w:rtl/>
        </w:rPr>
        <w:t>؛</w:t>
      </w:r>
    </w:p>
    <w:p w:rsidR="00944A3C" w:rsidRPr="00A10A96" w:rsidRDefault="00944A3C" w:rsidP="00317E96">
      <w:pPr>
        <w:pStyle w:val="Bullet1GA"/>
        <w:bidi/>
      </w:pPr>
      <w:r w:rsidRPr="00A10A96">
        <w:rPr>
          <w:rtl/>
        </w:rPr>
        <w:t>رفض توظيف شخص ما، أو معاقبته، أو فصله من العمل</w:t>
      </w:r>
      <w:r w:rsidRPr="00A10A96">
        <w:rPr>
          <w:rFonts w:hint="cs"/>
          <w:rtl/>
        </w:rPr>
        <w:t>؛</w:t>
      </w:r>
    </w:p>
    <w:p w:rsidR="00944A3C" w:rsidRPr="00A10A96" w:rsidRDefault="00944A3C" w:rsidP="00317E96">
      <w:pPr>
        <w:pStyle w:val="Bullet1GA"/>
        <w:bidi/>
      </w:pPr>
      <w:r w:rsidRPr="00A10A96">
        <w:rPr>
          <w:rtl/>
        </w:rPr>
        <w:t>إقران توفير منفعة أو خدمة بشرط تمييزي</w:t>
      </w:r>
      <w:r w:rsidRPr="00A10A96">
        <w:rPr>
          <w:rFonts w:hint="cs"/>
          <w:rtl/>
        </w:rPr>
        <w:t>؛</w:t>
      </w:r>
    </w:p>
    <w:p w:rsidR="00944A3C" w:rsidRPr="00A10A96" w:rsidRDefault="00944A3C" w:rsidP="00317E96">
      <w:pPr>
        <w:pStyle w:val="Bullet1GA"/>
        <w:bidi/>
      </w:pPr>
      <w:r w:rsidRPr="00A10A96">
        <w:rPr>
          <w:rtl/>
        </w:rPr>
        <w:t>إقران منح فرصة للعمل أو التدريب أو التكوين بشرط تمييزي</w:t>
      </w:r>
      <w:r w:rsidRPr="00A10A96">
        <w:rPr>
          <w:rFonts w:hint="cs"/>
          <w:rtl/>
        </w:rPr>
        <w:t>؛</w:t>
      </w:r>
    </w:p>
    <w:p w:rsidR="00944A3C" w:rsidRPr="00A10A96" w:rsidRDefault="00944A3C" w:rsidP="00317E96">
      <w:pPr>
        <w:pStyle w:val="Bullet1GA"/>
        <w:bidi/>
        <w:rPr>
          <w:rtl/>
        </w:rPr>
      </w:pPr>
      <w:r w:rsidRPr="00A10A96">
        <w:rPr>
          <w:rtl/>
        </w:rPr>
        <w:t>حرمان شخص</w:t>
      </w:r>
      <w:r w:rsidRPr="00A10A96">
        <w:rPr>
          <w:rFonts w:hint="cs"/>
          <w:rtl/>
        </w:rPr>
        <w:t>ٍ</w:t>
      </w:r>
      <w:r w:rsidRPr="00A10A96">
        <w:rPr>
          <w:rtl/>
        </w:rPr>
        <w:t xml:space="preserve"> من التدريب</w:t>
      </w:r>
      <w:r w:rsidRPr="00A10A96">
        <w:rPr>
          <w:rFonts w:hint="cs"/>
          <w:rtl/>
        </w:rPr>
        <w:t>.</w:t>
      </w:r>
    </w:p>
    <w:p w:rsidR="00944A3C" w:rsidRPr="00317E96" w:rsidRDefault="00944A3C" w:rsidP="00670E59">
      <w:pPr>
        <w:pStyle w:val="SingleTxtGA"/>
        <w:rPr>
          <w:rtl/>
        </w:rPr>
      </w:pPr>
      <w:r w:rsidRPr="00A10A96">
        <w:rPr>
          <w:rFonts w:hint="cs"/>
          <w:rtl/>
        </w:rPr>
        <w:t>252-</w:t>
      </w:r>
      <w:r w:rsidRPr="00A10A96">
        <w:rPr>
          <w:rFonts w:hint="cs"/>
          <w:rtl/>
        </w:rPr>
        <w:tab/>
      </w:r>
      <w:r w:rsidRPr="00317E96">
        <w:rPr>
          <w:rtl/>
        </w:rPr>
        <w:t>ويعاقَب جنائي</w:t>
      </w:r>
      <w:r w:rsidR="00B27C28">
        <w:rPr>
          <w:rtl/>
        </w:rPr>
        <w:t xml:space="preserve">اً </w:t>
      </w:r>
      <w:r w:rsidRPr="00317E96">
        <w:rPr>
          <w:rtl/>
        </w:rPr>
        <w:t xml:space="preserve">على أفعال التشهير والقذف المتسمة بالتمييز، وعلى الخطابات التمييزية وأفعال التحريض على التمييز، سواء ارتُكبت في سياق خاص أو أمام الملأ أو من خلال الصحافة (المادة 225-18، والمادة </w:t>
      </w:r>
      <w:r w:rsidRPr="00317E96">
        <w:t>R.624-3</w:t>
      </w:r>
      <w:r w:rsidRPr="00317E96">
        <w:rPr>
          <w:rtl/>
        </w:rPr>
        <w:t xml:space="preserve"> وما يليها،</w:t>
      </w:r>
      <w:r w:rsidRPr="00317E96">
        <w:rPr>
          <w:rFonts w:hint="cs"/>
          <w:rtl/>
        </w:rPr>
        <w:t xml:space="preserve"> </w:t>
      </w:r>
      <w:r w:rsidRPr="00317E96">
        <w:rPr>
          <w:rtl/>
        </w:rPr>
        <w:t>و</w:t>
      </w:r>
      <w:r w:rsidRPr="00317E96">
        <w:t>R.625-7</w:t>
      </w:r>
      <w:r w:rsidRPr="00317E96">
        <w:rPr>
          <w:rtl/>
        </w:rPr>
        <w:t xml:space="preserve"> من قانون العقوبات، والقانون المؤرخ 29 تموز/يوليه 1881 المتعلق بحرية الصحافة)</w:t>
      </w:r>
      <w:r w:rsidRPr="00317E96">
        <w:rPr>
          <w:rFonts w:hint="cs"/>
          <w:rtl/>
        </w:rPr>
        <w:t xml:space="preserve">. </w:t>
      </w:r>
      <w:r w:rsidRPr="00317E96">
        <w:rPr>
          <w:rtl/>
        </w:rPr>
        <w:t>وبالإضافة إلى ذلك، فإن ارتكاب جريمة أو جنحة بدافع تمييزي يعتبر ظرف</w:t>
      </w:r>
      <w:r w:rsidR="00B27C28">
        <w:rPr>
          <w:rtl/>
        </w:rPr>
        <w:t xml:space="preserve">اً </w:t>
      </w:r>
      <w:r w:rsidRPr="00317E96">
        <w:rPr>
          <w:rtl/>
        </w:rPr>
        <w:t>مشدد</w:t>
      </w:r>
      <w:r w:rsidR="00B27C28">
        <w:rPr>
          <w:rtl/>
        </w:rPr>
        <w:t xml:space="preserve">اً </w:t>
      </w:r>
      <w:r w:rsidRPr="00317E96">
        <w:rPr>
          <w:rFonts w:hint="cs"/>
          <w:rtl/>
        </w:rPr>
        <w:t xml:space="preserve">يؤدي </w:t>
      </w:r>
      <w:r w:rsidRPr="00317E96">
        <w:rPr>
          <w:rtl/>
        </w:rPr>
        <w:t>إلى رفع مدة العقوبة (المادة</w:t>
      </w:r>
      <w:r w:rsidR="005454AA">
        <w:rPr>
          <w:rFonts w:hint="cs"/>
          <w:rtl/>
        </w:rPr>
        <w:t> </w:t>
      </w:r>
      <w:r w:rsidRPr="00317E96">
        <w:rPr>
          <w:rtl/>
        </w:rPr>
        <w:t>132-77 من قانون العقوبات)</w:t>
      </w:r>
      <w:r w:rsidRPr="00317E96">
        <w:rPr>
          <w:rFonts w:hint="cs"/>
          <w:rtl/>
        </w:rPr>
        <w:t>.</w:t>
      </w:r>
    </w:p>
    <w:p w:rsidR="00944A3C" w:rsidRPr="00A10A96" w:rsidRDefault="002F2DD7" w:rsidP="005454AA">
      <w:pPr>
        <w:pStyle w:val="SingleTxtGA"/>
        <w:rPr>
          <w:rtl/>
        </w:rPr>
      </w:pPr>
      <w:r>
        <w:rPr>
          <w:rFonts w:hint="cs"/>
          <w:rtl/>
        </w:rPr>
        <w:t>2</w:t>
      </w:r>
      <w:r w:rsidR="00944A3C" w:rsidRPr="00A10A96">
        <w:rPr>
          <w:rFonts w:hint="cs"/>
          <w:rtl/>
        </w:rPr>
        <w:t>53-</w:t>
      </w:r>
      <w:r w:rsidR="00944A3C" w:rsidRPr="00A10A96">
        <w:rPr>
          <w:rFonts w:hint="cs"/>
          <w:rtl/>
        </w:rPr>
        <w:tab/>
      </w:r>
      <w:r w:rsidR="00944A3C" w:rsidRPr="00A10A96">
        <w:rPr>
          <w:rtl/>
        </w:rPr>
        <w:t>ويتمثل هدف المادة 432-7 من قانون العقوبات في قمع التصرفات التمييزية الصادرة عن الموظفين العامين أو، بصفة عامة، عن أي شخص عُهد إليه بمسؤولية السلطة العامة أو</w:t>
      </w:r>
      <w:r w:rsidR="005454AA">
        <w:rPr>
          <w:rFonts w:hint="cs"/>
          <w:rtl/>
        </w:rPr>
        <w:t> </w:t>
      </w:r>
      <w:r w:rsidR="00944A3C" w:rsidRPr="00A10A96">
        <w:rPr>
          <w:rtl/>
        </w:rPr>
        <w:t>مواطن كُلف بخدمة عامة</w:t>
      </w:r>
      <w:r w:rsidR="00944A3C" w:rsidRPr="00A10A96">
        <w:rPr>
          <w:rFonts w:hint="cs"/>
          <w:rtl/>
        </w:rPr>
        <w:t xml:space="preserve">. </w:t>
      </w:r>
      <w:r w:rsidR="00944A3C" w:rsidRPr="00A10A96">
        <w:rPr>
          <w:rtl/>
        </w:rPr>
        <w:t>وتنص هذه المادة على عقوبات إصلاحية ضد أي شخص عُهدت إليه مسؤولية السلطة العامة أو كُلف بأداء خدمة عامة يرتكب الأفعال التمييزية المنصوص عليها في المادة 225-1 من قانون العقوبات والمتمثلة في الحرمان من الاستفادة من حق يخوله القانون أو عرقلة الممارسة العادية لأي نشاط اقتصادي</w:t>
      </w:r>
      <w:r w:rsidR="00944A3C" w:rsidRPr="00A10A96">
        <w:rPr>
          <w:rFonts w:hint="cs"/>
          <w:rtl/>
        </w:rPr>
        <w:t>.</w:t>
      </w:r>
    </w:p>
    <w:p w:rsidR="00944A3C" w:rsidRPr="00101884" w:rsidRDefault="00944A3C" w:rsidP="00C87775">
      <w:pPr>
        <w:pStyle w:val="SingleTxtGA"/>
        <w:rPr>
          <w:spacing w:val="-2"/>
          <w:rtl/>
        </w:rPr>
      </w:pPr>
      <w:r w:rsidRPr="00101884">
        <w:rPr>
          <w:rFonts w:hint="cs"/>
          <w:spacing w:val="-2"/>
          <w:rtl/>
        </w:rPr>
        <w:t>254-</w:t>
      </w:r>
      <w:r w:rsidRPr="00101884">
        <w:rPr>
          <w:rFonts w:hint="cs"/>
          <w:spacing w:val="-2"/>
          <w:rtl/>
        </w:rPr>
        <w:tab/>
      </w:r>
      <w:r w:rsidRPr="00101884">
        <w:rPr>
          <w:spacing w:val="-2"/>
          <w:rtl/>
        </w:rPr>
        <w:t>وتشكل مكافحة العنصرية وكره الأجانب ومعاداة السامية إحدى أولويات العمل الحكومي</w:t>
      </w:r>
      <w:r w:rsidRPr="00101884">
        <w:rPr>
          <w:rFonts w:hint="cs"/>
          <w:spacing w:val="-2"/>
          <w:rtl/>
        </w:rPr>
        <w:t xml:space="preserve">. </w:t>
      </w:r>
      <w:r w:rsidRPr="00101884">
        <w:rPr>
          <w:spacing w:val="-2"/>
          <w:rtl/>
        </w:rPr>
        <w:t>وتُع</w:t>
      </w:r>
      <w:r w:rsidRPr="00101884">
        <w:rPr>
          <w:rFonts w:hint="cs"/>
          <w:spacing w:val="-2"/>
          <w:rtl/>
        </w:rPr>
        <w:t>ِ</w:t>
      </w:r>
      <w:r w:rsidRPr="00101884">
        <w:rPr>
          <w:spacing w:val="-2"/>
          <w:rtl/>
        </w:rPr>
        <w:t>د آلية مشتركة بين الوزارات، تجتمع في إطار اللجنة المشتركة بين الوزارات لمناهضة العنصرية ومعاداة السامية، تقرير</w:t>
      </w:r>
      <w:r w:rsidR="00B27C28" w:rsidRPr="00101884">
        <w:rPr>
          <w:spacing w:val="-2"/>
          <w:rtl/>
        </w:rPr>
        <w:t xml:space="preserve">اً </w:t>
      </w:r>
      <w:r w:rsidRPr="00101884">
        <w:rPr>
          <w:spacing w:val="-2"/>
          <w:rtl/>
        </w:rPr>
        <w:t>مرحلي</w:t>
      </w:r>
      <w:r w:rsidR="00B27C28" w:rsidRPr="00101884">
        <w:rPr>
          <w:spacing w:val="-2"/>
          <w:rtl/>
        </w:rPr>
        <w:t xml:space="preserve">اً </w:t>
      </w:r>
      <w:r w:rsidRPr="00101884">
        <w:rPr>
          <w:spacing w:val="-2"/>
          <w:rtl/>
        </w:rPr>
        <w:t>سنوي</w:t>
      </w:r>
      <w:r w:rsidR="00B27C28" w:rsidRPr="00101884">
        <w:rPr>
          <w:spacing w:val="-2"/>
          <w:rtl/>
        </w:rPr>
        <w:t xml:space="preserve">اً </w:t>
      </w:r>
      <w:r w:rsidRPr="00101884">
        <w:rPr>
          <w:spacing w:val="-2"/>
          <w:rtl/>
        </w:rPr>
        <w:t>يقدَّم إلى رئيس الوزراء</w:t>
      </w:r>
      <w:r w:rsidR="00C87775" w:rsidRPr="00101884">
        <w:rPr>
          <w:rStyle w:val="FootnoteReference"/>
          <w:spacing w:val="-2"/>
          <w:rtl/>
        </w:rPr>
        <w:footnoteReference w:customMarkFollows="1" w:id="11"/>
        <w:t>(</w:t>
      </w:r>
      <w:r w:rsidR="00C87775" w:rsidRPr="00101884">
        <w:rPr>
          <w:rStyle w:val="FootnoteReference"/>
          <w:rFonts w:hint="cs"/>
          <w:spacing w:val="-2"/>
          <w:rtl/>
        </w:rPr>
        <w:t>8</w:t>
      </w:r>
      <w:r w:rsidR="00C87775" w:rsidRPr="00101884">
        <w:rPr>
          <w:rStyle w:val="FootnoteReference"/>
          <w:spacing w:val="-2"/>
          <w:rtl/>
        </w:rPr>
        <w:t>)</w:t>
      </w:r>
      <w:r w:rsidRPr="00101884">
        <w:rPr>
          <w:rFonts w:hint="cs"/>
          <w:spacing w:val="-2"/>
          <w:rtl/>
        </w:rPr>
        <w:t xml:space="preserve">. </w:t>
      </w:r>
      <w:r w:rsidRPr="00101884">
        <w:rPr>
          <w:spacing w:val="-2"/>
          <w:rtl/>
        </w:rPr>
        <w:t xml:space="preserve">واعتمدت فرنسا خطة عمل وطنية </w:t>
      </w:r>
      <w:r w:rsidRPr="00101884">
        <w:rPr>
          <w:rFonts w:hint="cs"/>
          <w:spacing w:val="-2"/>
          <w:rtl/>
        </w:rPr>
        <w:t xml:space="preserve">لمكافحة </w:t>
      </w:r>
      <w:r w:rsidRPr="00101884">
        <w:rPr>
          <w:spacing w:val="-2"/>
          <w:rtl/>
        </w:rPr>
        <w:t>العنصرية ومعاداة السامية في شباط/فبراير 2012 وعينت مندوب</w:t>
      </w:r>
      <w:r w:rsidR="00B27C28" w:rsidRPr="00101884">
        <w:rPr>
          <w:spacing w:val="-2"/>
          <w:rtl/>
        </w:rPr>
        <w:t xml:space="preserve">اً </w:t>
      </w:r>
      <w:r w:rsidRPr="00101884">
        <w:rPr>
          <w:spacing w:val="-2"/>
          <w:rtl/>
        </w:rPr>
        <w:t>مشترك</w:t>
      </w:r>
      <w:r w:rsidR="00B27C28" w:rsidRPr="00101884">
        <w:rPr>
          <w:spacing w:val="-2"/>
          <w:rtl/>
        </w:rPr>
        <w:t xml:space="preserve">اً </w:t>
      </w:r>
      <w:r w:rsidRPr="00101884">
        <w:rPr>
          <w:spacing w:val="-2"/>
          <w:rtl/>
        </w:rPr>
        <w:t>بين الوزارات معني</w:t>
      </w:r>
      <w:r w:rsidR="00B27C28" w:rsidRPr="00101884">
        <w:rPr>
          <w:spacing w:val="-2"/>
          <w:rtl/>
        </w:rPr>
        <w:t xml:space="preserve">اً </w:t>
      </w:r>
      <w:r w:rsidRPr="00101884">
        <w:rPr>
          <w:spacing w:val="-2"/>
          <w:rtl/>
        </w:rPr>
        <w:t>بمكافحة العنصرية ومعاداة السامية</w:t>
      </w:r>
      <w:r w:rsidRPr="00101884">
        <w:rPr>
          <w:rFonts w:hint="cs"/>
          <w:spacing w:val="-2"/>
          <w:rtl/>
        </w:rPr>
        <w:t xml:space="preserve">؛ </w:t>
      </w:r>
      <w:r w:rsidRPr="00101884">
        <w:rPr>
          <w:spacing w:val="-2"/>
          <w:rtl/>
        </w:rPr>
        <w:t>وتستجيب هذه الخطة للتوصيات التي قدمتها لجنة الأمم المتحدة للقضاء على التمييز العنصري في آب/أغسطس 2010</w:t>
      </w:r>
      <w:r w:rsidRPr="00101884">
        <w:rPr>
          <w:rFonts w:hint="cs"/>
          <w:spacing w:val="-2"/>
          <w:rtl/>
        </w:rPr>
        <w:t xml:space="preserve">. </w:t>
      </w:r>
      <w:r w:rsidRPr="00101884">
        <w:rPr>
          <w:spacing w:val="-2"/>
          <w:rtl/>
        </w:rPr>
        <w:t xml:space="preserve">ووُضعت خطة </w:t>
      </w:r>
      <w:r w:rsidRPr="00101884">
        <w:rPr>
          <w:spacing w:val="-3"/>
          <w:rtl/>
        </w:rPr>
        <w:t>جديدة للفترة 2015-2017</w:t>
      </w:r>
      <w:r w:rsidRPr="00101884">
        <w:rPr>
          <w:rFonts w:hint="cs"/>
          <w:spacing w:val="-3"/>
          <w:rtl/>
        </w:rPr>
        <w:t xml:space="preserve">. </w:t>
      </w:r>
      <w:r w:rsidRPr="00101884">
        <w:rPr>
          <w:spacing w:val="-3"/>
          <w:rtl/>
        </w:rPr>
        <w:t>وعلاوة على ذلك، تُع</w:t>
      </w:r>
      <w:r w:rsidRPr="00101884">
        <w:rPr>
          <w:rFonts w:hint="cs"/>
          <w:spacing w:val="-3"/>
          <w:rtl/>
        </w:rPr>
        <w:t>ِ</w:t>
      </w:r>
      <w:r w:rsidRPr="00101884">
        <w:rPr>
          <w:spacing w:val="-3"/>
          <w:rtl/>
        </w:rPr>
        <w:t>د اللجنة الوطنية الاستشارية لحقوق الإنسان تقرير</w:t>
      </w:r>
      <w:r w:rsidR="00B27C28" w:rsidRPr="00101884">
        <w:rPr>
          <w:spacing w:val="-3"/>
          <w:rtl/>
        </w:rPr>
        <w:t xml:space="preserve">اً </w:t>
      </w:r>
      <w:r w:rsidRPr="00101884">
        <w:rPr>
          <w:spacing w:val="-3"/>
          <w:rtl/>
        </w:rPr>
        <w:t>سنوي</w:t>
      </w:r>
      <w:r w:rsidR="00B27C28" w:rsidRPr="00101884">
        <w:rPr>
          <w:spacing w:val="-3"/>
          <w:rtl/>
        </w:rPr>
        <w:t xml:space="preserve">اً </w:t>
      </w:r>
      <w:r w:rsidRPr="00101884">
        <w:rPr>
          <w:spacing w:val="-3"/>
          <w:rtl/>
        </w:rPr>
        <w:t>بشأن مكافحة العنصرية ومعاداة السامية وكره الأجانب يقدَّم إلى رئيس الوزراء</w:t>
      </w:r>
      <w:r w:rsidRPr="00101884">
        <w:rPr>
          <w:rFonts w:hint="cs"/>
          <w:spacing w:val="-3"/>
          <w:rtl/>
        </w:rPr>
        <w:t>.</w:t>
      </w:r>
    </w:p>
    <w:p w:rsidR="00944A3C" w:rsidRPr="00A10A96" w:rsidRDefault="005454AA" w:rsidP="005454AA">
      <w:pPr>
        <w:pStyle w:val="H56GA"/>
        <w:rPr>
          <w:rtl/>
        </w:rPr>
      </w:pPr>
      <w:r>
        <w:rPr>
          <w:rtl/>
        </w:rPr>
        <w:lastRenderedPageBreak/>
        <w:tab/>
      </w:r>
      <w:r>
        <w:rPr>
          <w:rtl/>
        </w:rPr>
        <w:tab/>
      </w:r>
      <w:r w:rsidR="00944A3C" w:rsidRPr="00A10A96">
        <w:rPr>
          <w:rtl/>
        </w:rPr>
        <w:t>الجمعيات والتمييز</w:t>
      </w:r>
    </w:p>
    <w:p w:rsidR="00944A3C" w:rsidRPr="00A10A96" w:rsidRDefault="00944A3C" w:rsidP="005454AA">
      <w:pPr>
        <w:pStyle w:val="SingleTxtGA"/>
        <w:rPr>
          <w:rtl/>
        </w:rPr>
      </w:pPr>
      <w:r w:rsidRPr="00A10A96">
        <w:rPr>
          <w:rFonts w:hint="cs"/>
          <w:rtl/>
        </w:rPr>
        <w:t>255-</w:t>
      </w:r>
      <w:r w:rsidRPr="00A10A96">
        <w:rPr>
          <w:rFonts w:hint="cs"/>
          <w:rtl/>
        </w:rPr>
        <w:tab/>
      </w:r>
      <w:r w:rsidRPr="00A10A96">
        <w:rPr>
          <w:rtl/>
        </w:rPr>
        <w:t>تجيز أحكام القانون المؤرخ 1 تموز/يوليه 1901 المتعلق بالجمعيات للقضاء حل الجمعيات التي قد يتعارض نظامها الأساسي أو نشاطها مع القوانين، وبالتالي، يجوز حل أي جمعية مخالفة للقانون المؤرخ 1 تموز/يوليه 1972 المتعلق بمكافحة العنصرية</w:t>
      </w:r>
      <w:r w:rsidRPr="00A10A96">
        <w:rPr>
          <w:rFonts w:hint="cs"/>
          <w:rtl/>
        </w:rPr>
        <w:t>.</w:t>
      </w:r>
    </w:p>
    <w:p w:rsidR="00944A3C" w:rsidRPr="005454AA" w:rsidRDefault="00944A3C" w:rsidP="005454AA">
      <w:pPr>
        <w:pStyle w:val="SingleTxtGA"/>
        <w:rPr>
          <w:spacing w:val="-4"/>
          <w:rtl/>
        </w:rPr>
      </w:pPr>
      <w:r w:rsidRPr="005454AA">
        <w:rPr>
          <w:rFonts w:hint="cs"/>
          <w:spacing w:val="-4"/>
          <w:rtl/>
        </w:rPr>
        <w:t>256-</w:t>
      </w:r>
      <w:r w:rsidRPr="005454AA">
        <w:rPr>
          <w:rFonts w:hint="cs"/>
          <w:spacing w:val="-4"/>
          <w:rtl/>
        </w:rPr>
        <w:tab/>
      </w:r>
      <w:r w:rsidRPr="005454AA">
        <w:rPr>
          <w:spacing w:val="-4"/>
          <w:rtl/>
        </w:rPr>
        <w:t>ويجيز قانون الإجراءات الجنائية للجمعيات المسجلة قانوني</w:t>
      </w:r>
      <w:r w:rsidR="00B27C28">
        <w:rPr>
          <w:spacing w:val="-4"/>
          <w:rtl/>
        </w:rPr>
        <w:t xml:space="preserve">اً </w:t>
      </w:r>
      <w:r w:rsidRPr="005454AA">
        <w:rPr>
          <w:spacing w:val="-4"/>
          <w:rtl/>
        </w:rPr>
        <w:t xml:space="preserve">منذ خمس سنوات على الأقل وقت حدوث الوقائع ممارسة الحقوق المعترف بها للطرف المدني فيما يتعلق </w:t>
      </w:r>
      <w:r w:rsidRPr="005454AA">
        <w:rPr>
          <w:rFonts w:hint="cs"/>
          <w:spacing w:val="-4"/>
          <w:rtl/>
        </w:rPr>
        <w:t xml:space="preserve">بمختلف </w:t>
      </w:r>
      <w:r w:rsidRPr="005454AA">
        <w:rPr>
          <w:spacing w:val="-4"/>
          <w:rtl/>
        </w:rPr>
        <w:t>الجرائم المرتكبة بدوافع تمييزية، عندما تبادر هذه الجمعيات من خلال أنظمتها الأساسية إلى مكافحة التمييز على أساس نوع الجنس، أو العادات، أو الميل الجنسي، أو الهوية الجنسية (المادة 2-6)، والتمييز العنصري أو الإثني أو الديني (المادة 2-1)، والجرائم المرتكبة ضد الإنسانية (المادة 2-4)</w:t>
      </w:r>
      <w:r w:rsidRPr="005454AA">
        <w:rPr>
          <w:rFonts w:hint="cs"/>
          <w:spacing w:val="-4"/>
          <w:rtl/>
        </w:rPr>
        <w:t>، وما إلى ذلك.</w:t>
      </w:r>
    </w:p>
    <w:p w:rsidR="00944A3C" w:rsidRPr="00A10A96" w:rsidRDefault="00944A3C" w:rsidP="005454AA">
      <w:pPr>
        <w:pStyle w:val="SingleTxtGA"/>
        <w:rPr>
          <w:rtl/>
        </w:rPr>
      </w:pPr>
      <w:r w:rsidRPr="00A10A96">
        <w:rPr>
          <w:rFonts w:hint="cs"/>
          <w:rtl/>
        </w:rPr>
        <w:t>257-</w:t>
      </w:r>
      <w:r w:rsidRPr="00A10A96">
        <w:rPr>
          <w:rFonts w:hint="cs"/>
          <w:rtl/>
        </w:rPr>
        <w:tab/>
      </w:r>
      <w:r w:rsidRPr="00A10A96">
        <w:rPr>
          <w:rtl/>
        </w:rPr>
        <w:t>واستحدث القانون رقم 90-615 المؤرخ 13 تموز/يوليه 1990 أحكام</w:t>
      </w:r>
      <w:r w:rsidR="00B27C28">
        <w:rPr>
          <w:rtl/>
        </w:rPr>
        <w:t xml:space="preserve">اً </w:t>
      </w:r>
      <w:r w:rsidRPr="00A10A96">
        <w:rPr>
          <w:rtl/>
        </w:rPr>
        <w:t>تجريمية بغرض مكافحة أشكال معينة من تزوير التاريخ المعاصر</w:t>
      </w:r>
      <w:r w:rsidRPr="00A10A96">
        <w:rPr>
          <w:rFonts w:hint="cs"/>
          <w:rtl/>
        </w:rPr>
        <w:t xml:space="preserve">. </w:t>
      </w:r>
      <w:r w:rsidRPr="00A10A96">
        <w:rPr>
          <w:rtl/>
        </w:rPr>
        <w:t>وينص هذا القانون على عقوبات إضافية اختيارية في حالة ارتكاب الجرائم ذات الطابع العنصري</w:t>
      </w:r>
      <w:r w:rsidRPr="00A10A96">
        <w:rPr>
          <w:rFonts w:hint="cs"/>
          <w:rtl/>
        </w:rPr>
        <w:t xml:space="preserve">. </w:t>
      </w:r>
      <w:r w:rsidRPr="00A10A96">
        <w:rPr>
          <w:rtl/>
        </w:rPr>
        <w:t>ويخول هذا القانون لجمعيات مكافحة العنصرية حق الرد سواء من خلال وسائط الإعلام المكتوبة أو السمعية البصرية عندما توجَّه لشخص ما تُهم قد تمس بشرفه أو سمعته بسبب أصله أو انتمائه أو عدم انتمائه إلى جماعة إثنية أو قومية أو عرقية أو دينية معينة</w:t>
      </w:r>
      <w:r w:rsidRPr="00A10A96">
        <w:rPr>
          <w:rFonts w:hint="cs"/>
          <w:rtl/>
        </w:rPr>
        <w:t>.</w:t>
      </w:r>
    </w:p>
    <w:p w:rsidR="00944A3C" w:rsidRPr="00A10A96" w:rsidRDefault="005454AA" w:rsidP="005454AA">
      <w:pPr>
        <w:pStyle w:val="H56GA"/>
        <w:rPr>
          <w:rtl/>
        </w:rPr>
      </w:pPr>
      <w:r>
        <w:rPr>
          <w:rtl/>
        </w:rPr>
        <w:tab/>
      </w:r>
      <w:r>
        <w:rPr>
          <w:rtl/>
        </w:rPr>
        <w:tab/>
      </w:r>
      <w:r w:rsidR="00944A3C" w:rsidRPr="00A10A96">
        <w:rPr>
          <w:rtl/>
        </w:rPr>
        <w:t>مكافحة التمييز ضد المرأة والإجراءات الإيجابية</w:t>
      </w:r>
    </w:p>
    <w:p w:rsidR="00944A3C" w:rsidRPr="00A10A96" w:rsidRDefault="00944A3C" w:rsidP="005454AA">
      <w:pPr>
        <w:pStyle w:val="SingleTxtGA"/>
        <w:rPr>
          <w:rtl/>
        </w:rPr>
      </w:pPr>
      <w:r w:rsidRPr="00A10A96">
        <w:rPr>
          <w:rFonts w:hint="cs"/>
          <w:rtl/>
        </w:rPr>
        <w:t>258-</w:t>
      </w:r>
      <w:r w:rsidRPr="005454AA">
        <w:rPr>
          <w:rFonts w:hint="cs"/>
          <w:spacing w:val="-2"/>
          <w:rtl/>
        </w:rPr>
        <w:tab/>
      </w:r>
      <w:r w:rsidRPr="005454AA">
        <w:rPr>
          <w:spacing w:val="-2"/>
          <w:rtl/>
        </w:rPr>
        <w:t>صدقت فرنسا على اتفاقية القضاء على جميع أشكال التمييز ضد المرأة</w:t>
      </w:r>
      <w:r w:rsidRPr="005454AA">
        <w:rPr>
          <w:rFonts w:hint="cs"/>
          <w:spacing w:val="-2"/>
          <w:rtl/>
        </w:rPr>
        <w:t xml:space="preserve">. </w:t>
      </w:r>
      <w:r w:rsidRPr="005454AA">
        <w:rPr>
          <w:spacing w:val="-2"/>
          <w:rtl/>
        </w:rPr>
        <w:t>وتنص ديباجة الدستور المؤرخ 27 تشرين الأول/أكتوبر 1946، التي تكتسي قيمة دستورية، على أن " (...) لكل شخص، دونما تمييز على أساس العرق أو الدين أو المعتقد، حقوق</w:t>
      </w:r>
      <w:r w:rsidRPr="005454AA">
        <w:rPr>
          <w:rFonts w:hint="cs"/>
          <w:spacing w:val="-2"/>
          <w:rtl/>
        </w:rPr>
        <w:t>اً</w:t>
      </w:r>
      <w:r w:rsidRPr="005454AA">
        <w:rPr>
          <w:spacing w:val="-2"/>
          <w:rtl/>
        </w:rPr>
        <w:t xml:space="preserve"> فردية مقدسة"، ثم، بصفة خاصة، على أنه "يكفل القانون للمرأة، في جميع المجالات، حقوق</w:t>
      </w:r>
      <w:r w:rsidR="00B27C28">
        <w:rPr>
          <w:spacing w:val="-2"/>
          <w:rtl/>
        </w:rPr>
        <w:t xml:space="preserve">اً </w:t>
      </w:r>
      <w:r w:rsidRPr="005454AA">
        <w:rPr>
          <w:spacing w:val="-2"/>
          <w:rtl/>
        </w:rPr>
        <w:t>مساوية لحقوق الرجل"</w:t>
      </w:r>
      <w:r w:rsidRPr="005454AA">
        <w:rPr>
          <w:rFonts w:hint="cs"/>
          <w:spacing w:val="-2"/>
          <w:rtl/>
        </w:rPr>
        <w:t>.</w:t>
      </w:r>
    </w:p>
    <w:p w:rsidR="00944A3C" w:rsidRPr="00A10A96" w:rsidRDefault="00944A3C" w:rsidP="005454AA">
      <w:pPr>
        <w:pStyle w:val="SingleTxtGA"/>
        <w:rPr>
          <w:rtl/>
        </w:rPr>
      </w:pPr>
      <w:r w:rsidRPr="00A10A96">
        <w:rPr>
          <w:rFonts w:hint="cs"/>
          <w:rtl/>
        </w:rPr>
        <w:t>259-</w:t>
      </w:r>
      <w:r w:rsidRPr="00A10A96">
        <w:rPr>
          <w:rFonts w:hint="cs"/>
          <w:rtl/>
        </w:rPr>
        <w:tab/>
      </w:r>
      <w:r w:rsidRPr="00A10A96">
        <w:rPr>
          <w:rtl/>
        </w:rPr>
        <w:t>وكرمز لالتزام فرنسا المتزايد بالكفاح من أجل المساواة بين المرأة والرجل، أُنشئت وزارة لحقوق المرأة في عام 2012 (أُدمجت في وزارة شؤون الأسرة والطفل وحقوق المرأة منذ 11 شباط/فبراير 2016)</w:t>
      </w:r>
      <w:r w:rsidRPr="00A10A96">
        <w:rPr>
          <w:rFonts w:hint="cs"/>
          <w:rtl/>
        </w:rPr>
        <w:t xml:space="preserve">. </w:t>
      </w:r>
      <w:r w:rsidRPr="00A10A96">
        <w:rPr>
          <w:rtl/>
        </w:rPr>
        <w:t>وتضطلع هذه الوزارة بإعداد وتنفيذ سياسة الحكومة في مجال حقوق المرأة وتكافؤ الفرص والمساواة المهنية</w:t>
      </w:r>
      <w:r w:rsidRPr="00A10A96">
        <w:rPr>
          <w:rFonts w:hint="cs"/>
          <w:rtl/>
        </w:rPr>
        <w:t xml:space="preserve">. </w:t>
      </w:r>
      <w:r w:rsidRPr="00A10A96">
        <w:rPr>
          <w:rtl/>
        </w:rPr>
        <w:t>وهي مكلفة بتعزيز التدابير الرامية إلى احترام حقوق المرأة داخل المجتمع، وإلى القضاء على جميع أشكال التمييز ضدها، وتعزيز ضمانات المساواة في المجال</w:t>
      </w:r>
      <w:r w:rsidRPr="00A10A96">
        <w:rPr>
          <w:rFonts w:hint="cs"/>
          <w:rtl/>
        </w:rPr>
        <w:t>ات</w:t>
      </w:r>
      <w:r w:rsidRPr="00A10A96">
        <w:rPr>
          <w:rtl/>
        </w:rPr>
        <w:t xml:space="preserve"> السياسي</w:t>
      </w:r>
      <w:r w:rsidRPr="00A10A96">
        <w:rPr>
          <w:rFonts w:hint="cs"/>
          <w:rtl/>
        </w:rPr>
        <w:t>ة</w:t>
      </w:r>
      <w:r w:rsidRPr="00A10A96">
        <w:rPr>
          <w:rtl/>
        </w:rPr>
        <w:t xml:space="preserve"> والاقتصادي</w:t>
      </w:r>
      <w:r w:rsidRPr="00A10A96">
        <w:rPr>
          <w:rFonts w:hint="cs"/>
          <w:rtl/>
        </w:rPr>
        <w:t>ة</w:t>
      </w:r>
      <w:r w:rsidRPr="00A10A96">
        <w:rPr>
          <w:rtl/>
        </w:rPr>
        <w:t xml:space="preserve"> والمهني</w:t>
      </w:r>
      <w:r w:rsidRPr="00A10A96">
        <w:rPr>
          <w:rFonts w:hint="cs"/>
          <w:rtl/>
        </w:rPr>
        <w:t>ة</w:t>
      </w:r>
      <w:r w:rsidRPr="00A10A96">
        <w:rPr>
          <w:rtl/>
        </w:rPr>
        <w:t xml:space="preserve"> والتعليمي</w:t>
      </w:r>
      <w:r w:rsidRPr="00A10A96">
        <w:rPr>
          <w:rFonts w:hint="cs"/>
          <w:rtl/>
        </w:rPr>
        <w:t>ة</w:t>
      </w:r>
      <w:r w:rsidRPr="00A10A96">
        <w:rPr>
          <w:rtl/>
        </w:rPr>
        <w:t xml:space="preserve"> والاجتماعي</w:t>
      </w:r>
      <w:r w:rsidRPr="00A10A96">
        <w:rPr>
          <w:rFonts w:hint="cs"/>
          <w:rtl/>
        </w:rPr>
        <w:t>ة</w:t>
      </w:r>
      <w:r w:rsidRPr="00A10A96">
        <w:rPr>
          <w:rtl/>
        </w:rPr>
        <w:t xml:space="preserve"> والصحي</w:t>
      </w:r>
      <w:r w:rsidRPr="00A10A96">
        <w:rPr>
          <w:rFonts w:hint="cs"/>
          <w:rtl/>
        </w:rPr>
        <w:t>ة</w:t>
      </w:r>
      <w:r w:rsidRPr="00A10A96">
        <w:rPr>
          <w:rtl/>
        </w:rPr>
        <w:t xml:space="preserve"> والثقافي</w:t>
      </w:r>
      <w:r w:rsidRPr="00A10A96">
        <w:rPr>
          <w:rFonts w:hint="cs"/>
          <w:rtl/>
        </w:rPr>
        <w:t xml:space="preserve">ة. </w:t>
      </w:r>
      <w:r w:rsidRPr="00A10A96">
        <w:rPr>
          <w:rtl/>
        </w:rPr>
        <w:t>وتضع الوزارة، في هذه المجالات، بالتعاون مع الوزارات الأخرى المختصة، التدابير الرامية إلى ضمان احترام حقوق المرأة، وتوفير الحماية الفعلية للنساء ضحايا العنف، ومكافحة التحرش</w:t>
      </w:r>
      <w:r w:rsidRPr="00A10A96">
        <w:rPr>
          <w:rFonts w:hint="cs"/>
          <w:rtl/>
        </w:rPr>
        <w:t xml:space="preserve">. </w:t>
      </w:r>
      <w:r w:rsidRPr="00A10A96">
        <w:rPr>
          <w:rtl/>
        </w:rPr>
        <w:t>وفي 30 تشرين الثاني/</w:t>
      </w:r>
      <w:r w:rsidR="005454AA">
        <w:rPr>
          <w:rFonts w:hint="cs"/>
          <w:rtl/>
        </w:rPr>
        <w:t xml:space="preserve"> </w:t>
      </w:r>
      <w:r w:rsidRPr="00A10A96">
        <w:rPr>
          <w:rtl/>
        </w:rPr>
        <w:t>نوفمبر</w:t>
      </w:r>
      <w:r w:rsidR="005454AA">
        <w:rPr>
          <w:rFonts w:hint="cs"/>
          <w:rtl/>
        </w:rPr>
        <w:t> </w:t>
      </w:r>
      <w:r w:rsidRPr="00A10A96">
        <w:rPr>
          <w:rtl/>
        </w:rPr>
        <w:t xml:space="preserve">2012، </w:t>
      </w:r>
      <w:r w:rsidRPr="00A10A96">
        <w:rPr>
          <w:rFonts w:hint="cs"/>
          <w:rtl/>
        </w:rPr>
        <w:t>ان</w:t>
      </w:r>
      <w:r w:rsidRPr="00A10A96">
        <w:rPr>
          <w:rtl/>
        </w:rPr>
        <w:t>عقد</w:t>
      </w:r>
      <w:r w:rsidRPr="00A10A96">
        <w:rPr>
          <w:rFonts w:hint="cs"/>
          <w:rtl/>
        </w:rPr>
        <w:t xml:space="preserve"> اجتماع</w:t>
      </w:r>
      <w:r w:rsidRPr="00A10A96">
        <w:rPr>
          <w:rtl/>
        </w:rPr>
        <w:t xml:space="preserve"> اللجنة المشتركة بين الوزارات المعنية بحقوق المرأة</w:t>
      </w:r>
      <w:r w:rsidRPr="00A10A96">
        <w:rPr>
          <w:rFonts w:hint="cs"/>
          <w:rtl/>
        </w:rPr>
        <w:t>. و</w:t>
      </w:r>
      <w:r w:rsidRPr="00A10A96">
        <w:rPr>
          <w:rtl/>
        </w:rPr>
        <w:t xml:space="preserve">أتاح </w:t>
      </w:r>
      <w:r w:rsidRPr="00A10A96">
        <w:rPr>
          <w:rFonts w:hint="cs"/>
          <w:rtl/>
        </w:rPr>
        <w:t xml:space="preserve">ذلك </w:t>
      </w:r>
      <w:r w:rsidRPr="00A10A96">
        <w:rPr>
          <w:rtl/>
        </w:rPr>
        <w:t>تحديد خطة عمل للفترة 2013-2017 تضع حقوق المرأة في صلب جميع السياسات العامة</w:t>
      </w:r>
      <w:r w:rsidRPr="00A10A96">
        <w:rPr>
          <w:rFonts w:hint="cs"/>
          <w:rtl/>
        </w:rPr>
        <w:t>.</w:t>
      </w:r>
    </w:p>
    <w:p w:rsidR="00944A3C" w:rsidRPr="00A10A96" w:rsidRDefault="00944A3C" w:rsidP="005454AA">
      <w:pPr>
        <w:pStyle w:val="SingleTxtGA"/>
        <w:rPr>
          <w:rtl/>
        </w:rPr>
      </w:pPr>
      <w:r w:rsidRPr="00A10A96">
        <w:rPr>
          <w:rFonts w:hint="cs"/>
          <w:rtl/>
        </w:rPr>
        <w:t>260-</w:t>
      </w:r>
      <w:r w:rsidRPr="00A10A96">
        <w:rPr>
          <w:rFonts w:hint="cs"/>
          <w:rtl/>
        </w:rPr>
        <w:tab/>
      </w:r>
      <w:r w:rsidRPr="00A10A96">
        <w:rPr>
          <w:b/>
          <w:bCs/>
          <w:rtl/>
        </w:rPr>
        <w:t>المساواة في الحصول على التعليم</w:t>
      </w:r>
      <w:r w:rsidRPr="00A10A96">
        <w:rPr>
          <w:rtl/>
        </w:rPr>
        <w:t>: يجري إعمال مبدأ تعزيز المساواة بين المرأة والرجل في سياسات التعليم الوطنية</w:t>
      </w:r>
      <w:r w:rsidRPr="00A10A96">
        <w:rPr>
          <w:rFonts w:hint="cs"/>
          <w:rtl/>
        </w:rPr>
        <w:t xml:space="preserve">. </w:t>
      </w:r>
      <w:r w:rsidRPr="00A10A96">
        <w:rPr>
          <w:rtl/>
        </w:rPr>
        <w:t>وبالتالي، فإن مبدأ الاختلاط مكرّس في قانون التعليم</w:t>
      </w:r>
      <w:r w:rsidRPr="00A10A96">
        <w:rPr>
          <w:rFonts w:hint="cs"/>
          <w:rtl/>
        </w:rPr>
        <w:t>.</w:t>
      </w:r>
    </w:p>
    <w:p w:rsidR="00944A3C" w:rsidRPr="00A10A96" w:rsidRDefault="00944A3C" w:rsidP="00C87775">
      <w:pPr>
        <w:pStyle w:val="SingleTxtGA"/>
        <w:rPr>
          <w:rtl/>
        </w:rPr>
      </w:pPr>
      <w:r w:rsidRPr="00A10A96">
        <w:rPr>
          <w:rFonts w:hint="cs"/>
          <w:rtl/>
        </w:rPr>
        <w:t>261-</w:t>
      </w:r>
      <w:r w:rsidRPr="005454AA">
        <w:rPr>
          <w:rFonts w:hint="cs"/>
          <w:rtl/>
        </w:rPr>
        <w:tab/>
      </w:r>
      <w:r w:rsidRPr="005454AA">
        <w:rPr>
          <w:rtl/>
        </w:rPr>
        <w:t xml:space="preserve">ووقّعت وزارة التعليم الوطني اتفاقيات مع عدة جمعيات لتمكين الفتيات من </w:t>
      </w:r>
      <w:r w:rsidRPr="005454AA">
        <w:rPr>
          <w:rFonts w:hint="cs"/>
          <w:rtl/>
        </w:rPr>
        <w:t xml:space="preserve">استكشاف </w:t>
      </w:r>
      <w:r w:rsidRPr="005454AA">
        <w:rPr>
          <w:rtl/>
        </w:rPr>
        <w:t>المهن العلمية</w:t>
      </w:r>
      <w:r w:rsidRPr="005454AA">
        <w:rPr>
          <w:rFonts w:hint="cs"/>
          <w:rtl/>
        </w:rPr>
        <w:t xml:space="preserve">. </w:t>
      </w:r>
      <w:r w:rsidRPr="005454AA">
        <w:rPr>
          <w:rtl/>
        </w:rPr>
        <w:t xml:space="preserve">وعلاوة على ذلك، نُشر بمناسبة اليوم العالمي للمرأة، في 8 آذار/مارس 2012، </w:t>
      </w:r>
      <w:r w:rsidRPr="005454AA">
        <w:rPr>
          <w:rtl/>
        </w:rPr>
        <w:lastRenderedPageBreak/>
        <w:t>كتيّب وزاري بعنوان "الفتيات والفتيان على طريق المساواة، من المدرسة حتى التعليم العالي"</w:t>
      </w:r>
      <w:r w:rsidRPr="005454AA">
        <w:rPr>
          <w:rFonts w:hint="cs"/>
          <w:rtl/>
        </w:rPr>
        <w:t xml:space="preserve"> (</w:t>
      </w:r>
      <w:r w:rsidRPr="005454AA">
        <w:rPr>
          <w:lang w:val="fr-FR"/>
        </w:rPr>
        <w:t>Filles et garçons sur le chemin de l’égalité de l’école à l’enseignement supérieur</w:t>
      </w:r>
      <w:r w:rsidRPr="005454AA">
        <w:rPr>
          <w:rFonts w:hint="cs"/>
          <w:rtl/>
        </w:rPr>
        <w:t xml:space="preserve">). </w:t>
      </w:r>
      <w:r w:rsidRPr="005454AA">
        <w:rPr>
          <w:rtl/>
        </w:rPr>
        <w:t>و</w:t>
      </w:r>
      <w:r w:rsidRPr="005454AA">
        <w:rPr>
          <w:rFonts w:hint="cs"/>
          <w:rtl/>
        </w:rPr>
        <w:t>يمكن الحصول أيض</w:t>
      </w:r>
      <w:r w:rsidR="00B27C28">
        <w:rPr>
          <w:rFonts w:hint="cs"/>
          <w:rtl/>
        </w:rPr>
        <w:t xml:space="preserve">اً </w:t>
      </w:r>
      <w:r w:rsidRPr="005454AA">
        <w:rPr>
          <w:rFonts w:hint="cs"/>
          <w:rtl/>
        </w:rPr>
        <w:t xml:space="preserve">على </w:t>
      </w:r>
      <w:r w:rsidRPr="005454AA">
        <w:rPr>
          <w:rtl/>
        </w:rPr>
        <w:t>نسخة عام 2016 من هذا الكتيب</w:t>
      </w:r>
      <w:r w:rsidR="00C87775">
        <w:rPr>
          <w:rStyle w:val="FootnoteReference"/>
          <w:rtl/>
        </w:rPr>
        <w:footnoteReference w:customMarkFollows="1" w:id="12"/>
        <w:t>(</w:t>
      </w:r>
      <w:r w:rsidR="00C87775">
        <w:rPr>
          <w:rStyle w:val="FootnoteReference"/>
          <w:rFonts w:hint="cs"/>
          <w:rtl/>
        </w:rPr>
        <w:t>9</w:t>
      </w:r>
      <w:r w:rsidR="00C87775">
        <w:rPr>
          <w:rStyle w:val="FootnoteReference"/>
          <w:rtl/>
        </w:rPr>
        <w:t>)</w:t>
      </w:r>
      <w:r w:rsidRPr="00A10A96">
        <w:rPr>
          <w:rFonts w:hint="cs"/>
          <w:rtl/>
        </w:rPr>
        <w:t>.</w:t>
      </w:r>
    </w:p>
    <w:p w:rsidR="00944A3C" w:rsidRPr="00A10A96" w:rsidRDefault="00944A3C" w:rsidP="005454AA">
      <w:pPr>
        <w:pStyle w:val="SingleTxtGA"/>
        <w:rPr>
          <w:rtl/>
        </w:rPr>
      </w:pPr>
      <w:r w:rsidRPr="00A10A96">
        <w:rPr>
          <w:rFonts w:hint="cs"/>
          <w:rtl/>
        </w:rPr>
        <w:t>262-</w:t>
      </w:r>
      <w:r w:rsidRPr="00A10A96">
        <w:rPr>
          <w:rFonts w:hint="cs"/>
          <w:rtl/>
        </w:rPr>
        <w:tab/>
      </w:r>
      <w:r w:rsidRPr="00A10A96">
        <w:rPr>
          <w:rFonts w:hint="cs"/>
          <w:b/>
          <w:bCs/>
          <w:rtl/>
        </w:rPr>
        <w:t xml:space="preserve">تكافؤ </w:t>
      </w:r>
      <w:r w:rsidRPr="00A10A96">
        <w:rPr>
          <w:b/>
          <w:bCs/>
          <w:rtl/>
        </w:rPr>
        <w:t>فرص العمل</w:t>
      </w:r>
      <w:r w:rsidRPr="00A10A96">
        <w:rPr>
          <w:rtl/>
        </w:rPr>
        <w:t>:</w:t>
      </w:r>
      <w:r w:rsidRPr="00A10A96">
        <w:rPr>
          <w:rFonts w:hint="cs"/>
          <w:rtl/>
        </w:rPr>
        <w:t xml:space="preserve"> </w:t>
      </w:r>
      <w:r w:rsidRPr="00A10A96">
        <w:rPr>
          <w:rtl/>
        </w:rPr>
        <w:t>يُدرج القانون المؤرخ 11 تموز/يوليه 1975، الذي يكمله القانون المؤرخ 25 تموز/يوليه 1985، في قانون العقوبات أحكام</w:t>
      </w:r>
      <w:r w:rsidR="00B27C28">
        <w:rPr>
          <w:rtl/>
        </w:rPr>
        <w:t xml:space="preserve">اً </w:t>
      </w:r>
      <w:r w:rsidRPr="00A10A96">
        <w:rPr>
          <w:rtl/>
        </w:rPr>
        <w:t>لقمع ما قد يصدر</w:t>
      </w:r>
      <w:r w:rsidRPr="00A10A96">
        <w:rPr>
          <w:rFonts w:hint="cs"/>
          <w:rtl/>
        </w:rPr>
        <w:t xml:space="preserve"> </w:t>
      </w:r>
      <w:r w:rsidRPr="00A10A96">
        <w:rPr>
          <w:rtl/>
        </w:rPr>
        <w:t>من أفعال التمييز ضد المرأة سواء عن ممثلي الدولة أو عن أشخاص عاديين</w:t>
      </w:r>
      <w:r w:rsidRPr="00A10A96">
        <w:rPr>
          <w:rFonts w:hint="cs"/>
          <w:rtl/>
        </w:rPr>
        <w:t>.</w:t>
      </w:r>
    </w:p>
    <w:p w:rsidR="00944A3C" w:rsidRPr="00A10A96" w:rsidRDefault="00944A3C" w:rsidP="00514289">
      <w:pPr>
        <w:pStyle w:val="SingleTxtGA"/>
        <w:rPr>
          <w:rtl/>
        </w:rPr>
      </w:pPr>
      <w:r w:rsidRPr="00A10A96">
        <w:rPr>
          <w:rFonts w:hint="cs"/>
          <w:rtl/>
        </w:rPr>
        <w:t>263-</w:t>
      </w:r>
      <w:r w:rsidRPr="00A10A96">
        <w:rPr>
          <w:rFonts w:hint="cs"/>
          <w:rtl/>
        </w:rPr>
        <w:tab/>
      </w:r>
      <w:r w:rsidRPr="00A10A96">
        <w:rPr>
          <w:rtl/>
        </w:rPr>
        <w:t>وينص القانون المؤرخ 13 تموز/يوليه 1983</w:t>
      </w:r>
      <w:r w:rsidR="00C87775">
        <w:rPr>
          <w:rStyle w:val="FootnoteReference"/>
          <w:rtl/>
        </w:rPr>
        <w:footnoteReference w:customMarkFollows="1" w:id="13"/>
        <w:t>(</w:t>
      </w:r>
      <w:r w:rsidR="00514289">
        <w:rPr>
          <w:rStyle w:val="FootnoteReference"/>
          <w:rFonts w:hint="cs"/>
          <w:rtl/>
        </w:rPr>
        <w:t>1</w:t>
      </w:r>
      <w:r w:rsidR="00514289" w:rsidRPr="00514289">
        <w:rPr>
          <w:rFonts w:hint="cs"/>
          <w:vertAlign w:val="superscript"/>
          <w:rtl/>
        </w:rPr>
        <w:t>0</w:t>
      </w:r>
      <w:r w:rsidR="00C87775">
        <w:rPr>
          <w:rStyle w:val="FootnoteReference"/>
          <w:rtl/>
        </w:rPr>
        <w:t>)</w:t>
      </w:r>
      <w:r w:rsidR="00C87775" w:rsidRPr="00A10A96">
        <w:rPr>
          <w:rStyle w:val="EndnoteReference"/>
          <w:rtl/>
        </w:rPr>
        <w:t xml:space="preserve"> </w:t>
      </w:r>
      <w:r w:rsidRPr="00A10A96">
        <w:rPr>
          <w:rtl/>
        </w:rPr>
        <w:t>المتعلق بحقوق الموظفين وواجباتهم على أنه لا يجوز التمييز بين الموظفين بسبب آرائهم السياسية، أو النقابية، أو الفلسفية، أو</w:t>
      </w:r>
      <w:r w:rsidR="005454AA">
        <w:rPr>
          <w:rFonts w:hint="cs"/>
          <w:rtl/>
        </w:rPr>
        <w:t> </w:t>
      </w:r>
      <w:r w:rsidRPr="00A10A96">
        <w:rPr>
          <w:rtl/>
        </w:rPr>
        <w:t>الدينية، أو نوع جنسهم، أو انتمائهم الإثني</w:t>
      </w:r>
      <w:r w:rsidRPr="00A10A96">
        <w:rPr>
          <w:rFonts w:hint="cs"/>
          <w:rtl/>
        </w:rPr>
        <w:t xml:space="preserve">. </w:t>
      </w:r>
      <w:r w:rsidRPr="00A10A96">
        <w:rPr>
          <w:rtl/>
        </w:rPr>
        <w:t>وفيما يتعلق بالقطاع الخاص، فإن القانون المؤرخ</w:t>
      </w:r>
      <w:r w:rsidR="005454AA">
        <w:rPr>
          <w:rFonts w:hint="cs"/>
          <w:rtl/>
        </w:rPr>
        <w:t> </w:t>
      </w:r>
      <w:r w:rsidRPr="00A10A96">
        <w:rPr>
          <w:rtl/>
        </w:rPr>
        <w:t>13 تموز/يوليه 1983 مكرَّس بالكامل للمساواة المهنية</w:t>
      </w:r>
      <w:r w:rsidRPr="00A10A96">
        <w:rPr>
          <w:rFonts w:hint="cs"/>
          <w:rtl/>
        </w:rPr>
        <w:t>.</w:t>
      </w:r>
    </w:p>
    <w:p w:rsidR="00944A3C" w:rsidRPr="00A10A96" w:rsidRDefault="00944A3C" w:rsidP="005454AA">
      <w:pPr>
        <w:pStyle w:val="SingleTxtGA"/>
        <w:rPr>
          <w:rtl/>
        </w:rPr>
      </w:pPr>
      <w:r w:rsidRPr="00A10A96">
        <w:rPr>
          <w:rFonts w:hint="cs"/>
          <w:rtl/>
        </w:rPr>
        <w:t>264-</w:t>
      </w:r>
      <w:r w:rsidRPr="00A10A96">
        <w:rPr>
          <w:rFonts w:hint="cs"/>
          <w:rtl/>
        </w:rPr>
        <w:tab/>
      </w:r>
      <w:r w:rsidRPr="00A10A96">
        <w:rPr>
          <w:rtl/>
        </w:rPr>
        <w:t>ويكرس القانون المؤرخ 1 تموز/يوليه 1989 عدد</w:t>
      </w:r>
      <w:r w:rsidR="00B27C28">
        <w:rPr>
          <w:rFonts w:hint="cs"/>
          <w:rtl/>
        </w:rPr>
        <w:t xml:space="preserve">اً </w:t>
      </w:r>
      <w:r w:rsidRPr="00A10A96">
        <w:rPr>
          <w:rtl/>
        </w:rPr>
        <w:t>معين</w:t>
      </w:r>
      <w:r w:rsidR="00B27C28">
        <w:rPr>
          <w:rtl/>
        </w:rPr>
        <w:t xml:space="preserve">اً </w:t>
      </w:r>
      <w:r w:rsidRPr="00A10A96">
        <w:rPr>
          <w:rtl/>
        </w:rPr>
        <w:t>من الإجراءات الإيجابية، التي اعترفت بها من قَبل الاتفاقات الجماعية للنساء العاملات، والتي تتعلق على وجه الخصوص بتمديد إجازة الأمومة، وبفترات الراحة اليومية للنساء اللواتي يزاولن بعض المهن مثل الطباعة على الآلة الكاتبة أو تحويل المكالمات الهاتفية</w:t>
      </w:r>
      <w:r w:rsidRPr="00A10A96">
        <w:rPr>
          <w:rFonts w:hint="cs"/>
          <w:rtl/>
        </w:rPr>
        <w:t xml:space="preserve">. </w:t>
      </w:r>
    </w:p>
    <w:p w:rsidR="00944A3C" w:rsidRPr="00A10A96" w:rsidRDefault="00944A3C" w:rsidP="00514289">
      <w:pPr>
        <w:pStyle w:val="SingleTxtGA"/>
        <w:rPr>
          <w:rtl/>
        </w:rPr>
      </w:pPr>
      <w:r w:rsidRPr="00A10A96">
        <w:rPr>
          <w:rFonts w:hint="cs"/>
          <w:rtl/>
        </w:rPr>
        <w:t>265-</w:t>
      </w:r>
      <w:r w:rsidRPr="00A10A96">
        <w:rPr>
          <w:rFonts w:hint="cs"/>
          <w:rtl/>
        </w:rPr>
        <w:tab/>
      </w:r>
      <w:r w:rsidRPr="00A10A96">
        <w:rPr>
          <w:rtl/>
        </w:rPr>
        <w:t xml:space="preserve">وأتاح القانون المتعلق بالحصول على العمل وبمكافحة أشكال التمييز في </w:t>
      </w:r>
      <w:r w:rsidRPr="00A10A96">
        <w:rPr>
          <w:rFonts w:hint="cs"/>
          <w:rtl/>
        </w:rPr>
        <w:t xml:space="preserve">قطاع </w:t>
      </w:r>
      <w:r w:rsidRPr="00A10A96">
        <w:rPr>
          <w:rtl/>
        </w:rPr>
        <w:t>الوظيفة العامة</w:t>
      </w:r>
      <w:r w:rsidR="00514289">
        <w:rPr>
          <w:rStyle w:val="FootnoteReference"/>
          <w:rtl/>
        </w:rPr>
        <w:footnoteReference w:customMarkFollows="1" w:id="14"/>
        <w:t>(</w:t>
      </w:r>
      <w:r w:rsidR="00514289">
        <w:rPr>
          <w:rStyle w:val="FootnoteReference"/>
          <w:rFonts w:hint="cs"/>
          <w:rtl/>
        </w:rPr>
        <w:t>1</w:t>
      </w:r>
      <w:r w:rsidR="00514289" w:rsidRPr="00514289">
        <w:rPr>
          <w:rFonts w:hint="cs"/>
          <w:vertAlign w:val="superscript"/>
          <w:rtl/>
        </w:rPr>
        <w:t>1</w:t>
      </w:r>
      <w:r w:rsidR="00514289">
        <w:rPr>
          <w:rStyle w:val="FootnoteReference"/>
          <w:rtl/>
        </w:rPr>
        <w:t>)</w:t>
      </w:r>
      <w:r w:rsidR="00514289">
        <w:rPr>
          <w:rFonts w:hint="cs"/>
          <w:rtl/>
        </w:rPr>
        <w:t xml:space="preserve"> </w:t>
      </w:r>
      <w:r w:rsidRPr="00A10A96">
        <w:rPr>
          <w:rtl/>
        </w:rPr>
        <w:t xml:space="preserve">إمكانية اعتماد عدد من التدابير </w:t>
      </w:r>
      <w:r w:rsidRPr="00A10A96">
        <w:rPr>
          <w:rFonts w:hint="cs"/>
          <w:rtl/>
        </w:rPr>
        <w:t xml:space="preserve">الرامية إلى </w:t>
      </w:r>
      <w:r w:rsidRPr="00A10A96">
        <w:rPr>
          <w:rtl/>
        </w:rPr>
        <w:t>تعزيز مكانة المرأة في هذا المجال</w:t>
      </w:r>
      <w:r w:rsidRPr="00A10A96">
        <w:rPr>
          <w:rFonts w:hint="cs"/>
          <w:rtl/>
        </w:rPr>
        <w:t xml:space="preserve">. </w:t>
      </w:r>
      <w:r w:rsidRPr="00A10A96">
        <w:rPr>
          <w:rtl/>
        </w:rPr>
        <w:t>ويذكّر هذا القانون بإطار التمثيل المتوازن لكلا الجنسين في المناصب الإدارية العليا في قطاع الوظيفة العامة</w:t>
      </w:r>
      <w:r w:rsidRPr="00A10A96">
        <w:rPr>
          <w:rFonts w:hint="cs"/>
          <w:rtl/>
        </w:rPr>
        <w:t xml:space="preserve">. </w:t>
      </w:r>
      <w:r w:rsidRPr="00A10A96">
        <w:rPr>
          <w:rtl/>
        </w:rPr>
        <w:t xml:space="preserve">ويقترن هذا القانون بتنفيذ أهداف محددة وتدريجية بخصوص التعيينات، في حدود 40 في المائة، وينص على عقوبات مالية من شأنها كفالة </w:t>
      </w:r>
      <w:r w:rsidRPr="00A10A96">
        <w:rPr>
          <w:rFonts w:hint="cs"/>
          <w:rtl/>
        </w:rPr>
        <w:t xml:space="preserve">مراعاة </w:t>
      </w:r>
      <w:r w:rsidRPr="00A10A96">
        <w:rPr>
          <w:rtl/>
        </w:rPr>
        <w:t>هذه الأهداف</w:t>
      </w:r>
      <w:r w:rsidRPr="00A10A96">
        <w:rPr>
          <w:rFonts w:hint="cs"/>
          <w:rtl/>
        </w:rPr>
        <w:t>.</w:t>
      </w:r>
    </w:p>
    <w:p w:rsidR="00944A3C" w:rsidRPr="00A10A96" w:rsidRDefault="00944A3C" w:rsidP="005454AA">
      <w:pPr>
        <w:pStyle w:val="SingleTxtGA"/>
        <w:rPr>
          <w:rtl/>
        </w:rPr>
      </w:pPr>
      <w:r w:rsidRPr="00A10A96">
        <w:rPr>
          <w:rFonts w:hint="cs"/>
          <w:rtl/>
        </w:rPr>
        <w:t>266-</w:t>
      </w:r>
      <w:r w:rsidRPr="00A10A96">
        <w:rPr>
          <w:rFonts w:hint="cs"/>
          <w:rtl/>
        </w:rPr>
        <w:tab/>
      </w:r>
      <w:r w:rsidRPr="00A10A96">
        <w:rPr>
          <w:rtl/>
        </w:rPr>
        <w:t>وانطلاقاً من واقع استمرار حالات عدم المساواة في الأجور بين المرأة والرجل، يفرض القانون، منذ 1 كانون الثاني/يناير 2012، عقوبة مالية على الشركات التي يعمل بها على الأقل خمسون أجير</w:t>
      </w:r>
      <w:r w:rsidR="00B27C28">
        <w:rPr>
          <w:rtl/>
        </w:rPr>
        <w:t xml:space="preserve">اً </w:t>
      </w:r>
      <w:r w:rsidRPr="00A10A96">
        <w:rPr>
          <w:rFonts w:hint="cs"/>
          <w:rtl/>
        </w:rPr>
        <w:t>و</w:t>
      </w:r>
      <w:r w:rsidRPr="00A10A96">
        <w:rPr>
          <w:rtl/>
        </w:rPr>
        <w:t>التي لا يشملها اتفاق جماعي أو خطة عمل لتحقيق المساواة المهنية</w:t>
      </w:r>
      <w:r w:rsidRPr="00A10A96">
        <w:rPr>
          <w:rFonts w:hint="cs"/>
          <w:rtl/>
        </w:rPr>
        <w:t>.</w:t>
      </w:r>
    </w:p>
    <w:p w:rsidR="00944A3C" w:rsidRPr="00A10A96" w:rsidRDefault="00944A3C" w:rsidP="005454AA">
      <w:pPr>
        <w:pStyle w:val="SingleTxtGA"/>
        <w:rPr>
          <w:rtl/>
        </w:rPr>
      </w:pPr>
      <w:r w:rsidRPr="00A10A96">
        <w:rPr>
          <w:rFonts w:hint="cs"/>
          <w:rtl/>
        </w:rPr>
        <w:t>267-</w:t>
      </w:r>
      <w:r w:rsidRPr="00A10A96">
        <w:rPr>
          <w:rFonts w:hint="cs"/>
          <w:rtl/>
        </w:rPr>
        <w:tab/>
      </w:r>
      <w:r w:rsidRPr="00A10A96">
        <w:rPr>
          <w:rtl/>
        </w:rPr>
        <w:t xml:space="preserve">وفي 5 كانون الأول/ديسمبر 2012، قدمت وزيرة حقوق المرأة إلى مجلس الوزراء </w:t>
      </w:r>
      <w:r w:rsidRPr="00A10A96">
        <w:rPr>
          <w:rFonts w:hint="cs"/>
          <w:rtl/>
        </w:rPr>
        <w:t>بيان</w:t>
      </w:r>
      <w:r w:rsidR="00B27C28">
        <w:rPr>
          <w:rFonts w:hint="cs"/>
          <w:rtl/>
        </w:rPr>
        <w:t xml:space="preserve">اً </w:t>
      </w:r>
      <w:r w:rsidRPr="00A10A96">
        <w:rPr>
          <w:rtl/>
        </w:rPr>
        <w:t>بشأن خطة العمل للمساواة بين المرأة والرجل في الإدارات العامة</w:t>
      </w:r>
      <w:r w:rsidRPr="00A10A96">
        <w:rPr>
          <w:rFonts w:hint="cs"/>
          <w:rtl/>
        </w:rPr>
        <w:t xml:space="preserve">. </w:t>
      </w:r>
      <w:r w:rsidRPr="00A10A96">
        <w:rPr>
          <w:rtl/>
        </w:rPr>
        <w:t>وتتجلى هذه الخطة في إجراءات ملموسة</w:t>
      </w:r>
      <w:r w:rsidRPr="00A10A96">
        <w:rPr>
          <w:rFonts w:hint="cs"/>
          <w:rtl/>
        </w:rPr>
        <w:t>:</w:t>
      </w:r>
    </w:p>
    <w:p w:rsidR="00944A3C" w:rsidRPr="00A10A96" w:rsidRDefault="00944A3C" w:rsidP="005454AA">
      <w:pPr>
        <w:pStyle w:val="Bullet1GA"/>
        <w:bidi/>
      </w:pPr>
      <w:r w:rsidRPr="00A10A96">
        <w:rPr>
          <w:rtl/>
        </w:rPr>
        <w:t>على الصعيد المشترك بين الوزارات، تحسين الأداء الوظيفي والتوفيق بين الحياة المهنية والحياة الشخصية</w:t>
      </w:r>
      <w:r w:rsidRPr="00A10A96">
        <w:rPr>
          <w:rFonts w:hint="cs"/>
          <w:rtl/>
        </w:rPr>
        <w:t>؛</w:t>
      </w:r>
    </w:p>
    <w:p w:rsidR="00944A3C" w:rsidRPr="005454AA" w:rsidRDefault="00944A3C" w:rsidP="005454AA">
      <w:pPr>
        <w:pStyle w:val="Bullet1GA"/>
        <w:bidi/>
        <w:rPr>
          <w:spacing w:val="-2"/>
        </w:rPr>
      </w:pPr>
      <w:r w:rsidRPr="005454AA">
        <w:rPr>
          <w:spacing w:val="-2"/>
          <w:rtl/>
        </w:rPr>
        <w:t>تدريب المدرسين وموظفي قطاع التعليم الوطني في مجال المساواة بين الرجل والمرأة</w:t>
      </w:r>
      <w:r w:rsidRPr="005454AA">
        <w:rPr>
          <w:rFonts w:hint="cs"/>
          <w:spacing w:val="-2"/>
          <w:rtl/>
        </w:rPr>
        <w:t>؛</w:t>
      </w:r>
    </w:p>
    <w:p w:rsidR="00944A3C" w:rsidRPr="00A10A96" w:rsidRDefault="00944A3C" w:rsidP="005454AA">
      <w:pPr>
        <w:pStyle w:val="Bullet1GA"/>
        <w:bidi/>
      </w:pPr>
      <w:r w:rsidRPr="00A10A96">
        <w:rPr>
          <w:rtl/>
        </w:rPr>
        <w:lastRenderedPageBreak/>
        <w:t>التدريب المتجدد للمهنيين المعنيين بحماية النساء ضحايا العنف</w:t>
      </w:r>
      <w:r w:rsidRPr="00A10A96">
        <w:rPr>
          <w:rFonts w:hint="cs"/>
          <w:rtl/>
        </w:rPr>
        <w:t>؛</w:t>
      </w:r>
    </w:p>
    <w:p w:rsidR="00944A3C" w:rsidRPr="00A10A96" w:rsidRDefault="00944A3C" w:rsidP="005454AA">
      <w:pPr>
        <w:pStyle w:val="Bullet1GA"/>
        <w:bidi/>
        <w:rPr>
          <w:rtl/>
        </w:rPr>
      </w:pPr>
      <w:r w:rsidRPr="00A10A96">
        <w:rPr>
          <w:rtl/>
        </w:rPr>
        <w:t xml:space="preserve">مواصلة </w:t>
      </w:r>
      <w:r w:rsidRPr="00A10A96">
        <w:rPr>
          <w:rFonts w:hint="cs"/>
          <w:rtl/>
        </w:rPr>
        <w:t xml:space="preserve">تعزيز تولي </w:t>
      </w:r>
      <w:r w:rsidRPr="00A10A96">
        <w:rPr>
          <w:rtl/>
        </w:rPr>
        <w:t xml:space="preserve">النساء </w:t>
      </w:r>
      <w:r w:rsidRPr="00A10A96">
        <w:rPr>
          <w:rFonts w:hint="cs"/>
          <w:rtl/>
        </w:rPr>
        <w:t>ل</w:t>
      </w:r>
      <w:r w:rsidRPr="00A10A96">
        <w:rPr>
          <w:rtl/>
        </w:rPr>
        <w:t xml:space="preserve">لمناصب الإدارية ومناصب </w:t>
      </w:r>
      <w:r w:rsidRPr="00A10A96">
        <w:rPr>
          <w:rFonts w:hint="cs"/>
          <w:rtl/>
        </w:rPr>
        <w:t xml:space="preserve">مديري </w:t>
      </w:r>
      <w:r w:rsidRPr="00A10A96">
        <w:rPr>
          <w:rtl/>
        </w:rPr>
        <w:t>إدار</w:t>
      </w:r>
      <w:r w:rsidRPr="00A10A96">
        <w:rPr>
          <w:rFonts w:hint="cs"/>
          <w:rtl/>
        </w:rPr>
        <w:t>ات</w:t>
      </w:r>
      <w:r w:rsidRPr="00A10A96">
        <w:rPr>
          <w:rtl/>
        </w:rPr>
        <w:t xml:space="preserve"> للدولة</w:t>
      </w:r>
      <w:r w:rsidRPr="00A10A96">
        <w:rPr>
          <w:rFonts w:hint="cs"/>
          <w:rtl/>
        </w:rPr>
        <w:t>.</w:t>
      </w:r>
    </w:p>
    <w:p w:rsidR="00944A3C" w:rsidRPr="00A10A96" w:rsidRDefault="00944A3C" w:rsidP="00944A3C">
      <w:pPr>
        <w:pStyle w:val="SingleTxtGA"/>
        <w:spacing w:after="100" w:line="374" w:lineRule="exact"/>
        <w:rPr>
          <w:rtl/>
        </w:rPr>
      </w:pPr>
      <w:r w:rsidRPr="00A10A96">
        <w:rPr>
          <w:rFonts w:hint="cs"/>
          <w:rtl/>
        </w:rPr>
        <w:t>268-</w:t>
      </w:r>
      <w:r w:rsidRPr="00A10A96">
        <w:rPr>
          <w:rFonts w:hint="cs"/>
          <w:rtl/>
        </w:rPr>
        <w:tab/>
      </w:r>
      <w:r w:rsidRPr="00A10A96">
        <w:rPr>
          <w:rtl/>
        </w:rPr>
        <w:t>ويتمحور القانون رقم 2014-873 المؤرخ 4 آب/أغسطس 2014 المتعلق بالمساواة الفعلية بين المرأة والرجل حول خمس أولويات</w:t>
      </w:r>
      <w:r w:rsidRPr="00A10A96">
        <w:rPr>
          <w:rFonts w:hint="cs"/>
          <w:rtl/>
        </w:rPr>
        <w:t>:</w:t>
      </w:r>
    </w:p>
    <w:p w:rsidR="00944A3C" w:rsidRPr="00A10A96" w:rsidRDefault="00944A3C" w:rsidP="005454AA">
      <w:pPr>
        <w:pStyle w:val="Bullet1GA"/>
        <w:bidi/>
      </w:pPr>
      <w:r w:rsidRPr="00A10A96">
        <w:rPr>
          <w:rtl/>
        </w:rPr>
        <w:t>وسائل جديدة لتحقيق المساواة المهنية وتنظيم أفضل للحياة المهنية والشخصية</w:t>
      </w:r>
      <w:r w:rsidRPr="00A10A96">
        <w:rPr>
          <w:rFonts w:hint="cs"/>
          <w:rtl/>
        </w:rPr>
        <w:t>؛</w:t>
      </w:r>
    </w:p>
    <w:p w:rsidR="00944A3C" w:rsidRPr="00A10A96" w:rsidRDefault="00944A3C" w:rsidP="005454AA">
      <w:pPr>
        <w:pStyle w:val="Bullet1GA"/>
        <w:bidi/>
      </w:pPr>
      <w:r w:rsidRPr="00A10A96">
        <w:rPr>
          <w:rtl/>
        </w:rPr>
        <w:t>ضمانة حكومية لمواجهة مشكلة النفقات غير المسددة</w:t>
      </w:r>
      <w:r w:rsidRPr="00A10A96">
        <w:rPr>
          <w:rFonts w:hint="cs"/>
          <w:rtl/>
        </w:rPr>
        <w:t>؛</w:t>
      </w:r>
    </w:p>
    <w:p w:rsidR="00944A3C" w:rsidRPr="00A10A96" w:rsidRDefault="00944A3C" w:rsidP="005454AA">
      <w:pPr>
        <w:pStyle w:val="Bullet1GA"/>
        <w:bidi/>
      </w:pPr>
      <w:r w:rsidRPr="00A10A96">
        <w:rPr>
          <w:rtl/>
        </w:rPr>
        <w:t>مكافحة العنف ضد المرأة</w:t>
      </w:r>
      <w:r w:rsidRPr="00A10A96">
        <w:rPr>
          <w:rFonts w:hint="cs"/>
          <w:rtl/>
        </w:rPr>
        <w:t>؛</w:t>
      </w:r>
    </w:p>
    <w:p w:rsidR="00944A3C" w:rsidRPr="00A10A96" w:rsidRDefault="00944A3C" w:rsidP="005454AA">
      <w:pPr>
        <w:pStyle w:val="Bullet1GA"/>
        <w:bidi/>
      </w:pPr>
      <w:r w:rsidRPr="00A10A96">
        <w:rPr>
          <w:rtl/>
        </w:rPr>
        <w:t>الحد من حالات التنميط الجنساني</w:t>
      </w:r>
      <w:r w:rsidRPr="00A10A96">
        <w:rPr>
          <w:rFonts w:hint="cs"/>
          <w:rtl/>
        </w:rPr>
        <w:t>؛</w:t>
      </w:r>
    </w:p>
    <w:p w:rsidR="00944A3C" w:rsidRPr="00A10A96" w:rsidRDefault="00944A3C" w:rsidP="005454AA">
      <w:pPr>
        <w:pStyle w:val="Bullet1GA"/>
        <w:bidi/>
        <w:rPr>
          <w:rtl/>
        </w:rPr>
      </w:pPr>
      <w:r w:rsidRPr="00A10A96">
        <w:rPr>
          <w:rtl/>
        </w:rPr>
        <w:t>تعميم تكافؤ الفرص بين الجنسين</w:t>
      </w:r>
      <w:r w:rsidRPr="00A10A96">
        <w:rPr>
          <w:rFonts w:hint="cs"/>
          <w:rtl/>
        </w:rPr>
        <w:t>.</w:t>
      </w:r>
    </w:p>
    <w:p w:rsidR="00944A3C" w:rsidRPr="00A10A96" w:rsidRDefault="00944A3C" w:rsidP="005454AA">
      <w:pPr>
        <w:pStyle w:val="SingleTxtGA"/>
        <w:rPr>
          <w:rtl/>
        </w:rPr>
      </w:pPr>
      <w:r w:rsidRPr="00A10A96">
        <w:rPr>
          <w:rFonts w:hint="cs"/>
          <w:rtl/>
        </w:rPr>
        <w:t>269-</w:t>
      </w:r>
      <w:r w:rsidRPr="00A10A96">
        <w:rPr>
          <w:rFonts w:hint="cs"/>
          <w:rtl/>
        </w:rPr>
        <w:tab/>
      </w:r>
      <w:r w:rsidRPr="00A10A96">
        <w:rPr>
          <w:rtl/>
        </w:rPr>
        <w:t xml:space="preserve">كما </w:t>
      </w:r>
      <w:r w:rsidRPr="00A10A96">
        <w:rPr>
          <w:rFonts w:hint="cs"/>
          <w:rtl/>
        </w:rPr>
        <w:t xml:space="preserve">يتناول </w:t>
      </w:r>
      <w:r w:rsidRPr="00A10A96">
        <w:rPr>
          <w:rtl/>
        </w:rPr>
        <w:t xml:space="preserve">هذا القانون </w:t>
      </w:r>
      <w:r w:rsidRPr="00A10A96">
        <w:rPr>
          <w:rFonts w:hint="cs"/>
          <w:rtl/>
        </w:rPr>
        <w:t xml:space="preserve">مسائل </w:t>
      </w:r>
      <w:r w:rsidRPr="00A10A96">
        <w:rPr>
          <w:rtl/>
        </w:rPr>
        <w:t>جديدة</w:t>
      </w:r>
      <w:r w:rsidRPr="00A10A96">
        <w:rPr>
          <w:rFonts w:hint="cs"/>
          <w:rtl/>
        </w:rPr>
        <w:t>:</w:t>
      </w:r>
    </w:p>
    <w:p w:rsidR="00944A3C" w:rsidRPr="00A10A96" w:rsidRDefault="00944A3C" w:rsidP="005454AA">
      <w:pPr>
        <w:pStyle w:val="Bullet1GA"/>
        <w:bidi/>
      </w:pPr>
      <w:r w:rsidRPr="00A10A96">
        <w:rPr>
          <w:rtl/>
        </w:rPr>
        <w:t>دور الآباء في تربية الأبناء</w:t>
      </w:r>
      <w:r w:rsidRPr="00A10A96">
        <w:rPr>
          <w:rFonts w:hint="cs"/>
          <w:rtl/>
        </w:rPr>
        <w:t>؛</w:t>
      </w:r>
    </w:p>
    <w:p w:rsidR="00944A3C" w:rsidRPr="00A10A96" w:rsidRDefault="00944A3C" w:rsidP="005454AA">
      <w:pPr>
        <w:pStyle w:val="Bullet1GA"/>
        <w:bidi/>
      </w:pPr>
      <w:r w:rsidRPr="00A10A96">
        <w:rPr>
          <w:rtl/>
        </w:rPr>
        <w:t>الوقت المخصص للحياة الشخصية</w:t>
      </w:r>
      <w:r w:rsidRPr="00A10A96">
        <w:rPr>
          <w:rFonts w:hint="cs"/>
          <w:rtl/>
        </w:rPr>
        <w:t>؛</w:t>
      </w:r>
    </w:p>
    <w:p w:rsidR="00944A3C" w:rsidRPr="00A10A96" w:rsidRDefault="00944A3C" w:rsidP="005454AA">
      <w:pPr>
        <w:pStyle w:val="Bullet1GA"/>
        <w:bidi/>
        <w:rPr>
          <w:rtl/>
        </w:rPr>
      </w:pPr>
      <w:r w:rsidRPr="00A10A96">
        <w:rPr>
          <w:rtl/>
        </w:rPr>
        <w:t>دور المرأة وصورتها في وسائط الإعلام وفي الثقافة</w:t>
      </w:r>
      <w:r w:rsidRPr="00A10A96">
        <w:rPr>
          <w:rFonts w:hint="cs"/>
          <w:rtl/>
        </w:rPr>
        <w:t>.</w:t>
      </w:r>
    </w:p>
    <w:p w:rsidR="00944A3C" w:rsidRPr="00A10A96" w:rsidRDefault="00944A3C" w:rsidP="005454AA">
      <w:pPr>
        <w:pStyle w:val="SingleTxtGA"/>
        <w:rPr>
          <w:rtl/>
        </w:rPr>
      </w:pPr>
      <w:r w:rsidRPr="00A10A96">
        <w:rPr>
          <w:rFonts w:hint="cs"/>
          <w:rtl/>
        </w:rPr>
        <w:t>270-</w:t>
      </w:r>
      <w:r w:rsidRPr="00A10A96">
        <w:rPr>
          <w:rFonts w:hint="cs"/>
          <w:rtl/>
        </w:rPr>
        <w:tab/>
        <w:t>و</w:t>
      </w:r>
      <w:r w:rsidRPr="00A10A96">
        <w:rPr>
          <w:rtl/>
        </w:rPr>
        <w:t>يهدف القانون المؤرخ 17 آب/أغسطس 2015، المتعلق بالحوار الاجتماعي والعمالة</w:t>
      </w:r>
      <w:r w:rsidRPr="00A10A96">
        <w:rPr>
          <w:rFonts w:hint="cs"/>
          <w:rtl/>
        </w:rPr>
        <w:t>، الصادر مؤخر</w:t>
      </w:r>
      <w:r w:rsidR="0031739C">
        <w:rPr>
          <w:rFonts w:hint="cs"/>
          <w:rtl/>
        </w:rPr>
        <w:t>اً،</w:t>
      </w:r>
      <w:r w:rsidRPr="00A10A96">
        <w:rPr>
          <w:rFonts w:hint="cs"/>
          <w:rtl/>
        </w:rPr>
        <w:t xml:space="preserve"> </w:t>
      </w:r>
      <w:r w:rsidRPr="00A10A96">
        <w:rPr>
          <w:rtl/>
        </w:rPr>
        <w:t>على وجه الخصوص إلى تعزيز التفاوض بشأن المساواة المهنية وجعله أكثر فعالية</w:t>
      </w:r>
      <w:r w:rsidRPr="00A10A96">
        <w:rPr>
          <w:rFonts w:hint="cs"/>
          <w:rtl/>
        </w:rPr>
        <w:t>.</w:t>
      </w:r>
    </w:p>
    <w:p w:rsidR="00944A3C" w:rsidRPr="00A10A96" w:rsidRDefault="00944A3C" w:rsidP="005454AA">
      <w:pPr>
        <w:pStyle w:val="SingleTxtGA"/>
        <w:rPr>
          <w:rtl/>
        </w:rPr>
      </w:pPr>
      <w:r w:rsidRPr="00A10A96">
        <w:rPr>
          <w:rFonts w:hint="cs"/>
          <w:rtl/>
        </w:rPr>
        <w:t>271-</w:t>
      </w:r>
      <w:r w:rsidRPr="00A10A96">
        <w:rPr>
          <w:rFonts w:hint="cs"/>
          <w:rtl/>
        </w:rPr>
        <w:tab/>
      </w:r>
      <w:r w:rsidRPr="00A10A96">
        <w:rPr>
          <w:b/>
          <w:bCs/>
          <w:rtl/>
        </w:rPr>
        <w:t>المساواة في شغل الوظائف التمثيلية</w:t>
      </w:r>
      <w:r w:rsidRPr="00A10A96">
        <w:rPr>
          <w:rtl/>
        </w:rPr>
        <w:t>: تنص المادة 1 من دستور عام 1958 على أنه "يشجع القانون المساواة بين المرأة والرجل في تقلد المناصب الانتخابية والوظائف الانتخابية وكذلك مناصب المسؤولية في المجالين المهني والاجتماعي"</w:t>
      </w:r>
      <w:r w:rsidRPr="00A10A96">
        <w:rPr>
          <w:rFonts w:hint="cs"/>
          <w:rtl/>
        </w:rPr>
        <w:t>.</w:t>
      </w:r>
    </w:p>
    <w:p w:rsidR="00944A3C" w:rsidRPr="00A10A96" w:rsidRDefault="00944A3C" w:rsidP="005454AA">
      <w:pPr>
        <w:pStyle w:val="SingleTxtGA"/>
        <w:rPr>
          <w:rtl/>
        </w:rPr>
      </w:pPr>
      <w:r w:rsidRPr="00A10A96">
        <w:rPr>
          <w:rFonts w:hint="cs"/>
          <w:rtl/>
        </w:rPr>
        <w:t>272-</w:t>
      </w:r>
      <w:r w:rsidRPr="00A10A96">
        <w:rPr>
          <w:rFonts w:hint="cs"/>
          <w:rtl/>
        </w:rPr>
        <w:tab/>
      </w:r>
      <w:r w:rsidRPr="00A10A96">
        <w:rPr>
          <w:rtl/>
        </w:rPr>
        <w:t>ولأول مرة في تاريخ الجمهورية، اتسمت الحكومة التي تولت السلطة في الفترة من أيار/مايو إلى تموز/يوليه 2012 بالتمثيل المتساوي</w:t>
      </w:r>
      <w:r w:rsidRPr="00A10A96">
        <w:rPr>
          <w:rFonts w:hint="cs"/>
          <w:rtl/>
        </w:rPr>
        <w:t xml:space="preserve">. </w:t>
      </w:r>
      <w:r w:rsidRPr="00A10A96">
        <w:rPr>
          <w:rtl/>
        </w:rPr>
        <w:t>وفي عام 2016، احترمت الحكومة المنبثقة عن التعديل الوزاري الذي جرى في شهر شباط/فبراير مبدأ المساواة الصارمة سواء فيما يتعلق بالوزراء أو بأمناء الدولة</w:t>
      </w:r>
      <w:r w:rsidRPr="00A10A96">
        <w:rPr>
          <w:rFonts w:hint="cs"/>
          <w:rtl/>
        </w:rPr>
        <w:t>.</w:t>
      </w:r>
    </w:p>
    <w:p w:rsidR="00944A3C" w:rsidRPr="00A10A96" w:rsidRDefault="00944A3C" w:rsidP="005454AA">
      <w:pPr>
        <w:pStyle w:val="SingleTxtGA"/>
        <w:rPr>
          <w:rtl/>
        </w:rPr>
      </w:pPr>
      <w:r w:rsidRPr="00A10A96">
        <w:rPr>
          <w:rFonts w:hint="cs"/>
          <w:rtl/>
        </w:rPr>
        <w:t>273-</w:t>
      </w:r>
      <w:r w:rsidRPr="00A10A96">
        <w:rPr>
          <w:rFonts w:hint="cs"/>
          <w:rtl/>
        </w:rPr>
        <w:tab/>
      </w:r>
      <w:r w:rsidRPr="00A10A96">
        <w:rPr>
          <w:rtl/>
        </w:rPr>
        <w:t>وعلاوة على ذلك، اعتُمد قانون يتعلق بالتمثيل المتوازن للنساء والرجال في مجالس الإدارة والإشراف وبالمساواة المهنية</w:t>
      </w:r>
      <w:r w:rsidRPr="00A10A96">
        <w:rPr>
          <w:rFonts w:hint="cs"/>
          <w:rtl/>
        </w:rPr>
        <w:t xml:space="preserve">. </w:t>
      </w:r>
      <w:r w:rsidRPr="00A10A96">
        <w:rPr>
          <w:rtl/>
        </w:rPr>
        <w:t>ويسعى هذا القانون إلى التأنيث التدريجي لمجالس إدارة الشركات المدرجة في البورصة والشركات العامة، من خلال اعتماد نظام الحصص</w:t>
      </w:r>
      <w:r w:rsidRPr="00A10A96">
        <w:rPr>
          <w:rFonts w:hint="cs"/>
          <w:rtl/>
        </w:rPr>
        <w:t>.</w:t>
      </w:r>
    </w:p>
    <w:p w:rsidR="00944A3C" w:rsidRPr="00A10A96" w:rsidRDefault="00944A3C" w:rsidP="005454AA">
      <w:pPr>
        <w:pStyle w:val="H23GA"/>
        <w:rPr>
          <w:rtl/>
        </w:rPr>
      </w:pPr>
      <w:r w:rsidRPr="00A10A96">
        <w:rPr>
          <w:rtl/>
        </w:rPr>
        <w:tab/>
        <w:t>2-</w:t>
      </w:r>
      <w:r w:rsidRPr="00A10A96">
        <w:rPr>
          <w:rtl/>
        </w:rPr>
        <w:tab/>
        <w:t>النظم الاستثنائية</w:t>
      </w:r>
    </w:p>
    <w:p w:rsidR="00944A3C" w:rsidRPr="00A10A96" w:rsidRDefault="00944A3C" w:rsidP="005454AA">
      <w:pPr>
        <w:pStyle w:val="SingleTxtGA"/>
        <w:rPr>
          <w:rtl/>
        </w:rPr>
      </w:pPr>
      <w:r w:rsidRPr="00A10A96">
        <w:rPr>
          <w:rFonts w:hint="cs"/>
          <w:rtl/>
        </w:rPr>
        <w:t>274-</w:t>
      </w:r>
      <w:r w:rsidRPr="00A10A96">
        <w:rPr>
          <w:rFonts w:hint="cs"/>
          <w:rtl/>
        </w:rPr>
        <w:tab/>
      </w:r>
      <w:r w:rsidRPr="00A10A96">
        <w:rPr>
          <w:rtl/>
        </w:rPr>
        <w:t>تتيح هذه النظم، المصممة عموم</w:t>
      </w:r>
      <w:r w:rsidR="00B27C28">
        <w:rPr>
          <w:rtl/>
        </w:rPr>
        <w:t xml:space="preserve">اً </w:t>
      </w:r>
      <w:r w:rsidRPr="00A10A96">
        <w:rPr>
          <w:rtl/>
        </w:rPr>
        <w:t>لمواجهة الحالات التي تشوبها ظروف ذات طابع خطير واستثنائي، إمكانية التعديل المؤقت لطرائق ممارسة بعض الحريات العامة</w:t>
      </w:r>
      <w:r w:rsidRPr="00A10A96">
        <w:rPr>
          <w:rFonts w:hint="cs"/>
          <w:rtl/>
        </w:rPr>
        <w:t xml:space="preserve">. </w:t>
      </w:r>
      <w:r w:rsidRPr="00A10A96">
        <w:rPr>
          <w:rtl/>
        </w:rPr>
        <w:t>وتتجلى أساس</w:t>
      </w:r>
      <w:r w:rsidR="00B27C28">
        <w:rPr>
          <w:rtl/>
        </w:rPr>
        <w:t xml:space="preserve">اً </w:t>
      </w:r>
      <w:r w:rsidRPr="00A10A96">
        <w:rPr>
          <w:rtl/>
        </w:rPr>
        <w:t>في نقل الاختصاصات مؤقت</w:t>
      </w:r>
      <w:r w:rsidR="0031739C">
        <w:rPr>
          <w:rtl/>
        </w:rPr>
        <w:t>اً،</w:t>
      </w:r>
      <w:r w:rsidRPr="00A10A96">
        <w:rPr>
          <w:rtl/>
        </w:rPr>
        <w:t xml:space="preserve"> بالاقتران مع ضمانات</w:t>
      </w:r>
      <w:r w:rsidRPr="00A10A96">
        <w:rPr>
          <w:rFonts w:hint="cs"/>
          <w:rtl/>
        </w:rPr>
        <w:t xml:space="preserve"> عديدة. </w:t>
      </w:r>
      <w:r w:rsidRPr="00A10A96">
        <w:rPr>
          <w:rtl/>
        </w:rPr>
        <w:t>ولا تغير بأي شكل من الأشكال القواعد القانونية التي تحمي حقوق الإنسان الأساسية التي لا يجوز، بأي حال من الأحوال، أن تخضع لأي استثناء</w:t>
      </w:r>
      <w:r w:rsidRPr="00A10A96">
        <w:rPr>
          <w:rFonts w:hint="cs"/>
          <w:rtl/>
        </w:rPr>
        <w:t xml:space="preserve">. </w:t>
      </w:r>
      <w:r w:rsidRPr="00A10A96">
        <w:rPr>
          <w:rtl/>
        </w:rPr>
        <w:t>ويحدد القانون الفرنسي النظم الاستثنائية بشكل صارم جدا</w:t>
      </w:r>
      <w:r w:rsidRPr="00A10A96">
        <w:rPr>
          <w:rFonts w:hint="cs"/>
          <w:rtl/>
        </w:rPr>
        <w:t>.</w:t>
      </w:r>
    </w:p>
    <w:p w:rsidR="00944A3C" w:rsidRPr="00A10A96" w:rsidRDefault="005454AA" w:rsidP="005454AA">
      <w:pPr>
        <w:pStyle w:val="H23GA"/>
        <w:rPr>
          <w:rtl/>
          <w:lang w:val="es-ES" w:eastAsia="es-ES"/>
        </w:rPr>
      </w:pPr>
      <w:r>
        <w:rPr>
          <w:rtl/>
        </w:rPr>
        <w:lastRenderedPageBreak/>
        <w:tab/>
      </w:r>
      <w:r w:rsidR="00944A3C" w:rsidRPr="00A10A96">
        <w:rPr>
          <w:rFonts w:hint="cs"/>
          <w:rtl/>
        </w:rPr>
        <w:t>(أ)</w:t>
      </w:r>
      <w:r w:rsidR="00944A3C" w:rsidRPr="00A10A96">
        <w:rPr>
          <w:rtl/>
        </w:rPr>
        <w:tab/>
      </w:r>
      <w:r w:rsidR="00944A3C" w:rsidRPr="00A10A96">
        <w:rPr>
          <w:rFonts w:hint="cs"/>
          <w:rtl/>
        </w:rPr>
        <w:t>حالة الطوارئ</w:t>
      </w:r>
    </w:p>
    <w:p w:rsidR="00944A3C" w:rsidRPr="00A10A96" w:rsidRDefault="00944A3C" w:rsidP="00934B39">
      <w:pPr>
        <w:pStyle w:val="SingleTxtGA"/>
        <w:rPr>
          <w:rtl/>
        </w:rPr>
      </w:pPr>
      <w:r w:rsidRPr="00A10A96">
        <w:rPr>
          <w:rFonts w:hint="cs"/>
          <w:rtl/>
        </w:rPr>
        <w:t>275-</w:t>
      </w:r>
      <w:r w:rsidRPr="00A10A96">
        <w:rPr>
          <w:rFonts w:hint="cs"/>
          <w:rtl/>
        </w:rPr>
        <w:tab/>
      </w:r>
      <w:r w:rsidRPr="00A10A96">
        <w:rPr>
          <w:rtl/>
        </w:rPr>
        <w:t>يجوز لمجلس الوزراء أن يعلن حالة الطوارئ، التي ينظمها القانون المؤرخ 3 نيسان/</w:t>
      </w:r>
      <w:r w:rsidR="00934B39">
        <w:rPr>
          <w:rFonts w:hint="cs"/>
          <w:rtl/>
        </w:rPr>
        <w:t xml:space="preserve"> </w:t>
      </w:r>
      <w:r w:rsidRPr="00A10A96">
        <w:rPr>
          <w:rtl/>
        </w:rPr>
        <w:t>أبريل</w:t>
      </w:r>
      <w:r w:rsidR="00934B39">
        <w:rPr>
          <w:rFonts w:hint="cs"/>
          <w:rtl/>
        </w:rPr>
        <w:t> </w:t>
      </w:r>
      <w:r w:rsidRPr="00A10A96">
        <w:rPr>
          <w:rtl/>
        </w:rPr>
        <w:t>1955 المعدَّل بالقانون المؤرخ 20 تشرين الثاني/نوفمبر 1955، في حالات الخطر الوشيك الناجمة عن أفعال الإخلال الخطير بالنظام العام، أو عن أحداث تكتسي، بحكم طبيعتها وخطورتها، طابع الكارثة العامة</w:t>
      </w:r>
      <w:r w:rsidRPr="00A10A96">
        <w:rPr>
          <w:rFonts w:hint="cs"/>
          <w:rtl/>
        </w:rPr>
        <w:t xml:space="preserve">. </w:t>
      </w:r>
      <w:r w:rsidRPr="00A10A96">
        <w:rPr>
          <w:rtl/>
        </w:rPr>
        <w:t>ولا يجوز تمديدها أكثر من 12 يوم</w:t>
      </w:r>
      <w:r w:rsidR="00B27C28">
        <w:rPr>
          <w:rtl/>
        </w:rPr>
        <w:t xml:space="preserve">اً </w:t>
      </w:r>
      <w:r w:rsidRPr="00A10A96">
        <w:rPr>
          <w:rtl/>
        </w:rPr>
        <w:t>إلا بموجب القانون</w:t>
      </w:r>
      <w:r w:rsidRPr="00A10A96">
        <w:rPr>
          <w:rFonts w:hint="cs"/>
          <w:rtl/>
        </w:rPr>
        <w:t xml:space="preserve">. </w:t>
      </w:r>
      <w:r w:rsidRPr="00A10A96">
        <w:rPr>
          <w:rtl/>
        </w:rPr>
        <w:t>وتنطوي على توسيع نطاق صلاحيات الشرطة بالموازاة مع ضمانات محددة</w:t>
      </w:r>
      <w:r w:rsidRPr="00A10A96">
        <w:rPr>
          <w:rFonts w:hint="cs"/>
          <w:rtl/>
        </w:rPr>
        <w:t xml:space="preserve">. </w:t>
      </w:r>
      <w:r w:rsidRPr="00A10A96">
        <w:rPr>
          <w:rtl/>
        </w:rPr>
        <w:t>ومنذ اعتماد القانون المؤرخ 20 تشرين الثاني/نوفمبر 2015، أصبح من اللازم إخطار الجمعية الوطنية ومجلس الشيوخ فور</w:t>
      </w:r>
      <w:r w:rsidR="00B27C28">
        <w:rPr>
          <w:rtl/>
        </w:rPr>
        <w:t xml:space="preserve">اً </w:t>
      </w:r>
      <w:r w:rsidRPr="00A10A96">
        <w:rPr>
          <w:rtl/>
        </w:rPr>
        <w:t>بالتدابير التي تتخذها الحكومة خلال حالة الطوارئ، ويجوز لهذين المجلسين طلب أي معلومات إضافية في سياق رصد هذه التدابير وتقييمها</w:t>
      </w:r>
      <w:r w:rsidRPr="00A10A96">
        <w:rPr>
          <w:rFonts w:hint="cs"/>
          <w:rtl/>
        </w:rPr>
        <w:t xml:space="preserve">. </w:t>
      </w:r>
      <w:r w:rsidRPr="00A10A96">
        <w:rPr>
          <w:rtl/>
        </w:rPr>
        <w:t>وينص هذا القانون أيض</w:t>
      </w:r>
      <w:r w:rsidR="00B27C28">
        <w:rPr>
          <w:rtl/>
        </w:rPr>
        <w:t xml:space="preserve">اً </w:t>
      </w:r>
      <w:r w:rsidRPr="00A10A96">
        <w:rPr>
          <w:rtl/>
        </w:rPr>
        <w:t>على أن التدابير الإدارية المتخذة بناء على حالة الطوارئ تخضع لرقابة المحكمة الإدارية</w:t>
      </w:r>
      <w:r w:rsidRPr="00A10A96">
        <w:rPr>
          <w:rFonts w:hint="cs"/>
          <w:rtl/>
        </w:rPr>
        <w:t xml:space="preserve">. </w:t>
      </w:r>
      <w:r w:rsidRPr="00A10A96">
        <w:rPr>
          <w:rtl/>
        </w:rPr>
        <w:t>واعتُمد القانون رقم 2016-987 المؤرخ 21 تموز/يوليه 2016 لتعديل بعض التدابير المنصوص عليها في القانون المؤرخ 3 نيسان/أبريل 1955 بغرض مواءمة مضمونه مع التطورات الحاصلة في الواقع والقانون</w:t>
      </w:r>
      <w:r w:rsidRPr="00A10A96">
        <w:rPr>
          <w:rFonts w:hint="cs"/>
          <w:rtl/>
        </w:rPr>
        <w:t xml:space="preserve">. </w:t>
      </w:r>
      <w:r w:rsidRPr="00A10A96">
        <w:rPr>
          <w:rtl/>
        </w:rPr>
        <w:t>ومنذ عام 1955، أُعلنت حالة الطوارئ 6 مرات، كان آخرها في تشرين الثاني/نوفمبر 2015 في أعقاب الهجمات الإرهابية التي تعرضت لها منطقة باريس يوم 13 تشرين الثاني/نوفمبر 2015</w:t>
      </w:r>
      <w:r w:rsidRPr="00A10A96">
        <w:rPr>
          <w:rFonts w:hint="cs"/>
          <w:rtl/>
        </w:rPr>
        <w:t>.</w:t>
      </w:r>
    </w:p>
    <w:p w:rsidR="00944A3C" w:rsidRPr="00A10A96" w:rsidRDefault="00934B39" w:rsidP="00934B39">
      <w:pPr>
        <w:pStyle w:val="H23GA"/>
        <w:rPr>
          <w:rtl/>
          <w:lang w:val="es-ES" w:eastAsia="es-ES"/>
        </w:rPr>
      </w:pPr>
      <w:r>
        <w:rPr>
          <w:rtl/>
        </w:rPr>
        <w:tab/>
      </w:r>
      <w:r w:rsidR="00944A3C" w:rsidRPr="00A10A96">
        <w:rPr>
          <w:rFonts w:hint="cs"/>
          <w:rtl/>
        </w:rPr>
        <w:t>(ب)</w:t>
      </w:r>
      <w:r w:rsidR="00944A3C" w:rsidRPr="00A10A96">
        <w:rPr>
          <w:rtl/>
        </w:rPr>
        <w:tab/>
      </w:r>
      <w:r w:rsidR="00944A3C" w:rsidRPr="00A10A96">
        <w:rPr>
          <w:rFonts w:hint="cs"/>
          <w:rtl/>
        </w:rPr>
        <w:t>حالة الحصار</w:t>
      </w:r>
    </w:p>
    <w:p w:rsidR="00944A3C" w:rsidRPr="00934B39" w:rsidRDefault="00944A3C" w:rsidP="00934B39">
      <w:pPr>
        <w:pStyle w:val="SingleTxtGA"/>
        <w:rPr>
          <w:rtl/>
        </w:rPr>
      </w:pPr>
      <w:r w:rsidRPr="00A10A96">
        <w:rPr>
          <w:rFonts w:hint="cs"/>
          <w:rtl/>
        </w:rPr>
        <w:t>276</w:t>
      </w:r>
      <w:r w:rsidRPr="00934B39">
        <w:rPr>
          <w:rFonts w:hint="cs"/>
          <w:rtl/>
        </w:rPr>
        <w:t>-</w:t>
      </w:r>
      <w:r w:rsidRPr="00934B39">
        <w:rPr>
          <w:rFonts w:hint="cs"/>
          <w:rtl/>
        </w:rPr>
        <w:tab/>
        <w:t>وفق</w:t>
      </w:r>
      <w:r w:rsidR="00B27C28">
        <w:rPr>
          <w:rFonts w:hint="cs"/>
          <w:rtl/>
        </w:rPr>
        <w:t xml:space="preserve">اً </w:t>
      </w:r>
      <w:r w:rsidRPr="00934B39">
        <w:rPr>
          <w:rFonts w:hint="cs"/>
          <w:rtl/>
        </w:rPr>
        <w:t>ل</w:t>
      </w:r>
      <w:r w:rsidRPr="00934B39">
        <w:rPr>
          <w:rtl/>
        </w:rPr>
        <w:t xml:space="preserve">لمادة </w:t>
      </w:r>
      <w:r w:rsidRPr="00934B39">
        <w:t>L2121-1</w:t>
      </w:r>
      <w:r w:rsidRPr="00934B39">
        <w:rPr>
          <w:rtl/>
        </w:rPr>
        <w:t xml:space="preserve"> من قانون الدفاع، يجوز إعلان حالة الحصار في حالات الخطر الوشيك الناجمة عن حرب خارجية أو تمرد مسلح</w:t>
      </w:r>
      <w:r w:rsidRPr="00934B39">
        <w:rPr>
          <w:rFonts w:hint="cs"/>
          <w:rtl/>
        </w:rPr>
        <w:t xml:space="preserve">. </w:t>
      </w:r>
      <w:r w:rsidRPr="00934B39">
        <w:rPr>
          <w:rtl/>
        </w:rPr>
        <w:t>ووفق</w:t>
      </w:r>
      <w:r w:rsidR="00B27C28">
        <w:rPr>
          <w:rtl/>
        </w:rPr>
        <w:t xml:space="preserve">اً </w:t>
      </w:r>
      <w:r w:rsidRPr="00934B39">
        <w:rPr>
          <w:rtl/>
        </w:rPr>
        <w:t>للمادة 36 من الدستور، ينبغي أن يُتخذ هذا القرار في مجلس الوزراء ولا يجوز تمديد حالة الحصار أكثر من 12 يوم</w:t>
      </w:r>
      <w:r w:rsidR="00B27C28">
        <w:rPr>
          <w:rtl/>
        </w:rPr>
        <w:t xml:space="preserve">اً </w:t>
      </w:r>
      <w:r w:rsidRPr="00934B39">
        <w:rPr>
          <w:rtl/>
        </w:rPr>
        <w:t>إلا بإذن من البرلمان</w:t>
      </w:r>
      <w:r w:rsidRPr="00934B39">
        <w:rPr>
          <w:rFonts w:hint="cs"/>
          <w:rtl/>
        </w:rPr>
        <w:t xml:space="preserve">. وتعني </w:t>
      </w:r>
      <w:r w:rsidRPr="00934B39">
        <w:rPr>
          <w:rtl/>
        </w:rPr>
        <w:t>حالة الحصار نقل صلاحيات الشرطة وحفظ النظام من السلطة المدنية إلى السلطة العسكرية</w:t>
      </w:r>
      <w:r w:rsidRPr="00934B39">
        <w:rPr>
          <w:rFonts w:hint="cs"/>
          <w:rtl/>
        </w:rPr>
        <w:t xml:space="preserve">. </w:t>
      </w:r>
      <w:r w:rsidRPr="00934B39">
        <w:rPr>
          <w:rtl/>
        </w:rPr>
        <w:t>كما تُخوَّل للمحاكم العسكرية صلاحية استثنائية للنظر في بعض الجرائم التي تنطوي على درجة محددة من الخطورة</w:t>
      </w:r>
      <w:r w:rsidRPr="00A10A96">
        <w:rPr>
          <w:rStyle w:val="EndnoteReference"/>
          <w:rtl/>
        </w:rPr>
        <w:t>(</w:t>
      </w:r>
      <w:r w:rsidRPr="00A10A96">
        <w:rPr>
          <w:rStyle w:val="EndnoteReference"/>
          <w:rtl/>
        </w:rPr>
        <w:endnoteReference w:id="198"/>
      </w:r>
      <w:r w:rsidRPr="00A10A96">
        <w:rPr>
          <w:rStyle w:val="EndnoteReference"/>
          <w:rtl/>
        </w:rPr>
        <w:t>)</w:t>
      </w:r>
      <w:r w:rsidRPr="00A10A96">
        <w:rPr>
          <w:rtl/>
        </w:rPr>
        <w:t xml:space="preserve"> (</w:t>
      </w:r>
      <w:r w:rsidRPr="00934B39">
        <w:rPr>
          <w:rtl/>
        </w:rPr>
        <w:t xml:space="preserve">المادة </w:t>
      </w:r>
      <w:r w:rsidRPr="00934B39">
        <w:t>L2121-3</w:t>
      </w:r>
      <w:r w:rsidRPr="00934B39">
        <w:rPr>
          <w:rtl/>
        </w:rPr>
        <w:t xml:space="preserve"> من قانون الدفاع)</w:t>
      </w:r>
      <w:r w:rsidRPr="00934B39">
        <w:rPr>
          <w:rFonts w:hint="cs"/>
          <w:rtl/>
        </w:rPr>
        <w:t xml:space="preserve">. </w:t>
      </w:r>
      <w:r w:rsidRPr="00934B39">
        <w:rPr>
          <w:rtl/>
        </w:rPr>
        <w:t>ولم تُعلن أبداً حالة الحصار في ظل الجمهورية الخامسة</w:t>
      </w:r>
      <w:r w:rsidRPr="00934B39">
        <w:rPr>
          <w:rFonts w:hint="cs"/>
          <w:rtl/>
        </w:rPr>
        <w:t>.</w:t>
      </w:r>
    </w:p>
    <w:p w:rsidR="00944A3C" w:rsidRPr="00A10A96" w:rsidRDefault="00934B39" w:rsidP="00934B39">
      <w:pPr>
        <w:pStyle w:val="H23GA"/>
        <w:rPr>
          <w:rtl/>
          <w:lang w:val="es-ES" w:eastAsia="es-ES"/>
        </w:rPr>
      </w:pPr>
      <w:r>
        <w:rPr>
          <w:rtl/>
        </w:rPr>
        <w:tab/>
      </w:r>
      <w:r w:rsidR="00944A3C" w:rsidRPr="00A10A96">
        <w:rPr>
          <w:rFonts w:hint="cs"/>
          <w:rtl/>
        </w:rPr>
        <w:t>(ج)</w:t>
      </w:r>
      <w:r w:rsidR="00944A3C" w:rsidRPr="00A10A96">
        <w:rPr>
          <w:rtl/>
        </w:rPr>
        <w:tab/>
        <w:t>المادة 16 من الدستور المؤرخ 4 تشرين الأول/أكتوبر 1958</w:t>
      </w:r>
    </w:p>
    <w:p w:rsidR="00944A3C" w:rsidRPr="00A10A96" w:rsidRDefault="00944A3C" w:rsidP="00934B39">
      <w:pPr>
        <w:pStyle w:val="SingleTxtGA"/>
        <w:rPr>
          <w:rtl/>
        </w:rPr>
      </w:pPr>
      <w:r w:rsidRPr="00A10A96">
        <w:rPr>
          <w:rFonts w:hint="cs"/>
          <w:rtl/>
        </w:rPr>
        <w:t>277-</w:t>
      </w:r>
      <w:r w:rsidRPr="00A10A96">
        <w:rPr>
          <w:rFonts w:hint="cs"/>
          <w:rtl/>
        </w:rPr>
        <w:tab/>
      </w:r>
      <w:r w:rsidRPr="00A10A96">
        <w:rPr>
          <w:rtl/>
        </w:rPr>
        <w:t>تنص هذه المادة على أنه "عندما يتهدد خطر جسيم ووشيك مؤسسات الجمهورية أو</w:t>
      </w:r>
      <w:r w:rsidR="00934B39">
        <w:rPr>
          <w:rFonts w:hint="cs"/>
          <w:rtl/>
        </w:rPr>
        <w:t> </w:t>
      </w:r>
      <w:r w:rsidRPr="00A10A96">
        <w:rPr>
          <w:rtl/>
        </w:rPr>
        <w:t>استقلال الدولة أو سلامة أراضيها أو الوفاء بالتزاماتها الدولية، ويتوقف السير العادي لعمل السلطات الدستورية العامة، يتخذ رئيس الجمهورية التدابير التي تقتضيها هذه الظروف، بعد إجراء مشاورات رسمية مع رئيس الوزراء ورئيسي مجلسي البرلمان ورئيس المجلس الدستوري</w:t>
      </w:r>
      <w:r w:rsidRPr="00A10A96">
        <w:rPr>
          <w:rFonts w:hint="cs"/>
          <w:rtl/>
        </w:rPr>
        <w:t xml:space="preserve">. </w:t>
      </w:r>
      <w:r w:rsidRPr="00A10A96">
        <w:rPr>
          <w:rtl/>
        </w:rPr>
        <w:t>ويُبلغ الشعبَ بالتدابير المتخذة من خلال خطاب</w:t>
      </w:r>
      <w:r w:rsidRPr="00A10A96">
        <w:rPr>
          <w:rFonts w:hint="cs"/>
          <w:rtl/>
        </w:rPr>
        <w:t xml:space="preserve">. </w:t>
      </w:r>
      <w:r w:rsidRPr="00A10A96">
        <w:rPr>
          <w:rtl/>
        </w:rPr>
        <w:t>وينبغي أن تنبع هذه التدابير من الرغبة في إتاحة السلطات الدستورية، في أقرب وقت ممكن، الوسائل اللازمة لأداء مهمتها</w:t>
      </w:r>
      <w:r w:rsidRPr="00A10A96">
        <w:rPr>
          <w:rFonts w:hint="cs"/>
          <w:rtl/>
        </w:rPr>
        <w:t xml:space="preserve">. </w:t>
      </w:r>
      <w:r w:rsidRPr="00A10A96">
        <w:rPr>
          <w:rtl/>
        </w:rPr>
        <w:t>ويستشار المجلس الدستوري بشأن</w:t>
      </w:r>
      <w:r w:rsidRPr="00A10A96">
        <w:rPr>
          <w:rFonts w:hint="cs"/>
          <w:rtl/>
        </w:rPr>
        <w:t xml:space="preserve">ها. </w:t>
      </w:r>
      <w:r w:rsidRPr="00A10A96">
        <w:rPr>
          <w:rtl/>
        </w:rPr>
        <w:t>ويجتمع البرلمان بحكم القانون</w:t>
      </w:r>
      <w:r w:rsidRPr="00A10A96">
        <w:rPr>
          <w:rFonts w:hint="cs"/>
          <w:rtl/>
        </w:rPr>
        <w:t xml:space="preserve">. </w:t>
      </w:r>
      <w:r w:rsidRPr="00A10A96">
        <w:rPr>
          <w:rtl/>
        </w:rPr>
        <w:t xml:space="preserve">ولا يجوز حل الجمعية الوطنية خلال </w:t>
      </w:r>
      <w:r w:rsidRPr="00A10A96">
        <w:rPr>
          <w:rFonts w:hint="cs"/>
          <w:rtl/>
        </w:rPr>
        <w:t xml:space="preserve">فترة </w:t>
      </w:r>
      <w:r w:rsidRPr="00A10A96">
        <w:rPr>
          <w:rtl/>
        </w:rPr>
        <w:t>ممارسة الصلاحيات الاستثنائية</w:t>
      </w:r>
      <w:r w:rsidRPr="00A10A96">
        <w:rPr>
          <w:rFonts w:hint="cs"/>
          <w:rtl/>
        </w:rPr>
        <w:t xml:space="preserve">. </w:t>
      </w:r>
      <w:r w:rsidRPr="00A10A96">
        <w:rPr>
          <w:rtl/>
        </w:rPr>
        <w:t>وبعد ثلاثين يوم</w:t>
      </w:r>
      <w:r w:rsidR="00B27C28">
        <w:rPr>
          <w:rtl/>
        </w:rPr>
        <w:t xml:space="preserve">اً </w:t>
      </w:r>
      <w:r w:rsidRPr="00A10A96">
        <w:rPr>
          <w:rtl/>
        </w:rPr>
        <w:t>من ممارسة الصلاحيات الاستثنائية، يجوز أن تحال المسألة إلى المجلس الدستوري من قبل رئيس الجمعية الوطنية، أو رئيس مجلس الشيوخ، أو</w:t>
      </w:r>
      <w:r w:rsidR="00934B39">
        <w:rPr>
          <w:rFonts w:hint="cs"/>
          <w:rtl/>
        </w:rPr>
        <w:t> </w:t>
      </w:r>
      <w:r w:rsidRPr="00A10A96">
        <w:rPr>
          <w:rtl/>
        </w:rPr>
        <w:t>ستين نائب</w:t>
      </w:r>
      <w:r w:rsidR="00B27C28">
        <w:rPr>
          <w:rtl/>
        </w:rPr>
        <w:t xml:space="preserve">اً </w:t>
      </w:r>
      <w:r w:rsidRPr="00A10A96">
        <w:rPr>
          <w:rFonts w:hint="cs"/>
          <w:rtl/>
        </w:rPr>
        <w:t>برلماني</w:t>
      </w:r>
      <w:r w:rsidR="00B27C28">
        <w:rPr>
          <w:rFonts w:hint="cs"/>
          <w:rtl/>
        </w:rPr>
        <w:t xml:space="preserve">اً </w:t>
      </w:r>
      <w:r w:rsidRPr="00A10A96">
        <w:rPr>
          <w:rtl/>
        </w:rPr>
        <w:t>أو ستين عضو</w:t>
      </w:r>
      <w:r w:rsidR="00B27C28">
        <w:rPr>
          <w:rtl/>
        </w:rPr>
        <w:t xml:space="preserve">اً </w:t>
      </w:r>
      <w:r w:rsidRPr="00A10A96">
        <w:rPr>
          <w:rtl/>
        </w:rPr>
        <w:t>من أعضاء مجلس الشيوخ، ليتحقق مما إذا كانت الشروط المنصوص عليها في الفقرة الأولى لا تزال قائمة</w:t>
      </w:r>
      <w:r w:rsidRPr="00A10A96">
        <w:rPr>
          <w:rFonts w:hint="cs"/>
          <w:rtl/>
        </w:rPr>
        <w:t xml:space="preserve">. </w:t>
      </w:r>
      <w:r w:rsidRPr="00A10A96">
        <w:rPr>
          <w:rtl/>
        </w:rPr>
        <w:t xml:space="preserve">ويصدر قراره في أقرب وقت ممكن من خلال </w:t>
      </w:r>
      <w:r w:rsidRPr="00A10A96">
        <w:rPr>
          <w:rtl/>
        </w:rPr>
        <w:lastRenderedPageBreak/>
        <w:t>بيان عام</w:t>
      </w:r>
      <w:r w:rsidRPr="00A10A96">
        <w:rPr>
          <w:rFonts w:hint="cs"/>
          <w:rtl/>
        </w:rPr>
        <w:t xml:space="preserve">. </w:t>
      </w:r>
      <w:r w:rsidRPr="00A10A96">
        <w:rPr>
          <w:rtl/>
        </w:rPr>
        <w:t>ويباشر هذا الإجراء بحكم القانون ويصدر قراره وفق الشروط ذاتها بعد انقضاء ستين يوم</w:t>
      </w:r>
      <w:r w:rsidR="00B27C28">
        <w:rPr>
          <w:rtl/>
        </w:rPr>
        <w:t xml:space="preserve">اً </w:t>
      </w:r>
      <w:r w:rsidRPr="00A10A96">
        <w:rPr>
          <w:rtl/>
        </w:rPr>
        <w:t>من ممارسة الصلاحيات الاستثنائية وفي أي وقت بعد انصرام هذه المدة"</w:t>
      </w:r>
      <w:r w:rsidRPr="00A10A96">
        <w:rPr>
          <w:rFonts w:hint="cs"/>
          <w:rtl/>
        </w:rPr>
        <w:t>.</w:t>
      </w:r>
    </w:p>
    <w:p w:rsidR="00944A3C" w:rsidRPr="00A10A96" w:rsidRDefault="00944A3C" w:rsidP="00934B39">
      <w:pPr>
        <w:pStyle w:val="SingleTxtGA"/>
        <w:rPr>
          <w:rtl/>
        </w:rPr>
      </w:pPr>
      <w:r w:rsidRPr="00A10A96">
        <w:rPr>
          <w:rFonts w:hint="cs"/>
          <w:rtl/>
        </w:rPr>
        <w:t>278-</w:t>
      </w:r>
      <w:r w:rsidRPr="00A10A96">
        <w:rPr>
          <w:rFonts w:hint="cs"/>
          <w:rtl/>
        </w:rPr>
        <w:tab/>
      </w:r>
      <w:r w:rsidRPr="00A10A96">
        <w:rPr>
          <w:rtl/>
        </w:rPr>
        <w:t>ورهن</w:t>
      </w:r>
      <w:r w:rsidR="00B27C28">
        <w:rPr>
          <w:rtl/>
        </w:rPr>
        <w:t xml:space="preserve">اً </w:t>
      </w:r>
      <w:r w:rsidRPr="00A10A96">
        <w:rPr>
          <w:rtl/>
        </w:rPr>
        <w:t>بالشروط الموضوعية أو الشكلية، تهدف المادة 16 إلى توسيع نطاق صلاحيات رئيس الجمهورية</w:t>
      </w:r>
      <w:r w:rsidRPr="00A10A96">
        <w:rPr>
          <w:rFonts w:hint="cs"/>
          <w:rtl/>
        </w:rPr>
        <w:t xml:space="preserve">. </w:t>
      </w:r>
      <w:r w:rsidRPr="00A10A96">
        <w:rPr>
          <w:rtl/>
        </w:rPr>
        <w:t>غير أن ممارسة هذه الصلاحيات لا تجري من دون مراقبة لأن القرارات التنظيمية أو ذات الطابع الفردي قرارات إدارية تندرج بالتالي صلاحية النظر في مشروعيتها ضمن اختصاصات المحكمة الإدارية في حالة تقديم طعن بسبب التعسف في استخدام السلطة</w:t>
      </w:r>
      <w:r w:rsidRPr="00A10A96">
        <w:rPr>
          <w:rFonts w:hint="cs"/>
          <w:rtl/>
        </w:rPr>
        <w:t>.</w:t>
      </w:r>
    </w:p>
    <w:p w:rsidR="00944A3C" w:rsidRPr="00934B39" w:rsidRDefault="00944A3C" w:rsidP="00934B39">
      <w:pPr>
        <w:pStyle w:val="SingleTxtGA"/>
        <w:rPr>
          <w:spacing w:val="1"/>
          <w:rtl/>
        </w:rPr>
      </w:pPr>
      <w:r w:rsidRPr="00934B39">
        <w:rPr>
          <w:rFonts w:hint="cs"/>
          <w:spacing w:val="1"/>
          <w:rtl/>
        </w:rPr>
        <w:t>279-</w:t>
      </w:r>
      <w:r w:rsidRPr="00934B39">
        <w:rPr>
          <w:rFonts w:hint="cs"/>
          <w:spacing w:val="1"/>
          <w:rtl/>
        </w:rPr>
        <w:tab/>
      </w:r>
      <w:r w:rsidRPr="00934B39">
        <w:rPr>
          <w:spacing w:val="1"/>
          <w:rtl/>
        </w:rPr>
        <w:t>وأصدرت فرنسا تحفظ</w:t>
      </w:r>
      <w:r w:rsidR="00B27C28">
        <w:rPr>
          <w:spacing w:val="1"/>
          <w:rtl/>
        </w:rPr>
        <w:t xml:space="preserve">اً </w:t>
      </w:r>
      <w:r w:rsidRPr="00934B39">
        <w:rPr>
          <w:spacing w:val="1"/>
          <w:rtl/>
        </w:rPr>
        <w:t>بشأن تطبيق الفقرة 1 من المادة 4 من العهد الدولي الخاص بالحقوق المدنية والسياسية التي تنظم حالات الطوارئ الاستثنائية، لأن صيغة الظروف التي يجوز فيها عدم التقيد بالالتزامات المنصوص عليها في العهد هي في الحقيقة أعم بكثير من الصيغة الواردة في المادة 16 وفي القوانين المنظمة لحالة الحصار وحالة الطوارئ</w:t>
      </w:r>
      <w:r w:rsidRPr="00934B39">
        <w:rPr>
          <w:rFonts w:hint="cs"/>
          <w:spacing w:val="1"/>
          <w:rtl/>
        </w:rPr>
        <w:t xml:space="preserve">. </w:t>
      </w:r>
      <w:r w:rsidRPr="00934B39">
        <w:rPr>
          <w:spacing w:val="1"/>
          <w:rtl/>
        </w:rPr>
        <w:t>وبغرض تفادي الاختلافات في التفسير، ينص تحفظ فرنسا على أنه "ينبغي أن تُفهم الظروف المحددة في المادة</w:t>
      </w:r>
      <w:r w:rsidR="00934B39">
        <w:rPr>
          <w:rFonts w:hint="cs"/>
          <w:spacing w:val="1"/>
          <w:rtl/>
        </w:rPr>
        <w:t> </w:t>
      </w:r>
      <w:r w:rsidRPr="00934B39">
        <w:rPr>
          <w:spacing w:val="1"/>
          <w:rtl/>
        </w:rPr>
        <w:t>16 من الدستور لتنفيذها، وفي المادة الأولى من القانون المؤرخ 3 نيسان/أبريل 1878 المعدل للقانون المؤرخ 9 آب/أغسطس 1849 لإعلان حالة الحصار، وفي المادة الأولى من القانون المؤرخ 3 نيسان/أبريل 1955 لإعلان حالة الطوارئ، التي تتيح تنفيذ هذه النصوص، على أساس أنها تتوافق مع هدف المادة 4 من العهد"</w:t>
      </w:r>
      <w:r w:rsidRPr="00934B39">
        <w:rPr>
          <w:rFonts w:hint="cs"/>
          <w:spacing w:val="1"/>
          <w:rtl/>
        </w:rPr>
        <w:t xml:space="preserve">. </w:t>
      </w:r>
      <w:r w:rsidRPr="00934B39">
        <w:rPr>
          <w:spacing w:val="1"/>
          <w:rtl/>
        </w:rPr>
        <w:t>وعلاوة على ذلك، يحدد هذا التحفظ التفسير الذي يمكن إعطاؤه للتدابير التي يتخذها رئيس الجمهورية بموجب المادة 16</w:t>
      </w:r>
      <w:r w:rsidRPr="00934B39">
        <w:rPr>
          <w:rFonts w:hint="cs"/>
          <w:spacing w:val="1"/>
          <w:rtl/>
        </w:rPr>
        <w:t xml:space="preserve">. </w:t>
      </w:r>
      <w:r w:rsidRPr="00934B39">
        <w:rPr>
          <w:spacing w:val="1"/>
          <w:rtl/>
        </w:rPr>
        <w:t>فلا ينبغي أن تقيد عبارة "في أضيق الحدود التي يتطلبها الوضع" صلاحية رئيس الجمهورية في أن يتخذ "التدابير التي تقتضيها الظروف"</w:t>
      </w:r>
      <w:r w:rsidRPr="00934B39">
        <w:rPr>
          <w:rFonts w:hint="cs"/>
          <w:spacing w:val="1"/>
          <w:rtl/>
        </w:rPr>
        <w:t>.</w:t>
      </w:r>
    </w:p>
    <w:p w:rsidR="00944A3C" w:rsidRPr="00A10A96" w:rsidRDefault="00944A3C" w:rsidP="00934B39">
      <w:pPr>
        <w:pStyle w:val="H1GA"/>
        <w:rPr>
          <w:rtl/>
        </w:rPr>
      </w:pPr>
      <w:r w:rsidRPr="00A10A96">
        <w:rPr>
          <w:rtl/>
        </w:rPr>
        <w:tab/>
      </w:r>
      <w:bookmarkStart w:id="353" w:name="_Toc508623286"/>
      <w:r w:rsidRPr="00A10A96">
        <w:rPr>
          <w:rFonts w:hint="cs"/>
          <w:rtl/>
        </w:rPr>
        <w:t>باء</w:t>
      </w:r>
      <w:r w:rsidRPr="00A10A96">
        <w:rPr>
          <w:rtl/>
        </w:rPr>
        <w:t>-</w:t>
      </w:r>
      <w:r w:rsidRPr="00A10A96">
        <w:rPr>
          <w:rtl/>
        </w:rPr>
        <w:tab/>
        <w:t>إدراج أحكام الصكوك الدولية لحقوق الإنسان في القانون المحلي والاحتجاج بها أمام المحاكم الوطنية</w:t>
      </w:r>
      <w:bookmarkEnd w:id="353"/>
      <w:r w:rsidRPr="00A10A96">
        <w:rPr>
          <w:rtl/>
        </w:rPr>
        <w:t xml:space="preserve"> </w:t>
      </w:r>
    </w:p>
    <w:p w:rsidR="00944A3C" w:rsidRPr="00A10A96" w:rsidRDefault="00944A3C" w:rsidP="00934B39">
      <w:pPr>
        <w:pStyle w:val="H23GA"/>
        <w:rPr>
          <w:rtl/>
        </w:rPr>
      </w:pPr>
      <w:r w:rsidRPr="00A10A96">
        <w:rPr>
          <w:rtl/>
        </w:rPr>
        <w:tab/>
        <w:t>1-</w:t>
      </w:r>
      <w:r w:rsidRPr="00A10A96">
        <w:rPr>
          <w:rtl/>
        </w:rPr>
        <w:tab/>
        <w:t>تعهد فرنسا بالالتزام بالصكوك الدولية</w:t>
      </w:r>
    </w:p>
    <w:p w:rsidR="00944A3C" w:rsidRPr="00934B39" w:rsidRDefault="00944A3C" w:rsidP="00934B39">
      <w:pPr>
        <w:pStyle w:val="SingleTxtGA"/>
        <w:rPr>
          <w:spacing w:val="-2"/>
          <w:rtl/>
        </w:rPr>
      </w:pPr>
      <w:r w:rsidRPr="00934B39">
        <w:rPr>
          <w:rFonts w:hint="cs"/>
          <w:spacing w:val="-2"/>
          <w:rtl/>
        </w:rPr>
        <w:t>280-</w:t>
      </w:r>
      <w:r w:rsidRPr="00934B39">
        <w:rPr>
          <w:rFonts w:hint="cs"/>
          <w:spacing w:val="-2"/>
          <w:rtl/>
        </w:rPr>
        <w:tab/>
      </w:r>
      <w:r w:rsidRPr="00934B39">
        <w:rPr>
          <w:spacing w:val="-2"/>
          <w:rtl/>
        </w:rPr>
        <w:t>بعد التفاوض بشأن الالتزام الدولي والتوقيع عليه من قِبل الهيئة الدستورية المختصة (أو</w:t>
      </w:r>
      <w:r w:rsidR="00934B39" w:rsidRPr="00934B39">
        <w:rPr>
          <w:rFonts w:hint="cs"/>
          <w:spacing w:val="-2"/>
          <w:rtl/>
        </w:rPr>
        <w:t> </w:t>
      </w:r>
      <w:r w:rsidRPr="00934B39">
        <w:rPr>
          <w:spacing w:val="-2"/>
          <w:rtl/>
        </w:rPr>
        <w:t>شخص يتصرف باسمها بموجب تفويض يحمل توقيعها)، قد يكون تصديق رئيس الجمهورية (المادة 52) أو موافقة الحكومة عليه (المادة 52) مسبوق</w:t>
      </w:r>
      <w:r w:rsidR="0031739C">
        <w:rPr>
          <w:spacing w:val="-2"/>
          <w:rtl/>
        </w:rPr>
        <w:t>اً،</w:t>
      </w:r>
      <w:r w:rsidRPr="00934B39">
        <w:rPr>
          <w:spacing w:val="-2"/>
          <w:rtl/>
        </w:rPr>
        <w:t xml:space="preserve"> من جهة، بإذن من البرلمان أو</w:t>
      </w:r>
      <w:r w:rsidR="00934B39" w:rsidRPr="00934B39">
        <w:rPr>
          <w:rFonts w:hint="cs"/>
          <w:spacing w:val="-2"/>
          <w:rtl/>
        </w:rPr>
        <w:t> </w:t>
      </w:r>
      <w:r w:rsidRPr="00934B39">
        <w:rPr>
          <w:spacing w:val="-2"/>
          <w:rtl/>
        </w:rPr>
        <w:t xml:space="preserve">الشعب، ومن جهة أخرى، بقرار يصدره المجلس الدستوري بشأن </w:t>
      </w:r>
      <w:r w:rsidRPr="00934B39">
        <w:rPr>
          <w:rFonts w:hint="cs"/>
          <w:spacing w:val="-2"/>
          <w:rtl/>
        </w:rPr>
        <w:t xml:space="preserve">مسألة </w:t>
      </w:r>
      <w:r w:rsidRPr="00934B39">
        <w:rPr>
          <w:spacing w:val="-2"/>
          <w:rtl/>
        </w:rPr>
        <w:t xml:space="preserve">توافق </w:t>
      </w:r>
      <w:r w:rsidRPr="00934B39">
        <w:rPr>
          <w:rFonts w:hint="cs"/>
          <w:spacing w:val="-2"/>
          <w:rtl/>
        </w:rPr>
        <w:t xml:space="preserve">ذلك الالتزام </w:t>
      </w:r>
      <w:r w:rsidRPr="00934B39">
        <w:rPr>
          <w:spacing w:val="-2"/>
          <w:rtl/>
        </w:rPr>
        <w:t>مع الدستور</w:t>
      </w:r>
      <w:r w:rsidRPr="00934B39">
        <w:rPr>
          <w:rFonts w:hint="cs"/>
          <w:spacing w:val="-2"/>
          <w:rtl/>
        </w:rPr>
        <w:t>.</w:t>
      </w:r>
    </w:p>
    <w:p w:rsidR="00944A3C" w:rsidRPr="00A10A96" w:rsidRDefault="00944A3C" w:rsidP="00934B39">
      <w:pPr>
        <w:pStyle w:val="H23GA"/>
        <w:rPr>
          <w:rtl/>
        </w:rPr>
      </w:pPr>
      <w:r w:rsidRPr="00A10A96">
        <w:rPr>
          <w:rtl/>
        </w:rPr>
        <w:tab/>
        <w:t>(أ)</w:t>
      </w:r>
      <w:r w:rsidRPr="00A10A96">
        <w:rPr>
          <w:rtl/>
        </w:rPr>
        <w:tab/>
        <w:t>الإجراءات المحتملة السابقة للتصديق أو الموافقة</w:t>
      </w:r>
    </w:p>
    <w:p w:rsidR="00944A3C" w:rsidRPr="00A10A96" w:rsidRDefault="00944A3C" w:rsidP="005714DA">
      <w:pPr>
        <w:pStyle w:val="H4GA"/>
        <w:rPr>
          <w:rtl/>
          <w:lang w:val="es-ES" w:eastAsia="es-ES"/>
        </w:rPr>
      </w:pPr>
      <w:r w:rsidRPr="00A10A96">
        <w:rPr>
          <w:b/>
          <w:bCs/>
          <w:rtl/>
        </w:rPr>
        <w:tab/>
      </w:r>
      <w:r w:rsidR="005714DA">
        <w:rPr>
          <w:rFonts w:hint="cs"/>
          <w:rtl/>
        </w:rPr>
        <w:t>‘</w:t>
      </w:r>
      <w:r w:rsidRPr="00A10A96">
        <w:rPr>
          <w:rFonts w:hint="cs"/>
          <w:rtl/>
        </w:rPr>
        <w:t>1</w:t>
      </w:r>
      <w:r w:rsidR="005714DA">
        <w:rPr>
          <w:rFonts w:hint="cs"/>
          <w:rtl/>
        </w:rPr>
        <w:t>‘</w:t>
      </w:r>
      <w:r w:rsidRPr="00A10A96">
        <w:rPr>
          <w:rtl/>
        </w:rPr>
        <w:tab/>
      </w:r>
      <w:r w:rsidRPr="00A10A96">
        <w:rPr>
          <w:rFonts w:hint="cs"/>
          <w:rtl/>
        </w:rPr>
        <w:t>ال</w:t>
      </w:r>
      <w:r w:rsidRPr="00A10A96">
        <w:rPr>
          <w:rtl/>
        </w:rPr>
        <w:t xml:space="preserve">إذن </w:t>
      </w:r>
      <w:r w:rsidRPr="00A10A96">
        <w:rPr>
          <w:rFonts w:hint="cs"/>
          <w:rtl/>
        </w:rPr>
        <w:t xml:space="preserve">الصادر عن </w:t>
      </w:r>
      <w:r w:rsidRPr="00A10A96">
        <w:rPr>
          <w:rtl/>
        </w:rPr>
        <w:t>البرلمان بالتصديق أو بالموافقة</w:t>
      </w:r>
      <w:r w:rsidRPr="00A10A96">
        <w:rPr>
          <w:rFonts w:hint="cs"/>
          <w:rtl/>
        </w:rPr>
        <w:t xml:space="preserve"> على الصكوك الدولية</w:t>
      </w:r>
    </w:p>
    <w:p w:rsidR="00944A3C" w:rsidRPr="00A10A96" w:rsidRDefault="00944A3C" w:rsidP="00934B39">
      <w:pPr>
        <w:pStyle w:val="SingleTxtGA"/>
        <w:rPr>
          <w:rtl/>
        </w:rPr>
      </w:pPr>
      <w:r w:rsidRPr="00A10A96">
        <w:rPr>
          <w:rFonts w:hint="cs"/>
          <w:rtl/>
        </w:rPr>
        <w:t>281-</w:t>
      </w:r>
      <w:r w:rsidRPr="00A10A96">
        <w:rPr>
          <w:rFonts w:hint="cs"/>
          <w:rtl/>
        </w:rPr>
        <w:tab/>
      </w:r>
      <w:r w:rsidRPr="00A10A96">
        <w:rPr>
          <w:rtl/>
        </w:rPr>
        <w:t>تنص المادة 53 من الدستور على أنه لا يجوز التصديق أو الموافقة على فئات معينة من المعاهدات أو الاتفاقات إلا بإذن من البرلمان</w:t>
      </w:r>
      <w:r w:rsidRPr="00A10A96">
        <w:rPr>
          <w:rFonts w:hint="cs"/>
          <w:rtl/>
        </w:rPr>
        <w:t xml:space="preserve">. </w:t>
      </w:r>
      <w:r w:rsidRPr="00A10A96">
        <w:rPr>
          <w:rtl/>
        </w:rPr>
        <w:t>ويتعلق الأمر بمعاهدات السلام، والمعاهدات التجارية، والمعاهدات أو الاتفاقات المتعلقة بالمنظمات الدولية، وتلك التي تقتضي توظيف أموال الدولة، وتلك التي تُعدل أحكام</w:t>
      </w:r>
      <w:r w:rsidR="00B27C28">
        <w:rPr>
          <w:rtl/>
        </w:rPr>
        <w:t xml:space="preserve">اً </w:t>
      </w:r>
      <w:r w:rsidRPr="00A10A96">
        <w:rPr>
          <w:rtl/>
        </w:rPr>
        <w:t>ذات طابع تشريعي، وتلك التي تتعلق بالأحوال الشخصية، وتلك التي تقتضي التنازل عن إقليم أو مبادلته أو ضمه</w:t>
      </w:r>
      <w:r w:rsidRPr="00A10A96">
        <w:rPr>
          <w:rFonts w:hint="cs"/>
          <w:rtl/>
        </w:rPr>
        <w:t xml:space="preserve">. </w:t>
      </w:r>
      <w:r w:rsidRPr="00A10A96">
        <w:rPr>
          <w:rtl/>
        </w:rPr>
        <w:t xml:space="preserve">وبالإضافة إلى ذلك، يجوز للحكومة أن </w:t>
      </w:r>
      <w:r w:rsidRPr="00A10A96">
        <w:rPr>
          <w:rtl/>
        </w:rPr>
        <w:lastRenderedPageBreak/>
        <w:t>تعرض على البرلمان أي معاهدة أخرى</w:t>
      </w:r>
      <w:r w:rsidRPr="00A10A96">
        <w:rPr>
          <w:rFonts w:hint="cs"/>
          <w:rtl/>
        </w:rPr>
        <w:t xml:space="preserve">. </w:t>
      </w:r>
      <w:r w:rsidRPr="00A10A96">
        <w:rPr>
          <w:rtl/>
        </w:rPr>
        <w:t>والقانون المصوَّت عليه قانون يجيز التصديق أو الموافقة على الصك الدولي، وليس قانون</w:t>
      </w:r>
      <w:r w:rsidR="00B27C28">
        <w:rPr>
          <w:rtl/>
        </w:rPr>
        <w:t xml:space="preserve">اً </w:t>
      </w:r>
      <w:r w:rsidRPr="00A10A96">
        <w:rPr>
          <w:rtl/>
        </w:rPr>
        <w:t>يحدد إجراءات التصديق أو الموافقة عليه</w:t>
      </w:r>
      <w:r w:rsidRPr="00A10A96">
        <w:rPr>
          <w:rFonts w:hint="cs"/>
          <w:rtl/>
        </w:rPr>
        <w:t>.</w:t>
      </w:r>
    </w:p>
    <w:p w:rsidR="00944A3C" w:rsidRPr="00A10A96" w:rsidRDefault="00944A3C" w:rsidP="00934B39">
      <w:pPr>
        <w:pStyle w:val="SingleTxtGA"/>
        <w:rPr>
          <w:rtl/>
        </w:rPr>
      </w:pPr>
      <w:r w:rsidRPr="00A10A96">
        <w:rPr>
          <w:rFonts w:hint="cs"/>
          <w:rtl/>
        </w:rPr>
        <w:t>282-</w:t>
      </w:r>
      <w:r w:rsidRPr="00A10A96">
        <w:rPr>
          <w:rFonts w:hint="cs"/>
          <w:rtl/>
        </w:rPr>
        <w:tab/>
      </w:r>
      <w:r w:rsidRPr="00A10A96">
        <w:rPr>
          <w:rtl/>
        </w:rPr>
        <w:t xml:space="preserve">وتجدر الإشارة إلى أن الفقرة 3 من المادة 53 من الدستور تقتضي موافقة السكان المعنيين في حالة التنازل عن إقليم </w:t>
      </w:r>
      <w:r w:rsidRPr="00A10A96">
        <w:rPr>
          <w:rFonts w:hint="cs"/>
          <w:rtl/>
        </w:rPr>
        <w:t xml:space="preserve">أو </w:t>
      </w:r>
      <w:r w:rsidRPr="00A10A96">
        <w:rPr>
          <w:rtl/>
        </w:rPr>
        <w:t>مبادلته أو ضمه</w:t>
      </w:r>
      <w:r w:rsidRPr="00A10A96">
        <w:rPr>
          <w:rFonts w:hint="cs"/>
          <w:rtl/>
        </w:rPr>
        <w:t>.</w:t>
      </w:r>
    </w:p>
    <w:p w:rsidR="00944A3C" w:rsidRPr="00A10A96" w:rsidRDefault="00944A3C" w:rsidP="00934B39">
      <w:pPr>
        <w:pStyle w:val="SingleTxtGA"/>
        <w:rPr>
          <w:rtl/>
        </w:rPr>
      </w:pPr>
      <w:r w:rsidRPr="00A10A96">
        <w:rPr>
          <w:rFonts w:hint="cs"/>
          <w:rtl/>
        </w:rPr>
        <w:t>283-</w:t>
      </w:r>
      <w:r w:rsidRPr="00A10A96">
        <w:rPr>
          <w:rFonts w:hint="cs"/>
          <w:rtl/>
        </w:rPr>
        <w:tab/>
      </w:r>
      <w:r w:rsidRPr="00A10A96">
        <w:rPr>
          <w:rtl/>
        </w:rPr>
        <w:t>ويصدر رئيس الجمهورية القانون الذي يجيز أو لا يجيز التصديق على الصك</w:t>
      </w:r>
      <w:r w:rsidRPr="00A10A96">
        <w:rPr>
          <w:rFonts w:hint="cs"/>
          <w:rtl/>
        </w:rPr>
        <w:t>.</w:t>
      </w:r>
    </w:p>
    <w:p w:rsidR="00944A3C" w:rsidRPr="00A10A96" w:rsidRDefault="00944A3C" w:rsidP="00934B39">
      <w:pPr>
        <w:pStyle w:val="SingleTxtGA"/>
        <w:rPr>
          <w:rtl/>
        </w:rPr>
      </w:pPr>
      <w:r w:rsidRPr="00A10A96">
        <w:rPr>
          <w:rFonts w:hint="cs"/>
          <w:rtl/>
        </w:rPr>
        <w:t>284-</w:t>
      </w:r>
      <w:r w:rsidRPr="00A10A96">
        <w:rPr>
          <w:rFonts w:hint="cs"/>
          <w:rtl/>
        </w:rPr>
        <w:tab/>
      </w:r>
      <w:r w:rsidRPr="00A10A96">
        <w:rPr>
          <w:rtl/>
        </w:rPr>
        <w:t xml:space="preserve">وبعد صدور هذا الإذن، تكون للسلطة التنفيذية حرية التصديق أو الموافقة على الصك الدولي وإرفاق هذا التصديق أو </w:t>
      </w:r>
      <w:r w:rsidRPr="00A10A96">
        <w:rPr>
          <w:rFonts w:hint="cs"/>
          <w:rtl/>
        </w:rPr>
        <w:t xml:space="preserve">هذه </w:t>
      </w:r>
      <w:r w:rsidRPr="00A10A96">
        <w:rPr>
          <w:rtl/>
        </w:rPr>
        <w:t>الموافقة بتحفظات</w:t>
      </w:r>
      <w:r w:rsidRPr="00A10A96">
        <w:rPr>
          <w:rFonts w:hint="cs"/>
          <w:rtl/>
        </w:rPr>
        <w:t>.</w:t>
      </w:r>
    </w:p>
    <w:p w:rsidR="00944A3C" w:rsidRPr="00A10A96" w:rsidRDefault="00944A3C" w:rsidP="005714DA">
      <w:pPr>
        <w:pStyle w:val="H4GA"/>
        <w:rPr>
          <w:rtl/>
          <w:lang w:val="es-ES" w:eastAsia="es-ES"/>
        </w:rPr>
      </w:pPr>
      <w:r w:rsidRPr="00A10A96">
        <w:rPr>
          <w:b/>
          <w:bCs/>
          <w:rtl/>
        </w:rPr>
        <w:tab/>
      </w:r>
      <w:r w:rsidR="005714DA">
        <w:rPr>
          <w:rFonts w:hint="cs"/>
          <w:rtl/>
        </w:rPr>
        <w:t>‘</w:t>
      </w:r>
      <w:r w:rsidRPr="00A10A96">
        <w:rPr>
          <w:rFonts w:hint="cs"/>
          <w:rtl/>
        </w:rPr>
        <w:t>2</w:t>
      </w:r>
      <w:r w:rsidR="005714DA">
        <w:rPr>
          <w:rFonts w:hint="cs"/>
          <w:rtl/>
        </w:rPr>
        <w:t>‘</w:t>
      </w:r>
      <w:r w:rsidRPr="00A10A96">
        <w:rPr>
          <w:rtl/>
        </w:rPr>
        <w:tab/>
      </w:r>
      <w:r w:rsidRPr="00A10A96">
        <w:rPr>
          <w:rFonts w:hint="cs"/>
          <w:rtl/>
        </w:rPr>
        <w:t>ال</w:t>
      </w:r>
      <w:r w:rsidRPr="00A10A96">
        <w:rPr>
          <w:rtl/>
        </w:rPr>
        <w:t xml:space="preserve">إذن </w:t>
      </w:r>
      <w:r w:rsidRPr="00A10A96">
        <w:rPr>
          <w:rFonts w:hint="cs"/>
          <w:rtl/>
        </w:rPr>
        <w:t>المستمد م</w:t>
      </w:r>
      <w:r w:rsidRPr="00A10A96">
        <w:rPr>
          <w:rtl/>
        </w:rPr>
        <w:t xml:space="preserve">ن </w:t>
      </w:r>
      <w:r w:rsidRPr="00A10A96">
        <w:rPr>
          <w:rFonts w:hint="cs"/>
          <w:rtl/>
        </w:rPr>
        <w:t>الشعب</w:t>
      </w:r>
      <w:r w:rsidRPr="00A10A96">
        <w:rPr>
          <w:rtl/>
        </w:rPr>
        <w:t xml:space="preserve"> </w:t>
      </w:r>
      <w:r w:rsidRPr="00A10A96">
        <w:rPr>
          <w:rFonts w:hint="cs"/>
          <w:rtl/>
        </w:rPr>
        <w:t>ب</w:t>
      </w:r>
      <w:r w:rsidRPr="00A10A96">
        <w:rPr>
          <w:rtl/>
        </w:rPr>
        <w:t xml:space="preserve">التصديق </w:t>
      </w:r>
      <w:r w:rsidRPr="00A10A96">
        <w:rPr>
          <w:rFonts w:hint="cs"/>
          <w:rtl/>
        </w:rPr>
        <w:t>على الصكوك</w:t>
      </w:r>
    </w:p>
    <w:p w:rsidR="00944A3C" w:rsidRPr="00A10A96" w:rsidRDefault="00944A3C" w:rsidP="00934B39">
      <w:pPr>
        <w:pStyle w:val="SingleTxtGA"/>
        <w:rPr>
          <w:rtl/>
        </w:rPr>
      </w:pPr>
      <w:r w:rsidRPr="00A10A96">
        <w:rPr>
          <w:rFonts w:hint="cs"/>
          <w:rtl/>
        </w:rPr>
        <w:t>285-</w:t>
      </w:r>
      <w:r w:rsidRPr="00A10A96">
        <w:rPr>
          <w:rFonts w:hint="cs"/>
          <w:rtl/>
        </w:rPr>
        <w:tab/>
      </w:r>
      <w:r w:rsidRPr="00A10A96">
        <w:rPr>
          <w:rtl/>
        </w:rPr>
        <w:t>ثمة أيض</w:t>
      </w:r>
      <w:r w:rsidR="00B27C28">
        <w:rPr>
          <w:rtl/>
        </w:rPr>
        <w:t xml:space="preserve">اً </w:t>
      </w:r>
      <w:r w:rsidRPr="00A10A96">
        <w:rPr>
          <w:rtl/>
        </w:rPr>
        <w:t>حالتان يجوز أن تكون فيهما عملية التصديق أو الموافقة مسبوقة باستفتاء عوض إذن من البرلمان</w:t>
      </w:r>
      <w:r w:rsidRPr="00A10A96">
        <w:rPr>
          <w:rFonts w:hint="cs"/>
          <w:rtl/>
        </w:rPr>
        <w:t>:</w:t>
      </w:r>
    </w:p>
    <w:p w:rsidR="00944A3C" w:rsidRPr="00A10A96" w:rsidRDefault="00944A3C" w:rsidP="00934B39">
      <w:pPr>
        <w:pStyle w:val="Bullet1GA"/>
        <w:bidi/>
      </w:pPr>
      <w:r w:rsidRPr="00A10A96">
        <w:rPr>
          <w:rtl/>
        </w:rPr>
        <w:t>بموجب المادة 11 من الدستور، يجوز لرئيس الجمهورية، بناءً على اقتراح من الحكومة أو على اقتراح مشترك من مجلسي البرلمان، أن يعرض للاستفتاء أي مشروع قانون "يرمي إلى الإذن بالتصديق على المعاهدات التي، وإن لم تتعارض مع الدستور، قد تكون لها آثار على سير عمل المؤسسات"</w:t>
      </w:r>
      <w:r w:rsidRPr="00A10A96">
        <w:rPr>
          <w:rFonts w:hint="cs"/>
          <w:rtl/>
        </w:rPr>
        <w:t>؛</w:t>
      </w:r>
    </w:p>
    <w:p w:rsidR="00944A3C" w:rsidRPr="00A10A96" w:rsidRDefault="00944A3C" w:rsidP="00934B39">
      <w:pPr>
        <w:pStyle w:val="Bullet1GA"/>
        <w:bidi/>
        <w:rPr>
          <w:rtl/>
        </w:rPr>
      </w:pPr>
      <w:r w:rsidRPr="00A10A96">
        <w:rPr>
          <w:rtl/>
        </w:rPr>
        <w:t>وفق</w:t>
      </w:r>
      <w:r w:rsidR="00B27C28">
        <w:rPr>
          <w:rtl/>
        </w:rPr>
        <w:t xml:space="preserve">اً </w:t>
      </w:r>
      <w:r w:rsidRPr="00A10A96">
        <w:rPr>
          <w:rtl/>
        </w:rPr>
        <w:t>للمادة 88-5 من الدستور، يتعين على رئيس الجمهورية أن يعرض للاستفتاء أي "مشروع قانون يأذن بالتصديق على معاهدة تتعلق بانضمام دولة ما إلى الاتحاد الأوروبي والجماعات الأوروبية"</w:t>
      </w:r>
      <w:r w:rsidRPr="00A10A96">
        <w:rPr>
          <w:rFonts w:hint="cs"/>
          <w:rtl/>
        </w:rPr>
        <w:t xml:space="preserve">. </w:t>
      </w:r>
      <w:r w:rsidRPr="00A10A96">
        <w:rPr>
          <w:rtl/>
        </w:rPr>
        <w:t>غير أنه يجوز، بموجب الفقرة الثانية من هذه المادة، اللجوء، عوض الاستفتاء، إلى البرلمان الذي يمكنه، "من خلال التصويت على اقتراح معتمد وفق</w:t>
      </w:r>
      <w:r w:rsidR="00B27C28">
        <w:rPr>
          <w:rtl/>
        </w:rPr>
        <w:t xml:space="preserve">اً </w:t>
      </w:r>
      <w:r w:rsidRPr="00A10A96">
        <w:rPr>
          <w:rtl/>
        </w:rPr>
        <w:t>لشروط متطابقة من قِبل كلا المجلسين بأغلبية ثلاثة أخماس"، أن يأذن بالتصديق وفق</w:t>
      </w:r>
      <w:r w:rsidR="00B27C28">
        <w:rPr>
          <w:rtl/>
        </w:rPr>
        <w:t xml:space="preserve">اً </w:t>
      </w:r>
      <w:r w:rsidRPr="00A10A96">
        <w:rPr>
          <w:rtl/>
        </w:rPr>
        <w:t>للإجراء المنصوص عليه في الفقرة الثالثة من المادة 89 المتعلقة بمراجعة الدستور</w:t>
      </w:r>
      <w:r w:rsidRPr="00A10A96">
        <w:rPr>
          <w:rFonts w:hint="cs"/>
          <w:rtl/>
        </w:rPr>
        <w:t>.</w:t>
      </w:r>
    </w:p>
    <w:p w:rsidR="00944A3C" w:rsidRPr="00A10A96" w:rsidRDefault="00944A3C" w:rsidP="005714DA">
      <w:pPr>
        <w:pStyle w:val="H4GA"/>
        <w:rPr>
          <w:rtl/>
          <w:lang w:val="es-ES" w:eastAsia="es-ES"/>
        </w:rPr>
      </w:pPr>
      <w:r w:rsidRPr="00A10A96">
        <w:rPr>
          <w:b/>
          <w:bCs/>
          <w:rtl/>
        </w:rPr>
        <w:tab/>
      </w:r>
      <w:r w:rsidR="005714DA">
        <w:rPr>
          <w:rFonts w:hint="cs"/>
          <w:rtl/>
        </w:rPr>
        <w:t>‘</w:t>
      </w:r>
      <w:r w:rsidRPr="00A10A96">
        <w:rPr>
          <w:rFonts w:hint="cs"/>
          <w:rtl/>
        </w:rPr>
        <w:t>3</w:t>
      </w:r>
      <w:r w:rsidR="005714DA">
        <w:rPr>
          <w:rFonts w:hint="cs"/>
          <w:rtl/>
        </w:rPr>
        <w:t>‘</w:t>
      </w:r>
      <w:r w:rsidRPr="00A10A96">
        <w:rPr>
          <w:rtl/>
        </w:rPr>
        <w:tab/>
        <w:t>التحقق المسبق من توافق الصك</w:t>
      </w:r>
      <w:r w:rsidRPr="00A10A96">
        <w:rPr>
          <w:rFonts w:hint="cs"/>
          <w:rtl/>
        </w:rPr>
        <w:t>وك</w:t>
      </w:r>
      <w:r w:rsidRPr="00A10A96">
        <w:rPr>
          <w:rtl/>
        </w:rPr>
        <w:t xml:space="preserve"> الدولي</w:t>
      </w:r>
      <w:r w:rsidRPr="00A10A96">
        <w:rPr>
          <w:rFonts w:hint="cs"/>
          <w:rtl/>
        </w:rPr>
        <w:t>ة</w:t>
      </w:r>
      <w:r w:rsidRPr="00A10A96">
        <w:rPr>
          <w:rtl/>
        </w:rPr>
        <w:t xml:space="preserve"> مع الدستور</w:t>
      </w:r>
    </w:p>
    <w:p w:rsidR="00944A3C" w:rsidRPr="00101884" w:rsidRDefault="00944A3C" w:rsidP="00170F39">
      <w:pPr>
        <w:pStyle w:val="SingleTxtGA"/>
        <w:rPr>
          <w:spacing w:val="-2"/>
          <w:rtl/>
        </w:rPr>
      </w:pPr>
      <w:r w:rsidRPr="00101884">
        <w:rPr>
          <w:rFonts w:hint="cs"/>
          <w:spacing w:val="-2"/>
          <w:rtl/>
        </w:rPr>
        <w:t>286-</w:t>
      </w:r>
      <w:r w:rsidRPr="00101884">
        <w:rPr>
          <w:rFonts w:hint="cs"/>
          <w:spacing w:val="-2"/>
          <w:rtl/>
        </w:rPr>
        <w:tab/>
      </w:r>
      <w:r w:rsidRPr="00101884">
        <w:rPr>
          <w:spacing w:val="-2"/>
          <w:rtl/>
        </w:rPr>
        <w:t>يجوز أن يوجه رئيس الجمهورية أو رئيس الوزراء أو رئيس أحد مجلسي البرلمان أو ستون نائب</w:t>
      </w:r>
      <w:r w:rsidR="00B27C28" w:rsidRPr="00101884">
        <w:rPr>
          <w:spacing w:val="-2"/>
          <w:rtl/>
        </w:rPr>
        <w:t xml:space="preserve">اً </w:t>
      </w:r>
      <w:r w:rsidRPr="00101884">
        <w:rPr>
          <w:rFonts w:hint="cs"/>
          <w:spacing w:val="-2"/>
          <w:rtl/>
        </w:rPr>
        <w:t>برلماني</w:t>
      </w:r>
      <w:r w:rsidR="00B27C28" w:rsidRPr="00101884">
        <w:rPr>
          <w:rFonts w:hint="cs"/>
          <w:spacing w:val="-2"/>
          <w:rtl/>
        </w:rPr>
        <w:t xml:space="preserve">اً </w:t>
      </w:r>
      <w:r w:rsidRPr="00101884">
        <w:rPr>
          <w:spacing w:val="-2"/>
          <w:rtl/>
        </w:rPr>
        <w:t>أو ستون عضو</w:t>
      </w:r>
      <w:r w:rsidR="00B27C28" w:rsidRPr="00101884">
        <w:rPr>
          <w:spacing w:val="-2"/>
          <w:rtl/>
        </w:rPr>
        <w:t xml:space="preserve">اً </w:t>
      </w:r>
      <w:r w:rsidRPr="00101884">
        <w:rPr>
          <w:spacing w:val="-2"/>
          <w:rtl/>
        </w:rPr>
        <w:t>من أعضاء مجلس الشيوخ إلى المجلس الدستوري طلب</w:t>
      </w:r>
      <w:r w:rsidR="00B27C28" w:rsidRPr="00101884">
        <w:rPr>
          <w:spacing w:val="-2"/>
          <w:rtl/>
        </w:rPr>
        <w:t xml:space="preserve">اً </w:t>
      </w:r>
      <w:r w:rsidRPr="00101884">
        <w:rPr>
          <w:spacing w:val="-2"/>
          <w:rtl/>
        </w:rPr>
        <w:t>للتحقق من توافق الصك</w:t>
      </w:r>
      <w:r w:rsidRPr="00101884">
        <w:rPr>
          <w:rFonts w:hint="cs"/>
          <w:spacing w:val="-2"/>
          <w:rtl/>
        </w:rPr>
        <w:t>وك</w:t>
      </w:r>
      <w:r w:rsidRPr="00101884">
        <w:rPr>
          <w:spacing w:val="-2"/>
          <w:rtl/>
        </w:rPr>
        <w:t xml:space="preserve"> الدولي</w:t>
      </w:r>
      <w:r w:rsidRPr="00101884">
        <w:rPr>
          <w:rFonts w:hint="cs"/>
          <w:spacing w:val="-2"/>
          <w:rtl/>
        </w:rPr>
        <w:t>ة</w:t>
      </w:r>
      <w:r w:rsidRPr="00101884">
        <w:rPr>
          <w:spacing w:val="-2"/>
          <w:rtl/>
        </w:rPr>
        <w:t xml:space="preserve"> مع الدستور</w:t>
      </w:r>
      <w:r w:rsidRPr="00101884">
        <w:rPr>
          <w:rFonts w:hint="cs"/>
          <w:spacing w:val="-2"/>
          <w:rtl/>
        </w:rPr>
        <w:t xml:space="preserve">. </w:t>
      </w:r>
      <w:r w:rsidRPr="00101884">
        <w:rPr>
          <w:spacing w:val="-2"/>
          <w:rtl/>
        </w:rPr>
        <w:t>ويتحقق المجلس الدستوري بالتالي من مشروعية الصك</w:t>
      </w:r>
      <w:r w:rsidRPr="00101884">
        <w:rPr>
          <w:rFonts w:hint="cs"/>
          <w:spacing w:val="-2"/>
          <w:rtl/>
        </w:rPr>
        <w:t>وك</w:t>
      </w:r>
      <w:r w:rsidRPr="00101884">
        <w:rPr>
          <w:spacing w:val="-2"/>
          <w:rtl/>
        </w:rPr>
        <w:t xml:space="preserve"> الدولي</w:t>
      </w:r>
      <w:r w:rsidRPr="00101884">
        <w:rPr>
          <w:rFonts w:hint="cs"/>
          <w:spacing w:val="-2"/>
          <w:rtl/>
        </w:rPr>
        <w:t>ة</w:t>
      </w:r>
      <w:r w:rsidRPr="00101884">
        <w:rPr>
          <w:spacing w:val="-2"/>
          <w:rtl/>
        </w:rPr>
        <w:t xml:space="preserve"> داخلي</w:t>
      </w:r>
      <w:r w:rsidR="00B27C28" w:rsidRPr="00101884">
        <w:rPr>
          <w:spacing w:val="-2"/>
          <w:rtl/>
        </w:rPr>
        <w:t xml:space="preserve">اً </w:t>
      </w:r>
      <w:r w:rsidRPr="00101884">
        <w:rPr>
          <w:spacing w:val="-2"/>
          <w:rtl/>
        </w:rPr>
        <w:t>وخارجيا</w:t>
      </w:r>
      <w:r w:rsidRPr="00101884">
        <w:rPr>
          <w:rFonts w:hint="cs"/>
          <w:spacing w:val="-2"/>
          <w:rtl/>
        </w:rPr>
        <w:t xml:space="preserve">. </w:t>
      </w:r>
      <w:r w:rsidRPr="00101884">
        <w:rPr>
          <w:spacing w:val="-2"/>
          <w:rtl/>
        </w:rPr>
        <w:t>وعندما يعلن المجلس الدستوري أن التزام</w:t>
      </w:r>
      <w:r w:rsidR="00B27C28" w:rsidRPr="00101884">
        <w:rPr>
          <w:spacing w:val="-2"/>
          <w:rtl/>
        </w:rPr>
        <w:t xml:space="preserve">اً </w:t>
      </w:r>
      <w:r w:rsidRPr="00101884">
        <w:rPr>
          <w:spacing w:val="-2"/>
          <w:rtl/>
        </w:rPr>
        <w:t>دولي</w:t>
      </w:r>
      <w:r w:rsidR="00B27C28" w:rsidRPr="00101884">
        <w:rPr>
          <w:spacing w:val="-2"/>
          <w:rtl/>
        </w:rPr>
        <w:t xml:space="preserve">اً </w:t>
      </w:r>
      <w:r w:rsidRPr="00101884">
        <w:rPr>
          <w:spacing w:val="-2"/>
          <w:rtl/>
        </w:rPr>
        <w:t>يتضمن بند</w:t>
      </w:r>
      <w:r w:rsidR="00B27C28" w:rsidRPr="00101884">
        <w:rPr>
          <w:spacing w:val="-2"/>
          <w:rtl/>
        </w:rPr>
        <w:t xml:space="preserve">اً </w:t>
      </w:r>
      <w:r w:rsidRPr="00101884">
        <w:rPr>
          <w:spacing w:val="-2"/>
          <w:rtl/>
        </w:rPr>
        <w:t>مخالف</w:t>
      </w:r>
      <w:r w:rsidR="00B27C28" w:rsidRPr="00101884">
        <w:rPr>
          <w:spacing w:val="-2"/>
          <w:rtl/>
        </w:rPr>
        <w:t xml:space="preserve">اً </w:t>
      </w:r>
      <w:r w:rsidRPr="00101884">
        <w:rPr>
          <w:spacing w:val="-2"/>
          <w:rtl/>
        </w:rPr>
        <w:t>للدستور، فلا</w:t>
      </w:r>
      <w:r w:rsidR="00170F39">
        <w:rPr>
          <w:rFonts w:hint="cs"/>
          <w:spacing w:val="-2"/>
          <w:rtl/>
        </w:rPr>
        <w:t> </w:t>
      </w:r>
      <w:r w:rsidRPr="00101884">
        <w:rPr>
          <w:spacing w:val="-2"/>
          <w:rtl/>
        </w:rPr>
        <w:t>يجوز الإذن بالتصديق أو الموافقة عليه إلا بعد تعديل الدستور (المادة 54)</w:t>
      </w:r>
      <w:r w:rsidRPr="00101884">
        <w:rPr>
          <w:rFonts w:hint="cs"/>
          <w:spacing w:val="-2"/>
          <w:rtl/>
        </w:rPr>
        <w:t xml:space="preserve">. </w:t>
      </w:r>
      <w:r w:rsidRPr="00101884">
        <w:rPr>
          <w:spacing w:val="-2"/>
          <w:rtl/>
        </w:rPr>
        <w:t>ورغم ذلك، يجوز لرئيس الجمهورية أيض</w:t>
      </w:r>
      <w:r w:rsidR="00B27C28" w:rsidRPr="00101884">
        <w:rPr>
          <w:spacing w:val="-2"/>
          <w:rtl/>
        </w:rPr>
        <w:t xml:space="preserve">اً </w:t>
      </w:r>
      <w:r w:rsidRPr="00101884">
        <w:rPr>
          <w:spacing w:val="-2"/>
          <w:rtl/>
        </w:rPr>
        <w:t xml:space="preserve">أن يصدق على المعاهدة مع </w:t>
      </w:r>
      <w:r w:rsidRPr="00101884">
        <w:rPr>
          <w:rFonts w:hint="cs"/>
          <w:spacing w:val="-2"/>
          <w:rtl/>
        </w:rPr>
        <w:t xml:space="preserve">إبداء </w:t>
      </w:r>
      <w:r w:rsidRPr="00101884">
        <w:rPr>
          <w:spacing w:val="-2"/>
          <w:rtl/>
        </w:rPr>
        <w:t>تحفظ على البند المخالف للدستور</w:t>
      </w:r>
      <w:r w:rsidRPr="00101884">
        <w:rPr>
          <w:rFonts w:hint="cs"/>
          <w:spacing w:val="-2"/>
          <w:rtl/>
        </w:rPr>
        <w:t>.</w:t>
      </w:r>
    </w:p>
    <w:p w:rsidR="00944A3C" w:rsidRPr="00A10A96" w:rsidRDefault="00944A3C" w:rsidP="00934B39">
      <w:pPr>
        <w:pStyle w:val="H23GA"/>
        <w:rPr>
          <w:rtl/>
        </w:rPr>
      </w:pPr>
      <w:r w:rsidRPr="00A10A96">
        <w:rPr>
          <w:rtl/>
        </w:rPr>
        <w:tab/>
        <w:t>(ب)</w:t>
      </w:r>
      <w:r w:rsidRPr="00A10A96">
        <w:rPr>
          <w:rtl/>
        </w:rPr>
        <w:tab/>
        <w:t>التصديق أو الموافقة على الصكوك الدولية</w:t>
      </w:r>
    </w:p>
    <w:p w:rsidR="00944A3C" w:rsidRPr="00A10A96" w:rsidRDefault="00944A3C" w:rsidP="00934B39">
      <w:pPr>
        <w:pStyle w:val="SingleTxtGA"/>
        <w:rPr>
          <w:rtl/>
        </w:rPr>
      </w:pPr>
      <w:r w:rsidRPr="00A10A96">
        <w:rPr>
          <w:rFonts w:hint="cs"/>
          <w:rtl/>
        </w:rPr>
        <w:t>287-</w:t>
      </w:r>
      <w:r w:rsidRPr="00A10A96">
        <w:rPr>
          <w:rFonts w:hint="cs"/>
          <w:rtl/>
        </w:rPr>
        <w:tab/>
      </w:r>
      <w:r w:rsidRPr="00A10A96">
        <w:rPr>
          <w:rtl/>
        </w:rPr>
        <w:t>يصدق رئيس الجمهورية على المعاهدات بعد منحه الإذن بذلك، بموجب المادة 52 من الدستور، ويصدر لهذا الغرض مرسوم التصديق الذي يحمل توقيع رئيس الوزراء ووزير الشؤون الخارجية (المادة 19 من الدستور)</w:t>
      </w:r>
      <w:r w:rsidRPr="00A10A96">
        <w:rPr>
          <w:rFonts w:hint="cs"/>
          <w:rtl/>
        </w:rPr>
        <w:t xml:space="preserve">. </w:t>
      </w:r>
      <w:r w:rsidRPr="00A10A96">
        <w:rPr>
          <w:rtl/>
        </w:rPr>
        <w:t xml:space="preserve">وبموجب المادة </w:t>
      </w:r>
      <w:r w:rsidRPr="00A10A96">
        <w:rPr>
          <w:rFonts w:hint="cs"/>
          <w:rtl/>
        </w:rPr>
        <w:t xml:space="preserve">ذاتها </w:t>
      </w:r>
      <w:r w:rsidRPr="00A10A96">
        <w:rPr>
          <w:rtl/>
        </w:rPr>
        <w:t>من الدستور، تخضع الاتفاقات لموافقة الحكومة، بعد إبلاغ رئيس الجمهورية</w:t>
      </w:r>
      <w:r w:rsidRPr="00A10A96">
        <w:rPr>
          <w:rFonts w:hint="cs"/>
          <w:rtl/>
        </w:rPr>
        <w:t>.</w:t>
      </w:r>
    </w:p>
    <w:p w:rsidR="00944A3C" w:rsidRPr="00A10A96" w:rsidRDefault="00944A3C" w:rsidP="00934B39">
      <w:pPr>
        <w:pStyle w:val="H23GA"/>
        <w:rPr>
          <w:rtl/>
        </w:rPr>
      </w:pPr>
      <w:r w:rsidRPr="00A10A96">
        <w:rPr>
          <w:rtl/>
        </w:rPr>
        <w:lastRenderedPageBreak/>
        <w:tab/>
        <w:t>2-</w:t>
      </w:r>
      <w:r w:rsidRPr="00A10A96">
        <w:rPr>
          <w:rtl/>
        </w:rPr>
        <w:tab/>
        <w:t>إدماج أحكام المعاهدات في القانون المحلي أو دخولها حيز النفاذ</w:t>
      </w:r>
    </w:p>
    <w:p w:rsidR="00944A3C" w:rsidRPr="00A10A96" w:rsidRDefault="00944A3C" w:rsidP="00934B39">
      <w:pPr>
        <w:pStyle w:val="SingleTxtGA"/>
        <w:rPr>
          <w:rtl/>
        </w:rPr>
      </w:pPr>
      <w:r w:rsidRPr="00A10A96">
        <w:rPr>
          <w:rFonts w:hint="cs"/>
          <w:rtl/>
        </w:rPr>
        <w:t>288-</w:t>
      </w:r>
      <w:r w:rsidRPr="00A10A96">
        <w:rPr>
          <w:rFonts w:hint="cs"/>
          <w:rtl/>
        </w:rPr>
        <w:tab/>
      </w:r>
      <w:r w:rsidRPr="00A10A96">
        <w:rPr>
          <w:rtl/>
        </w:rPr>
        <w:t>تكرس المادة 55 من الدستور النظام الأحادي الذي يجري</w:t>
      </w:r>
      <w:r w:rsidRPr="00A10A96">
        <w:rPr>
          <w:rFonts w:hint="cs"/>
          <w:rtl/>
        </w:rPr>
        <w:t xml:space="preserve"> بموجبه</w:t>
      </w:r>
      <w:r w:rsidRPr="00A10A96">
        <w:rPr>
          <w:rtl/>
        </w:rPr>
        <w:t xml:space="preserve"> إدماج أحكام الصكوك الدولية بصفة مباشرة في القانون الفرنسي من دون ضرورة إعادة صياغتها في شكل أحكام وطنية</w:t>
      </w:r>
      <w:r w:rsidRPr="00A10A96">
        <w:rPr>
          <w:rFonts w:hint="cs"/>
          <w:rtl/>
        </w:rPr>
        <w:t>.</w:t>
      </w:r>
    </w:p>
    <w:p w:rsidR="00944A3C" w:rsidRPr="00A10A96" w:rsidRDefault="00944A3C" w:rsidP="00934B39">
      <w:pPr>
        <w:pStyle w:val="SingleTxtGA"/>
        <w:rPr>
          <w:rtl/>
        </w:rPr>
      </w:pPr>
      <w:r w:rsidRPr="00A10A96">
        <w:rPr>
          <w:rFonts w:hint="cs"/>
          <w:rtl/>
        </w:rPr>
        <w:t>289-</w:t>
      </w:r>
      <w:r w:rsidRPr="00A10A96">
        <w:rPr>
          <w:rFonts w:hint="cs"/>
          <w:rtl/>
        </w:rPr>
        <w:tab/>
      </w:r>
      <w:r w:rsidRPr="00A10A96">
        <w:rPr>
          <w:rtl/>
        </w:rPr>
        <w:t>وبالتالي، وبمجرد التوقيع والتصديق على صك دولي ما، يُدمج فعلي</w:t>
      </w:r>
      <w:r w:rsidR="00B27C28">
        <w:rPr>
          <w:rtl/>
        </w:rPr>
        <w:t xml:space="preserve">اً </w:t>
      </w:r>
      <w:r w:rsidRPr="00A10A96">
        <w:rPr>
          <w:rtl/>
        </w:rPr>
        <w:t xml:space="preserve">في النظام القانوني الفرنسي بموجب مرسوم </w:t>
      </w:r>
      <w:r w:rsidRPr="00A10A96">
        <w:rPr>
          <w:rFonts w:hint="cs"/>
          <w:rtl/>
        </w:rPr>
        <w:t>متعلق ب</w:t>
      </w:r>
      <w:r w:rsidRPr="00A10A96">
        <w:rPr>
          <w:rtl/>
        </w:rPr>
        <w:t xml:space="preserve">نشره في </w:t>
      </w:r>
      <w:r w:rsidRPr="00A10A96">
        <w:rPr>
          <w:i/>
          <w:iCs/>
          <w:rtl/>
        </w:rPr>
        <w:t>الجريدة الرسمية للجمهورية الفرنسية</w:t>
      </w:r>
      <w:r w:rsidRPr="00A10A96">
        <w:rPr>
          <w:rFonts w:hint="cs"/>
          <w:rtl/>
        </w:rPr>
        <w:t xml:space="preserve">. </w:t>
      </w:r>
      <w:r w:rsidRPr="00A10A96">
        <w:rPr>
          <w:rtl/>
        </w:rPr>
        <w:t>وبموجب المادة 3 من المرسوم رقم 53-192 المؤرخ 14 آذار/مارس 1953 المتعلق بالتصديق على الالتزامات الدولية التي توقع عليها فرنسا و</w:t>
      </w:r>
      <w:r w:rsidRPr="00A10A96">
        <w:rPr>
          <w:rFonts w:hint="cs"/>
          <w:rtl/>
        </w:rPr>
        <w:t>ب</w:t>
      </w:r>
      <w:r w:rsidRPr="00A10A96">
        <w:rPr>
          <w:rtl/>
        </w:rPr>
        <w:t>نشرها، يعتبر نشر المعاهدات "التي من شأنها أن تؤثر، من خلال تطبيقها، على حقوق الأفراد وواجباتهم" أمر</w:t>
      </w:r>
      <w:r w:rsidR="00B27C28">
        <w:rPr>
          <w:rtl/>
        </w:rPr>
        <w:t xml:space="preserve">اً </w:t>
      </w:r>
      <w:r w:rsidRPr="00A10A96">
        <w:rPr>
          <w:rtl/>
        </w:rPr>
        <w:t>إلزامي</w:t>
      </w:r>
      <w:r w:rsidR="0031739C">
        <w:rPr>
          <w:rtl/>
        </w:rPr>
        <w:t>اً،</w:t>
      </w:r>
      <w:r w:rsidRPr="00A10A96">
        <w:rPr>
          <w:rtl/>
        </w:rPr>
        <w:t xml:space="preserve"> ولن يُنشر أي صك دولي من حيث المبدأ ما لم يدخل حيز النفاذ على الصعيد الدولي</w:t>
      </w:r>
      <w:r w:rsidRPr="00A10A96">
        <w:rPr>
          <w:rFonts w:hint="cs"/>
          <w:rtl/>
        </w:rPr>
        <w:t>.</w:t>
      </w:r>
    </w:p>
    <w:p w:rsidR="00944A3C" w:rsidRPr="00A10A96" w:rsidRDefault="00944A3C" w:rsidP="00934B39">
      <w:pPr>
        <w:pStyle w:val="SingleTxtGA"/>
        <w:rPr>
          <w:rtl/>
        </w:rPr>
      </w:pPr>
      <w:r w:rsidRPr="00A10A96">
        <w:rPr>
          <w:rFonts w:hint="cs"/>
          <w:rtl/>
        </w:rPr>
        <w:t>290-</w:t>
      </w:r>
      <w:r w:rsidRPr="00A10A96">
        <w:rPr>
          <w:rFonts w:hint="cs"/>
          <w:rtl/>
        </w:rPr>
        <w:tab/>
      </w:r>
      <w:r w:rsidRPr="00A10A96">
        <w:rPr>
          <w:rtl/>
        </w:rPr>
        <w:t>وفي حالة عدم نشر صك دولي ما، فإنه لا يكون ملزم</w:t>
      </w:r>
      <w:r w:rsidR="00B27C28">
        <w:rPr>
          <w:rtl/>
        </w:rPr>
        <w:t xml:space="preserve">اً </w:t>
      </w:r>
      <w:r w:rsidRPr="00A10A96">
        <w:rPr>
          <w:rtl/>
        </w:rPr>
        <w:t>للأفراد ولا يُحتج به، عموم</w:t>
      </w:r>
      <w:r w:rsidR="0031739C">
        <w:rPr>
          <w:rtl/>
        </w:rPr>
        <w:t>اً،</w:t>
      </w:r>
      <w:r w:rsidRPr="00A10A96">
        <w:rPr>
          <w:rtl/>
        </w:rPr>
        <w:t xml:space="preserve"> في النظام القانوني الفرنسي</w:t>
      </w:r>
      <w:r w:rsidRPr="00A10A96">
        <w:rPr>
          <w:rFonts w:hint="cs"/>
          <w:rtl/>
        </w:rPr>
        <w:t>.</w:t>
      </w:r>
    </w:p>
    <w:p w:rsidR="00944A3C" w:rsidRPr="00A10A96" w:rsidRDefault="00944A3C" w:rsidP="005B1ED0">
      <w:pPr>
        <w:pStyle w:val="SingleTxtGA"/>
        <w:rPr>
          <w:rtl/>
        </w:rPr>
      </w:pPr>
      <w:r w:rsidRPr="00A10A96">
        <w:rPr>
          <w:rFonts w:hint="cs"/>
          <w:rtl/>
        </w:rPr>
        <w:t>291-</w:t>
      </w:r>
      <w:r w:rsidRPr="00A10A96">
        <w:rPr>
          <w:rFonts w:hint="cs"/>
          <w:rtl/>
        </w:rPr>
        <w:tab/>
      </w:r>
      <w:r w:rsidRPr="00A10A96">
        <w:rPr>
          <w:rtl/>
        </w:rPr>
        <w:t>ويوقع على المرسوم المتعلق بنشر الصك الدولي رئيس</w:t>
      </w:r>
      <w:r w:rsidRPr="00A10A96">
        <w:rPr>
          <w:rFonts w:hint="cs"/>
          <w:rtl/>
        </w:rPr>
        <w:t>ُ</w:t>
      </w:r>
      <w:r w:rsidRPr="00A10A96">
        <w:rPr>
          <w:rtl/>
        </w:rPr>
        <w:t xml:space="preserve"> الجمهورية ورئيس الوزراء ووزير الشؤون الخارجية، </w:t>
      </w:r>
      <w:r w:rsidRPr="00A10A96">
        <w:rPr>
          <w:rFonts w:hint="cs"/>
          <w:rtl/>
        </w:rPr>
        <w:t xml:space="preserve">دون </w:t>
      </w:r>
      <w:r w:rsidRPr="00A10A96">
        <w:rPr>
          <w:rtl/>
        </w:rPr>
        <w:t>أي وزير آخر</w:t>
      </w:r>
      <w:r w:rsidRPr="00A10A96">
        <w:rPr>
          <w:rFonts w:hint="cs"/>
          <w:rtl/>
        </w:rPr>
        <w:t xml:space="preserve">. </w:t>
      </w:r>
      <w:r w:rsidRPr="00A10A96">
        <w:rPr>
          <w:rtl/>
        </w:rPr>
        <w:t>غير أن وزير العمل يوقع أيض</w:t>
      </w:r>
      <w:r w:rsidR="00B27C28">
        <w:rPr>
          <w:rtl/>
        </w:rPr>
        <w:t xml:space="preserve">اً </w:t>
      </w:r>
      <w:r w:rsidRPr="00A10A96">
        <w:rPr>
          <w:rtl/>
        </w:rPr>
        <w:t>على هذا المرسوم، فيما</w:t>
      </w:r>
      <w:r w:rsidR="005B1ED0">
        <w:rPr>
          <w:rFonts w:hint="cs"/>
          <w:rtl/>
        </w:rPr>
        <w:t> </w:t>
      </w:r>
      <w:r w:rsidRPr="00A10A96">
        <w:rPr>
          <w:rtl/>
        </w:rPr>
        <w:t>يتعلق باتفاقيات منظمة العمل الدولية</w:t>
      </w:r>
      <w:r w:rsidRPr="00A10A96">
        <w:rPr>
          <w:rFonts w:hint="cs"/>
          <w:rtl/>
        </w:rPr>
        <w:t xml:space="preserve">. </w:t>
      </w:r>
      <w:r w:rsidRPr="00A10A96">
        <w:rPr>
          <w:rtl/>
        </w:rPr>
        <w:t xml:space="preserve">ويبدأ نفاذ المرسوم في اليوم التالي لنشره في </w:t>
      </w:r>
      <w:r w:rsidRPr="00A10A96">
        <w:rPr>
          <w:i/>
          <w:iCs/>
          <w:rtl/>
        </w:rPr>
        <w:t>الجريدة الرسمية للجمهورية الفرنسية</w:t>
      </w:r>
      <w:r w:rsidRPr="00A10A96">
        <w:rPr>
          <w:rFonts w:hint="cs"/>
          <w:rtl/>
        </w:rPr>
        <w:t>.</w:t>
      </w:r>
    </w:p>
    <w:p w:rsidR="00944A3C" w:rsidRPr="00A10A96" w:rsidRDefault="00944A3C" w:rsidP="00944A3C">
      <w:pPr>
        <w:pStyle w:val="SingleTxtGA"/>
        <w:spacing w:after="100" w:line="374" w:lineRule="exact"/>
        <w:rPr>
          <w:rtl/>
        </w:rPr>
      </w:pPr>
      <w:r w:rsidRPr="00A10A96">
        <w:rPr>
          <w:rFonts w:hint="cs"/>
          <w:rtl/>
        </w:rPr>
        <w:t>292-</w:t>
      </w:r>
      <w:r w:rsidRPr="00A10A96">
        <w:rPr>
          <w:rFonts w:hint="cs"/>
          <w:rtl/>
        </w:rPr>
        <w:tab/>
      </w:r>
      <w:r w:rsidRPr="00A10A96">
        <w:rPr>
          <w:rtl/>
        </w:rPr>
        <w:t xml:space="preserve">ويبدأ سريان </w:t>
      </w:r>
      <w:r w:rsidRPr="00A10A96">
        <w:rPr>
          <w:rFonts w:hint="cs"/>
          <w:rtl/>
        </w:rPr>
        <w:t xml:space="preserve">مفعول </w:t>
      </w:r>
      <w:r w:rsidRPr="00A10A96">
        <w:rPr>
          <w:rtl/>
        </w:rPr>
        <w:t>أي صك دولي في النظام القانوني المحلي منذ دخوله حيز النفاذ</w:t>
      </w:r>
      <w:r w:rsidRPr="00A10A96">
        <w:rPr>
          <w:rFonts w:hint="cs"/>
          <w:rtl/>
        </w:rPr>
        <w:t xml:space="preserve">. </w:t>
      </w:r>
    </w:p>
    <w:p w:rsidR="00944A3C" w:rsidRPr="00A10A96" w:rsidRDefault="00944A3C" w:rsidP="00944A3C">
      <w:pPr>
        <w:pStyle w:val="SingleTxtGA"/>
        <w:spacing w:after="100" w:line="374" w:lineRule="exact"/>
        <w:rPr>
          <w:rtl/>
        </w:rPr>
      </w:pPr>
      <w:r w:rsidRPr="00A10A96">
        <w:rPr>
          <w:rFonts w:hint="cs"/>
          <w:rtl/>
        </w:rPr>
        <w:t>293-</w:t>
      </w:r>
      <w:r w:rsidRPr="00A10A96">
        <w:rPr>
          <w:rFonts w:hint="cs"/>
          <w:rtl/>
        </w:rPr>
        <w:tab/>
      </w:r>
      <w:r w:rsidRPr="00A10A96">
        <w:rPr>
          <w:rFonts w:ascii="Traditional Arabic" w:hAnsi="Traditional Arabic"/>
          <w:shd w:val="clear" w:color="auto" w:fill="FFFFFF"/>
          <w:rtl/>
        </w:rPr>
        <w:t>وبموجب المادة 5 من المرسوم رقم 53-192 المؤرخ 14 آذار/مارس 1953، ينبغي أن يُنشر قرار انسحاب فرنسا من صك دولي منشور وفق</w:t>
      </w:r>
      <w:r w:rsidR="00B27C28">
        <w:rPr>
          <w:rFonts w:ascii="Traditional Arabic" w:hAnsi="Traditional Arabic"/>
          <w:shd w:val="clear" w:color="auto" w:fill="FFFFFF"/>
          <w:rtl/>
        </w:rPr>
        <w:t xml:space="preserve">اً </w:t>
      </w:r>
      <w:r w:rsidRPr="00A10A96">
        <w:rPr>
          <w:rFonts w:ascii="Traditional Arabic" w:hAnsi="Traditional Arabic"/>
          <w:shd w:val="clear" w:color="auto" w:fill="FFFFFF"/>
          <w:rtl/>
        </w:rPr>
        <w:t xml:space="preserve">للمادة 3 من المرسوم بالصيغة ذاتها المتبعة </w:t>
      </w:r>
      <w:r w:rsidRPr="00A10A96">
        <w:rPr>
          <w:rFonts w:ascii="Traditional Arabic" w:hAnsi="Traditional Arabic" w:hint="cs"/>
          <w:shd w:val="clear" w:color="auto" w:fill="FFFFFF"/>
          <w:rtl/>
        </w:rPr>
        <w:t>في نشر ا</w:t>
      </w:r>
      <w:r w:rsidRPr="00A10A96">
        <w:rPr>
          <w:rFonts w:ascii="Traditional Arabic" w:hAnsi="Traditional Arabic"/>
          <w:shd w:val="clear" w:color="auto" w:fill="FFFFFF"/>
          <w:rtl/>
        </w:rPr>
        <w:t>لصك الدولي</w:t>
      </w:r>
      <w:r w:rsidRPr="00A10A96">
        <w:rPr>
          <w:rFonts w:hint="cs"/>
          <w:rtl/>
        </w:rPr>
        <w:t>.</w:t>
      </w:r>
    </w:p>
    <w:p w:rsidR="00944A3C" w:rsidRPr="005B1ED0" w:rsidRDefault="00944A3C" w:rsidP="00944A3C">
      <w:pPr>
        <w:pStyle w:val="SingleTxtGA"/>
        <w:spacing w:after="100" w:line="374" w:lineRule="exact"/>
        <w:rPr>
          <w:rtl/>
        </w:rPr>
      </w:pPr>
      <w:r w:rsidRPr="00A10A96">
        <w:rPr>
          <w:rFonts w:hint="cs"/>
          <w:rtl/>
        </w:rPr>
        <w:t>294-</w:t>
      </w:r>
      <w:r w:rsidRPr="00A10A96">
        <w:rPr>
          <w:rFonts w:hint="cs"/>
          <w:rtl/>
        </w:rPr>
        <w:tab/>
      </w:r>
      <w:r w:rsidRPr="005B1ED0">
        <w:rPr>
          <w:rtl/>
        </w:rPr>
        <w:t xml:space="preserve">ولا يُعتد إلا بالنسخة الفرنسية للنصوص المنشورة في </w:t>
      </w:r>
      <w:r w:rsidRPr="00170F39">
        <w:rPr>
          <w:i/>
          <w:iCs/>
          <w:rtl/>
        </w:rPr>
        <w:t>الجريدة الرسمية للجمهورية</w:t>
      </w:r>
      <w:r w:rsidRPr="00170F39">
        <w:rPr>
          <w:rFonts w:hint="cs"/>
          <w:i/>
          <w:iCs/>
          <w:rtl/>
        </w:rPr>
        <w:t xml:space="preserve"> الفرنسية</w:t>
      </w:r>
      <w:r w:rsidRPr="005B1ED0">
        <w:rPr>
          <w:rFonts w:hint="cs"/>
          <w:rtl/>
        </w:rPr>
        <w:t xml:space="preserve">. </w:t>
      </w:r>
      <w:r w:rsidRPr="005B1ED0">
        <w:rPr>
          <w:rtl/>
        </w:rPr>
        <w:t>وليس لترجمات القانون الفرنسي المتاحة على الموقع الشبكي</w:t>
      </w:r>
      <w:r w:rsidRPr="005B1ED0">
        <w:rPr>
          <w:rFonts w:hint="cs"/>
          <w:rtl/>
        </w:rPr>
        <w:t xml:space="preserve"> ليجيفرانس</w:t>
      </w:r>
      <w:r w:rsidRPr="005B1ED0">
        <w:rPr>
          <w:rtl/>
        </w:rPr>
        <w:t xml:space="preserve"> </w:t>
      </w:r>
      <w:r w:rsidRPr="005B1ED0">
        <w:rPr>
          <w:rFonts w:hint="cs"/>
          <w:rtl/>
        </w:rPr>
        <w:t>(</w:t>
      </w:r>
      <w:r w:rsidRPr="005B1ED0">
        <w:t>Légifrance</w:t>
      </w:r>
      <w:r w:rsidRPr="005B1ED0">
        <w:rPr>
          <w:rFonts w:hint="cs"/>
          <w:rtl/>
        </w:rPr>
        <w:t>)</w:t>
      </w:r>
      <w:r w:rsidRPr="005B1ED0">
        <w:rPr>
          <w:rtl/>
        </w:rPr>
        <w:t xml:space="preserve"> قيمة قانونية: فهي للإخبار فقط</w:t>
      </w:r>
      <w:r w:rsidRPr="005B1ED0">
        <w:rPr>
          <w:rFonts w:hint="cs"/>
          <w:rtl/>
        </w:rPr>
        <w:t>.</w:t>
      </w:r>
    </w:p>
    <w:p w:rsidR="00944A3C" w:rsidRPr="00A10A96" w:rsidRDefault="00944A3C" w:rsidP="005B1ED0">
      <w:pPr>
        <w:pStyle w:val="H23GA"/>
        <w:rPr>
          <w:rtl/>
        </w:rPr>
      </w:pPr>
      <w:r w:rsidRPr="00A10A96">
        <w:rPr>
          <w:rtl/>
        </w:rPr>
        <w:tab/>
        <w:t>3-</w:t>
      </w:r>
      <w:r w:rsidRPr="00A10A96">
        <w:rPr>
          <w:rtl/>
        </w:rPr>
        <w:tab/>
        <w:t>إمكانية الاحتجاج بمعاهدة ما أمام المحاكم المحلية</w:t>
      </w:r>
    </w:p>
    <w:p w:rsidR="00944A3C" w:rsidRPr="00A10A96" w:rsidRDefault="00944A3C" w:rsidP="005B1ED0">
      <w:pPr>
        <w:pStyle w:val="SingleTxtGA"/>
        <w:rPr>
          <w:rtl/>
        </w:rPr>
      </w:pPr>
      <w:r w:rsidRPr="00A10A96">
        <w:rPr>
          <w:rFonts w:hint="cs"/>
          <w:rtl/>
        </w:rPr>
        <w:t>295-</w:t>
      </w:r>
      <w:r w:rsidRPr="00A10A96">
        <w:rPr>
          <w:rFonts w:hint="cs"/>
          <w:rtl/>
        </w:rPr>
        <w:tab/>
      </w:r>
      <w:r w:rsidRPr="00A10A96">
        <w:rPr>
          <w:rtl/>
        </w:rPr>
        <w:t>تعود لقضاة المحاكم العادية والإدارية صلاحية تحديد ما إذا كان يجوز للمتقاضين الاحتجاج بأحكام أحد الصكوك الدولية (مجلس الدولة، القسم المعني، 23 نيسان/</w:t>
      </w:r>
      <w:r w:rsidR="005B1ED0">
        <w:rPr>
          <w:rFonts w:hint="cs"/>
          <w:rtl/>
        </w:rPr>
        <w:t xml:space="preserve"> </w:t>
      </w:r>
      <w:r w:rsidRPr="00A10A96">
        <w:rPr>
          <w:rtl/>
        </w:rPr>
        <w:t>أبريل</w:t>
      </w:r>
      <w:r w:rsidR="005B1ED0">
        <w:rPr>
          <w:rFonts w:hint="cs"/>
          <w:rtl/>
        </w:rPr>
        <w:t> </w:t>
      </w:r>
      <w:r w:rsidRPr="00A10A96">
        <w:rPr>
          <w:rtl/>
        </w:rPr>
        <w:t>1997، وحدة تقديم المعلومات والدعم للمهاجرين)</w:t>
      </w:r>
      <w:r w:rsidRPr="00A10A96">
        <w:rPr>
          <w:rFonts w:hint="cs"/>
          <w:rtl/>
        </w:rPr>
        <w:t>.</w:t>
      </w:r>
    </w:p>
    <w:p w:rsidR="00944A3C" w:rsidRPr="00A10A96" w:rsidRDefault="00944A3C" w:rsidP="005B1ED0">
      <w:pPr>
        <w:pStyle w:val="SingleTxtGA"/>
        <w:rPr>
          <w:rtl/>
        </w:rPr>
      </w:pPr>
      <w:r w:rsidRPr="00A10A96">
        <w:rPr>
          <w:rFonts w:hint="cs"/>
          <w:rtl/>
        </w:rPr>
        <w:t>296-</w:t>
      </w:r>
      <w:r w:rsidRPr="00A10A96">
        <w:rPr>
          <w:rFonts w:hint="cs"/>
          <w:rtl/>
        </w:rPr>
        <w:tab/>
      </w:r>
      <w:r w:rsidRPr="00A10A96">
        <w:rPr>
          <w:rtl/>
        </w:rPr>
        <w:t>فمن جهة، ووفق</w:t>
      </w:r>
      <w:r w:rsidR="00B27C28">
        <w:rPr>
          <w:rtl/>
        </w:rPr>
        <w:t xml:space="preserve">اً </w:t>
      </w:r>
      <w:r w:rsidRPr="00A10A96">
        <w:rPr>
          <w:rtl/>
        </w:rPr>
        <w:t>للمادة 55 من الدستور، ينبغي أن يكون الصك الدولي قد صُدق عليه ونشر وفق</w:t>
      </w:r>
      <w:r w:rsidR="00B27C28">
        <w:rPr>
          <w:rtl/>
        </w:rPr>
        <w:t xml:space="preserve">اً </w:t>
      </w:r>
      <w:r w:rsidRPr="00A10A96">
        <w:rPr>
          <w:rtl/>
        </w:rPr>
        <w:t>للقانون، ويكون تطبيقه من قِبل الأطراف الأخرى خاضع</w:t>
      </w:r>
      <w:r w:rsidR="00B27C28">
        <w:rPr>
          <w:rtl/>
        </w:rPr>
        <w:t xml:space="preserve">اً </w:t>
      </w:r>
      <w:r w:rsidRPr="00A10A96">
        <w:rPr>
          <w:rtl/>
        </w:rPr>
        <w:t>لمبدأ المعاملة بالمثل حتى يسري مفعوله في النظام القانوني الفرنسي</w:t>
      </w:r>
      <w:r w:rsidRPr="00A10A96">
        <w:rPr>
          <w:rFonts w:hint="cs"/>
          <w:rtl/>
        </w:rPr>
        <w:t xml:space="preserve">. </w:t>
      </w:r>
      <w:r w:rsidRPr="00A10A96">
        <w:rPr>
          <w:rtl/>
        </w:rPr>
        <w:t>غير أن شرط المعاملة بالمثل لا ينطبق على الصكوك الدولية لحقوق الإنسان</w:t>
      </w:r>
      <w:r w:rsidRPr="00A10A96">
        <w:rPr>
          <w:rFonts w:hint="cs"/>
          <w:rtl/>
        </w:rPr>
        <w:t>.</w:t>
      </w:r>
    </w:p>
    <w:p w:rsidR="00944A3C" w:rsidRPr="00A10A96" w:rsidRDefault="005B1ED0" w:rsidP="005B1ED0">
      <w:pPr>
        <w:pStyle w:val="SingleTxtGA"/>
        <w:rPr>
          <w:rtl/>
        </w:rPr>
      </w:pPr>
      <w:r>
        <w:rPr>
          <w:rFonts w:hint="cs"/>
          <w:rtl/>
        </w:rPr>
        <w:t>297-</w:t>
      </w:r>
      <w:r>
        <w:rPr>
          <w:rtl/>
        </w:rPr>
        <w:tab/>
      </w:r>
      <w:r w:rsidR="00944A3C" w:rsidRPr="00A10A96">
        <w:rPr>
          <w:rtl/>
        </w:rPr>
        <w:t xml:space="preserve">ومن جهة أخرى، ينبغي أن يكون لأحكام المعاهدة التي يستند إليها المتقاضي أثر مباشر ويجب، لهذا الغرض، أن تتضمن </w:t>
      </w:r>
      <w:r w:rsidR="00944A3C" w:rsidRPr="00A10A96">
        <w:rPr>
          <w:rFonts w:hint="cs"/>
          <w:rtl/>
        </w:rPr>
        <w:t xml:space="preserve">عدة </w:t>
      </w:r>
      <w:r w:rsidR="00944A3C" w:rsidRPr="00A10A96">
        <w:rPr>
          <w:rtl/>
        </w:rPr>
        <w:t>معايير</w:t>
      </w:r>
      <w:r w:rsidR="00944A3C" w:rsidRPr="00A10A96">
        <w:rPr>
          <w:rFonts w:hint="cs"/>
          <w:rtl/>
        </w:rPr>
        <w:t>.</w:t>
      </w:r>
    </w:p>
    <w:p w:rsidR="00944A3C" w:rsidRPr="00A10A96" w:rsidRDefault="00944A3C" w:rsidP="005B1ED0">
      <w:pPr>
        <w:pStyle w:val="SingleTxtGA"/>
        <w:rPr>
          <w:rtl/>
        </w:rPr>
      </w:pPr>
      <w:r w:rsidRPr="00A10A96">
        <w:rPr>
          <w:rFonts w:hint="cs"/>
          <w:rtl/>
        </w:rPr>
        <w:lastRenderedPageBreak/>
        <w:t>298-</w:t>
      </w:r>
      <w:r w:rsidRPr="00A10A96">
        <w:rPr>
          <w:rFonts w:hint="cs"/>
          <w:rtl/>
        </w:rPr>
        <w:tab/>
      </w:r>
      <w:r w:rsidRPr="00A10A96">
        <w:rPr>
          <w:rtl/>
        </w:rPr>
        <w:t>فلا ينبغي أن تتطلب هذه الأحكام اتخاذ تدابير محلية لتنفيذها، بل أن تكون "تلقائية التنفيذ"</w:t>
      </w:r>
      <w:r w:rsidRPr="00A10A96">
        <w:rPr>
          <w:rFonts w:hint="cs"/>
          <w:rtl/>
        </w:rPr>
        <w:t xml:space="preserve">. </w:t>
      </w:r>
      <w:r w:rsidRPr="00A10A96">
        <w:rPr>
          <w:rtl/>
        </w:rPr>
        <w:t>وفي هذا الصدد، يجب أن تكون دقيقة وكاملة وغير مشروطة</w:t>
      </w:r>
      <w:r w:rsidRPr="00A10A96">
        <w:rPr>
          <w:rFonts w:hint="cs"/>
          <w:rtl/>
        </w:rPr>
        <w:t xml:space="preserve">. </w:t>
      </w:r>
      <w:r w:rsidRPr="00A10A96">
        <w:rPr>
          <w:rtl/>
        </w:rPr>
        <w:t>وخلاف</w:t>
      </w:r>
      <w:r w:rsidR="00B27C28">
        <w:rPr>
          <w:rtl/>
        </w:rPr>
        <w:t xml:space="preserve">اً </w:t>
      </w:r>
      <w:r w:rsidRPr="00A10A96">
        <w:rPr>
          <w:rtl/>
        </w:rPr>
        <w:t xml:space="preserve">لذلك، </w:t>
      </w:r>
      <w:r w:rsidRPr="00A10A96">
        <w:rPr>
          <w:rFonts w:hint="cs"/>
          <w:rtl/>
        </w:rPr>
        <w:t>ف</w:t>
      </w:r>
      <w:r w:rsidRPr="00A10A96">
        <w:rPr>
          <w:rtl/>
        </w:rPr>
        <w:t>من الضروري في بعض الحالات اعتماد تشريعات محلية لتنفيذها</w:t>
      </w:r>
      <w:r w:rsidRPr="00A10A96">
        <w:rPr>
          <w:rFonts w:hint="cs"/>
          <w:rtl/>
        </w:rPr>
        <w:t xml:space="preserve">. </w:t>
      </w:r>
      <w:r w:rsidRPr="00A10A96">
        <w:rPr>
          <w:rtl/>
        </w:rPr>
        <w:t xml:space="preserve">وتتيح بعض الاتفاقيات بالفعل للدول الأطراف حرية الاختيار فيما يتعلق بطرائق </w:t>
      </w:r>
      <w:r w:rsidRPr="00A10A96">
        <w:rPr>
          <w:rFonts w:hint="cs"/>
          <w:rtl/>
        </w:rPr>
        <w:t xml:space="preserve">تنفيذ </w:t>
      </w:r>
      <w:r w:rsidRPr="00A10A96">
        <w:rPr>
          <w:rtl/>
        </w:rPr>
        <w:t xml:space="preserve">بعض أحكامها </w:t>
      </w:r>
      <w:r w:rsidRPr="00A10A96">
        <w:rPr>
          <w:rFonts w:hint="cs"/>
          <w:rtl/>
        </w:rPr>
        <w:t xml:space="preserve">بتوفيرها </w:t>
      </w:r>
      <w:r w:rsidRPr="00A10A96">
        <w:rPr>
          <w:rtl/>
        </w:rPr>
        <w:t xml:space="preserve">صراحة </w:t>
      </w:r>
      <w:r w:rsidRPr="00A10A96">
        <w:rPr>
          <w:rFonts w:hint="cs"/>
          <w:rtl/>
        </w:rPr>
        <w:t>ل</w:t>
      </w:r>
      <w:r w:rsidRPr="00A10A96">
        <w:rPr>
          <w:rtl/>
        </w:rPr>
        <w:t>بديل أو أكثر</w:t>
      </w:r>
      <w:r w:rsidRPr="00A10A96">
        <w:rPr>
          <w:rFonts w:hint="cs"/>
          <w:rtl/>
        </w:rPr>
        <w:t xml:space="preserve">؛ </w:t>
      </w:r>
      <w:r w:rsidRPr="00A10A96">
        <w:rPr>
          <w:rtl/>
        </w:rPr>
        <w:t>وتفرض اتفاقيات أخرى أحكام</w:t>
      </w:r>
      <w:r w:rsidR="00B27C28">
        <w:rPr>
          <w:rtl/>
        </w:rPr>
        <w:t xml:space="preserve">اً </w:t>
      </w:r>
      <w:r w:rsidRPr="00A10A96">
        <w:rPr>
          <w:rtl/>
        </w:rPr>
        <w:t>تنفيذية بشكل لا لبس فيه</w:t>
      </w:r>
      <w:r w:rsidRPr="00A10A96">
        <w:rPr>
          <w:rFonts w:hint="cs"/>
          <w:rtl/>
        </w:rPr>
        <w:t>.</w:t>
      </w:r>
    </w:p>
    <w:p w:rsidR="00944A3C" w:rsidRPr="00A10A96" w:rsidRDefault="00944A3C" w:rsidP="005B1ED0">
      <w:pPr>
        <w:pStyle w:val="SingleTxtGA"/>
        <w:rPr>
          <w:rtl/>
        </w:rPr>
      </w:pPr>
      <w:r w:rsidRPr="00A10A96">
        <w:rPr>
          <w:rFonts w:hint="cs"/>
          <w:rtl/>
        </w:rPr>
        <w:t>299-</w:t>
      </w:r>
      <w:r w:rsidRPr="00A10A96">
        <w:rPr>
          <w:rFonts w:hint="cs"/>
          <w:rtl/>
        </w:rPr>
        <w:tab/>
        <w:t>و</w:t>
      </w:r>
      <w:r w:rsidRPr="00A10A96">
        <w:rPr>
          <w:rtl/>
        </w:rPr>
        <w:t xml:space="preserve">ينبغي </w:t>
      </w:r>
      <w:r w:rsidRPr="00A10A96">
        <w:rPr>
          <w:rFonts w:hint="cs"/>
          <w:rtl/>
        </w:rPr>
        <w:t>ألَّا تتوخى ح</w:t>
      </w:r>
      <w:r w:rsidRPr="00A10A96">
        <w:rPr>
          <w:rtl/>
        </w:rPr>
        <w:t>صر</w:t>
      </w:r>
      <w:r w:rsidR="00B27C28">
        <w:rPr>
          <w:rFonts w:hint="cs"/>
          <w:rtl/>
        </w:rPr>
        <w:t xml:space="preserve">اً </w:t>
      </w:r>
      <w:r w:rsidRPr="00A10A96">
        <w:rPr>
          <w:rtl/>
        </w:rPr>
        <w:t xml:space="preserve">تنظيم العلاقات بين الدول الأطراف، </w:t>
      </w:r>
      <w:r w:rsidRPr="00A10A96">
        <w:rPr>
          <w:rFonts w:hint="cs"/>
          <w:rtl/>
        </w:rPr>
        <w:t xml:space="preserve">وأن تأخذ في الاعتبار </w:t>
      </w:r>
      <w:r w:rsidRPr="00A10A96">
        <w:rPr>
          <w:rtl/>
        </w:rPr>
        <w:t>نواي</w:t>
      </w:r>
      <w:r w:rsidR="00B27C28">
        <w:rPr>
          <w:rtl/>
        </w:rPr>
        <w:t xml:space="preserve">ا </w:t>
      </w:r>
      <w:r w:rsidRPr="00A10A96">
        <w:rPr>
          <w:rtl/>
        </w:rPr>
        <w:t xml:space="preserve">الأطراف المعرب عنها وكذلك محتوى الصك الدولي المحتج به </w:t>
      </w:r>
      <w:r w:rsidRPr="00A10A96">
        <w:rPr>
          <w:rFonts w:hint="cs"/>
          <w:rtl/>
        </w:rPr>
        <w:t xml:space="preserve">وأحكامه </w:t>
      </w:r>
      <w:r w:rsidRPr="00A10A96">
        <w:rPr>
          <w:rtl/>
        </w:rPr>
        <w:t>وتوجهه العام</w:t>
      </w:r>
      <w:r w:rsidRPr="00A10A96">
        <w:rPr>
          <w:rFonts w:hint="cs"/>
          <w:rtl/>
        </w:rPr>
        <w:t xml:space="preserve">. </w:t>
      </w:r>
      <w:r w:rsidRPr="00A10A96">
        <w:rPr>
          <w:rtl/>
        </w:rPr>
        <w:t>ولا</w:t>
      </w:r>
      <w:r w:rsidR="005B1ED0">
        <w:rPr>
          <w:rFonts w:hint="cs"/>
          <w:rtl/>
        </w:rPr>
        <w:t> </w:t>
      </w:r>
      <w:r w:rsidRPr="00A10A96">
        <w:rPr>
          <w:rtl/>
        </w:rPr>
        <w:t xml:space="preserve">يكفي </w:t>
      </w:r>
      <w:r w:rsidRPr="00A10A96">
        <w:rPr>
          <w:rFonts w:hint="cs"/>
          <w:rtl/>
        </w:rPr>
        <w:t>أن تكون الدول هي المعنية بالالتزامات المحددة في هذا الصك الدولي لحرمان الأفراد من آ</w:t>
      </w:r>
      <w:r w:rsidRPr="00A10A96">
        <w:rPr>
          <w:rtl/>
        </w:rPr>
        <w:t>ث</w:t>
      </w:r>
      <w:r w:rsidRPr="00A10A96">
        <w:rPr>
          <w:rFonts w:hint="cs"/>
          <w:rtl/>
        </w:rPr>
        <w:t>ا</w:t>
      </w:r>
      <w:r w:rsidRPr="00A10A96">
        <w:rPr>
          <w:rtl/>
        </w:rPr>
        <w:t>ر</w:t>
      </w:r>
      <w:r w:rsidRPr="00A10A96">
        <w:rPr>
          <w:rFonts w:hint="cs"/>
          <w:rtl/>
        </w:rPr>
        <w:t>ه</w:t>
      </w:r>
      <w:r w:rsidRPr="00A10A96">
        <w:rPr>
          <w:rtl/>
        </w:rPr>
        <w:t xml:space="preserve"> </w:t>
      </w:r>
      <w:r w:rsidRPr="00A10A96">
        <w:rPr>
          <w:rFonts w:hint="cs"/>
          <w:rtl/>
        </w:rPr>
        <w:t>ال</w:t>
      </w:r>
      <w:r w:rsidRPr="00A10A96">
        <w:rPr>
          <w:rtl/>
        </w:rPr>
        <w:t>مباشر</w:t>
      </w:r>
      <w:r w:rsidRPr="00A10A96">
        <w:rPr>
          <w:rFonts w:hint="cs"/>
          <w:rtl/>
        </w:rPr>
        <w:t>ة</w:t>
      </w:r>
      <w:r w:rsidRPr="00A10A96">
        <w:rPr>
          <w:rtl/>
        </w:rPr>
        <w:t xml:space="preserve">، </w:t>
      </w:r>
      <w:r w:rsidRPr="00A10A96">
        <w:rPr>
          <w:rFonts w:hint="cs"/>
          <w:rtl/>
        </w:rPr>
        <w:t xml:space="preserve">إذ يمكن أن تكفل لهم أحكامه </w:t>
      </w:r>
      <w:r w:rsidRPr="00A10A96">
        <w:rPr>
          <w:rtl/>
        </w:rPr>
        <w:t>حقوق</w:t>
      </w:r>
      <w:r w:rsidR="00B27C28">
        <w:rPr>
          <w:rFonts w:hint="cs"/>
          <w:rtl/>
        </w:rPr>
        <w:t xml:space="preserve">اً </w:t>
      </w:r>
      <w:r w:rsidRPr="00A10A96">
        <w:rPr>
          <w:rFonts w:hint="cs"/>
          <w:rtl/>
        </w:rPr>
        <w:t>معينة.</w:t>
      </w:r>
    </w:p>
    <w:p w:rsidR="00944A3C" w:rsidRPr="00A10A96" w:rsidRDefault="00944A3C" w:rsidP="005B1ED0">
      <w:pPr>
        <w:pStyle w:val="H23GA"/>
        <w:rPr>
          <w:rtl/>
        </w:rPr>
      </w:pPr>
      <w:r w:rsidRPr="00A10A96">
        <w:rPr>
          <w:rtl/>
        </w:rPr>
        <w:tab/>
        <w:t>4-</w:t>
      </w:r>
      <w:r w:rsidRPr="00A10A96">
        <w:rPr>
          <w:rtl/>
        </w:rPr>
        <w:tab/>
        <w:t>التحقق من التوافق مع المعاهدات</w:t>
      </w:r>
    </w:p>
    <w:p w:rsidR="00944A3C" w:rsidRPr="005B1ED0" w:rsidRDefault="00944A3C" w:rsidP="00944A3C">
      <w:pPr>
        <w:pStyle w:val="SingleTxtGA"/>
        <w:spacing w:after="100" w:line="374" w:lineRule="exact"/>
        <w:rPr>
          <w:rtl/>
        </w:rPr>
      </w:pPr>
      <w:r w:rsidRPr="00A10A96">
        <w:rPr>
          <w:rFonts w:hint="cs"/>
          <w:rtl/>
        </w:rPr>
        <w:t>300</w:t>
      </w:r>
      <w:r w:rsidRPr="005B1ED0">
        <w:rPr>
          <w:rFonts w:hint="cs"/>
          <w:rtl/>
        </w:rPr>
        <w:t>-</w:t>
      </w:r>
      <w:r w:rsidRPr="005B1ED0">
        <w:rPr>
          <w:rFonts w:hint="cs"/>
          <w:rtl/>
        </w:rPr>
        <w:tab/>
      </w:r>
      <w:r w:rsidRPr="005B1ED0">
        <w:rPr>
          <w:rtl/>
        </w:rPr>
        <w:t>تمنح المادة 55 من الدستور للمعاهدات والاتفاقات التي يجري التصديق أو الموافقة عليها ونشرها وفق</w:t>
      </w:r>
      <w:r w:rsidR="00B27C28">
        <w:rPr>
          <w:rtl/>
        </w:rPr>
        <w:t xml:space="preserve">اً </w:t>
      </w:r>
      <w:r w:rsidRPr="005B1ED0">
        <w:rPr>
          <w:rtl/>
        </w:rPr>
        <w:t>للقانون، سلطة أعلى من سلطة القوانين، سواء السابقة منها أو اللاحقة (محكمة النقض،</w:t>
      </w:r>
      <w:r w:rsidRPr="005B1ED0">
        <w:rPr>
          <w:rFonts w:hint="cs"/>
          <w:rtl/>
        </w:rPr>
        <w:t xml:space="preserve"> </w:t>
      </w:r>
      <w:r w:rsidRPr="005B1ED0">
        <w:rPr>
          <w:rtl/>
        </w:rPr>
        <w:t xml:space="preserve">الدائرة المختلطة، 24 أيار/مايو 1975، قضية </w:t>
      </w:r>
      <w:r w:rsidRPr="005B1ED0">
        <w:rPr>
          <w:i/>
          <w:iCs/>
          <w:rtl/>
        </w:rPr>
        <w:t>شركة البن جاك فابر</w:t>
      </w:r>
      <w:r w:rsidRPr="005B1ED0">
        <w:rPr>
          <w:rtl/>
        </w:rPr>
        <w:t xml:space="preserve">؛ ومجلس الدولة، 20 تشرين الأول/أكتوبر 1989، قضية </w:t>
      </w:r>
      <w:r w:rsidRPr="005B1ED0">
        <w:rPr>
          <w:i/>
          <w:iCs/>
          <w:rtl/>
        </w:rPr>
        <w:t>نيكولو</w:t>
      </w:r>
      <w:r w:rsidRPr="005B1ED0">
        <w:rPr>
          <w:rtl/>
        </w:rPr>
        <w:t>)</w:t>
      </w:r>
      <w:r w:rsidRPr="005B1ED0">
        <w:rPr>
          <w:rFonts w:hint="cs"/>
          <w:rtl/>
        </w:rPr>
        <w:t xml:space="preserve">. </w:t>
      </w:r>
      <w:r w:rsidRPr="005B1ED0">
        <w:rPr>
          <w:rtl/>
        </w:rPr>
        <w:t xml:space="preserve">ولكن قيمة هذه الصكوك الدولية أدنى من قيمة الدستور (جمعية مجلس الدولة، 30 تشرين الأول/أكتوبر 1998، قضية </w:t>
      </w:r>
      <w:r w:rsidRPr="005B1ED0">
        <w:rPr>
          <w:i/>
          <w:iCs/>
          <w:rtl/>
        </w:rPr>
        <w:t>ساران ولوفاشي</w:t>
      </w:r>
      <w:r w:rsidRPr="005B1ED0">
        <w:rPr>
          <w:rFonts w:hint="cs"/>
          <w:i/>
          <w:iCs/>
          <w:rtl/>
        </w:rPr>
        <w:t>ه</w:t>
      </w:r>
      <w:r w:rsidRPr="005B1ED0">
        <w:rPr>
          <w:i/>
          <w:iCs/>
          <w:rtl/>
        </w:rPr>
        <w:t xml:space="preserve"> وآخرين</w:t>
      </w:r>
      <w:r w:rsidRPr="005B1ED0">
        <w:rPr>
          <w:rtl/>
        </w:rPr>
        <w:t>؛</w:t>
      </w:r>
      <w:r w:rsidRPr="005B1ED0">
        <w:rPr>
          <w:rFonts w:hint="cs"/>
          <w:rtl/>
        </w:rPr>
        <w:t xml:space="preserve"> </w:t>
      </w:r>
      <w:r w:rsidRPr="005B1ED0">
        <w:rPr>
          <w:rtl/>
        </w:rPr>
        <w:t xml:space="preserve">القرار رقم </w:t>
      </w:r>
      <w:r w:rsidRPr="005B1ED0">
        <w:t>2004-505 DC</w:t>
      </w:r>
      <w:r w:rsidRPr="005B1ED0">
        <w:rPr>
          <w:rtl/>
        </w:rPr>
        <w:t xml:space="preserve"> المؤرخ 19 تشرين الثاني/نوفمبر 2004، المعاهدة المنشئة للدستور الأوروبي)</w:t>
      </w:r>
      <w:r w:rsidRPr="005B1ED0">
        <w:rPr>
          <w:rFonts w:hint="cs"/>
          <w:rtl/>
        </w:rPr>
        <w:t>.</w:t>
      </w:r>
    </w:p>
    <w:p w:rsidR="00944A3C" w:rsidRPr="00A10A96" w:rsidRDefault="00944A3C" w:rsidP="005B1ED0">
      <w:pPr>
        <w:pStyle w:val="SingleTxtGA"/>
        <w:rPr>
          <w:rtl/>
        </w:rPr>
      </w:pPr>
      <w:r w:rsidRPr="00A10A96">
        <w:rPr>
          <w:rFonts w:hint="cs"/>
          <w:rtl/>
        </w:rPr>
        <w:t>301</w:t>
      </w:r>
      <w:r w:rsidRPr="005B1ED0">
        <w:rPr>
          <w:rFonts w:hint="cs"/>
          <w:rtl/>
        </w:rPr>
        <w:t>-</w:t>
      </w:r>
      <w:r w:rsidRPr="005B1ED0">
        <w:rPr>
          <w:rFonts w:hint="cs"/>
          <w:rtl/>
        </w:rPr>
        <w:tab/>
      </w:r>
      <w:r w:rsidRPr="005B1ED0">
        <w:rPr>
          <w:rtl/>
        </w:rPr>
        <w:t xml:space="preserve">وإذا كان المجلس الدستوري قد أعلن عدم اختصاصه في إصدار حكم بشأن مدى توافق القوانين مع الصكوك الدولية (القرار رقم </w:t>
      </w:r>
      <w:r w:rsidRPr="005B1ED0">
        <w:t>74-54 DC</w:t>
      </w:r>
      <w:r w:rsidRPr="005B1ED0">
        <w:rPr>
          <w:rtl/>
        </w:rPr>
        <w:t xml:space="preserve"> المؤرخ 15 كانون الثاني/يناير 1975، الإجهاض الطوعي)، فقد أوضح أنه يعود إلى مختلف هيئات الدولة، ولا سيما المحاكم العادية والإدارية، أمر كفالة تنفيذها في إطار اختصاص كل منها (القرار رقم </w:t>
      </w:r>
      <w:r w:rsidRPr="005B1ED0">
        <w:t>86-216 DC</w:t>
      </w:r>
      <w:r w:rsidRPr="005B1ED0">
        <w:rPr>
          <w:rtl/>
        </w:rPr>
        <w:t xml:space="preserve"> المؤرخ 3 أيلول/سبتمبر</w:t>
      </w:r>
      <w:r w:rsidRPr="00A10A96">
        <w:rPr>
          <w:rtl/>
        </w:rPr>
        <w:t xml:space="preserve"> 1986، </w:t>
      </w:r>
      <w:r w:rsidRPr="00A10A96">
        <w:rPr>
          <w:i/>
          <w:iCs/>
          <w:rtl/>
        </w:rPr>
        <w:t>القانون المتعلق بشروط دخول الأجانب إلى فرنسا وإقامتهم بها</w:t>
      </w:r>
      <w:r w:rsidRPr="00A10A96">
        <w:rPr>
          <w:rtl/>
        </w:rPr>
        <w:t>)</w:t>
      </w:r>
      <w:r w:rsidRPr="00A10A96">
        <w:rPr>
          <w:rFonts w:hint="cs"/>
          <w:rtl/>
        </w:rPr>
        <w:t>.</w:t>
      </w:r>
    </w:p>
    <w:p w:rsidR="00944A3C" w:rsidRPr="00A10A96" w:rsidRDefault="00944A3C" w:rsidP="0031739C">
      <w:pPr>
        <w:pStyle w:val="SingleTxtGA"/>
        <w:rPr>
          <w:rtl/>
        </w:rPr>
      </w:pPr>
      <w:r w:rsidRPr="00A10A96">
        <w:rPr>
          <w:rFonts w:hint="cs"/>
          <w:rtl/>
        </w:rPr>
        <w:t>302-</w:t>
      </w:r>
      <w:r w:rsidRPr="005B1ED0">
        <w:rPr>
          <w:rFonts w:hint="cs"/>
          <w:rtl/>
        </w:rPr>
        <w:tab/>
      </w:r>
      <w:r w:rsidRPr="005B1ED0">
        <w:rPr>
          <w:rtl/>
        </w:rPr>
        <w:t>واستناد</w:t>
      </w:r>
      <w:r w:rsidR="00B27C28">
        <w:rPr>
          <w:rtl/>
        </w:rPr>
        <w:t xml:space="preserve">اً </w:t>
      </w:r>
      <w:r w:rsidRPr="005B1ED0">
        <w:rPr>
          <w:rtl/>
        </w:rPr>
        <w:t xml:space="preserve">إلى النتائج المترتبة على تطبيق الصكوك الدولية في النظام المحلي الفرنسي وأسبقيتها على القوانين، </w:t>
      </w:r>
      <w:r w:rsidRPr="005B1ED0">
        <w:rPr>
          <w:rFonts w:hint="cs"/>
          <w:rtl/>
        </w:rPr>
        <w:t>ي</w:t>
      </w:r>
      <w:r w:rsidRPr="005B1ED0">
        <w:rPr>
          <w:rtl/>
        </w:rPr>
        <w:t xml:space="preserve">ستبعد </w:t>
      </w:r>
      <w:r w:rsidRPr="005B1ED0">
        <w:rPr>
          <w:rFonts w:hint="cs"/>
          <w:rtl/>
        </w:rPr>
        <w:t xml:space="preserve">القاضي </w:t>
      </w:r>
      <w:r w:rsidRPr="005B1ED0">
        <w:rPr>
          <w:rtl/>
        </w:rPr>
        <w:t>الحكم القانوني الذي يتعارض مع معاهدة ما، في</w:t>
      </w:r>
      <w:r w:rsidR="0031739C">
        <w:rPr>
          <w:rFonts w:hint="cs"/>
          <w:rtl/>
        </w:rPr>
        <w:t> </w:t>
      </w:r>
      <w:r w:rsidRPr="005B1ED0">
        <w:rPr>
          <w:rtl/>
        </w:rPr>
        <w:t>سياق المنازعات بين الأطراف</w:t>
      </w:r>
      <w:r w:rsidRPr="005B1ED0">
        <w:rPr>
          <w:rFonts w:hint="cs"/>
          <w:rtl/>
        </w:rPr>
        <w:t xml:space="preserve">. </w:t>
      </w:r>
      <w:r w:rsidRPr="005B1ED0">
        <w:rPr>
          <w:rtl/>
        </w:rPr>
        <w:t xml:space="preserve">غير أن </w:t>
      </w:r>
      <w:r w:rsidRPr="005B1ED0">
        <w:rPr>
          <w:rFonts w:hint="cs"/>
          <w:rtl/>
        </w:rPr>
        <w:t xml:space="preserve">هذا </w:t>
      </w:r>
      <w:r w:rsidRPr="005B1ED0">
        <w:rPr>
          <w:rtl/>
        </w:rPr>
        <w:t xml:space="preserve">الحكم يبقى ساري المفعول بالنسبة </w:t>
      </w:r>
      <w:r w:rsidRPr="005B1ED0">
        <w:rPr>
          <w:rFonts w:hint="cs"/>
          <w:rtl/>
        </w:rPr>
        <w:t>لأشخاص</w:t>
      </w:r>
      <w:r w:rsidRPr="00A10A96">
        <w:rPr>
          <w:rFonts w:hint="cs"/>
          <w:rtl/>
        </w:rPr>
        <w:t xml:space="preserve"> القانون </w:t>
      </w:r>
      <w:r w:rsidRPr="00A10A96">
        <w:rPr>
          <w:rtl/>
        </w:rPr>
        <w:t>الآخرين</w:t>
      </w:r>
      <w:r w:rsidRPr="00A10A96">
        <w:rPr>
          <w:rStyle w:val="EndnoteReference"/>
          <w:rtl/>
        </w:rPr>
        <w:t>(</w:t>
      </w:r>
      <w:r w:rsidRPr="00A10A96">
        <w:rPr>
          <w:rStyle w:val="EndnoteReference"/>
          <w:rtl/>
        </w:rPr>
        <w:endnoteReference w:id="199"/>
      </w:r>
      <w:r w:rsidRPr="00A10A96">
        <w:rPr>
          <w:rStyle w:val="EndnoteReference"/>
          <w:rtl/>
        </w:rPr>
        <w:t>)</w:t>
      </w:r>
      <w:r w:rsidRPr="00A10A96">
        <w:rPr>
          <w:rFonts w:hint="cs"/>
          <w:rtl/>
        </w:rPr>
        <w:t xml:space="preserve">. </w:t>
      </w:r>
      <w:r w:rsidRPr="005B1ED0">
        <w:rPr>
          <w:rFonts w:hint="cs"/>
          <w:rtl/>
        </w:rPr>
        <w:t>وفي حالة أخرى</w:t>
      </w:r>
      <w:r w:rsidRPr="005B1ED0">
        <w:rPr>
          <w:rtl/>
        </w:rPr>
        <w:t xml:space="preserve">، </w:t>
      </w:r>
      <w:r w:rsidRPr="005B1ED0">
        <w:rPr>
          <w:rFonts w:hint="cs"/>
          <w:rtl/>
        </w:rPr>
        <w:t xml:space="preserve">رأى القاضي </w:t>
      </w:r>
      <w:r w:rsidRPr="005B1ED0">
        <w:rPr>
          <w:rtl/>
        </w:rPr>
        <w:t xml:space="preserve">أن الدولة قد تتحمل المسؤولية في حالة خرق القوانين لمعايير المعاهدات (انظر، على وجه الخصوص، جمعية مجلس الدولة، 8 شباط/فبراير 2007، قضية </w:t>
      </w:r>
      <w:r w:rsidRPr="005B1ED0">
        <w:rPr>
          <w:i/>
          <w:iCs/>
          <w:rtl/>
        </w:rPr>
        <w:t>غارديديوه</w:t>
      </w:r>
      <w:r w:rsidRPr="00A10A96">
        <w:rPr>
          <w:rtl/>
        </w:rPr>
        <w:t>)</w:t>
      </w:r>
      <w:r w:rsidRPr="00A10A96">
        <w:rPr>
          <w:rStyle w:val="EndnoteReference"/>
          <w:rtl/>
        </w:rPr>
        <w:t>(</w:t>
      </w:r>
      <w:r w:rsidRPr="00A10A96">
        <w:rPr>
          <w:rStyle w:val="EndnoteReference"/>
          <w:rtl/>
        </w:rPr>
        <w:endnoteReference w:id="200"/>
      </w:r>
      <w:r w:rsidRPr="00A10A96">
        <w:rPr>
          <w:rStyle w:val="EndnoteReference"/>
          <w:rtl/>
        </w:rPr>
        <w:t>)</w:t>
      </w:r>
      <w:r w:rsidRPr="00A10A96">
        <w:rPr>
          <w:rFonts w:hint="cs"/>
          <w:rtl/>
        </w:rPr>
        <w:t>.</w:t>
      </w:r>
    </w:p>
    <w:p w:rsidR="00944A3C" w:rsidRPr="00A10A96" w:rsidRDefault="00944A3C" w:rsidP="005B1ED0">
      <w:pPr>
        <w:pStyle w:val="H1GA"/>
        <w:rPr>
          <w:rtl/>
        </w:rPr>
      </w:pPr>
      <w:r w:rsidRPr="00A10A96">
        <w:rPr>
          <w:rtl/>
        </w:rPr>
        <w:tab/>
      </w:r>
      <w:bookmarkStart w:id="354" w:name="_Toc508623287"/>
      <w:r w:rsidRPr="00A10A96">
        <w:rPr>
          <w:rFonts w:hint="cs"/>
          <w:rtl/>
        </w:rPr>
        <w:t>جيم</w:t>
      </w:r>
      <w:r w:rsidRPr="00A10A96">
        <w:rPr>
          <w:rtl/>
        </w:rPr>
        <w:t>-</w:t>
      </w:r>
      <w:r w:rsidRPr="00A10A96">
        <w:rPr>
          <w:rtl/>
        </w:rPr>
        <w:tab/>
        <w:t>سبل الانتصاف المتاحة في حالة انتهاك الحقوق الأساسية ونظم تقديم التعويض للضحايا وإعادة تأهيلهم</w:t>
      </w:r>
      <w:bookmarkEnd w:id="354"/>
    </w:p>
    <w:p w:rsidR="00944A3C" w:rsidRPr="00A10A96" w:rsidRDefault="00944A3C" w:rsidP="005B1ED0">
      <w:pPr>
        <w:pStyle w:val="SingleTxtGA"/>
        <w:rPr>
          <w:rtl/>
        </w:rPr>
      </w:pPr>
      <w:r w:rsidRPr="00A10A96">
        <w:rPr>
          <w:rFonts w:hint="cs"/>
          <w:rtl/>
        </w:rPr>
        <w:t>303-</w:t>
      </w:r>
      <w:r w:rsidRPr="00A10A96">
        <w:rPr>
          <w:rFonts w:hint="cs"/>
          <w:rtl/>
        </w:rPr>
        <w:tab/>
      </w:r>
      <w:r w:rsidRPr="00A10A96">
        <w:rPr>
          <w:rtl/>
        </w:rPr>
        <w:t>تملك محاكم فرنسية عديدة، في إطار ممارسة مهامها، اختصاص النظر في المنازعات المتعلقة بانتهاكات حقوق الإنسان، سواء المكرسة منها في الصكوك الدولية التي صدقت عليها فرنسا أو الواردة في الدستور والقوانين الفرنسية</w:t>
      </w:r>
      <w:r w:rsidRPr="00A10A96">
        <w:rPr>
          <w:rFonts w:hint="cs"/>
          <w:rtl/>
        </w:rPr>
        <w:t>.</w:t>
      </w:r>
    </w:p>
    <w:p w:rsidR="00944A3C" w:rsidRPr="00A10A96" w:rsidRDefault="00944A3C" w:rsidP="005B1ED0">
      <w:pPr>
        <w:pStyle w:val="H23GA"/>
        <w:rPr>
          <w:rtl/>
        </w:rPr>
      </w:pPr>
      <w:r w:rsidRPr="00A10A96">
        <w:rPr>
          <w:rtl/>
        </w:rPr>
        <w:lastRenderedPageBreak/>
        <w:tab/>
        <w:t>1-</w:t>
      </w:r>
      <w:r w:rsidRPr="00A10A96">
        <w:rPr>
          <w:rtl/>
        </w:rPr>
        <w:tab/>
        <w:t>سبل الانتصاف المتاحة في حالة انتهاك الحقوق الأساسية</w:t>
      </w:r>
    </w:p>
    <w:p w:rsidR="00944A3C" w:rsidRPr="005B1ED0" w:rsidRDefault="00944A3C" w:rsidP="005B1ED0">
      <w:pPr>
        <w:pStyle w:val="SingleTxtGA"/>
        <w:rPr>
          <w:rtl/>
        </w:rPr>
      </w:pPr>
      <w:r w:rsidRPr="00A10A96">
        <w:rPr>
          <w:rFonts w:hint="cs"/>
          <w:rtl/>
        </w:rPr>
        <w:t>304</w:t>
      </w:r>
      <w:r w:rsidRPr="005B1ED0">
        <w:rPr>
          <w:rFonts w:hint="cs"/>
          <w:rtl/>
        </w:rPr>
        <w:t>-</w:t>
      </w:r>
      <w:r w:rsidRPr="005B1ED0">
        <w:rPr>
          <w:rFonts w:hint="cs"/>
          <w:rtl/>
        </w:rPr>
        <w:tab/>
      </w:r>
      <w:r w:rsidRPr="005B1ED0">
        <w:rPr>
          <w:rtl/>
        </w:rPr>
        <w:t xml:space="preserve">ينبغي </w:t>
      </w:r>
      <w:r w:rsidRPr="005B1ED0">
        <w:rPr>
          <w:rFonts w:hint="cs"/>
          <w:rtl/>
        </w:rPr>
        <w:t xml:space="preserve">للمحكمة </w:t>
      </w:r>
      <w:r w:rsidRPr="005B1ED0">
        <w:rPr>
          <w:rtl/>
        </w:rPr>
        <w:t>بالأساس التحقق من احترام حقوق الإنسان والمعاقبة على انتهاكاتها</w:t>
      </w:r>
      <w:r w:rsidRPr="005B1ED0">
        <w:rPr>
          <w:rFonts w:hint="cs"/>
          <w:rtl/>
        </w:rPr>
        <w:t xml:space="preserve">. بيد </w:t>
      </w:r>
      <w:r w:rsidRPr="005B1ED0">
        <w:rPr>
          <w:rtl/>
        </w:rPr>
        <w:t>أنه توجد إجراءات غير قضائية لحماية الحقوق والحريات</w:t>
      </w:r>
      <w:r w:rsidRPr="005B1ED0">
        <w:rPr>
          <w:rFonts w:hint="cs"/>
          <w:rtl/>
        </w:rPr>
        <w:t>.</w:t>
      </w:r>
    </w:p>
    <w:p w:rsidR="00944A3C" w:rsidRPr="00A10A96" w:rsidRDefault="00944A3C" w:rsidP="005B1ED0">
      <w:pPr>
        <w:pStyle w:val="H23GA"/>
        <w:rPr>
          <w:rtl/>
        </w:rPr>
      </w:pPr>
      <w:r w:rsidRPr="00A10A96">
        <w:rPr>
          <w:rtl/>
        </w:rPr>
        <w:tab/>
        <w:t>(أ)</w:t>
      </w:r>
      <w:r w:rsidRPr="00A10A96">
        <w:rPr>
          <w:rtl/>
        </w:rPr>
        <w:tab/>
        <w:t>سبل الانتصاف القضائية</w:t>
      </w:r>
    </w:p>
    <w:p w:rsidR="00944A3C" w:rsidRPr="00A10A96" w:rsidRDefault="00944A3C" w:rsidP="005B1ED0">
      <w:pPr>
        <w:pStyle w:val="SingleTxtGA"/>
        <w:rPr>
          <w:rtl/>
        </w:rPr>
      </w:pPr>
      <w:r w:rsidRPr="00A10A96">
        <w:rPr>
          <w:rFonts w:hint="cs"/>
          <w:rtl/>
        </w:rPr>
        <w:t>305-</w:t>
      </w:r>
      <w:r w:rsidRPr="00A10A96">
        <w:rPr>
          <w:rFonts w:hint="cs"/>
          <w:rtl/>
        </w:rPr>
        <w:tab/>
      </w:r>
      <w:r w:rsidRPr="00A10A96">
        <w:rPr>
          <w:rtl/>
        </w:rPr>
        <w:t>فيما يتعلق بانتهاك الحريات، تتوزع الاختصاصات القضائية على النحو التالي: يشمل اختصاص المحاكم الإدارية جميع الإجراءات والتصرفات الإدارية، ولدى المحاكم الجنائية اختصاص حصري في مجال العقوبات، وتتمتع المحاكم المدنية بالاختصاص في ما لا يعاقب عليه جنائي</w:t>
      </w:r>
      <w:r w:rsidR="00B27C28">
        <w:rPr>
          <w:rtl/>
        </w:rPr>
        <w:t xml:space="preserve">اً </w:t>
      </w:r>
      <w:r w:rsidRPr="00A10A96">
        <w:rPr>
          <w:rtl/>
        </w:rPr>
        <w:t>من حالات مساس شخص بحرية شخص آخر</w:t>
      </w:r>
      <w:r w:rsidRPr="00A10A96">
        <w:rPr>
          <w:rFonts w:hint="cs"/>
          <w:rtl/>
        </w:rPr>
        <w:t>.</w:t>
      </w:r>
    </w:p>
    <w:p w:rsidR="00944A3C" w:rsidRPr="00A10A96" w:rsidRDefault="00944A3C" w:rsidP="001D4D90">
      <w:pPr>
        <w:pStyle w:val="H4GA"/>
        <w:rPr>
          <w:rtl/>
        </w:rPr>
      </w:pPr>
      <w:r w:rsidRPr="00A10A96">
        <w:rPr>
          <w:rtl/>
        </w:rPr>
        <w:tab/>
      </w:r>
      <w:r w:rsidR="001D4D90">
        <w:rPr>
          <w:rFonts w:hint="cs"/>
          <w:rtl/>
        </w:rPr>
        <w:t>‘1‘</w:t>
      </w:r>
      <w:r w:rsidRPr="00A10A96">
        <w:rPr>
          <w:rtl/>
        </w:rPr>
        <w:tab/>
        <w:t>سبل الانتصاف المتاحة أمام المحاكم الإدارية، الضامنة للحريات العامة</w:t>
      </w:r>
    </w:p>
    <w:p w:rsidR="00944A3C" w:rsidRPr="00A10A96" w:rsidRDefault="00944A3C" w:rsidP="005B1ED0">
      <w:pPr>
        <w:pStyle w:val="SingleTxtGA"/>
        <w:rPr>
          <w:rtl/>
        </w:rPr>
      </w:pPr>
      <w:r w:rsidRPr="00A10A96">
        <w:rPr>
          <w:rFonts w:hint="cs"/>
          <w:rtl/>
        </w:rPr>
        <w:t>306-</w:t>
      </w:r>
      <w:r w:rsidRPr="00A10A96">
        <w:rPr>
          <w:rFonts w:hint="cs"/>
          <w:rtl/>
        </w:rPr>
        <w:tab/>
      </w:r>
      <w:r w:rsidRPr="00A10A96">
        <w:rPr>
          <w:rtl/>
        </w:rPr>
        <w:t>تتمتع المحاكم الإدارية باختصاص النظر في جميع المنازعات المتعلقة بالإجراءات الإدارية وتصرفات الإدارة</w:t>
      </w:r>
      <w:r w:rsidRPr="00A10A96">
        <w:rPr>
          <w:rFonts w:hint="cs"/>
          <w:rtl/>
        </w:rPr>
        <w:t xml:space="preserve">. </w:t>
      </w:r>
      <w:r w:rsidRPr="00A10A96">
        <w:rPr>
          <w:rtl/>
        </w:rPr>
        <w:t>ويجوز لأي شخص، يكون ضحية انتهاك السلطة العامة لإحدى حرياته بشكل غير مشروع، أن يلجأ إلى المحكمة لطلب إلغاء القرار المتخذ من خلال تقديم طعن بسبب التعسف في استخدام السلطة</w:t>
      </w:r>
      <w:r w:rsidRPr="00A10A96">
        <w:rPr>
          <w:rFonts w:hint="cs"/>
          <w:rtl/>
        </w:rPr>
        <w:t xml:space="preserve">؛ </w:t>
      </w:r>
      <w:r w:rsidRPr="00A10A96">
        <w:rPr>
          <w:rtl/>
        </w:rPr>
        <w:t>ويجوز له أيض</w:t>
      </w:r>
      <w:r w:rsidR="00B27C28">
        <w:rPr>
          <w:rtl/>
        </w:rPr>
        <w:t xml:space="preserve">اً </w:t>
      </w:r>
      <w:r w:rsidRPr="00A10A96">
        <w:rPr>
          <w:rtl/>
        </w:rPr>
        <w:t>أن يطالب بجبر الضرر اللاحق به</w:t>
      </w:r>
      <w:r w:rsidRPr="00A10A96">
        <w:rPr>
          <w:rFonts w:hint="cs"/>
          <w:rtl/>
        </w:rPr>
        <w:t xml:space="preserve">. </w:t>
      </w:r>
      <w:r w:rsidRPr="00A10A96">
        <w:rPr>
          <w:rtl/>
        </w:rPr>
        <w:t>ويعتبر الطعن بسبب التعسف في استخدام السلطة إجراءً متاح</w:t>
      </w:r>
      <w:r w:rsidR="00B27C28">
        <w:rPr>
          <w:rtl/>
        </w:rPr>
        <w:t xml:space="preserve">اً </w:t>
      </w:r>
      <w:r w:rsidRPr="00A10A96">
        <w:rPr>
          <w:rtl/>
        </w:rPr>
        <w:t>إلى حد كبير لضحايا القرارات الإدارية</w:t>
      </w:r>
      <w:r w:rsidRPr="00A10A96">
        <w:rPr>
          <w:rFonts w:hint="cs"/>
          <w:rtl/>
        </w:rPr>
        <w:t xml:space="preserve">. </w:t>
      </w:r>
      <w:r w:rsidRPr="00A10A96">
        <w:rPr>
          <w:rtl/>
        </w:rPr>
        <w:t>وهو متاح، حتى في غياب نص، ضد كل إجراء إداري ولا يجوز لأي أحد أن يتنازل مسبق</w:t>
      </w:r>
      <w:r w:rsidR="00B27C28">
        <w:rPr>
          <w:rtl/>
        </w:rPr>
        <w:t xml:space="preserve">اً </w:t>
      </w:r>
      <w:r w:rsidRPr="00A10A96">
        <w:rPr>
          <w:rtl/>
        </w:rPr>
        <w:t>عن الحق في تقديم طعن بسبب التعسف في استخدام السلطة</w:t>
      </w:r>
      <w:r w:rsidRPr="00A10A96">
        <w:rPr>
          <w:rFonts w:hint="cs"/>
          <w:rtl/>
        </w:rPr>
        <w:t xml:space="preserve">. </w:t>
      </w:r>
      <w:r w:rsidRPr="00A10A96">
        <w:rPr>
          <w:rtl/>
        </w:rPr>
        <w:t>ويجوز بالتالي لأي شخص، سواء كان فرنسي</w:t>
      </w:r>
      <w:r w:rsidR="00B27C28">
        <w:rPr>
          <w:rtl/>
        </w:rPr>
        <w:t xml:space="preserve">اً </w:t>
      </w:r>
      <w:r w:rsidRPr="00A10A96">
        <w:rPr>
          <w:rtl/>
        </w:rPr>
        <w:t>أو أجنبي</w:t>
      </w:r>
      <w:r w:rsidR="0031739C">
        <w:rPr>
          <w:rtl/>
        </w:rPr>
        <w:t>اً،</w:t>
      </w:r>
      <w:r w:rsidRPr="00A10A96">
        <w:rPr>
          <w:rtl/>
        </w:rPr>
        <w:t xml:space="preserve"> أن يقدم طعن</w:t>
      </w:r>
      <w:r w:rsidR="00B27C28">
        <w:rPr>
          <w:rtl/>
        </w:rPr>
        <w:t xml:space="preserve">اً </w:t>
      </w:r>
      <w:r w:rsidRPr="00A10A96">
        <w:rPr>
          <w:rtl/>
        </w:rPr>
        <w:t>ضد إجراء تتخذه سلطة إدارية، وقد لا</w:t>
      </w:r>
      <w:r w:rsidR="005B1ED0">
        <w:rPr>
          <w:rFonts w:hint="cs"/>
          <w:rtl/>
        </w:rPr>
        <w:t> </w:t>
      </w:r>
      <w:r w:rsidRPr="00A10A96">
        <w:rPr>
          <w:rtl/>
        </w:rPr>
        <w:t>يستفيد من إلغائه إلا معنوي</w:t>
      </w:r>
      <w:r w:rsidR="00CD290E">
        <w:rPr>
          <w:rtl/>
        </w:rPr>
        <w:t>اً؛</w:t>
      </w:r>
      <w:r w:rsidRPr="00A10A96">
        <w:rPr>
          <w:rFonts w:hint="cs"/>
          <w:rtl/>
        </w:rPr>
        <w:t xml:space="preserve"> </w:t>
      </w:r>
      <w:r w:rsidRPr="00A10A96">
        <w:rPr>
          <w:rtl/>
        </w:rPr>
        <w:t>ويجوز تقديم هذا الطعن من دون مساعدة محام، في جميع مستويات الإجراءات القضائية</w:t>
      </w:r>
      <w:r w:rsidRPr="00A10A96">
        <w:rPr>
          <w:rFonts w:hint="cs"/>
          <w:rtl/>
        </w:rPr>
        <w:t xml:space="preserve">. </w:t>
      </w:r>
      <w:r w:rsidRPr="00A10A96">
        <w:rPr>
          <w:rtl/>
        </w:rPr>
        <w:t>ويجب أن يستند المدعي في طعنه إلى أحد العناصر الأربعة التالية: عدم الاختصاص، أو وجود عيب في الشكل، أو إساءة استخدام السلطة؛ أو مخالفة القانون</w:t>
      </w:r>
      <w:r w:rsidRPr="00A10A96">
        <w:rPr>
          <w:rFonts w:hint="cs"/>
          <w:rtl/>
        </w:rPr>
        <w:t xml:space="preserve">. </w:t>
      </w:r>
      <w:r w:rsidRPr="00A10A96">
        <w:rPr>
          <w:rtl/>
        </w:rPr>
        <w:t>ويسري مفعول قرار الإلغاء الذي تصدره المحكمة الإدارية على جميع الأشخاص، وابتداء من اليوم ذاته الذي اتُخذ فيه الإجراء الملغى</w:t>
      </w:r>
      <w:r w:rsidRPr="00A10A96">
        <w:rPr>
          <w:rFonts w:hint="cs"/>
          <w:rtl/>
        </w:rPr>
        <w:t>.</w:t>
      </w:r>
    </w:p>
    <w:p w:rsidR="00944A3C" w:rsidRPr="00A10A96" w:rsidRDefault="00944A3C" w:rsidP="003A2A9D">
      <w:pPr>
        <w:pStyle w:val="SingleTxtGA"/>
        <w:rPr>
          <w:rtl/>
        </w:rPr>
      </w:pPr>
      <w:r w:rsidRPr="00A10A96">
        <w:rPr>
          <w:rFonts w:hint="cs"/>
          <w:rtl/>
        </w:rPr>
        <w:t>307-</w:t>
      </w:r>
      <w:r w:rsidRPr="00A10A96">
        <w:rPr>
          <w:rFonts w:hint="cs"/>
          <w:rtl/>
        </w:rPr>
        <w:tab/>
      </w:r>
      <w:r w:rsidRPr="00A10A96">
        <w:rPr>
          <w:rtl/>
        </w:rPr>
        <w:t>وعلاوة على ذلك، وخلاف</w:t>
      </w:r>
      <w:r w:rsidR="00B27C28">
        <w:rPr>
          <w:rtl/>
        </w:rPr>
        <w:t xml:space="preserve">اً </w:t>
      </w:r>
      <w:r w:rsidRPr="00A10A96">
        <w:rPr>
          <w:rtl/>
        </w:rPr>
        <w:t>للقاعدة الدستورية التي تجعل حماية الحرية الفردية حكر</w:t>
      </w:r>
      <w:r w:rsidR="00B27C28">
        <w:rPr>
          <w:rtl/>
        </w:rPr>
        <w:t xml:space="preserve">اً </w:t>
      </w:r>
      <w:r w:rsidRPr="00A10A96">
        <w:rPr>
          <w:rtl/>
        </w:rPr>
        <w:t xml:space="preserve">على المحاكم العادية، فالمحاكم الإدارية هي المختصة </w:t>
      </w:r>
      <w:r w:rsidRPr="00A10A96">
        <w:rPr>
          <w:rFonts w:hint="cs"/>
          <w:rtl/>
        </w:rPr>
        <w:t>بنظر</w:t>
      </w:r>
      <w:r w:rsidRPr="00A10A96">
        <w:rPr>
          <w:rtl/>
        </w:rPr>
        <w:t xml:space="preserve"> المسائل المتعلقة بحرية التجمع والتظاهر، وبحقوق الموظفين وحرياتهم، وبصلاحيات الشرطة الإدارية، وبتكنولوجيا المعلومات والحريات، وبالنظام القانوني لذوي الأمراض العقلية، وبعض الجوانب المتصلة بممارسة التنصت الهاتفي أو</w:t>
      </w:r>
      <w:r w:rsidR="003A2A9D">
        <w:rPr>
          <w:rFonts w:hint="cs"/>
          <w:rtl/>
        </w:rPr>
        <w:t> </w:t>
      </w:r>
      <w:r w:rsidRPr="00A10A96">
        <w:rPr>
          <w:rtl/>
        </w:rPr>
        <w:t>بسير عمل إدارة السجون</w:t>
      </w:r>
      <w:r w:rsidRPr="00A10A96">
        <w:rPr>
          <w:rStyle w:val="EndnoteReference"/>
          <w:rtl/>
        </w:rPr>
        <w:t>(</w:t>
      </w:r>
      <w:r w:rsidRPr="00A10A96">
        <w:rPr>
          <w:rStyle w:val="EndnoteReference"/>
          <w:rtl/>
        </w:rPr>
        <w:endnoteReference w:id="201"/>
      </w:r>
      <w:r w:rsidRPr="00A10A96">
        <w:rPr>
          <w:rStyle w:val="EndnoteReference"/>
          <w:rtl/>
        </w:rPr>
        <w:t>)</w:t>
      </w:r>
      <w:r w:rsidRPr="00A10A96">
        <w:rPr>
          <w:rFonts w:hint="cs"/>
          <w:rtl/>
        </w:rPr>
        <w:t>.</w:t>
      </w:r>
    </w:p>
    <w:p w:rsidR="00944A3C" w:rsidRPr="00A10A96" w:rsidRDefault="00944A3C" w:rsidP="001D4D90">
      <w:pPr>
        <w:pStyle w:val="H4GA"/>
        <w:rPr>
          <w:rtl/>
        </w:rPr>
      </w:pPr>
      <w:r w:rsidRPr="00A10A96">
        <w:rPr>
          <w:rtl/>
        </w:rPr>
        <w:tab/>
      </w:r>
      <w:r w:rsidR="001D4D90">
        <w:rPr>
          <w:rFonts w:hint="cs"/>
          <w:rtl/>
        </w:rPr>
        <w:t>‘2‘</w:t>
      </w:r>
      <w:r w:rsidRPr="00A10A96">
        <w:rPr>
          <w:rtl/>
        </w:rPr>
        <w:tab/>
        <w:t>سبل الانتصاف المتاحة أمام المحاكم العادية، الضامنة للحريات الفردية</w:t>
      </w:r>
    </w:p>
    <w:p w:rsidR="00944A3C" w:rsidRPr="00A10A96" w:rsidRDefault="00944A3C" w:rsidP="003A2A9D">
      <w:pPr>
        <w:pStyle w:val="SingleTxtGA"/>
        <w:rPr>
          <w:rtl/>
        </w:rPr>
      </w:pPr>
      <w:r w:rsidRPr="00A10A96">
        <w:rPr>
          <w:rFonts w:hint="cs"/>
          <w:rtl/>
        </w:rPr>
        <w:t>308-</w:t>
      </w:r>
      <w:r w:rsidRPr="003A2A9D">
        <w:rPr>
          <w:rFonts w:hint="cs"/>
          <w:spacing w:val="-2"/>
          <w:rtl/>
        </w:rPr>
        <w:tab/>
      </w:r>
      <w:r w:rsidRPr="003A2A9D">
        <w:rPr>
          <w:spacing w:val="-2"/>
          <w:rtl/>
        </w:rPr>
        <w:t>وفق</w:t>
      </w:r>
      <w:r w:rsidR="00B27C28">
        <w:rPr>
          <w:spacing w:val="-2"/>
          <w:rtl/>
        </w:rPr>
        <w:t xml:space="preserve">اً </w:t>
      </w:r>
      <w:r w:rsidRPr="003A2A9D">
        <w:rPr>
          <w:spacing w:val="-2"/>
          <w:rtl/>
        </w:rPr>
        <w:t>للمادة 66 من الدستور، لا يجوز احتجاز أي شخص بصورة تعسفية</w:t>
      </w:r>
      <w:r w:rsidRPr="003A2A9D">
        <w:rPr>
          <w:rFonts w:hint="cs"/>
          <w:spacing w:val="-2"/>
          <w:rtl/>
        </w:rPr>
        <w:t xml:space="preserve">. </w:t>
      </w:r>
      <w:r w:rsidRPr="003A2A9D">
        <w:rPr>
          <w:spacing w:val="-2"/>
          <w:rtl/>
        </w:rPr>
        <w:t>وتكفل السلطة القضائية، بوصفها الضامنة للحرية الفردية، احترام هذا المبدأ وفق</w:t>
      </w:r>
      <w:r w:rsidR="00B27C28">
        <w:rPr>
          <w:spacing w:val="-2"/>
          <w:rtl/>
        </w:rPr>
        <w:t xml:space="preserve">اً </w:t>
      </w:r>
      <w:r w:rsidRPr="003A2A9D">
        <w:rPr>
          <w:spacing w:val="-2"/>
          <w:rtl/>
        </w:rPr>
        <w:t>للشروط المنصوص عليها في القانون</w:t>
      </w:r>
      <w:r w:rsidRPr="003A2A9D">
        <w:rPr>
          <w:rFonts w:hint="cs"/>
          <w:spacing w:val="-2"/>
          <w:rtl/>
        </w:rPr>
        <w:t xml:space="preserve">. </w:t>
      </w:r>
      <w:r w:rsidRPr="003A2A9D">
        <w:rPr>
          <w:spacing w:val="-2"/>
          <w:rtl/>
        </w:rPr>
        <w:t>وتضطلع بهذا الدور سواء تعلق الأمر بالمنازعات بين الأفراد أو بين الأفراد والإدارة</w:t>
      </w:r>
      <w:r w:rsidRPr="003A2A9D">
        <w:rPr>
          <w:rFonts w:hint="cs"/>
          <w:spacing w:val="-2"/>
          <w:rtl/>
        </w:rPr>
        <w:t>.</w:t>
      </w:r>
    </w:p>
    <w:p w:rsidR="00944A3C" w:rsidRPr="00A10A96" w:rsidRDefault="00944A3C" w:rsidP="003A2A9D">
      <w:pPr>
        <w:pStyle w:val="SingleTxtGA"/>
        <w:rPr>
          <w:rtl/>
        </w:rPr>
      </w:pPr>
      <w:r w:rsidRPr="00A10A96">
        <w:rPr>
          <w:rFonts w:hint="cs"/>
          <w:rtl/>
        </w:rPr>
        <w:t>309-</w:t>
      </w:r>
      <w:r w:rsidRPr="00A10A96">
        <w:rPr>
          <w:rFonts w:hint="cs"/>
          <w:rtl/>
        </w:rPr>
        <w:tab/>
      </w:r>
      <w:r w:rsidRPr="00A10A96">
        <w:rPr>
          <w:rtl/>
        </w:rPr>
        <w:t xml:space="preserve">ويسري اختصاص المحاكم العادية </w:t>
      </w:r>
      <w:r w:rsidRPr="00A10A96">
        <w:rPr>
          <w:rFonts w:hint="cs"/>
          <w:rtl/>
        </w:rPr>
        <w:t>ب</w:t>
      </w:r>
      <w:r w:rsidRPr="00A10A96">
        <w:rPr>
          <w:rtl/>
        </w:rPr>
        <w:t xml:space="preserve">وجه </w:t>
      </w:r>
      <w:r w:rsidRPr="00A10A96">
        <w:rPr>
          <w:rFonts w:hint="cs"/>
          <w:rtl/>
        </w:rPr>
        <w:t>خاص فيما يتعلق ب</w:t>
      </w:r>
      <w:r w:rsidRPr="00A10A96">
        <w:rPr>
          <w:rtl/>
        </w:rPr>
        <w:t xml:space="preserve">حماية الحريات في إطار العلاقات بين </w:t>
      </w:r>
      <w:r w:rsidRPr="00A10A96">
        <w:rPr>
          <w:rFonts w:hint="cs"/>
          <w:rtl/>
        </w:rPr>
        <w:t xml:space="preserve">الأشخاص العاديين. </w:t>
      </w:r>
      <w:r w:rsidRPr="00A10A96">
        <w:rPr>
          <w:rtl/>
        </w:rPr>
        <w:t xml:space="preserve">وتحمي المحاكم العادية حرية الفرد بجميع أشكالها (حرية </w:t>
      </w:r>
      <w:r w:rsidRPr="00A10A96">
        <w:rPr>
          <w:rtl/>
        </w:rPr>
        <w:lastRenderedPageBreak/>
        <w:t>التنقل، وحرية القرار، وحرية التعاقد، وحرمة الخصوصيات، وحرية الإقامة، وحرمة المراسلات، وما</w:t>
      </w:r>
      <w:r w:rsidR="003A2A9D">
        <w:rPr>
          <w:rFonts w:hint="cs"/>
          <w:rtl/>
        </w:rPr>
        <w:t> </w:t>
      </w:r>
      <w:r w:rsidRPr="00A10A96">
        <w:rPr>
          <w:rtl/>
        </w:rPr>
        <w:t>إلى ذلك)</w:t>
      </w:r>
      <w:r w:rsidRPr="00A10A96">
        <w:rPr>
          <w:rFonts w:hint="cs"/>
          <w:rtl/>
        </w:rPr>
        <w:t xml:space="preserve">. </w:t>
      </w:r>
      <w:r w:rsidRPr="00A10A96">
        <w:rPr>
          <w:rtl/>
        </w:rPr>
        <w:t>ويجوز لها أن تمنح التعويضات، وتلغي العقود، وتعتبر أحد البنود منافي</w:t>
      </w:r>
      <w:r w:rsidR="00B27C28">
        <w:rPr>
          <w:rtl/>
        </w:rPr>
        <w:t xml:space="preserve">اً </w:t>
      </w:r>
      <w:r w:rsidRPr="00A10A96">
        <w:rPr>
          <w:rtl/>
        </w:rPr>
        <w:t>للقانون، وتستبعد وسائل الإثبات المحصل عليها بطريقة تنتهك حرية الطرف الآخر، وما إلى ذلك</w:t>
      </w:r>
      <w:r w:rsidRPr="00A10A96">
        <w:rPr>
          <w:rFonts w:hint="cs"/>
          <w:rtl/>
        </w:rPr>
        <w:t>.</w:t>
      </w:r>
    </w:p>
    <w:p w:rsidR="00944A3C" w:rsidRPr="00A10A96" w:rsidRDefault="00944A3C" w:rsidP="003A2A9D">
      <w:pPr>
        <w:pStyle w:val="SingleTxtGA"/>
        <w:rPr>
          <w:rtl/>
        </w:rPr>
      </w:pPr>
      <w:r w:rsidRPr="00A10A96">
        <w:rPr>
          <w:rFonts w:hint="cs"/>
          <w:rtl/>
        </w:rPr>
        <w:t>310-</w:t>
      </w:r>
      <w:r w:rsidRPr="00A10A96">
        <w:rPr>
          <w:rFonts w:hint="cs"/>
          <w:rtl/>
        </w:rPr>
        <w:tab/>
      </w:r>
      <w:r w:rsidRPr="00A10A96">
        <w:rPr>
          <w:rtl/>
        </w:rPr>
        <w:t>وعلاوة على ذلك، وخلاف</w:t>
      </w:r>
      <w:r w:rsidR="00B27C28">
        <w:rPr>
          <w:rtl/>
        </w:rPr>
        <w:t xml:space="preserve">اً </w:t>
      </w:r>
      <w:r w:rsidRPr="00A10A96">
        <w:rPr>
          <w:rtl/>
        </w:rPr>
        <w:t>للقاعدة التشريعية التي تجعل مراقبة الإدارة العامة حكر</w:t>
      </w:r>
      <w:r w:rsidR="00B27C28">
        <w:rPr>
          <w:rtl/>
        </w:rPr>
        <w:t xml:space="preserve">اً </w:t>
      </w:r>
      <w:r w:rsidRPr="00A10A96">
        <w:rPr>
          <w:rtl/>
        </w:rPr>
        <w:t>على المحاكم الإدارية، يجوز للمحاكم العادية أن تنظر في دعاوى المطالبة بالتعويض إذا تمثل الإجراء الذي اتخذته الإدارة العامة في الحيازة غير القانونية لملك عقاري (نظرية النفوذ) أو إذا انتهك الحريات الفردية الأساسية (نظرية الاعتداء)</w:t>
      </w:r>
      <w:r w:rsidRPr="00A10A96">
        <w:rPr>
          <w:rFonts w:hint="cs"/>
          <w:rtl/>
        </w:rPr>
        <w:t xml:space="preserve">. </w:t>
      </w:r>
      <w:r w:rsidRPr="00A10A96">
        <w:rPr>
          <w:rtl/>
        </w:rPr>
        <w:t>و</w:t>
      </w:r>
      <w:r w:rsidRPr="00A10A96">
        <w:rPr>
          <w:rFonts w:hint="cs"/>
          <w:rtl/>
        </w:rPr>
        <w:t xml:space="preserve">بالإضافة إلى </w:t>
      </w:r>
      <w:r w:rsidRPr="00A10A96">
        <w:rPr>
          <w:rtl/>
        </w:rPr>
        <w:t>ذلك، يجوز للمحاكم الجنائية أن تفسر الإجراءات الإدارية أو التنظيمية أو الفردية وتقيم مدى مشروعيتها عندما تتوقف تسوية الدعوى الجنائية على هذه العملية (المادة 111-5 من قانون العقوبات)</w:t>
      </w:r>
      <w:r w:rsidRPr="00A10A96">
        <w:rPr>
          <w:rFonts w:hint="cs"/>
          <w:rtl/>
        </w:rPr>
        <w:t xml:space="preserve">. </w:t>
      </w:r>
      <w:r w:rsidRPr="00A10A96">
        <w:rPr>
          <w:rtl/>
        </w:rPr>
        <w:t>و</w:t>
      </w:r>
      <w:r w:rsidRPr="00A10A96">
        <w:rPr>
          <w:rFonts w:hint="cs"/>
          <w:rtl/>
        </w:rPr>
        <w:t xml:space="preserve">علاوة على </w:t>
      </w:r>
      <w:r w:rsidRPr="00A10A96">
        <w:rPr>
          <w:rtl/>
        </w:rPr>
        <w:t>ذلك، يُعرض الأشخاص الذين عُهد إليهم بمسؤولية السلطة العامة أو كُلفوا بمهمة في مجال الخدمة العامة بدورهم على المحاكم الجزائية إذا ارتكبوا خطأ</w:t>
      </w:r>
      <w:r w:rsidR="00B27C28">
        <w:rPr>
          <w:rFonts w:hint="cs"/>
          <w:rtl/>
        </w:rPr>
        <w:t>ً</w:t>
      </w:r>
      <w:r w:rsidRPr="00A10A96">
        <w:rPr>
          <w:rtl/>
        </w:rPr>
        <w:t xml:space="preserve"> شخصي</w:t>
      </w:r>
      <w:r w:rsidR="00B27C28">
        <w:rPr>
          <w:rtl/>
        </w:rPr>
        <w:t xml:space="preserve">اً </w:t>
      </w:r>
      <w:r w:rsidRPr="00A10A96">
        <w:rPr>
          <w:rtl/>
        </w:rPr>
        <w:t>يشكل اعتداء على الحرية الفردية (المادة 432-4 من قانون العقوبات)</w:t>
      </w:r>
      <w:r w:rsidRPr="00A10A96">
        <w:rPr>
          <w:rFonts w:hint="cs"/>
          <w:rtl/>
        </w:rPr>
        <w:t>.</w:t>
      </w:r>
    </w:p>
    <w:p w:rsidR="00944A3C" w:rsidRPr="00A10A96" w:rsidRDefault="00944A3C" w:rsidP="001D4D90">
      <w:pPr>
        <w:pStyle w:val="H4GA"/>
        <w:rPr>
          <w:rtl/>
        </w:rPr>
      </w:pPr>
      <w:r w:rsidRPr="00A10A96">
        <w:rPr>
          <w:rtl/>
        </w:rPr>
        <w:tab/>
      </w:r>
      <w:r w:rsidR="001D4D90">
        <w:rPr>
          <w:rFonts w:hint="cs"/>
          <w:rtl/>
        </w:rPr>
        <w:t>‘3‘</w:t>
      </w:r>
      <w:r w:rsidRPr="00A10A96">
        <w:rPr>
          <w:rtl/>
        </w:rPr>
        <w:tab/>
        <w:t>سبل الانتصاف المتاحة أمام المحكمة الدستورية، الضامنة لمجموعة القوانين الدستورية</w:t>
      </w:r>
    </w:p>
    <w:p w:rsidR="00944A3C" w:rsidRPr="00A10A96" w:rsidRDefault="00944A3C" w:rsidP="003A2A9D">
      <w:pPr>
        <w:pStyle w:val="SingleTxtGA"/>
        <w:rPr>
          <w:rtl/>
        </w:rPr>
      </w:pPr>
      <w:r w:rsidRPr="00A10A96">
        <w:rPr>
          <w:rFonts w:hint="cs"/>
          <w:rtl/>
        </w:rPr>
        <w:t>311-</w:t>
      </w:r>
      <w:r w:rsidRPr="00A10A96">
        <w:rPr>
          <w:rFonts w:hint="cs"/>
          <w:rtl/>
        </w:rPr>
        <w:tab/>
      </w:r>
      <w:r w:rsidRPr="00A10A96">
        <w:rPr>
          <w:rtl/>
        </w:rPr>
        <w:t>في إطار التحقق من دستورية القوانين والنظر في المسائل الدستورية ذات الأولوية، ينظر المجلس الدستوري في مدى توافق النصوص المعروضة عليه مع المعايير الدستورية، وبخاصة مع تلك المتعلقة بحقوق الإنسان</w:t>
      </w:r>
      <w:r w:rsidRPr="00A10A96">
        <w:rPr>
          <w:rFonts w:hint="cs"/>
          <w:rtl/>
        </w:rPr>
        <w:t>.</w:t>
      </w:r>
    </w:p>
    <w:p w:rsidR="00944A3C" w:rsidRPr="00A10A96" w:rsidRDefault="00944A3C" w:rsidP="003A2A9D">
      <w:pPr>
        <w:pStyle w:val="SingleTxtGA"/>
      </w:pPr>
      <w:r w:rsidRPr="00A10A96">
        <w:rPr>
          <w:rFonts w:hint="cs"/>
          <w:rtl/>
        </w:rPr>
        <w:t>312-</w:t>
      </w:r>
      <w:r w:rsidRPr="00A10A96">
        <w:rPr>
          <w:rFonts w:hint="cs"/>
          <w:rtl/>
        </w:rPr>
        <w:tab/>
      </w:r>
      <w:r w:rsidRPr="00A10A96">
        <w:rPr>
          <w:rtl/>
        </w:rPr>
        <w:t>وكما سبقت الإشارة إلى ذلك، يجوز للمتقاضي، بفضل استحداث إجراء مسألة الأولوية الدستورية، أن يلجأ إلى المجلس الدستوري بشكل غير مباشر من خلال إحالة أولية من محكمة النقض أو مجلس الدولة (المادة 61-1</w:t>
      </w:r>
      <w:r w:rsidR="003A2A9D">
        <w:rPr>
          <w:rtl/>
        </w:rPr>
        <w:t xml:space="preserve"> من الدستور) [انظر الفرع ثانيا</w:t>
      </w:r>
      <w:r w:rsidR="00C5246A">
        <w:rPr>
          <w:rFonts w:hint="cs"/>
          <w:rtl/>
        </w:rPr>
        <w:t>ً</w:t>
      </w:r>
      <w:r w:rsidR="003A2A9D">
        <w:rPr>
          <w:rtl/>
        </w:rPr>
        <w:t>-ألف-</w:t>
      </w:r>
      <w:r w:rsidRPr="00A10A96">
        <w:rPr>
          <w:rtl/>
        </w:rPr>
        <w:t>3]</w:t>
      </w:r>
      <w:r w:rsidRPr="00A10A96">
        <w:rPr>
          <w:rFonts w:hint="cs"/>
          <w:rtl/>
        </w:rPr>
        <w:t>.</w:t>
      </w:r>
    </w:p>
    <w:p w:rsidR="00944A3C" w:rsidRPr="00A10A96" w:rsidRDefault="00944A3C" w:rsidP="001D4D90">
      <w:pPr>
        <w:pStyle w:val="H4GA"/>
        <w:rPr>
          <w:rtl/>
        </w:rPr>
      </w:pPr>
      <w:r w:rsidRPr="00A10A96">
        <w:rPr>
          <w:rtl/>
        </w:rPr>
        <w:tab/>
      </w:r>
      <w:r w:rsidR="001D4D90">
        <w:rPr>
          <w:rFonts w:hint="cs"/>
          <w:rtl/>
        </w:rPr>
        <w:t>‘4‘</w:t>
      </w:r>
      <w:r w:rsidRPr="00A10A96">
        <w:rPr>
          <w:rtl/>
        </w:rPr>
        <w:tab/>
        <w:t>سبل الانتصاف المتاحة أمام المحكمة الأوروبية، الضامنة للاتفاقية الأوروبية لحقوق الإنسان</w:t>
      </w:r>
    </w:p>
    <w:p w:rsidR="00944A3C" w:rsidRPr="00A1269F" w:rsidRDefault="00944A3C" w:rsidP="00A1269F">
      <w:pPr>
        <w:pStyle w:val="SingleTxtGA"/>
        <w:rPr>
          <w:spacing w:val="-4"/>
          <w:rtl/>
        </w:rPr>
      </w:pPr>
      <w:r w:rsidRPr="00A1269F">
        <w:rPr>
          <w:rFonts w:hint="cs"/>
          <w:spacing w:val="-4"/>
          <w:rtl/>
        </w:rPr>
        <w:t>313-</w:t>
      </w:r>
      <w:r w:rsidRPr="00A1269F">
        <w:rPr>
          <w:rFonts w:hint="cs"/>
          <w:spacing w:val="-4"/>
          <w:rtl/>
        </w:rPr>
        <w:tab/>
      </w:r>
      <w:r w:rsidRPr="00A1269F">
        <w:rPr>
          <w:spacing w:val="-4"/>
          <w:rtl/>
        </w:rPr>
        <w:t>تجدر الإشارة أيض</w:t>
      </w:r>
      <w:r w:rsidR="00B27C28" w:rsidRPr="00A1269F">
        <w:rPr>
          <w:spacing w:val="-4"/>
          <w:rtl/>
        </w:rPr>
        <w:t xml:space="preserve">اً </w:t>
      </w:r>
      <w:r w:rsidRPr="00A1269F">
        <w:rPr>
          <w:spacing w:val="-4"/>
          <w:rtl/>
        </w:rPr>
        <w:t>إلى دور الآلية الفرعية لحماية حقوق الإنسان المنصوص عليها في</w:t>
      </w:r>
      <w:r w:rsidR="00A1269F">
        <w:rPr>
          <w:rFonts w:hint="cs"/>
          <w:spacing w:val="-4"/>
          <w:rtl/>
        </w:rPr>
        <w:t> </w:t>
      </w:r>
      <w:r w:rsidRPr="00A1269F">
        <w:rPr>
          <w:spacing w:val="-4"/>
          <w:rtl/>
        </w:rPr>
        <w:t>الاتفاقية الأوروبية لحماية حقوق الإنسان والحريات الأساسية (الاتفاقية الأوروبية لحقوق الإنسان)</w:t>
      </w:r>
      <w:r w:rsidR="00A1269F">
        <w:rPr>
          <w:rFonts w:hint="cs"/>
          <w:spacing w:val="-4"/>
          <w:rtl/>
        </w:rPr>
        <w:t> </w:t>
      </w:r>
      <w:r w:rsidRPr="00A1269F">
        <w:rPr>
          <w:spacing w:val="-4"/>
          <w:rtl/>
        </w:rPr>
        <w:t>التي صدقت عليها فرنسا في 3 أيار/مايو 1974</w:t>
      </w:r>
      <w:r w:rsidRPr="00A1269F">
        <w:rPr>
          <w:rFonts w:hint="cs"/>
          <w:spacing w:val="-4"/>
          <w:rtl/>
        </w:rPr>
        <w:t xml:space="preserve">. </w:t>
      </w:r>
      <w:r w:rsidRPr="00A1269F">
        <w:rPr>
          <w:spacing w:val="-4"/>
          <w:rtl/>
        </w:rPr>
        <w:t>وقبلت فرنسا، في 2 تشرين الأول/</w:t>
      </w:r>
      <w:r w:rsidR="00A1269F">
        <w:rPr>
          <w:rFonts w:hint="cs"/>
          <w:spacing w:val="-4"/>
          <w:rtl/>
        </w:rPr>
        <w:t xml:space="preserve"> </w:t>
      </w:r>
      <w:r w:rsidRPr="00A1269F">
        <w:rPr>
          <w:spacing w:val="-4"/>
          <w:rtl/>
        </w:rPr>
        <w:t>أكتوبر</w:t>
      </w:r>
      <w:r w:rsidR="00A1269F">
        <w:rPr>
          <w:rFonts w:hint="cs"/>
          <w:spacing w:val="-4"/>
          <w:rtl/>
        </w:rPr>
        <w:t> </w:t>
      </w:r>
      <w:r w:rsidRPr="00A1269F">
        <w:rPr>
          <w:spacing w:val="-4"/>
          <w:rtl/>
        </w:rPr>
        <w:t>1981، الحق في تقديم الالتماسات الفردية المنصوص عليه في هذه الاتفاقية (المادة 34 من الاتفاقية الأوروبية لحقوق الإنسان)</w:t>
      </w:r>
      <w:r w:rsidRPr="00A1269F">
        <w:rPr>
          <w:rFonts w:hint="cs"/>
          <w:spacing w:val="-4"/>
          <w:rtl/>
        </w:rPr>
        <w:t xml:space="preserve">. </w:t>
      </w:r>
      <w:r w:rsidRPr="00A1269F">
        <w:rPr>
          <w:spacing w:val="-4"/>
          <w:rtl/>
        </w:rPr>
        <w:t>وليس للطلبات المقدمة إلى هذه المحكمة أثر إيقافي ولا تعفي المتقاضين من تنفيذ القرارات الصادرة في حقهم من قِبل المحاكم المحلية</w:t>
      </w:r>
      <w:r w:rsidRPr="00A1269F">
        <w:rPr>
          <w:rFonts w:hint="cs"/>
          <w:spacing w:val="-4"/>
          <w:rtl/>
        </w:rPr>
        <w:t xml:space="preserve">. </w:t>
      </w:r>
      <w:r w:rsidRPr="00A1269F">
        <w:rPr>
          <w:spacing w:val="-4"/>
          <w:rtl/>
        </w:rPr>
        <w:t xml:space="preserve">فليست المحكمة الأوروبية لحقوق الإنسان هيئة لاستئناف القرارات الصادرة عن المحاكم المحلية، </w:t>
      </w:r>
      <w:r w:rsidRPr="00A1269F">
        <w:rPr>
          <w:rFonts w:hint="cs"/>
          <w:spacing w:val="-4"/>
          <w:rtl/>
        </w:rPr>
        <w:t xml:space="preserve">حيث </w:t>
      </w:r>
      <w:r w:rsidRPr="00A1269F">
        <w:rPr>
          <w:spacing w:val="-4"/>
          <w:rtl/>
        </w:rPr>
        <w:t>لا</w:t>
      </w:r>
      <w:r w:rsidR="003A2A9D" w:rsidRPr="00A1269F">
        <w:rPr>
          <w:rFonts w:hint="cs"/>
          <w:spacing w:val="-4"/>
          <w:rtl/>
        </w:rPr>
        <w:t> </w:t>
      </w:r>
      <w:r w:rsidRPr="00A1269F">
        <w:rPr>
          <w:spacing w:val="-4"/>
          <w:rtl/>
        </w:rPr>
        <w:t>يحوز لها أن تلغيها</w:t>
      </w:r>
      <w:r w:rsidRPr="00A1269F">
        <w:rPr>
          <w:rFonts w:hint="cs"/>
          <w:spacing w:val="-4"/>
          <w:rtl/>
        </w:rPr>
        <w:t>.</w:t>
      </w:r>
    </w:p>
    <w:p w:rsidR="00944A3C" w:rsidRPr="00A10A96" w:rsidRDefault="00944A3C" w:rsidP="003A2A9D">
      <w:pPr>
        <w:pStyle w:val="SingleTxtGA"/>
        <w:rPr>
          <w:rtl/>
        </w:rPr>
      </w:pPr>
      <w:r w:rsidRPr="00A10A96">
        <w:rPr>
          <w:rFonts w:hint="cs"/>
          <w:rtl/>
        </w:rPr>
        <w:t>314-</w:t>
      </w:r>
      <w:r w:rsidRPr="00A10A96">
        <w:rPr>
          <w:rFonts w:hint="cs"/>
          <w:rtl/>
        </w:rPr>
        <w:tab/>
      </w:r>
      <w:r w:rsidRPr="00A10A96">
        <w:rPr>
          <w:rtl/>
        </w:rPr>
        <w:t>ولكي تقبل المحكمة الأوروبية لحقوق الإنسان التماس</w:t>
      </w:r>
      <w:r w:rsidR="00B27C28">
        <w:rPr>
          <w:rtl/>
        </w:rPr>
        <w:t xml:space="preserve">اً </w:t>
      </w:r>
      <w:r w:rsidRPr="00A10A96">
        <w:rPr>
          <w:rtl/>
        </w:rPr>
        <w:t>ما، ينبغي أن يكون صاحبه قد استنفد جميع سبل الانتصاف المحلية المتاحة، وأن يقدم الطلب أمام هذه المحكمة في غضون الأشهر الستة التالية لصدور القرار النهائي عن المحكمة المحلية، وأن يدعي وقوع انتهاكٍ لحكم أو</w:t>
      </w:r>
      <w:r w:rsidR="003A2A9D">
        <w:rPr>
          <w:rFonts w:hint="cs"/>
          <w:rtl/>
        </w:rPr>
        <w:t> </w:t>
      </w:r>
      <w:r w:rsidRPr="00A10A96">
        <w:rPr>
          <w:rtl/>
        </w:rPr>
        <w:t>أكثر من أحكام الاتفاقية الأوروبية لحقوق الإنسان</w:t>
      </w:r>
      <w:r w:rsidRPr="00A10A96">
        <w:rPr>
          <w:rFonts w:hint="cs"/>
          <w:rtl/>
        </w:rPr>
        <w:t xml:space="preserve">؛ </w:t>
      </w:r>
      <w:r w:rsidRPr="00A10A96">
        <w:rPr>
          <w:rtl/>
        </w:rPr>
        <w:t>وينبغي أن يكون الضرر اللاحق به بالغ</w:t>
      </w:r>
      <w:r w:rsidR="00B27C28">
        <w:rPr>
          <w:rtl/>
        </w:rPr>
        <w:t xml:space="preserve">اً </w:t>
      </w:r>
      <w:r w:rsidRPr="00A10A96">
        <w:rPr>
          <w:rtl/>
        </w:rPr>
        <w:t xml:space="preserve">وألَّا يكون من الواضـح أن التماسه </w:t>
      </w:r>
      <w:r w:rsidRPr="00A10A96">
        <w:rPr>
          <w:rFonts w:hint="cs"/>
          <w:rtl/>
        </w:rPr>
        <w:t>واهي ال</w:t>
      </w:r>
      <w:r w:rsidRPr="00A10A96">
        <w:rPr>
          <w:rtl/>
        </w:rPr>
        <w:t>أسس أو يس</w:t>
      </w:r>
      <w:r w:rsidRPr="00A10A96">
        <w:rPr>
          <w:rFonts w:hint="cs"/>
          <w:rtl/>
        </w:rPr>
        <w:t>ي</w:t>
      </w:r>
      <w:r w:rsidRPr="00A10A96">
        <w:rPr>
          <w:rtl/>
        </w:rPr>
        <w:t xml:space="preserve">ء استخدام </w:t>
      </w:r>
      <w:r w:rsidRPr="00A10A96">
        <w:rPr>
          <w:rFonts w:hint="cs"/>
          <w:rtl/>
        </w:rPr>
        <w:t xml:space="preserve">هذه </w:t>
      </w:r>
      <w:r w:rsidRPr="00A10A96">
        <w:rPr>
          <w:rtl/>
        </w:rPr>
        <w:t>الآلية (الفقرة 1 من المادة 35 من الاتفاقية الأوروبية لحقوق الإنسان والمادة 47 من النظام الداخلي للمحكمة الأوروبية لحقوق الإنسان)</w:t>
      </w:r>
      <w:r w:rsidRPr="00A10A96">
        <w:rPr>
          <w:rFonts w:hint="cs"/>
          <w:rtl/>
        </w:rPr>
        <w:t>.</w:t>
      </w:r>
    </w:p>
    <w:p w:rsidR="00944A3C" w:rsidRPr="00A10A96" w:rsidRDefault="00944A3C" w:rsidP="003A2A9D">
      <w:pPr>
        <w:pStyle w:val="H23GA"/>
        <w:rPr>
          <w:rtl/>
        </w:rPr>
      </w:pPr>
      <w:r w:rsidRPr="00A10A96">
        <w:rPr>
          <w:rtl/>
        </w:rPr>
        <w:lastRenderedPageBreak/>
        <w:tab/>
        <w:t>(ب)</w:t>
      </w:r>
      <w:r w:rsidRPr="00A10A96">
        <w:rPr>
          <w:rtl/>
        </w:rPr>
        <w:tab/>
        <w:t>سبل الانتصاف غير القضائية</w:t>
      </w:r>
    </w:p>
    <w:p w:rsidR="00944A3C" w:rsidRPr="00A10A96" w:rsidRDefault="00944A3C" w:rsidP="001D4D90">
      <w:pPr>
        <w:pStyle w:val="H4GA"/>
        <w:rPr>
          <w:rtl/>
        </w:rPr>
      </w:pPr>
      <w:r w:rsidRPr="00A10A96">
        <w:rPr>
          <w:rtl/>
        </w:rPr>
        <w:tab/>
      </w:r>
      <w:r w:rsidR="001D4D90">
        <w:rPr>
          <w:rFonts w:hint="cs"/>
          <w:rtl/>
        </w:rPr>
        <w:t>‘1‘</w:t>
      </w:r>
      <w:r w:rsidRPr="00A10A96">
        <w:rPr>
          <w:rtl/>
        </w:rPr>
        <w:tab/>
        <w:t>سبل الانتصاف الإدارية المتاحة أمام الهيئة التي اتخذت القرار</w:t>
      </w:r>
      <w:r w:rsidRPr="00A10A96">
        <w:rPr>
          <w:rStyle w:val="EndnoteReference"/>
          <w:i w:val="0"/>
          <w:iCs w:val="0"/>
          <w:rtl/>
        </w:rPr>
        <w:t>(</w:t>
      </w:r>
      <w:r w:rsidRPr="00A10A96">
        <w:rPr>
          <w:rStyle w:val="EndnoteReference"/>
          <w:i w:val="0"/>
          <w:iCs w:val="0"/>
          <w:rtl/>
        </w:rPr>
        <w:endnoteReference w:id="202"/>
      </w:r>
      <w:r w:rsidRPr="00A10A96">
        <w:rPr>
          <w:rStyle w:val="EndnoteReference"/>
          <w:i w:val="0"/>
          <w:iCs w:val="0"/>
          <w:rtl/>
        </w:rPr>
        <w:t>)</w:t>
      </w:r>
    </w:p>
    <w:p w:rsidR="00944A3C" w:rsidRPr="00A10A96" w:rsidRDefault="00944A3C" w:rsidP="003A2A9D">
      <w:pPr>
        <w:pStyle w:val="SingleTxtGA"/>
        <w:rPr>
          <w:rtl/>
        </w:rPr>
      </w:pPr>
      <w:r w:rsidRPr="00A10A96">
        <w:rPr>
          <w:rFonts w:hint="cs"/>
          <w:rtl/>
        </w:rPr>
        <w:t>315-</w:t>
      </w:r>
      <w:r w:rsidRPr="00A10A96">
        <w:rPr>
          <w:rFonts w:hint="cs"/>
          <w:rtl/>
        </w:rPr>
        <w:tab/>
      </w:r>
      <w:r w:rsidRPr="00A10A96">
        <w:rPr>
          <w:rtl/>
        </w:rPr>
        <w:t>يجوز لأي شخص لا يكون راضي</w:t>
      </w:r>
      <w:r w:rsidR="00B27C28">
        <w:rPr>
          <w:rtl/>
        </w:rPr>
        <w:t xml:space="preserve">اً </w:t>
      </w:r>
      <w:r w:rsidRPr="00A10A96">
        <w:rPr>
          <w:rtl/>
        </w:rPr>
        <w:t xml:space="preserve">عن قرار إداري يتعلق به أن يطلب إلغاءه، إما مباشرة إلى الهيئة العامة التي اتخذته، في إطار طلب إعادة النظر، أو إلى الهيئة الأعلى من الهيئة العامة </w:t>
      </w:r>
      <w:r w:rsidRPr="00A10A96">
        <w:rPr>
          <w:rFonts w:hint="cs"/>
          <w:rtl/>
        </w:rPr>
        <w:t xml:space="preserve">صاحبة </w:t>
      </w:r>
      <w:r w:rsidRPr="00A10A96">
        <w:rPr>
          <w:rtl/>
        </w:rPr>
        <w:t>القرار، في إطار الطعن الهرمي</w:t>
      </w:r>
      <w:r w:rsidRPr="00A10A96">
        <w:rPr>
          <w:rFonts w:hint="cs"/>
          <w:rtl/>
        </w:rPr>
        <w:t>.</w:t>
      </w:r>
    </w:p>
    <w:p w:rsidR="00944A3C" w:rsidRPr="00A10A96" w:rsidRDefault="00944A3C" w:rsidP="003A2A9D">
      <w:pPr>
        <w:pStyle w:val="SingleTxtGA"/>
        <w:rPr>
          <w:rtl/>
        </w:rPr>
      </w:pPr>
      <w:r w:rsidRPr="00A10A96">
        <w:rPr>
          <w:rFonts w:hint="cs"/>
          <w:rtl/>
        </w:rPr>
        <w:t>316-</w:t>
      </w:r>
      <w:r w:rsidRPr="00A10A96">
        <w:rPr>
          <w:rFonts w:hint="cs"/>
          <w:rtl/>
        </w:rPr>
        <w:tab/>
      </w:r>
      <w:r w:rsidRPr="00A10A96">
        <w:rPr>
          <w:rtl/>
        </w:rPr>
        <w:t>وهذا الطعن الإداري الرامي إلى إعادة النظر في القرار المتخذ متاح في جميع حالات المنازعات بين الأفراد والإدارة العامة، بصرف النظر عن الهيئة صاحبة القرار وعن شكله ومضمونه</w:t>
      </w:r>
      <w:r w:rsidRPr="00A10A96">
        <w:rPr>
          <w:rFonts w:hint="cs"/>
          <w:rtl/>
        </w:rPr>
        <w:t xml:space="preserve">. </w:t>
      </w:r>
      <w:r w:rsidRPr="00A10A96">
        <w:rPr>
          <w:rtl/>
        </w:rPr>
        <w:t>وينص القانون المتعلق بتبسيط العلاقات بين الإدارة والمواطنين المؤرخ 13 تشرين الثاني/نوفمبر 2013 على أن عدم رد الهيئة العامة على طلب ما خلال شهرين يشكل قرار</w:t>
      </w:r>
      <w:r w:rsidR="00B27C28">
        <w:rPr>
          <w:rtl/>
        </w:rPr>
        <w:t xml:space="preserve">اً </w:t>
      </w:r>
      <w:r w:rsidRPr="00A10A96">
        <w:rPr>
          <w:rtl/>
        </w:rPr>
        <w:t>بالقبول وليس الرفض</w:t>
      </w:r>
      <w:r w:rsidRPr="00A10A96">
        <w:rPr>
          <w:rFonts w:hint="cs"/>
          <w:rtl/>
        </w:rPr>
        <w:t xml:space="preserve">. </w:t>
      </w:r>
      <w:r w:rsidRPr="00A10A96">
        <w:rPr>
          <w:rtl/>
        </w:rPr>
        <w:t>وبدأ سريان هذا النص اعتبار</w:t>
      </w:r>
      <w:r w:rsidR="00B27C28">
        <w:rPr>
          <w:rtl/>
        </w:rPr>
        <w:t xml:space="preserve">اً </w:t>
      </w:r>
      <w:r w:rsidRPr="00A10A96">
        <w:rPr>
          <w:rtl/>
        </w:rPr>
        <w:t>من 13 تشرين الثاني/نوفمبر 2014 على قرارات الدولة واعتبار</w:t>
      </w:r>
      <w:r w:rsidR="00B27C28">
        <w:rPr>
          <w:rtl/>
        </w:rPr>
        <w:t xml:space="preserve">اً </w:t>
      </w:r>
      <w:r w:rsidRPr="00A10A96">
        <w:rPr>
          <w:rtl/>
        </w:rPr>
        <w:t>من 13 تشرين الثاني/نوفمبر 2015 على قرارات الجماعات الإقليمية</w:t>
      </w:r>
      <w:r w:rsidRPr="00A10A96">
        <w:rPr>
          <w:rFonts w:hint="cs"/>
          <w:rtl/>
        </w:rPr>
        <w:t xml:space="preserve">. </w:t>
      </w:r>
      <w:r w:rsidRPr="00A10A96">
        <w:rPr>
          <w:rtl/>
        </w:rPr>
        <w:t>وأحيان</w:t>
      </w:r>
      <w:r w:rsidR="0031739C">
        <w:rPr>
          <w:rtl/>
        </w:rPr>
        <w:t>اً،</w:t>
      </w:r>
      <w:r w:rsidRPr="00A10A96">
        <w:rPr>
          <w:rtl/>
        </w:rPr>
        <w:t xml:space="preserve"> يقتضي حكم تشريعي أو تنظيمي أن يكون الطعن القضائي مسبوق</w:t>
      </w:r>
      <w:r w:rsidR="00B27C28">
        <w:rPr>
          <w:rtl/>
        </w:rPr>
        <w:t xml:space="preserve">اً </w:t>
      </w:r>
      <w:r w:rsidRPr="00A10A96">
        <w:rPr>
          <w:rtl/>
        </w:rPr>
        <w:t>بطعن إداري</w:t>
      </w:r>
      <w:r w:rsidRPr="00A10A96">
        <w:rPr>
          <w:rFonts w:hint="cs"/>
          <w:rtl/>
        </w:rPr>
        <w:t xml:space="preserve">. </w:t>
      </w:r>
      <w:r w:rsidRPr="00A10A96">
        <w:rPr>
          <w:rtl/>
        </w:rPr>
        <w:t>وهذا هو الحال بصفة خاصة فيما يتعلق بتحصيل الضرائب على الدخل، أو الطعن في قرار رفض تأشيرة الدخول إلى فرنسا، أو إجراءات الحصول على الوثائق الإدارية، أو الطعن في قرار بشأن الوضع الفردي لأحد الموظفين المدنيين أو العسكريين في الحالات المحددة في المرسوم رقم</w:t>
      </w:r>
      <w:r w:rsidR="003A2A9D">
        <w:rPr>
          <w:rFonts w:hint="cs"/>
          <w:rtl/>
        </w:rPr>
        <w:t> </w:t>
      </w:r>
      <w:r w:rsidRPr="00A10A96">
        <w:rPr>
          <w:rtl/>
        </w:rPr>
        <w:t>2012-765 المؤرخ 10 أيار/مايو 2012</w:t>
      </w:r>
      <w:r w:rsidRPr="00A10A96">
        <w:rPr>
          <w:rFonts w:hint="cs"/>
          <w:rtl/>
        </w:rPr>
        <w:t xml:space="preserve">. </w:t>
      </w:r>
      <w:r w:rsidRPr="00A10A96">
        <w:rPr>
          <w:rtl/>
        </w:rPr>
        <w:t xml:space="preserve">والغرض من هذه الآلية هو خفض عدد </w:t>
      </w:r>
      <w:r w:rsidRPr="00A10A96">
        <w:rPr>
          <w:rFonts w:hint="cs"/>
          <w:rtl/>
        </w:rPr>
        <w:t xml:space="preserve">المنازعات </w:t>
      </w:r>
      <w:r w:rsidRPr="00A10A96">
        <w:rPr>
          <w:rtl/>
        </w:rPr>
        <w:t>المعروضة على المحاكم الإدارية</w:t>
      </w:r>
      <w:r w:rsidRPr="00A10A96">
        <w:rPr>
          <w:rFonts w:hint="cs"/>
          <w:rtl/>
        </w:rPr>
        <w:t xml:space="preserve">. </w:t>
      </w:r>
      <w:r w:rsidRPr="00A10A96">
        <w:rPr>
          <w:rtl/>
        </w:rPr>
        <w:t>وسواء كان الطعن اختياري</w:t>
      </w:r>
      <w:r w:rsidR="00B27C28">
        <w:rPr>
          <w:rtl/>
        </w:rPr>
        <w:t xml:space="preserve">اً </w:t>
      </w:r>
      <w:r w:rsidRPr="00A10A96">
        <w:rPr>
          <w:rtl/>
        </w:rPr>
        <w:t>أو إلزامي</w:t>
      </w:r>
      <w:r w:rsidR="0031739C">
        <w:rPr>
          <w:rtl/>
        </w:rPr>
        <w:t>اً،</w:t>
      </w:r>
      <w:r w:rsidRPr="00A10A96">
        <w:rPr>
          <w:rtl/>
        </w:rPr>
        <w:t xml:space="preserve"> فبمجرد تقديمه، تُمنح للشخص </w:t>
      </w:r>
      <w:r w:rsidRPr="00A10A96">
        <w:rPr>
          <w:rFonts w:hint="cs"/>
          <w:rtl/>
        </w:rPr>
        <w:t xml:space="preserve">مهلة </w:t>
      </w:r>
      <w:r w:rsidRPr="00A10A96">
        <w:rPr>
          <w:rtl/>
        </w:rPr>
        <w:t>إضافية مدتها شهران للجوء إلى المحكمة الإدارية</w:t>
      </w:r>
      <w:r w:rsidRPr="00A10A96">
        <w:rPr>
          <w:rFonts w:hint="cs"/>
          <w:rtl/>
        </w:rPr>
        <w:t>.</w:t>
      </w:r>
    </w:p>
    <w:p w:rsidR="00944A3C" w:rsidRPr="00A10A96" w:rsidRDefault="00944A3C" w:rsidP="001D4D90">
      <w:pPr>
        <w:pStyle w:val="H4GA"/>
        <w:rPr>
          <w:rtl/>
        </w:rPr>
      </w:pPr>
      <w:r w:rsidRPr="00A10A96">
        <w:rPr>
          <w:rtl/>
        </w:rPr>
        <w:tab/>
      </w:r>
      <w:r w:rsidR="001D4D90">
        <w:rPr>
          <w:rFonts w:hint="cs"/>
          <w:rtl/>
        </w:rPr>
        <w:t>‘2‘</w:t>
      </w:r>
      <w:r w:rsidRPr="00A10A96">
        <w:rPr>
          <w:rtl/>
        </w:rPr>
        <w:tab/>
        <w:t>تقديم الشكاوى إلى مؤسسة المدافع عن الحقوق</w:t>
      </w:r>
      <w:r w:rsidRPr="00A10A96">
        <w:rPr>
          <w:rStyle w:val="EndnoteReference"/>
          <w:i w:val="0"/>
          <w:iCs w:val="0"/>
          <w:rtl/>
        </w:rPr>
        <w:t>(</w:t>
      </w:r>
      <w:r w:rsidRPr="00A10A96">
        <w:rPr>
          <w:rStyle w:val="EndnoteReference"/>
          <w:i w:val="0"/>
          <w:iCs w:val="0"/>
          <w:rtl/>
        </w:rPr>
        <w:endnoteReference w:id="203"/>
      </w:r>
      <w:r w:rsidRPr="00A10A96">
        <w:rPr>
          <w:rStyle w:val="EndnoteReference"/>
          <w:i w:val="0"/>
          <w:iCs w:val="0"/>
          <w:rtl/>
        </w:rPr>
        <w:t>)</w:t>
      </w:r>
    </w:p>
    <w:p w:rsidR="00944A3C" w:rsidRPr="00A10A96" w:rsidRDefault="00944A3C" w:rsidP="003A2A9D">
      <w:pPr>
        <w:pStyle w:val="SingleTxtGA"/>
        <w:rPr>
          <w:rtl/>
        </w:rPr>
      </w:pPr>
      <w:r w:rsidRPr="00A10A96">
        <w:rPr>
          <w:rFonts w:hint="cs"/>
          <w:rtl/>
        </w:rPr>
        <w:t>317-</w:t>
      </w:r>
      <w:r w:rsidRPr="00A10A96">
        <w:rPr>
          <w:rFonts w:hint="cs"/>
          <w:rtl/>
        </w:rPr>
        <w:tab/>
      </w:r>
      <w:r w:rsidRPr="00A10A96">
        <w:rPr>
          <w:rtl/>
        </w:rPr>
        <w:t>استُحدثت أيض</w:t>
      </w:r>
      <w:r w:rsidR="00B27C28">
        <w:rPr>
          <w:rtl/>
        </w:rPr>
        <w:t xml:space="preserve">اً </w:t>
      </w:r>
      <w:r w:rsidRPr="00A10A96">
        <w:rPr>
          <w:rtl/>
        </w:rPr>
        <w:t>آلية غير قضائية خاصة لحماية الحريات، تمثلت في البداية في مكتب أمين المظالم، المنشأ بموجب القانون المؤرخ 3 كانون الثاني/يناير 1973</w:t>
      </w:r>
      <w:r w:rsidRPr="00A10A96">
        <w:rPr>
          <w:rFonts w:hint="cs"/>
          <w:rtl/>
        </w:rPr>
        <w:t xml:space="preserve">. </w:t>
      </w:r>
      <w:r w:rsidRPr="00A10A96">
        <w:rPr>
          <w:rtl/>
        </w:rPr>
        <w:t>وخلَفته مؤسسة المدافع عن الحقوق، المنصوص عليها في الدستور منذ 23 تموز/يوليه 2008 والمنشأة بموجب القانون التنظيمي والقانون العادي المؤرخين 29 آذار/مارس 2011، التي تضطلع أيض</w:t>
      </w:r>
      <w:r w:rsidR="00B27C28">
        <w:rPr>
          <w:rtl/>
        </w:rPr>
        <w:t xml:space="preserve">اً </w:t>
      </w:r>
      <w:r w:rsidRPr="00A10A96">
        <w:rPr>
          <w:rtl/>
        </w:rPr>
        <w:t xml:space="preserve">بصلاحيات </w:t>
      </w:r>
      <w:r w:rsidRPr="00A10A96">
        <w:rPr>
          <w:rFonts w:hint="cs"/>
          <w:rtl/>
        </w:rPr>
        <w:t xml:space="preserve">كل من </w:t>
      </w:r>
      <w:r w:rsidRPr="00A10A96">
        <w:rPr>
          <w:rtl/>
        </w:rPr>
        <w:t>أمين المظالم المعني بالطفل، واللجنة الوطنية لأخلاقيات الأمن، والهيئة العليا للمساواة ومكافحة التمييز</w:t>
      </w:r>
      <w:r w:rsidRPr="00A10A96">
        <w:rPr>
          <w:rFonts w:hint="cs"/>
          <w:rtl/>
        </w:rPr>
        <w:t xml:space="preserve">. </w:t>
      </w:r>
      <w:r w:rsidRPr="00A10A96">
        <w:rPr>
          <w:rtl/>
        </w:rPr>
        <w:t xml:space="preserve">وهي هيئة دستورية مستقلة (الباب الحادي عشر </w:t>
      </w:r>
      <w:r w:rsidRPr="00670E59">
        <w:rPr>
          <w:i/>
          <w:iCs/>
          <w:rtl/>
        </w:rPr>
        <w:t>مكرر</w:t>
      </w:r>
      <w:r w:rsidR="00B27C28" w:rsidRPr="00670E59">
        <w:rPr>
          <w:i/>
          <w:iCs/>
          <w:rtl/>
        </w:rPr>
        <w:t>اً</w:t>
      </w:r>
      <w:r w:rsidR="00B27C28">
        <w:rPr>
          <w:rtl/>
        </w:rPr>
        <w:t xml:space="preserve"> </w:t>
      </w:r>
      <w:r w:rsidRPr="00A10A96">
        <w:rPr>
          <w:rtl/>
        </w:rPr>
        <w:t>من الدستور)</w:t>
      </w:r>
      <w:r w:rsidRPr="00A10A96">
        <w:rPr>
          <w:rFonts w:hint="cs"/>
          <w:rtl/>
        </w:rPr>
        <w:t xml:space="preserve">. </w:t>
      </w:r>
      <w:r w:rsidRPr="00A10A96">
        <w:rPr>
          <w:rtl/>
        </w:rPr>
        <w:t xml:space="preserve">ويُعرض </w:t>
      </w:r>
      <w:r w:rsidRPr="00A10A96">
        <w:rPr>
          <w:rFonts w:hint="cs"/>
          <w:rtl/>
        </w:rPr>
        <w:t>ال</w:t>
      </w:r>
      <w:r w:rsidRPr="00A10A96">
        <w:rPr>
          <w:rtl/>
        </w:rPr>
        <w:t xml:space="preserve">قرار </w:t>
      </w:r>
      <w:r w:rsidRPr="00A10A96">
        <w:rPr>
          <w:rFonts w:hint="cs"/>
          <w:rtl/>
        </w:rPr>
        <w:t xml:space="preserve">الذي </w:t>
      </w:r>
      <w:r w:rsidRPr="00A10A96">
        <w:rPr>
          <w:rtl/>
        </w:rPr>
        <w:t xml:space="preserve">يتخذه رئيس الجمهورية </w:t>
      </w:r>
      <w:r w:rsidRPr="00A10A96">
        <w:rPr>
          <w:rFonts w:hint="cs"/>
          <w:rtl/>
        </w:rPr>
        <w:t xml:space="preserve">بشأن </w:t>
      </w:r>
      <w:r w:rsidRPr="00A10A96">
        <w:rPr>
          <w:rtl/>
        </w:rPr>
        <w:t>تعيين المدافع عن الحقوق</w:t>
      </w:r>
      <w:r w:rsidRPr="00A10A96">
        <w:rPr>
          <w:rFonts w:hint="cs"/>
          <w:rtl/>
        </w:rPr>
        <w:t>،</w:t>
      </w:r>
      <w:r w:rsidRPr="00A10A96">
        <w:rPr>
          <w:rtl/>
        </w:rPr>
        <w:t xml:space="preserve"> لولاية مدتها ست سنوات غير قابلة للتجديد، على الجمعية الوطنية ومجلس الشيوخ للتصويت عليه</w:t>
      </w:r>
      <w:r w:rsidRPr="00A10A96">
        <w:rPr>
          <w:rFonts w:hint="cs"/>
          <w:rtl/>
        </w:rPr>
        <w:t>.</w:t>
      </w:r>
    </w:p>
    <w:p w:rsidR="00944A3C" w:rsidRPr="00A10A96" w:rsidRDefault="00944A3C" w:rsidP="003A2A9D">
      <w:pPr>
        <w:pStyle w:val="SingleTxtGA"/>
        <w:rPr>
          <w:rtl/>
        </w:rPr>
      </w:pPr>
      <w:r w:rsidRPr="00A10A96">
        <w:rPr>
          <w:rFonts w:hint="cs"/>
          <w:rtl/>
        </w:rPr>
        <w:t>318-</w:t>
      </w:r>
      <w:r w:rsidRPr="00A10A96">
        <w:rPr>
          <w:rFonts w:hint="cs"/>
          <w:rtl/>
        </w:rPr>
        <w:tab/>
      </w:r>
      <w:r w:rsidRPr="00A10A96">
        <w:rPr>
          <w:rtl/>
        </w:rPr>
        <w:t>وخلاف</w:t>
      </w:r>
      <w:r w:rsidR="00B27C28">
        <w:rPr>
          <w:rtl/>
        </w:rPr>
        <w:t xml:space="preserve">اً </w:t>
      </w:r>
      <w:r w:rsidRPr="00A10A96">
        <w:rPr>
          <w:rtl/>
        </w:rPr>
        <w:t>لمكتب أمين المظالم الذي لم يكن اللجوء إليه متاح</w:t>
      </w:r>
      <w:r w:rsidR="00B27C28">
        <w:rPr>
          <w:rtl/>
        </w:rPr>
        <w:t xml:space="preserve">اً </w:t>
      </w:r>
      <w:r w:rsidRPr="00A10A96">
        <w:rPr>
          <w:rtl/>
        </w:rPr>
        <w:t>إلا من خلال نائبٍ برلماني أو عضو من أعضاء مجلس الشيوخ، يجوز أن يَلجأ إلى مؤسسة المدافع عن الحقوق بشكل مباشر ومجاني كل شخص طبيعي أو اعتباري، بغض النظر عن جنسيته ومكان إقامته، شريطة أن تكون المنازعة قد نشأت في فرنسا</w:t>
      </w:r>
      <w:r w:rsidRPr="00A10A96">
        <w:rPr>
          <w:rFonts w:hint="cs"/>
          <w:rtl/>
        </w:rPr>
        <w:t xml:space="preserve">. </w:t>
      </w:r>
      <w:r w:rsidRPr="00A10A96">
        <w:rPr>
          <w:rtl/>
        </w:rPr>
        <w:t>ويجوز للشخص الذي يقدم الطلب أن يدعي</w:t>
      </w:r>
      <w:r w:rsidRPr="00A10A96">
        <w:rPr>
          <w:rFonts w:hint="cs"/>
          <w:rtl/>
        </w:rPr>
        <w:t xml:space="preserve"> ما يلي:</w:t>
      </w:r>
    </w:p>
    <w:p w:rsidR="00944A3C" w:rsidRPr="00A10A96" w:rsidRDefault="00944A3C" w:rsidP="003A2A9D">
      <w:pPr>
        <w:pStyle w:val="Bullet1GA"/>
        <w:bidi/>
      </w:pPr>
      <w:r w:rsidRPr="00A10A96">
        <w:rPr>
          <w:rtl/>
        </w:rPr>
        <w:t>عدم احترام الإدارة لحقوق</w:t>
      </w:r>
      <w:r w:rsidRPr="00A10A96">
        <w:rPr>
          <w:rFonts w:hint="cs"/>
          <w:rtl/>
        </w:rPr>
        <w:t>ه؛</w:t>
      </w:r>
    </w:p>
    <w:p w:rsidR="00944A3C" w:rsidRPr="00A10A96" w:rsidRDefault="00944A3C" w:rsidP="003A2A9D">
      <w:pPr>
        <w:pStyle w:val="Bullet1GA"/>
        <w:bidi/>
      </w:pPr>
      <w:r w:rsidRPr="00A10A96">
        <w:rPr>
          <w:rtl/>
        </w:rPr>
        <w:t>تعرضه للتمييز، سواء من قِبل شخص أو كيان عام</w:t>
      </w:r>
      <w:r w:rsidRPr="00A10A96">
        <w:rPr>
          <w:rFonts w:hint="cs"/>
          <w:rtl/>
        </w:rPr>
        <w:t>؛</w:t>
      </w:r>
    </w:p>
    <w:p w:rsidR="00944A3C" w:rsidRPr="00A10A96" w:rsidRDefault="00944A3C" w:rsidP="003A2A9D">
      <w:pPr>
        <w:pStyle w:val="Bullet1GA"/>
        <w:bidi/>
      </w:pPr>
      <w:r w:rsidRPr="00A10A96">
        <w:rPr>
          <w:rtl/>
        </w:rPr>
        <w:t>الإخلال بالأخلاقيات المهنية للأشخاص الذين يمارسون أنشطة أمنية</w:t>
      </w:r>
      <w:r w:rsidRPr="00A10A96">
        <w:rPr>
          <w:rFonts w:hint="cs"/>
          <w:rtl/>
        </w:rPr>
        <w:t>؛</w:t>
      </w:r>
    </w:p>
    <w:p w:rsidR="00944A3C" w:rsidRPr="00A10A96" w:rsidRDefault="00944A3C" w:rsidP="003A2A9D">
      <w:pPr>
        <w:pStyle w:val="Bullet1GA"/>
        <w:bidi/>
        <w:rPr>
          <w:rtl/>
        </w:rPr>
      </w:pPr>
      <w:r w:rsidRPr="00A10A96">
        <w:rPr>
          <w:rtl/>
        </w:rPr>
        <w:lastRenderedPageBreak/>
        <w:t>عدم احترام الحقوق الأساسية لطفل ما</w:t>
      </w:r>
      <w:r w:rsidRPr="00A10A96">
        <w:rPr>
          <w:rFonts w:hint="cs"/>
          <w:rtl/>
        </w:rPr>
        <w:t xml:space="preserve">. </w:t>
      </w:r>
      <w:r w:rsidRPr="00A10A96">
        <w:rPr>
          <w:rtl/>
        </w:rPr>
        <w:t>والأشخاص المؤهلون للجوء إلى المدافع عن الحقوق هم الأطفال أو القاصرون الذين تقل أعمارهم عن 18 سنة، أو ممثلهم القانوني، أو أحد أفراد الأسرة، أو المؤسسات الطبية أو الاجتماعية، أو جمعيات الدفاع عن حقوق الطفل</w:t>
      </w:r>
      <w:r w:rsidRPr="00A10A96">
        <w:rPr>
          <w:rFonts w:hint="cs"/>
          <w:rtl/>
        </w:rPr>
        <w:t>.</w:t>
      </w:r>
    </w:p>
    <w:p w:rsidR="00944A3C" w:rsidRPr="00A10A96" w:rsidRDefault="00944A3C" w:rsidP="000744B4">
      <w:pPr>
        <w:pStyle w:val="SingleTxtGA"/>
        <w:rPr>
          <w:rtl/>
        </w:rPr>
      </w:pPr>
      <w:r w:rsidRPr="00A10A96">
        <w:rPr>
          <w:rFonts w:hint="cs"/>
          <w:rtl/>
        </w:rPr>
        <w:t>319-</w:t>
      </w:r>
      <w:r w:rsidRPr="00A10A96">
        <w:rPr>
          <w:rFonts w:hint="cs"/>
          <w:rtl/>
        </w:rPr>
        <w:tab/>
      </w:r>
      <w:r w:rsidRPr="00A10A96">
        <w:rPr>
          <w:rtl/>
        </w:rPr>
        <w:t>و</w:t>
      </w:r>
      <w:r w:rsidRPr="00A10A96">
        <w:rPr>
          <w:rFonts w:hint="cs"/>
          <w:rtl/>
        </w:rPr>
        <w:t>ي</w:t>
      </w:r>
      <w:r w:rsidRPr="00A10A96">
        <w:rPr>
          <w:rtl/>
        </w:rPr>
        <w:t>تم</w:t>
      </w:r>
      <w:r w:rsidRPr="00A10A96">
        <w:rPr>
          <w:rFonts w:hint="cs"/>
          <w:rtl/>
        </w:rPr>
        <w:t>ت</w:t>
      </w:r>
      <w:r w:rsidRPr="00A10A96">
        <w:rPr>
          <w:rtl/>
        </w:rPr>
        <w:t>ع المدافع عن الحقوق، في مسعاه إلى التسوية الودية للمنازعات، بصلاحيات التحقيق</w:t>
      </w:r>
      <w:r w:rsidRPr="00A10A96">
        <w:rPr>
          <w:rFonts w:hint="cs"/>
          <w:rtl/>
        </w:rPr>
        <w:t xml:space="preserve">؛ </w:t>
      </w:r>
      <w:r w:rsidRPr="00A10A96">
        <w:rPr>
          <w:rtl/>
        </w:rPr>
        <w:t>ولا يسري عليه مبدأ سرية المعلومات الإدار</w:t>
      </w:r>
      <w:r w:rsidRPr="00A10A96">
        <w:rPr>
          <w:rFonts w:hint="cs"/>
          <w:rtl/>
        </w:rPr>
        <w:t>ي</w:t>
      </w:r>
      <w:r w:rsidRPr="00A10A96">
        <w:rPr>
          <w:rtl/>
        </w:rPr>
        <w:t>ة</w:t>
      </w:r>
      <w:r w:rsidRPr="00A10A96">
        <w:rPr>
          <w:rFonts w:hint="cs"/>
          <w:rtl/>
        </w:rPr>
        <w:t xml:space="preserve">. </w:t>
      </w:r>
      <w:r w:rsidRPr="00A10A96">
        <w:rPr>
          <w:rtl/>
        </w:rPr>
        <w:t>ويجوز لمندوبيه في المقاطعات والمؤسسات السجنية أن يُسووا مباشر</w:t>
      </w:r>
      <w:r w:rsidRPr="00A10A96">
        <w:rPr>
          <w:rFonts w:hint="cs"/>
          <w:rtl/>
        </w:rPr>
        <w:t>ة</w:t>
      </w:r>
      <w:r w:rsidRPr="00A10A96">
        <w:rPr>
          <w:rtl/>
        </w:rPr>
        <w:t xml:space="preserve"> جميع المنازعات المحلية المعروضة عليهم</w:t>
      </w:r>
      <w:r w:rsidRPr="00A10A96">
        <w:rPr>
          <w:rFonts w:hint="cs"/>
          <w:rtl/>
        </w:rPr>
        <w:t xml:space="preserve">. </w:t>
      </w:r>
      <w:r w:rsidRPr="00A10A96">
        <w:rPr>
          <w:rtl/>
        </w:rPr>
        <w:t>ويجوز أن يقترح وساطة أو تفاوض</w:t>
      </w:r>
      <w:r w:rsidR="0031739C">
        <w:rPr>
          <w:rtl/>
        </w:rPr>
        <w:t>اً،</w:t>
      </w:r>
      <w:r w:rsidRPr="00A10A96">
        <w:rPr>
          <w:rtl/>
        </w:rPr>
        <w:t xml:space="preserve"> وأن يصدر أمر</w:t>
      </w:r>
      <w:r w:rsidR="00B27C28">
        <w:rPr>
          <w:rtl/>
        </w:rPr>
        <w:t xml:space="preserve">اً </w:t>
      </w:r>
      <w:r w:rsidRPr="00A10A96">
        <w:rPr>
          <w:rtl/>
        </w:rPr>
        <w:t>إذا لم تُفلح توصياته، وأن تستمع إليه جميع الهيئات القضائية</w:t>
      </w:r>
      <w:r w:rsidRPr="00A10A96">
        <w:rPr>
          <w:rFonts w:hint="cs"/>
          <w:rtl/>
        </w:rPr>
        <w:t xml:space="preserve">. </w:t>
      </w:r>
      <w:r w:rsidRPr="00A10A96">
        <w:rPr>
          <w:rtl/>
        </w:rPr>
        <w:t xml:space="preserve">وبالإضافة إلى ذلك، فقد تفضي معالجة حالة معينة إلى اقتراح إصلاحات بهدف تحسين </w:t>
      </w:r>
      <w:r w:rsidRPr="00A10A96">
        <w:rPr>
          <w:rFonts w:hint="cs"/>
          <w:rtl/>
        </w:rPr>
        <w:t xml:space="preserve">أداء </w:t>
      </w:r>
      <w:r w:rsidRPr="00A10A96">
        <w:rPr>
          <w:rtl/>
        </w:rPr>
        <w:t>المؤسسات العامة</w:t>
      </w:r>
      <w:r w:rsidRPr="00A10A96">
        <w:rPr>
          <w:rFonts w:hint="cs"/>
          <w:rtl/>
        </w:rPr>
        <w:t xml:space="preserve">. </w:t>
      </w:r>
      <w:r w:rsidRPr="00A10A96">
        <w:rPr>
          <w:rtl/>
        </w:rPr>
        <w:t>وينشر المدافع عن الحقوق أيض</w:t>
      </w:r>
      <w:r w:rsidR="00B27C28">
        <w:rPr>
          <w:rtl/>
        </w:rPr>
        <w:t xml:space="preserve">اً </w:t>
      </w:r>
      <w:r w:rsidRPr="00A10A96">
        <w:rPr>
          <w:rtl/>
        </w:rPr>
        <w:t>تقرير</w:t>
      </w:r>
      <w:r w:rsidR="00B27C28">
        <w:rPr>
          <w:rtl/>
        </w:rPr>
        <w:t xml:space="preserve">اً </w:t>
      </w:r>
      <w:r w:rsidRPr="00A10A96">
        <w:rPr>
          <w:rtl/>
        </w:rPr>
        <w:t>سنويا</w:t>
      </w:r>
      <w:r w:rsidRPr="00A10A96">
        <w:rPr>
          <w:rFonts w:hint="cs"/>
          <w:rtl/>
        </w:rPr>
        <w:t>.</w:t>
      </w:r>
    </w:p>
    <w:p w:rsidR="00944A3C" w:rsidRPr="00A10A96" w:rsidRDefault="00944A3C" w:rsidP="001D4D90">
      <w:pPr>
        <w:pStyle w:val="H4GA"/>
        <w:rPr>
          <w:rtl/>
        </w:rPr>
      </w:pPr>
      <w:r w:rsidRPr="00A10A96">
        <w:rPr>
          <w:rtl/>
        </w:rPr>
        <w:tab/>
      </w:r>
      <w:r w:rsidR="001D4D90">
        <w:rPr>
          <w:rFonts w:hint="cs"/>
          <w:rtl/>
        </w:rPr>
        <w:t>‘3‘</w:t>
      </w:r>
      <w:r w:rsidRPr="00A10A96">
        <w:rPr>
          <w:rtl/>
        </w:rPr>
        <w:tab/>
        <w:t>الحق في تقديم الالتماسات</w:t>
      </w:r>
      <w:r w:rsidRPr="00A10A96">
        <w:rPr>
          <w:rStyle w:val="EndnoteReference"/>
          <w:i w:val="0"/>
          <w:iCs w:val="0"/>
          <w:rtl/>
        </w:rPr>
        <w:t>(</w:t>
      </w:r>
      <w:r w:rsidRPr="00A10A96">
        <w:rPr>
          <w:rStyle w:val="EndnoteReference"/>
          <w:i w:val="0"/>
          <w:iCs w:val="0"/>
          <w:rtl/>
        </w:rPr>
        <w:endnoteReference w:id="204"/>
      </w:r>
      <w:r w:rsidRPr="00A10A96">
        <w:rPr>
          <w:rStyle w:val="EndnoteReference"/>
          <w:i w:val="0"/>
          <w:iCs w:val="0"/>
          <w:rtl/>
        </w:rPr>
        <w:t>)</w:t>
      </w:r>
    </w:p>
    <w:p w:rsidR="00944A3C" w:rsidRPr="00A10A96" w:rsidRDefault="00944A3C" w:rsidP="003A2A9D">
      <w:pPr>
        <w:pStyle w:val="SingleTxtGA"/>
        <w:rPr>
          <w:rtl/>
        </w:rPr>
      </w:pPr>
      <w:r w:rsidRPr="00A10A96">
        <w:rPr>
          <w:rFonts w:hint="cs"/>
          <w:rtl/>
        </w:rPr>
        <w:t>320-</w:t>
      </w:r>
      <w:r w:rsidRPr="00A10A96">
        <w:rPr>
          <w:rFonts w:hint="cs"/>
          <w:rtl/>
        </w:rPr>
        <w:tab/>
      </w:r>
      <w:r w:rsidRPr="00A10A96">
        <w:rPr>
          <w:rtl/>
        </w:rPr>
        <w:t>يجوز أيض</w:t>
      </w:r>
      <w:r w:rsidR="00B27C28">
        <w:rPr>
          <w:rtl/>
        </w:rPr>
        <w:t xml:space="preserve">اً </w:t>
      </w:r>
      <w:r w:rsidRPr="00A10A96">
        <w:rPr>
          <w:rtl/>
        </w:rPr>
        <w:t xml:space="preserve">لأي شخص أن يستخدم الحق في تقديم الالتماسات، ولا سيما إلى الجمعية الوطنية (المادة 147 وما يليها من النظام الداخلي للجمعية الوطنية)، وإلى المجلس الاقتصادي والاجتماعي والبيئي (المادة 69 من الدستور)، وهيئات </w:t>
      </w:r>
      <w:r w:rsidRPr="00A10A96">
        <w:rPr>
          <w:rFonts w:hint="cs"/>
          <w:rtl/>
        </w:rPr>
        <w:t xml:space="preserve">صنع </w:t>
      </w:r>
      <w:r w:rsidRPr="00A10A96">
        <w:rPr>
          <w:rtl/>
        </w:rPr>
        <w:t>القرار في الجماعات الإقليمية (المادة 72-1 من الدستور) والمفوضية الأوروبية (الفقرة 4 من المادة 11 من معاهدة الاتحاد الأوروبي)</w:t>
      </w:r>
      <w:r w:rsidRPr="00A10A96">
        <w:rPr>
          <w:rFonts w:hint="cs"/>
          <w:rtl/>
        </w:rPr>
        <w:t xml:space="preserve">. </w:t>
      </w:r>
      <w:r w:rsidRPr="00A10A96">
        <w:rPr>
          <w:rtl/>
        </w:rPr>
        <w:t>ويجوز بالتالي لأي شخص أن يلجأ بشكل مباشر إلى إحدى السلطات العليا للدولة لطلب تدخلها، وذلك بالإبلاغ عن حدوث انتهاك لحقوق الإنسان، أو من خلال طلب تعديل القانون الساري</w:t>
      </w:r>
      <w:r w:rsidRPr="00A10A96">
        <w:rPr>
          <w:rFonts w:hint="cs"/>
          <w:rtl/>
        </w:rPr>
        <w:t xml:space="preserve">. </w:t>
      </w:r>
      <w:r w:rsidRPr="00A10A96">
        <w:rPr>
          <w:rtl/>
        </w:rPr>
        <w:t xml:space="preserve">وتعزى ندرة استخدام هذا الإجراء وتراجعه إلى وجود الآليات الأخرى الأكثر فعالية لحماية الحقوق، التي </w:t>
      </w:r>
      <w:r w:rsidRPr="00A10A96">
        <w:rPr>
          <w:rFonts w:hint="cs"/>
          <w:rtl/>
        </w:rPr>
        <w:t xml:space="preserve">سبقت الإشارة </w:t>
      </w:r>
      <w:r w:rsidRPr="00A10A96">
        <w:rPr>
          <w:rtl/>
        </w:rPr>
        <w:t>إليها</w:t>
      </w:r>
      <w:r w:rsidRPr="00A10A96">
        <w:rPr>
          <w:rFonts w:hint="cs"/>
          <w:rtl/>
        </w:rPr>
        <w:t xml:space="preserve">. </w:t>
      </w:r>
      <w:r w:rsidRPr="00A10A96">
        <w:rPr>
          <w:rtl/>
        </w:rPr>
        <w:t>غير أن المواطنين أصبحوا يلجؤون أكثر فأكثر، بشكل فردي أو جماعي، إلى الالتماسات غير المؤطرة قانوني</w:t>
      </w:r>
      <w:r w:rsidR="0031739C">
        <w:rPr>
          <w:rtl/>
        </w:rPr>
        <w:t>اً،</w:t>
      </w:r>
      <w:r w:rsidRPr="00A10A96">
        <w:rPr>
          <w:rtl/>
        </w:rPr>
        <w:t xml:space="preserve"> كتلك المتاحة من خلال مواقع الإنترنت وشبكات التواصل الاجتماعي</w:t>
      </w:r>
      <w:r w:rsidRPr="00A10A96">
        <w:rPr>
          <w:rFonts w:hint="cs"/>
          <w:rtl/>
        </w:rPr>
        <w:t>.</w:t>
      </w:r>
    </w:p>
    <w:p w:rsidR="00944A3C" w:rsidRPr="00A10A96" w:rsidRDefault="00944A3C" w:rsidP="003A2A9D">
      <w:pPr>
        <w:pStyle w:val="H23GA"/>
        <w:rPr>
          <w:rtl/>
        </w:rPr>
      </w:pPr>
      <w:r w:rsidRPr="00A10A96">
        <w:rPr>
          <w:rtl/>
        </w:rPr>
        <w:tab/>
        <w:t>2-</w:t>
      </w:r>
      <w:r w:rsidRPr="00A10A96">
        <w:rPr>
          <w:rtl/>
        </w:rPr>
        <w:tab/>
        <w:t>نظام تقديم التعويض والمساعدة للضحايا</w:t>
      </w:r>
    </w:p>
    <w:p w:rsidR="00944A3C" w:rsidRPr="00A10A96" w:rsidRDefault="00944A3C" w:rsidP="003A2A9D">
      <w:pPr>
        <w:pStyle w:val="H23GA"/>
        <w:rPr>
          <w:rtl/>
        </w:rPr>
      </w:pPr>
      <w:r w:rsidRPr="00A10A96">
        <w:rPr>
          <w:rtl/>
        </w:rPr>
        <w:tab/>
        <w:t>(أ)</w:t>
      </w:r>
      <w:r w:rsidRPr="00A10A96">
        <w:rPr>
          <w:rtl/>
        </w:rPr>
        <w:tab/>
        <w:t>نظام تقديم التعويض للضحايا</w:t>
      </w:r>
    </w:p>
    <w:p w:rsidR="00944A3C" w:rsidRPr="00A10A96" w:rsidRDefault="00944A3C" w:rsidP="001D4D90">
      <w:pPr>
        <w:pStyle w:val="H4GA"/>
        <w:rPr>
          <w:rtl/>
        </w:rPr>
      </w:pPr>
      <w:r w:rsidRPr="00A10A96">
        <w:rPr>
          <w:rtl/>
        </w:rPr>
        <w:tab/>
      </w:r>
      <w:r w:rsidR="001D4D90">
        <w:rPr>
          <w:rFonts w:hint="cs"/>
          <w:rtl/>
        </w:rPr>
        <w:t>‘1‘</w:t>
      </w:r>
      <w:r w:rsidRPr="00A10A96">
        <w:rPr>
          <w:rtl/>
        </w:rPr>
        <w:tab/>
        <w:t>التعويض عن الضرر الذي يتسبب فيه أشخاص عاديون</w:t>
      </w:r>
    </w:p>
    <w:p w:rsidR="00944A3C" w:rsidRPr="00A10A96" w:rsidRDefault="00944A3C" w:rsidP="000744B4">
      <w:pPr>
        <w:pStyle w:val="SingleTxtGA"/>
        <w:rPr>
          <w:rtl/>
        </w:rPr>
      </w:pPr>
      <w:r w:rsidRPr="00A10A96">
        <w:rPr>
          <w:rFonts w:hint="cs"/>
          <w:rtl/>
        </w:rPr>
        <w:t>321-</w:t>
      </w:r>
      <w:r w:rsidRPr="00A10A96">
        <w:rPr>
          <w:rFonts w:hint="cs"/>
          <w:rtl/>
        </w:rPr>
        <w:tab/>
      </w:r>
      <w:r w:rsidRPr="00A10A96">
        <w:rPr>
          <w:rtl/>
        </w:rPr>
        <w:t>قد يترتب الضرر عن عدم تنفيذ عقد أو سوء تنفيذه، أو عن ضرر عرضي، أو عن ارتكاب جنحة أو جريمة</w:t>
      </w:r>
      <w:r w:rsidRPr="00A10A96">
        <w:rPr>
          <w:rFonts w:hint="cs"/>
          <w:rtl/>
        </w:rPr>
        <w:t xml:space="preserve">. </w:t>
      </w:r>
      <w:r w:rsidRPr="00A10A96">
        <w:rPr>
          <w:rtl/>
        </w:rPr>
        <w:t>والتعويض مبلغ مالي تحكم المحكمة بدفعه لجبر الضرر المادي وغير المادي على حد سواء، شريطة أن يكون الضرر مؤكد</w:t>
      </w:r>
      <w:r w:rsidR="00B27C28">
        <w:rPr>
          <w:rtl/>
        </w:rPr>
        <w:t xml:space="preserve">اً </w:t>
      </w:r>
      <w:r w:rsidRPr="00A10A96">
        <w:rPr>
          <w:rtl/>
        </w:rPr>
        <w:t>ومباشرا</w:t>
      </w:r>
      <w:r w:rsidR="001D4D90">
        <w:rPr>
          <w:rFonts w:hint="cs"/>
          <w:rtl/>
        </w:rPr>
        <w:t>ً</w:t>
      </w:r>
      <w:r w:rsidRPr="00A10A96">
        <w:rPr>
          <w:rFonts w:hint="cs"/>
          <w:rtl/>
        </w:rPr>
        <w:t xml:space="preserve">. </w:t>
      </w:r>
      <w:r w:rsidRPr="00A10A96">
        <w:rPr>
          <w:rtl/>
        </w:rPr>
        <w:t>ويجوز بالتالي، إن تأكد ذلك، تقديم تعويض عن الخسارة المتكبدة، وعن الكسب الضائع، وفقدان فرصة حقيقية</w:t>
      </w:r>
      <w:r w:rsidRPr="00A10A96">
        <w:rPr>
          <w:rFonts w:hint="cs"/>
          <w:rtl/>
        </w:rPr>
        <w:t>.</w:t>
      </w:r>
    </w:p>
    <w:p w:rsidR="00944A3C" w:rsidRPr="00A10A96" w:rsidRDefault="00944A3C" w:rsidP="000744B4">
      <w:pPr>
        <w:pStyle w:val="SingleTxtGA"/>
        <w:rPr>
          <w:rtl/>
        </w:rPr>
      </w:pPr>
      <w:r w:rsidRPr="00A10A96">
        <w:rPr>
          <w:rFonts w:hint="cs"/>
          <w:rtl/>
        </w:rPr>
        <w:t>322-</w:t>
      </w:r>
      <w:r w:rsidRPr="000744B4">
        <w:rPr>
          <w:rFonts w:hint="cs"/>
          <w:rtl/>
        </w:rPr>
        <w:tab/>
      </w:r>
      <w:r w:rsidRPr="000744B4">
        <w:rPr>
          <w:rtl/>
        </w:rPr>
        <w:t>ويجوز أن يستفيد من التعويض الضحايا المباشرون وذوو الحقوق، بوصفهم ضحايا غير</w:t>
      </w:r>
      <w:r w:rsidR="000744B4">
        <w:rPr>
          <w:rFonts w:hint="cs"/>
          <w:rtl/>
        </w:rPr>
        <w:t> </w:t>
      </w:r>
      <w:r w:rsidRPr="000744B4">
        <w:rPr>
          <w:rtl/>
        </w:rPr>
        <w:t>مباشرين</w:t>
      </w:r>
      <w:r w:rsidRPr="000744B4">
        <w:rPr>
          <w:rFonts w:hint="cs"/>
          <w:rtl/>
        </w:rPr>
        <w:t>.</w:t>
      </w:r>
    </w:p>
    <w:p w:rsidR="00944A3C" w:rsidRPr="00A10A96" w:rsidRDefault="00944A3C" w:rsidP="000744B4">
      <w:pPr>
        <w:pStyle w:val="SingleTxtGA"/>
        <w:rPr>
          <w:rtl/>
        </w:rPr>
      </w:pPr>
      <w:r w:rsidRPr="00A10A96">
        <w:rPr>
          <w:rFonts w:hint="cs"/>
          <w:rtl/>
        </w:rPr>
        <w:t>323-</w:t>
      </w:r>
      <w:r w:rsidRPr="00A10A96">
        <w:rPr>
          <w:rFonts w:hint="cs"/>
          <w:rtl/>
        </w:rPr>
        <w:tab/>
      </w:r>
      <w:r w:rsidRPr="00A10A96">
        <w:rPr>
          <w:rtl/>
        </w:rPr>
        <w:t>والمبدأ المعتمد هو أن يدفع الشخص المتسبب في الضرر التعويضَ الكاملَ عنه</w:t>
      </w:r>
      <w:r w:rsidRPr="00A10A96">
        <w:rPr>
          <w:rFonts w:hint="cs"/>
          <w:rtl/>
        </w:rPr>
        <w:t>.</w:t>
      </w:r>
    </w:p>
    <w:p w:rsidR="00944A3C" w:rsidRPr="000744B4" w:rsidRDefault="00944A3C" w:rsidP="000744B4">
      <w:pPr>
        <w:pStyle w:val="SingleTxtGA"/>
        <w:rPr>
          <w:spacing w:val="-3"/>
          <w:rtl/>
        </w:rPr>
      </w:pPr>
      <w:r w:rsidRPr="000744B4">
        <w:rPr>
          <w:rFonts w:hint="cs"/>
          <w:spacing w:val="-3"/>
          <w:rtl/>
        </w:rPr>
        <w:t>324-</w:t>
      </w:r>
      <w:r w:rsidRPr="000744B4">
        <w:rPr>
          <w:rFonts w:hint="cs"/>
          <w:spacing w:val="-3"/>
          <w:rtl/>
        </w:rPr>
        <w:tab/>
      </w:r>
      <w:r w:rsidRPr="000744B4">
        <w:rPr>
          <w:spacing w:val="-3"/>
          <w:rtl/>
        </w:rPr>
        <w:t>بيد أنه لا يمكن تقديم التعويض لبعض ضحايا الجرائم، وبخاصة عندما يكون الجاني مجهول</w:t>
      </w:r>
      <w:r w:rsidR="00B27C28">
        <w:rPr>
          <w:spacing w:val="-3"/>
          <w:rtl/>
        </w:rPr>
        <w:t xml:space="preserve">اً </w:t>
      </w:r>
      <w:r w:rsidRPr="000744B4">
        <w:rPr>
          <w:spacing w:val="-3"/>
          <w:rtl/>
        </w:rPr>
        <w:t>أو معسرا</w:t>
      </w:r>
      <w:r w:rsidR="001D4D90">
        <w:rPr>
          <w:rFonts w:hint="cs"/>
          <w:spacing w:val="-3"/>
          <w:rtl/>
        </w:rPr>
        <w:t>ً</w:t>
      </w:r>
      <w:r w:rsidRPr="000744B4">
        <w:rPr>
          <w:rFonts w:hint="cs"/>
          <w:spacing w:val="-3"/>
          <w:rtl/>
        </w:rPr>
        <w:t xml:space="preserve">. </w:t>
      </w:r>
      <w:r w:rsidRPr="000744B4">
        <w:rPr>
          <w:spacing w:val="-3"/>
          <w:rtl/>
        </w:rPr>
        <w:t xml:space="preserve">وبحكم مبدأ التضامن الاجتماعي في مواجهة الخطر، تتولى الدولة مسؤولية دفع </w:t>
      </w:r>
      <w:r w:rsidRPr="000744B4">
        <w:rPr>
          <w:spacing w:val="-3"/>
          <w:rtl/>
        </w:rPr>
        <w:lastRenderedPageBreak/>
        <w:t>التعويض، وإن لم ترتكب أي خطأ</w:t>
      </w:r>
      <w:r w:rsidRPr="000744B4">
        <w:rPr>
          <w:rFonts w:hint="cs"/>
          <w:spacing w:val="-3"/>
          <w:rtl/>
        </w:rPr>
        <w:t xml:space="preserve">. </w:t>
      </w:r>
      <w:r w:rsidRPr="000744B4">
        <w:rPr>
          <w:spacing w:val="-3"/>
          <w:rtl/>
        </w:rPr>
        <w:t>وبالتالي، ووفق شروط معينة، يمكن للضحايا الاستفادة من طرائق شتى للتعويضات العامة، من خلال صناديق التعويض (صندوق الضمان الخاص بضحايا الإرهاب وجرائم أخرى، وصندوق الضمان التابع لشركات التأمين الإجباري عن الضرر، وما إلى ذلك) ومن نظم التعويض (نظام استحقاقات العجز وحوادث العمل، ونظام التعويض عن الأضرار التي تسببها الحشود والتجمعات، وما إلى ذلك)</w:t>
      </w:r>
      <w:r w:rsidRPr="000744B4">
        <w:rPr>
          <w:rFonts w:hint="cs"/>
          <w:spacing w:val="-3"/>
          <w:rtl/>
        </w:rPr>
        <w:t xml:space="preserve">. </w:t>
      </w:r>
      <w:r w:rsidRPr="000744B4">
        <w:rPr>
          <w:spacing w:val="-3"/>
          <w:rtl/>
        </w:rPr>
        <w:t>وسيجري فيما يلي تناول أهم صندوقين للضمان</w:t>
      </w:r>
      <w:r w:rsidRPr="000744B4">
        <w:rPr>
          <w:rFonts w:hint="cs"/>
          <w:spacing w:val="-3"/>
          <w:rtl/>
        </w:rPr>
        <w:t>.</w:t>
      </w:r>
    </w:p>
    <w:p w:rsidR="00944A3C" w:rsidRPr="00A10A96" w:rsidRDefault="000744B4" w:rsidP="000744B4">
      <w:pPr>
        <w:pStyle w:val="H56GA"/>
        <w:rPr>
          <w:rtl/>
        </w:rPr>
      </w:pPr>
      <w:r>
        <w:rPr>
          <w:rtl/>
        </w:rPr>
        <w:tab/>
      </w:r>
      <w:r>
        <w:rPr>
          <w:rtl/>
        </w:rPr>
        <w:tab/>
      </w:r>
      <w:r w:rsidR="00944A3C" w:rsidRPr="00A10A96">
        <w:rPr>
          <w:rtl/>
        </w:rPr>
        <w:t>صندوق الضمان الخاص بضحايا الإرهاب وجرائم أخرى</w:t>
      </w:r>
    </w:p>
    <w:p w:rsidR="00944A3C" w:rsidRPr="00A10A96" w:rsidRDefault="00944A3C" w:rsidP="000744B4">
      <w:pPr>
        <w:pStyle w:val="SingleTxtGA"/>
        <w:rPr>
          <w:rtl/>
        </w:rPr>
      </w:pPr>
      <w:r w:rsidRPr="00A10A96">
        <w:rPr>
          <w:rFonts w:hint="cs"/>
          <w:rtl/>
        </w:rPr>
        <w:t>325-</w:t>
      </w:r>
      <w:r w:rsidRPr="00A10A96">
        <w:rPr>
          <w:rFonts w:hint="cs"/>
          <w:rtl/>
        </w:rPr>
        <w:tab/>
      </w:r>
      <w:r w:rsidRPr="00A10A96">
        <w:rPr>
          <w:rtl/>
        </w:rPr>
        <w:t>يستهدف صندوق الضمان الخاص بضحايا الإرهاب وجرائم أخرى ضحايا الجرائم الذين لم يتسن لهم الحصول على تعويض جبراً للضرر اللاحق بهم، وبخاصة عندما يكون الجاني مجهول</w:t>
      </w:r>
      <w:r w:rsidR="0031739C">
        <w:rPr>
          <w:rtl/>
        </w:rPr>
        <w:t>اً،</w:t>
      </w:r>
      <w:r w:rsidRPr="00A10A96">
        <w:rPr>
          <w:rtl/>
        </w:rPr>
        <w:t xml:space="preserve"> أو معسر</w:t>
      </w:r>
      <w:r w:rsidR="0031739C">
        <w:rPr>
          <w:rtl/>
        </w:rPr>
        <w:t>اً،</w:t>
      </w:r>
      <w:r w:rsidRPr="00A10A96">
        <w:rPr>
          <w:rtl/>
        </w:rPr>
        <w:t xml:space="preserve"> أو </w:t>
      </w:r>
      <w:r w:rsidRPr="00A10A96">
        <w:rPr>
          <w:rFonts w:hint="cs"/>
          <w:rtl/>
        </w:rPr>
        <w:t xml:space="preserve">إذا </w:t>
      </w:r>
      <w:r w:rsidRPr="00A10A96">
        <w:rPr>
          <w:rtl/>
        </w:rPr>
        <w:t>كان يعاني من اضطراب عقلي وقت ارتكاب الجريمة، أو إذا تقادمت الوقائع، أو استفاد مرتكبها من عفو أو لم يلاحق قضائي</w:t>
      </w:r>
      <w:r w:rsidR="00B27C28">
        <w:rPr>
          <w:rtl/>
        </w:rPr>
        <w:t xml:space="preserve">اً </w:t>
      </w:r>
      <w:r w:rsidRPr="00A10A96">
        <w:rPr>
          <w:rtl/>
        </w:rPr>
        <w:t>أمام محكمة جزائية</w:t>
      </w:r>
      <w:r w:rsidRPr="00A10A96">
        <w:rPr>
          <w:rFonts w:hint="cs"/>
          <w:rtl/>
        </w:rPr>
        <w:t xml:space="preserve">. </w:t>
      </w:r>
      <w:r w:rsidRPr="00A10A96">
        <w:rPr>
          <w:rtl/>
        </w:rPr>
        <w:t>وينبغي أن يقدم الشخص المتضرر</w:t>
      </w:r>
      <w:bookmarkStart w:id="355" w:name="_GoBack"/>
      <w:bookmarkEnd w:id="355"/>
      <w:r w:rsidRPr="00A10A96">
        <w:rPr>
          <w:rtl/>
        </w:rPr>
        <w:t xml:space="preserve"> طلب</w:t>
      </w:r>
      <w:r w:rsidR="00B27C28">
        <w:rPr>
          <w:rtl/>
        </w:rPr>
        <w:t xml:space="preserve">اً </w:t>
      </w:r>
      <w:r w:rsidRPr="00A10A96">
        <w:rPr>
          <w:rtl/>
        </w:rPr>
        <w:t>للتعويض إلى أحد مجالس تعويض ضحايا الجرائم، الموجودة في كل محاكم الدرجة العليا</w:t>
      </w:r>
      <w:r w:rsidRPr="00A10A96">
        <w:rPr>
          <w:rFonts w:hint="cs"/>
          <w:rtl/>
        </w:rPr>
        <w:t xml:space="preserve">. </w:t>
      </w:r>
      <w:r w:rsidRPr="00A10A96">
        <w:rPr>
          <w:rtl/>
        </w:rPr>
        <w:t>ويمكن أن يحصل الضحايا أو ذوو الحقوق على ما يلي</w:t>
      </w:r>
      <w:r w:rsidRPr="00A10A96">
        <w:rPr>
          <w:rFonts w:hint="cs"/>
          <w:rtl/>
        </w:rPr>
        <w:t>:</w:t>
      </w:r>
    </w:p>
    <w:p w:rsidR="00944A3C" w:rsidRPr="00A10A96" w:rsidRDefault="00944A3C" w:rsidP="001D4D90">
      <w:pPr>
        <w:pStyle w:val="Bullet1GA"/>
        <w:bidi/>
      </w:pPr>
      <w:r w:rsidRPr="00A10A96">
        <w:rPr>
          <w:rtl/>
        </w:rPr>
        <w:t>التعويض الكامل عن الأضرار الناجمة عن الاعتداء على الشخص إذا أدت الوقائع إلى الوفاة، أو إلى عجز دائم أو عجز كامل عن العمل مدة شهر أو</w:t>
      </w:r>
      <w:r w:rsidR="000744B4">
        <w:rPr>
          <w:rFonts w:hint="cs"/>
          <w:rtl/>
        </w:rPr>
        <w:t> </w:t>
      </w:r>
      <w:r w:rsidRPr="00A10A96">
        <w:rPr>
          <w:rtl/>
        </w:rPr>
        <w:t>أكثر، أو إذا كانت الوقائع تشكل إما جريمة الاغتصاب، أو الاعتداء الجنسي، أو الاتجار بالأشخاص، أو الاعتداء الجنسي على القاصرين البالغين من العمر خمس عشرة سنة أو أقل</w:t>
      </w:r>
      <w:r w:rsidR="001D4D90">
        <w:rPr>
          <w:rFonts w:hint="cs"/>
          <w:rtl/>
        </w:rPr>
        <w:t>؛</w:t>
      </w:r>
    </w:p>
    <w:p w:rsidR="00944A3C" w:rsidRPr="00A10A96" w:rsidRDefault="00944A3C" w:rsidP="000744B4">
      <w:pPr>
        <w:pStyle w:val="Bullet1GA"/>
        <w:bidi/>
      </w:pPr>
      <w:r w:rsidRPr="00A10A96">
        <w:rPr>
          <w:rtl/>
        </w:rPr>
        <w:t xml:space="preserve">تعويض في حدود ثلاثة أضعاف مبلغ السقف المحدد للاستفادة من المعونة القضائية الجزئية (أي 212 4 يورو) في حالة تعرض الشخص </w:t>
      </w:r>
      <w:r w:rsidRPr="00A10A96">
        <w:rPr>
          <w:rFonts w:hint="cs"/>
          <w:rtl/>
        </w:rPr>
        <w:t xml:space="preserve">لأضرار </w:t>
      </w:r>
      <w:r w:rsidRPr="00A10A96">
        <w:rPr>
          <w:rtl/>
        </w:rPr>
        <w:t>خفيفة وفي حالة الأضرار المادية الناجمة عن السرقة، أو الاحتيال، أو خيانة الأمانة، أو</w:t>
      </w:r>
      <w:r w:rsidR="000744B4">
        <w:rPr>
          <w:rFonts w:hint="cs"/>
          <w:rtl/>
        </w:rPr>
        <w:t> </w:t>
      </w:r>
      <w:r w:rsidRPr="00A10A96">
        <w:rPr>
          <w:rtl/>
        </w:rPr>
        <w:t>الابتزاز المالي، أو تخريب الممتلكات أو إتلافها أو التسبب في تدهورها</w:t>
      </w:r>
      <w:r w:rsidRPr="00A10A96">
        <w:rPr>
          <w:rStyle w:val="EndnoteReference"/>
          <w:rtl/>
        </w:rPr>
        <w:t>(</w:t>
      </w:r>
      <w:r w:rsidRPr="00A10A96">
        <w:rPr>
          <w:rStyle w:val="EndnoteReference"/>
          <w:rtl/>
        </w:rPr>
        <w:endnoteReference w:id="205"/>
      </w:r>
      <w:r w:rsidRPr="00A10A96">
        <w:rPr>
          <w:rStyle w:val="EndnoteReference"/>
          <w:rtl/>
        </w:rPr>
        <w:t>)</w:t>
      </w:r>
      <w:r w:rsidR="001D4D90">
        <w:rPr>
          <w:rFonts w:hint="cs"/>
          <w:rtl/>
        </w:rPr>
        <w:t>؛</w:t>
      </w:r>
    </w:p>
    <w:p w:rsidR="00944A3C" w:rsidRPr="00A10A96" w:rsidRDefault="00944A3C" w:rsidP="001D4D90">
      <w:pPr>
        <w:pStyle w:val="Bullet1GA"/>
        <w:bidi/>
        <w:rPr>
          <w:rtl/>
        </w:rPr>
      </w:pPr>
      <w:r w:rsidRPr="00A10A96">
        <w:rPr>
          <w:rtl/>
        </w:rPr>
        <w:t>التعويض الكامل عن الأضرار اللاحقة بالشخص بسبب عمل إرهابي</w:t>
      </w:r>
      <w:r w:rsidRPr="00A10A96">
        <w:rPr>
          <w:rFonts w:hint="cs"/>
          <w:rtl/>
        </w:rPr>
        <w:t xml:space="preserve">. </w:t>
      </w:r>
      <w:r w:rsidRPr="00A10A96">
        <w:rPr>
          <w:rtl/>
        </w:rPr>
        <w:t xml:space="preserve">وعلاوة على ذلك، يجوز لذوي الحقوق، في حالة وفاة الضحية، الحصول على تعويض جبراً </w:t>
      </w:r>
      <w:r w:rsidR="001D4D90">
        <w:rPr>
          <w:rFonts w:hint="cs"/>
          <w:rtl/>
        </w:rPr>
        <w:t>ل</w:t>
      </w:r>
      <w:r w:rsidRPr="00A10A96">
        <w:rPr>
          <w:rtl/>
        </w:rPr>
        <w:t>لأضرار المعنوية والمادية</w:t>
      </w:r>
      <w:r w:rsidRPr="00A10A96">
        <w:rPr>
          <w:rFonts w:hint="cs"/>
          <w:rtl/>
        </w:rPr>
        <w:t xml:space="preserve">. </w:t>
      </w:r>
    </w:p>
    <w:p w:rsidR="00944A3C" w:rsidRPr="00A10A96" w:rsidRDefault="000744B4" w:rsidP="000744B4">
      <w:pPr>
        <w:pStyle w:val="H56GA"/>
        <w:rPr>
          <w:rtl/>
        </w:rPr>
      </w:pPr>
      <w:r>
        <w:rPr>
          <w:rtl/>
        </w:rPr>
        <w:tab/>
      </w:r>
      <w:r>
        <w:rPr>
          <w:rtl/>
        </w:rPr>
        <w:tab/>
      </w:r>
      <w:r w:rsidR="00944A3C" w:rsidRPr="00A10A96">
        <w:rPr>
          <w:rtl/>
        </w:rPr>
        <w:t>صندوق الضمان التابع لشركات التأمين الإجباري عن الضرر</w:t>
      </w:r>
    </w:p>
    <w:p w:rsidR="00944A3C" w:rsidRPr="00A10A96" w:rsidRDefault="00944A3C" w:rsidP="000744B4">
      <w:pPr>
        <w:pStyle w:val="SingleTxtGA"/>
        <w:rPr>
          <w:rtl/>
        </w:rPr>
      </w:pPr>
      <w:r w:rsidRPr="00A10A96">
        <w:rPr>
          <w:rFonts w:hint="cs"/>
          <w:rtl/>
        </w:rPr>
        <w:t>326-</w:t>
      </w:r>
      <w:r w:rsidRPr="000744B4">
        <w:rPr>
          <w:rFonts w:hint="cs"/>
          <w:spacing w:val="-2"/>
          <w:rtl/>
        </w:rPr>
        <w:tab/>
      </w:r>
      <w:r w:rsidRPr="000744B4">
        <w:rPr>
          <w:spacing w:val="-3"/>
          <w:rtl/>
        </w:rPr>
        <w:t>يقدم صندوق الضمان التابع لشركات التأمين الإجباري عن الضرر التعويض لضحايا حوادث المرور والصيد عندما يتعذر تحديد هوية المسؤول عن الحادث، أو يكون غير مؤمَّن عليه أو</w:t>
      </w:r>
      <w:r w:rsidR="000744B4" w:rsidRPr="000744B4">
        <w:rPr>
          <w:rFonts w:hint="cs"/>
          <w:spacing w:val="-3"/>
          <w:rtl/>
        </w:rPr>
        <w:t> </w:t>
      </w:r>
      <w:r w:rsidRPr="000744B4">
        <w:rPr>
          <w:spacing w:val="-3"/>
          <w:rtl/>
        </w:rPr>
        <w:t>يكون المؤمِّن معسرا</w:t>
      </w:r>
      <w:r w:rsidR="001D4D90">
        <w:rPr>
          <w:rFonts w:hint="cs"/>
          <w:spacing w:val="-3"/>
          <w:rtl/>
        </w:rPr>
        <w:t>ً</w:t>
      </w:r>
      <w:r w:rsidRPr="000744B4">
        <w:rPr>
          <w:rFonts w:hint="cs"/>
          <w:spacing w:val="-3"/>
          <w:rtl/>
        </w:rPr>
        <w:t xml:space="preserve">. أما </w:t>
      </w:r>
      <w:r w:rsidRPr="000744B4">
        <w:rPr>
          <w:spacing w:val="-3"/>
          <w:rtl/>
        </w:rPr>
        <w:t xml:space="preserve">في الحالات </w:t>
      </w:r>
      <w:r w:rsidRPr="000744B4">
        <w:rPr>
          <w:rFonts w:hint="cs"/>
          <w:spacing w:val="-3"/>
          <w:rtl/>
        </w:rPr>
        <w:t>ال</w:t>
      </w:r>
      <w:r w:rsidRPr="000744B4">
        <w:rPr>
          <w:spacing w:val="-3"/>
          <w:rtl/>
        </w:rPr>
        <w:t xml:space="preserve">أخرى، </w:t>
      </w:r>
      <w:r w:rsidRPr="000744B4">
        <w:rPr>
          <w:rFonts w:hint="cs"/>
          <w:spacing w:val="-3"/>
          <w:rtl/>
        </w:rPr>
        <w:t>ف</w:t>
      </w:r>
      <w:r w:rsidRPr="000744B4">
        <w:rPr>
          <w:spacing w:val="-3"/>
          <w:rtl/>
        </w:rPr>
        <w:t xml:space="preserve">شركات التأمين </w:t>
      </w:r>
      <w:r w:rsidRPr="000744B4">
        <w:rPr>
          <w:rFonts w:hint="cs"/>
          <w:spacing w:val="-3"/>
          <w:rtl/>
        </w:rPr>
        <w:t>هي ال</w:t>
      </w:r>
      <w:r w:rsidRPr="000744B4">
        <w:rPr>
          <w:spacing w:val="-3"/>
          <w:rtl/>
        </w:rPr>
        <w:t xml:space="preserve">مسؤولة </w:t>
      </w:r>
      <w:r w:rsidRPr="000744B4">
        <w:rPr>
          <w:rFonts w:hint="cs"/>
          <w:spacing w:val="-3"/>
          <w:rtl/>
        </w:rPr>
        <w:t xml:space="preserve">عن </w:t>
      </w:r>
      <w:r w:rsidRPr="000744B4">
        <w:rPr>
          <w:spacing w:val="-3"/>
          <w:rtl/>
        </w:rPr>
        <w:t>التعويض</w:t>
      </w:r>
      <w:r w:rsidRPr="000744B4">
        <w:rPr>
          <w:rFonts w:hint="cs"/>
          <w:spacing w:val="-3"/>
          <w:rtl/>
        </w:rPr>
        <w:t xml:space="preserve">. </w:t>
      </w:r>
      <w:r w:rsidRPr="000744B4">
        <w:rPr>
          <w:spacing w:val="-3"/>
          <w:rtl/>
        </w:rPr>
        <w:t>ويجوز أن يلجأ إلى هذا الصندوق مؤمنُ الضحية، وفي غيابه، الضحيةُ أو ذوو الحقوق</w:t>
      </w:r>
      <w:r w:rsidRPr="000744B4">
        <w:rPr>
          <w:rFonts w:hint="cs"/>
          <w:spacing w:val="-3"/>
          <w:rtl/>
        </w:rPr>
        <w:t xml:space="preserve">. </w:t>
      </w:r>
      <w:r w:rsidRPr="000744B4">
        <w:rPr>
          <w:spacing w:val="-3"/>
          <w:rtl/>
        </w:rPr>
        <w:t>ويُعوض عن الأضرار البدنية من دون تحديدٍ لسقف المبلغ</w:t>
      </w:r>
      <w:r w:rsidRPr="000744B4">
        <w:rPr>
          <w:rFonts w:hint="cs"/>
          <w:spacing w:val="-3"/>
          <w:rtl/>
        </w:rPr>
        <w:t xml:space="preserve">. </w:t>
      </w:r>
      <w:r w:rsidRPr="000744B4">
        <w:rPr>
          <w:spacing w:val="-3"/>
          <w:rtl/>
        </w:rPr>
        <w:t>وخلاف</w:t>
      </w:r>
      <w:r w:rsidR="00B27C28">
        <w:rPr>
          <w:spacing w:val="-3"/>
          <w:rtl/>
        </w:rPr>
        <w:t xml:space="preserve">اً </w:t>
      </w:r>
      <w:r w:rsidRPr="000744B4">
        <w:rPr>
          <w:spacing w:val="-3"/>
          <w:rtl/>
        </w:rPr>
        <w:t>لذلك، لا يمكن أن يتجاوز مبلغ التعويض الذي يقدمه هذا الصندوق عن الأضرار المادية، عن كل حادث، مبلغ 000 120 1 يورو</w:t>
      </w:r>
      <w:r w:rsidRPr="000744B4">
        <w:rPr>
          <w:rStyle w:val="EndnoteReference"/>
          <w:spacing w:val="-3"/>
          <w:rtl/>
        </w:rPr>
        <w:t>(</w:t>
      </w:r>
      <w:r w:rsidRPr="000744B4">
        <w:rPr>
          <w:rStyle w:val="EndnoteReference"/>
          <w:spacing w:val="-3"/>
          <w:rtl/>
        </w:rPr>
        <w:endnoteReference w:id="206"/>
      </w:r>
      <w:r w:rsidRPr="000744B4">
        <w:rPr>
          <w:rStyle w:val="EndnoteReference"/>
          <w:spacing w:val="-3"/>
          <w:rtl/>
        </w:rPr>
        <w:t>)</w:t>
      </w:r>
      <w:r w:rsidRPr="000744B4">
        <w:rPr>
          <w:rFonts w:hint="cs"/>
          <w:spacing w:val="-3"/>
          <w:rtl/>
        </w:rPr>
        <w:t>.</w:t>
      </w:r>
    </w:p>
    <w:p w:rsidR="00944A3C" w:rsidRPr="00A10A96" w:rsidRDefault="00944A3C" w:rsidP="000744B4">
      <w:pPr>
        <w:pStyle w:val="SingleTxtGA"/>
        <w:rPr>
          <w:rtl/>
        </w:rPr>
      </w:pPr>
      <w:r w:rsidRPr="00A10A96">
        <w:rPr>
          <w:rFonts w:hint="cs"/>
          <w:rtl/>
        </w:rPr>
        <w:t>327-</w:t>
      </w:r>
      <w:r w:rsidRPr="00A10A96">
        <w:rPr>
          <w:rFonts w:hint="cs"/>
          <w:rtl/>
        </w:rPr>
        <w:tab/>
      </w:r>
      <w:r w:rsidRPr="00A10A96">
        <w:rPr>
          <w:rtl/>
        </w:rPr>
        <w:t xml:space="preserve">وفي حالة عدم استيفاء الضحية لمعايير الاستفادة من صناديق الضمان، وعدم تسديد الشخص المدان للمبالغ المستحقة للضحية بشكل طوعي، يجوز للضحية اللجوء إلى دائرة مساعدة ضحايا الجرائم في استخلاص مبالغ التعويض للحصول، من جهة، على المبالغ </w:t>
      </w:r>
      <w:r w:rsidRPr="00A10A96">
        <w:rPr>
          <w:rtl/>
        </w:rPr>
        <w:lastRenderedPageBreak/>
        <w:t>المستحقة، جزئي</w:t>
      </w:r>
      <w:r w:rsidR="00B27C28">
        <w:rPr>
          <w:rtl/>
        </w:rPr>
        <w:t xml:space="preserve">اً </w:t>
      </w:r>
      <w:r w:rsidRPr="00A10A96">
        <w:rPr>
          <w:rtl/>
        </w:rPr>
        <w:t>أو كلي</w:t>
      </w:r>
      <w:r w:rsidR="0031739C">
        <w:rPr>
          <w:rtl/>
        </w:rPr>
        <w:t>اً،</w:t>
      </w:r>
      <w:r w:rsidRPr="00A10A96">
        <w:rPr>
          <w:rtl/>
        </w:rPr>
        <w:t xml:space="preserve"> بحسب مستوى التعويض المحكوم به، ومن جهة أخرى، على المساعدة في استخلاصها</w:t>
      </w:r>
      <w:r w:rsidRPr="00A10A96">
        <w:rPr>
          <w:rFonts w:hint="cs"/>
          <w:rtl/>
        </w:rPr>
        <w:t xml:space="preserve">. </w:t>
      </w:r>
      <w:r w:rsidRPr="00A10A96">
        <w:rPr>
          <w:rtl/>
        </w:rPr>
        <w:t>وبالفعل، تدفع هذه الدائرة المبالغ التي تحكم بها المحكمة للضحية، ثم تتكفل باستخلاص هذه المبالغ، بالإضافة إلى غرامة، من الشخص المدان</w:t>
      </w:r>
      <w:r w:rsidRPr="00A10A96">
        <w:rPr>
          <w:rStyle w:val="EndnoteReference"/>
          <w:rtl/>
        </w:rPr>
        <w:t>(</w:t>
      </w:r>
      <w:r w:rsidRPr="00A10A96">
        <w:rPr>
          <w:rStyle w:val="EndnoteReference"/>
          <w:rtl/>
        </w:rPr>
        <w:endnoteReference w:id="207"/>
      </w:r>
      <w:r w:rsidRPr="00A10A96">
        <w:rPr>
          <w:rStyle w:val="EndnoteReference"/>
          <w:rtl/>
        </w:rPr>
        <w:t>)</w:t>
      </w:r>
      <w:r w:rsidRPr="00A10A96">
        <w:rPr>
          <w:rFonts w:hint="cs"/>
          <w:rtl/>
        </w:rPr>
        <w:t>.</w:t>
      </w:r>
    </w:p>
    <w:p w:rsidR="00944A3C" w:rsidRPr="00A10A96" w:rsidRDefault="00944A3C" w:rsidP="001D4D90">
      <w:pPr>
        <w:pStyle w:val="H4GA"/>
        <w:rPr>
          <w:rtl/>
        </w:rPr>
      </w:pPr>
      <w:r w:rsidRPr="00A10A96">
        <w:rPr>
          <w:rtl/>
        </w:rPr>
        <w:tab/>
      </w:r>
      <w:r w:rsidR="001D4D90">
        <w:rPr>
          <w:rFonts w:hint="cs"/>
          <w:rtl/>
        </w:rPr>
        <w:t>‘2‘</w:t>
      </w:r>
      <w:r w:rsidRPr="00A10A96">
        <w:rPr>
          <w:rtl/>
        </w:rPr>
        <w:tab/>
        <w:t>التعويض عن الضرر الذي يتسبب فيه موظف عام</w:t>
      </w:r>
    </w:p>
    <w:p w:rsidR="00944A3C" w:rsidRPr="00A10A96" w:rsidRDefault="00944A3C" w:rsidP="000744B4">
      <w:pPr>
        <w:pStyle w:val="SingleTxtGA"/>
        <w:rPr>
          <w:rtl/>
        </w:rPr>
      </w:pPr>
      <w:r w:rsidRPr="00A10A96">
        <w:rPr>
          <w:rFonts w:hint="cs"/>
          <w:rtl/>
        </w:rPr>
        <w:t>328-</w:t>
      </w:r>
      <w:r w:rsidRPr="00A10A96">
        <w:rPr>
          <w:rFonts w:hint="cs"/>
          <w:rtl/>
        </w:rPr>
        <w:tab/>
      </w:r>
      <w:r w:rsidRPr="00A10A96">
        <w:rPr>
          <w:rtl/>
        </w:rPr>
        <w:t>يعوَّض عن الضرر الذي يتسبب فيه موظف عام إذا نُسب إلى مؤسسة الخدمة العامة المعنية، وإذا كان مؤكد</w:t>
      </w:r>
      <w:r w:rsidR="00B27C28">
        <w:rPr>
          <w:rtl/>
        </w:rPr>
        <w:t xml:space="preserve">اً </w:t>
      </w:r>
      <w:r w:rsidRPr="00A10A96">
        <w:rPr>
          <w:rtl/>
        </w:rPr>
        <w:t>ومباشرا</w:t>
      </w:r>
      <w:r w:rsidR="001D4D90">
        <w:rPr>
          <w:rFonts w:hint="cs"/>
          <w:rtl/>
        </w:rPr>
        <w:t>ً</w:t>
      </w:r>
      <w:r w:rsidRPr="00A10A96">
        <w:rPr>
          <w:rFonts w:hint="cs"/>
          <w:rtl/>
        </w:rPr>
        <w:t xml:space="preserve">. </w:t>
      </w:r>
      <w:r w:rsidRPr="00A10A96">
        <w:rPr>
          <w:rFonts w:ascii="Traditional Arabic" w:hAnsi="Traditional Arabic"/>
          <w:shd w:val="clear" w:color="auto" w:fill="FFFFFF"/>
          <w:rtl/>
        </w:rPr>
        <w:t>وفي حالات المسؤولية دون تقصير، ينبغي أيض</w:t>
      </w:r>
      <w:r w:rsidR="00B27C28">
        <w:rPr>
          <w:rFonts w:ascii="Traditional Arabic" w:hAnsi="Traditional Arabic"/>
          <w:shd w:val="clear" w:color="auto" w:fill="FFFFFF"/>
          <w:rtl/>
        </w:rPr>
        <w:t xml:space="preserve">اً </w:t>
      </w:r>
      <w:r w:rsidRPr="00A10A96">
        <w:rPr>
          <w:rFonts w:ascii="Traditional Arabic" w:hAnsi="Traditional Arabic"/>
          <w:shd w:val="clear" w:color="auto" w:fill="FFFFFF"/>
          <w:rtl/>
        </w:rPr>
        <w:t>أن يكون الضرر خاص</w:t>
      </w:r>
      <w:r w:rsidR="00B27C28">
        <w:rPr>
          <w:rFonts w:ascii="Traditional Arabic" w:hAnsi="Traditional Arabic"/>
          <w:shd w:val="clear" w:color="auto" w:fill="FFFFFF"/>
          <w:rtl/>
        </w:rPr>
        <w:t xml:space="preserve">اً </w:t>
      </w:r>
      <w:r w:rsidRPr="00A10A96">
        <w:rPr>
          <w:rFonts w:ascii="Traditional Arabic" w:hAnsi="Traditional Arabic"/>
          <w:shd w:val="clear" w:color="auto" w:fill="FFFFFF"/>
          <w:rtl/>
        </w:rPr>
        <w:t>وغير عادي</w:t>
      </w:r>
      <w:r w:rsidRPr="00A10A96">
        <w:rPr>
          <w:rFonts w:hint="cs"/>
          <w:rtl/>
        </w:rPr>
        <w:t>.</w:t>
      </w:r>
    </w:p>
    <w:p w:rsidR="00944A3C" w:rsidRPr="00A10A96" w:rsidRDefault="000744B4" w:rsidP="000744B4">
      <w:pPr>
        <w:pStyle w:val="H56GA"/>
        <w:rPr>
          <w:rtl/>
        </w:rPr>
      </w:pPr>
      <w:r>
        <w:rPr>
          <w:rtl/>
        </w:rPr>
        <w:tab/>
      </w:r>
      <w:r>
        <w:rPr>
          <w:rtl/>
        </w:rPr>
        <w:tab/>
      </w:r>
      <w:r w:rsidR="00944A3C" w:rsidRPr="00A10A96">
        <w:rPr>
          <w:rtl/>
        </w:rPr>
        <w:t xml:space="preserve">التعويض على أساس مسؤولية </w:t>
      </w:r>
      <w:r w:rsidR="00944A3C" w:rsidRPr="00A10A96">
        <w:rPr>
          <w:rFonts w:hint="cs"/>
          <w:rtl/>
        </w:rPr>
        <w:t>ال</w:t>
      </w:r>
      <w:r w:rsidR="00944A3C" w:rsidRPr="00A10A96">
        <w:rPr>
          <w:rtl/>
        </w:rPr>
        <w:t>موظف</w:t>
      </w:r>
      <w:r w:rsidR="00944A3C" w:rsidRPr="00A10A96">
        <w:rPr>
          <w:rFonts w:hint="cs"/>
          <w:rtl/>
        </w:rPr>
        <w:t>ين</w:t>
      </w:r>
      <w:r w:rsidR="00944A3C" w:rsidRPr="00A10A96">
        <w:rPr>
          <w:rtl/>
        </w:rPr>
        <w:t xml:space="preserve"> </w:t>
      </w:r>
      <w:r w:rsidR="00944A3C" w:rsidRPr="00A10A96">
        <w:rPr>
          <w:rFonts w:hint="cs"/>
          <w:rtl/>
        </w:rPr>
        <w:t>ال</w:t>
      </w:r>
      <w:r w:rsidR="00944A3C" w:rsidRPr="00A10A96">
        <w:rPr>
          <w:rtl/>
        </w:rPr>
        <w:t>عام</w:t>
      </w:r>
      <w:r w:rsidR="00944A3C" w:rsidRPr="00A10A96">
        <w:rPr>
          <w:rFonts w:hint="cs"/>
          <w:rtl/>
        </w:rPr>
        <w:t>ين</w:t>
      </w:r>
      <w:r w:rsidR="00944A3C" w:rsidRPr="00A10A96">
        <w:rPr>
          <w:rtl/>
        </w:rPr>
        <w:t xml:space="preserve"> بسبب التقصير</w:t>
      </w:r>
    </w:p>
    <w:p w:rsidR="00944A3C" w:rsidRPr="000744B4" w:rsidRDefault="00944A3C" w:rsidP="000744B4">
      <w:pPr>
        <w:pStyle w:val="SingleTxtGA"/>
        <w:rPr>
          <w:spacing w:val="-2"/>
          <w:rtl/>
        </w:rPr>
      </w:pPr>
      <w:r w:rsidRPr="00A10A96">
        <w:rPr>
          <w:rFonts w:hint="cs"/>
          <w:rtl/>
        </w:rPr>
        <w:t>329-</w:t>
      </w:r>
      <w:r w:rsidRPr="00A10A96">
        <w:rPr>
          <w:rFonts w:hint="cs"/>
          <w:rtl/>
        </w:rPr>
        <w:tab/>
      </w:r>
      <w:r w:rsidRPr="000744B4">
        <w:rPr>
          <w:spacing w:val="-2"/>
          <w:rtl/>
        </w:rPr>
        <w:t>قد يكون التقصير تقصيراً في إطار أداء الخدمة من جانب موظف عام معين، وهو بالتالي تقصير فردي، أو تقصيراً من جانب مؤسسة الخدمة العامة، أي أن المسؤول عنه مجهول الهوية</w:t>
      </w:r>
      <w:r w:rsidRPr="000744B4">
        <w:rPr>
          <w:rFonts w:hint="cs"/>
          <w:spacing w:val="-2"/>
          <w:rtl/>
        </w:rPr>
        <w:t>.</w:t>
      </w:r>
    </w:p>
    <w:p w:rsidR="00944A3C" w:rsidRPr="00A10A96" w:rsidRDefault="00944A3C" w:rsidP="000744B4">
      <w:pPr>
        <w:pStyle w:val="SingleTxtGA"/>
        <w:rPr>
          <w:rtl/>
        </w:rPr>
      </w:pPr>
      <w:r w:rsidRPr="00A10A96">
        <w:rPr>
          <w:rFonts w:hint="cs"/>
          <w:rtl/>
        </w:rPr>
        <w:t>330-</w:t>
      </w:r>
      <w:r w:rsidRPr="00A10A96">
        <w:rPr>
          <w:rFonts w:hint="cs"/>
          <w:rtl/>
        </w:rPr>
        <w:tab/>
      </w:r>
      <w:r w:rsidRPr="00A10A96">
        <w:rPr>
          <w:rtl/>
        </w:rPr>
        <w:t>ويمكن التعويض عن انتهاكات حقوق الإنسان الناجمة عن تقصير من جانب موظف عام</w:t>
      </w:r>
      <w:r w:rsidRPr="00A10A96">
        <w:rPr>
          <w:rFonts w:hint="cs"/>
          <w:rtl/>
        </w:rPr>
        <w:t xml:space="preserve">. </w:t>
      </w:r>
      <w:r w:rsidRPr="00A10A96">
        <w:rPr>
          <w:rtl/>
        </w:rPr>
        <w:t xml:space="preserve">وضمن جملة أمثلة، </w:t>
      </w:r>
      <w:r w:rsidRPr="00A10A96">
        <w:rPr>
          <w:rFonts w:hint="cs"/>
          <w:rtl/>
        </w:rPr>
        <w:t xml:space="preserve">يمكن الإشارة </w:t>
      </w:r>
      <w:r w:rsidRPr="00A10A96">
        <w:rPr>
          <w:rtl/>
        </w:rPr>
        <w:t>إلى ما يلي</w:t>
      </w:r>
      <w:r w:rsidRPr="00A10A96">
        <w:rPr>
          <w:rFonts w:hint="cs"/>
          <w:rtl/>
        </w:rPr>
        <w:t>:</w:t>
      </w:r>
    </w:p>
    <w:p w:rsidR="00944A3C" w:rsidRPr="000744B4" w:rsidRDefault="00944A3C" w:rsidP="000744B4">
      <w:pPr>
        <w:pStyle w:val="Bullet1GA"/>
        <w:bidi/>
      </w:pPr>
      <w:r w:rsidRPr="000744B4">
        <w:rPr>
          <w:rtl/>
        </w:rPr>
        <w:t>التعويض عن التوقيف أو الاحتجاز غير القانوني (المادتان 432-5 و432-6 من قانون العقوبات)</w:t>
      </w:r>
      <w:r w:rsidRPr="000744B4">
        <w:rPr>
          <w:rFonts w:hint="cs"/>
          <w:rtl/>
        </w:rPr>
        <w:t xml:space="preserve">. </w:t>
      </w:r>
      <w:r w:rsidRPr="000744B4">
        <w:rPr>
          <w:rtl/>
        </w:rPr>
        <w:t>وبالتالي، فكل تصرف، خارج نطاق الصيغة المحددة والمكان المنصوص عليه لهذا الغرض، يتمثل في توقيف شخص أو احتجازه، أو في السماح بسلب الحرية أو باستمرار سلبها خارج إطار الحالات التي ينص عليها القانون، يشكل انتهاك</w:t>
      </w:r>
      <w:r w:rsidR="00B27C28">
        <w:rPr>
          <w:rtl/>
        </w:rPr>
        <w:t xml:space="preserve">اً </w:t>
      </w:r>
      <w:r w:rsidRPr="000744B4">
        <w:rPr>
          <w:rtl/>
        </w:rPr>
        <w:t>للحرية من شأنه أن يؤدي إلى إصدار المحاكم العادية لقرار بالتعويض عن الأضرار</w:t>
      </w:r>
      <w:r w:rsidR="001D4D90">
        <w:rPr>
          <w:rFonts w:hint="cs"/>
          <w:rtl/>
        </w:rPr>
        <w:t>؛</w:t>
      </w:r>
    </w:p>
    <w:p w:rsidR="00944A3C" w:rsidRPr="000744B4" w:rsidRDefault="00944A3C" w:rsidP="000744B4">
      <w:pPr>
        <w:pStyle w:val="Bullet1GA"/>
        <w:bidi/>
        <w:rPr>
          <w:rtl/>
        </w:rPr>
      </w:pPr>
      <w:r w:rsidRPr="000744B4">
        <w:rPr>
          <w:rtl/>
        </w:rPr>
        <w:t xml:space="preserve">التعويض عن الخلل في أداء خدمة العدالة (المادة </w:t>
      </w:r>
      <w:r w:rsidRPr="000744B4">
        <w:t>L 141-1</w:t>
      </w:r>
      <w:r w:rsidRPr="000744B4">
        <w:rPr>
          <w:rtl/>
        </w:rPr>
        <w:t xml:space="preserve"> من قانون التنظيم القضائي، والسوابق القضائية للمحاكم الإدارية)</w:t>
      </w:r>
      <w:r w:rsidRPr="000744B4">
        <w:rPr>
          <w:rFonts w:hint="cs"/>
          <w:rtl/>
        </w:rPr>
        <w:t xml:space="preserve">. </w:t>
      </w:r>
      <w:r w:rsidRPr="000744B4">
        <w:rPr>
          <w:rtl/>
        </w:rPr>
        <w:t xml:space="preserve">وبالفعل، فالدولة ملزمة بجبر الأضرار الناجمة عن الأداء المعيب للخدمة العامة للعدالة، حيث صار </w:t>
      </w:r>
      <w:r w:rsidRPr="000744B4">
        <w:rPr>
          <w:rFonts w:hint="cs"/>
          <w:rtl/>
        </w:rPr>
        <w:t xml:space="preserve">حصول </w:t>
      </w:r>
      <w:r w:rsidRPr="000744B4">
        <w:rPr>
          <w:rtl/>
        </w:rPr>
        <w:t xml:space="preserve">تقصير بسيط </w:t>
      </w:r>
      <w:r w:rsidRPr="000744B4">
        <w:rPr>
          <w:rFonts w:hint="cs"/>
          <w:rtl/>
        </w:rPr>
        <w:t>ك</w:t>
      </w:r>
      <w:r w:rsidRPr="000744B4">
        <w:rPr>
          <w:rtl/>
        </w:rPr>
        <w:t>افي</w:t>
      </w:r>
      <w:r w:rsidR="00B27C28">
        <w:rPr>
          <w:rtl/>
        </w:rPr>
        <w:t xml:space="preserve">اً </w:t>
      </w:r>
      <w:r w:rsidRPr="000744B4">
        <w:rPr>
          <w:rtl/>
        </w:rPr>
        <w:t>لتحميلها المسؤولية</w:t>
      </w:r>
      <w:r w:rsidRPr="000744B4">
        <w:rPr>
          <w:rFonts w:hint="cs"/>
          <w:rtl/>
        </w:rPr>
        <w:t>.</w:t>
      </w:r>
    </w:p>
    <w:p w:rsidR="00944A3C" w:rsidRPr="00246FA0" w:rsidRDefault="00944A3C" w:rsidP="00944A3C">
      <w:pPr>
        <w:pStyle w:val="SingleTxtGA"/>
        <w:spacing w:after="100" w:line="374" w:lineRule="exact"/>
        <w:rPr>
          <w:rtl/>
        </w:rPr>
      </w:pPr>
      <w:r w:rsidRPr="00A10A96">
        <w:rPr>
          <w:rFonts w:hint="cs"/>
          <w:rtl/>
        </w:rPr>
        <w:t>331</w:t>
      </w:r>
      <w:r w:rsidRPr="00246FA0">
        <w:rPr>
          <w:rFonts w:hint="cs"/>
          <w:rtl/>
        </w:rPr>
        <w:t>-</w:t>
      </w:r>
      <w:r w:rsidRPr="00246FA0">
        <w:rPr>
          <w:rFonts w:hint="cs"/>
          <w:rtl/>
        </w:rPr>
        <w:tab/>
      </w:r>
      <w:r w:rsidRPr="00246FA0">
        <w:rPr>
          <w:rtl/>
        </w:rPr>
        <w:t>وكما هو الحال تمام</w:t>
      </w:r>
      <w:r w:rsidR="00B27C28">
        <w:rPr>
          <w:rtl/>
        </w:rPr>
        <w:t xml:space="preserve">اً </w:t>
      </w:r>
      <w:r w:rsidRPr="00246FA0">
        <w:rPr>
          <w:rtl/>
        </w:rPr>
        <w:t>فيما يتعلق بالتعويض عن الضرر الذي يتسبب فيه أشخاص عاديون، تطبق قاعدة التعويض الكامل عن الضرر</w:t>
      </w:r>
      <w:r w:rsidRPr="00246FA0">
        <w:rPr>
          <w:rFonts w:hint="cs"/>
          <w:rtl/>
        </w:rPr>
        <w:t xml:space="preserve">. </w:t>
      </w:r>
      <w:r w:rsidRPr="00246FA0">
        <w:rPr>
          <w:rtl/>
        </w:rPr>
        <w:t>وقد يتخذ التعويض الممنوح شكل مبلغ مالي أو معاش، وقد قضى مجلس الدولة بأنه يجوز للمحكمة أن تقايس المعاشات التي تحكم بدفعها</w:t>
      </w:r>
      <w:r w:rsidRPr="00246FA0">
        <w:rPr>
          <w:rFonts w:hint="cs"/>
          <w:rtl/>
        </w:rPr>
        <w:t>.</w:t>
      </w:r>
    </w:p>
    <w:p w:rsidR="00944A3C" w:rsidRPr="00A10A96" w:rsidRDefault="00246FA0" w:rsidP="00246FA0">
      <w:pPr>
        <w:pStyle w:val="H56GA"/>
        <w:rPr>
          <w:rtl/>
        </w:rPr>
      </w:pPr>
      <w:r>
        <w:rPr>
          <w:rtl/>
        </w:rPr>
        <w:tab/>
      </w:r>
      <w:r>
        <w:rPr>
          <w:rtl/>
        </w:rPr>
        <w:tab/>
      </w:r>
      <w:r w:rsidR="00944A3C" w:rsidRPr="00A10A96">
        <w:rPr>
          <w:rtl/>
        </w:rPr>
        <w:t xml:space="preserve">التعويض على أساس </w:t>
      </w:r>
      <w:r w:rsidR="00944A3C" w:rsidRPr="00A10A96">
        <w:rPr>
          <w:rFonts w:hint="cs"/>
          <w:rtl/>
        </w:rPr>
        <w:t>م</w:t>
      </w:r>
      <w:r w:rsidR="00944A3C" w:rsidRPr="00A10A96">
        <w:rPr>
          <w:rtl/>
        </w:rPr>
        <w:t xml:space="preserve">سؤولية </w:t>
      </w:r>
      <w:r w:rsidR="00944A3C" w:rsidRPr="00A10A96">
        <w:rPr>
          <w:rFonts w:hint="cs"/>
          <w:rtl/>
        </w:rPr>
        <w:t>ال</w:t>
      </w:r>
      <w:r w:rsidR="00944A3C" w:rsidRPr="00A10A96">
        <w:rPr>
          <w:rtl/>
        </w:rPr>
        <w:t>موظف</w:t>
      </w:r>
      <w:r w:rsidR="00944A3C" w:rsidRPr="00A10A96">
        <w:rPr>
          <w:rFonts w:hint="cs"/>
          <w:rtl/>
        </w:rPr>
        <w:t>ين</w:t>
      </w:r>
      <w:r w:rsidR="00944A3C" w:rsidRPr="00A10A96">
        <w:rPr>
          <w:rtl/>
        </w:rPr>
        <w:t xml:space="preserve"> </w:t>
      </w:r>
      <w:r w:rsidR="00944A3C" w:rsidRPr="00A10A96">
        <w:rPr>
          <w:rFonts w:hint="cs"/>
          <w:rtl/>
        </w:rPr>
        <w:t>ال</w:t>
      </w:r>
      <w:r w:rsidR="00944A3C" w:rsidRPr="00A10A96">
        <w:rPr>
          <w:rtl/>
        </w:rPr>
        <w:t>عام</w:t>
      </w:r>
      <w:r w:rsidR="00944A3C" w:rsidRPr="00A10A96">
        <w:rPr>
          <w:rFonts w:hint="cs"/>
          <w:rtl/>
        </w:rPr>
        <w:t>ين</w:t>
      </w:r>
      <w:r w:rsidR="00944A3C" w:rsidRPr="00A10A96">
        <w:rPr>
          <w:rtl/>
        </w:rPr>
        <w:t xml:space="preserve"> بسبب تقصير</w:t>
      </w:r>
      <w:r w:rsidR="00944A3C" w:rsidRPr="00A10A96">
        <w:rPr>
          <w:rFonts w:hint="cs"/>
          <w:rtl/>
        </w:rPr>
        <w:t xml:space="preserve"> مزعوم</w:t>
      </w:r>
    </w:p>
    <w:p w:rsidR="00944A3C" w:rsidRPr="00A10A96" w:rsidRDefault="00944A3C" w:rsidP="00246FA0">
      <w:pPr>
        <w:pStyle w:val="SingleTxtGA"/>
        <w:rPr>
          <w:rtl/>
        </w:rPr>
      </w:pPr>
      <w:r w:rsidRPr="00A10A96">
        <w:rPr>
          <w:rFonts w:hint="cs"/>
          <w:rtl/>
        </w:rPr>
        <w:t>332-</w:t>
      </w:r>
      <w:r w:rsidRPr="00A10A96">
        <w:rPr>
          <w:rFonts w:hint="cs"/>
          <w:rtl/>
        </w:rPr>
        <w:tab/>
      </w:r>
      <w:r w:rsidRPr="00A10A96">
        <w:rPr>
          <w:rtl/>
        </w:rPr>
        <w:t xml:space="preserve">استُحدث، في بعض المجالات، نظام </w:t>
      </w:r>
      <w:r w:rsidRPr="00A10A96">
        <w:rPr>
          <w:rFonts w:hint="cs"/>
          <w:rtl/>
        </w:rPr>
        <w:t>ل</w:t>
      </w:r>
      <w:r w:rsidRPr="00A10A96">
        <w:rPr>
          <w:rtl/>
        </w:rPr>
        <w:t xml:space="preserve">مسؤولية </w:t>
      </w:r>
      <w:r w:rsidRPr="00A10A96">
        <w:rPr>
          <w:rFonts w:hint="cs"/>
          <w:rtl/>
        </w:rPr>
        <w:t>ال</w:t>
      </w:r>
      <w:r w:rsidRPr="00A10A96">
        <w:rPr>
          <w:rtl/>
        </w:rPr>
        <w:t>موظف</w:t>
      </w:r>
      <w:r w:rsidRPr="00A10A96">
        <w:rPr>
          <w:rFonts w:hint="cs"/>
          <w:rtl/>
        </w:rPr>
        <w:t>ين</w:t>
      </w:r>
      <w:r w:rsidRPr="00A10A96">
        <w:rPr>
          <w:rtl/>
        </w:rPr>
        <w:t xml:space="preserve"> </w:t>
      </w:r>
      <w:r w:rsidRPr="00A10A96">
        <w:rPr>
          <w:rFonts w:hint="cs"/>
          <w:rtl/>
        </w:rPr>
        <w:t>ال</w:t>
      </w:r>
      <w:r w:rsidRPr="00A10A96">
        <w:rPr>
          <w:rtl/>
        </w:rPr>
        <w:t>عام</w:t>
      </w:r>
      <w:r w:rsidRPr="00A10A96">
        <w:rPr>
          <w:rFonts w:hint="cs"/>
          <w:rtl/>
        </w:rPr>
        <w:t>ين بسبب التقصير ال</w:t>
      </w:r>
      <w:r w:rsidRPr="00A10A96">
        <w:rPr>
          <w:rtl/>
        </w:rPr>
        <w:t>مزعوم</w:t>
      </w:r>
      <w:r w:rsidRPr="00A10A96">
        <w:rPr>
          <w:rFonts w:hint="cs"/>
          <w:rtl/>
        </w:rPr>
        <w:t xml:space="preserve">. </w:t>
      </w:r>
      <w:r w:rsidRPr="00A10A96">
        <w:rPr>
          <w:rtl/>
        </w:rPr>
        <w:t>ويخدم هذا النظام مصلحة الضحايا، لأنه يفرض على الموظف العام أن يثبت عدم ارتكابه لأي خطأ</w:t>
      </w:r>
      <w:r w:rsidRPr="00A10A96">
        <w:rPr>
          <w:rFonts w:hint="cs"/>
          <w:rtl/>
        </w:rPr>
        <w:t xml:space="preserve">. </w:t>
      </w:r>
      <w:r w:rsidRPr="00A10A96">
        <w:rPr>
          <w:rtl/>
        </w:rPr>
        <w:t xml:space="preserve">ويمكن الإشارة على سبيل المثال إلى مستخدمي المرافق العامة الذين يتعرضون للضرر لدى استخدامها، أو إلى الأضرار الناجمة عن </w:t>
      </w:r>
      <w:r w:rsidRPr="00A10A96">
        <w:rPr>
          <w:rFonts w:hint="cs"/>
          <w:rtl/>
        </w:rPr>
        <w:t>الأثر غير المتناسب ل</w:t>
      </w:r>
      <w:r w:rsidRPr="00A10A96">
        <w:rPr>
          <w:rtl/>
        </w:rPr>
        <w:t>لرعاية الروتينية في المستشفيات</w:t>
      </w:r>
      <w:r w:rsidRPr="00A10A96">
        <w:rPr>
          <w:rFonts w:hint="cs"/>
          <w:rtl/>
        </w:rPr>
        <w:t>.</w:t>
      </w:r>
    </w:p>
    <w:p w:rsidR="00944A3C" w:rsidRPr="00A10A96" w:rsidRDefault="00246FA0" w:rsidP="00246FA0">
      <w:pPr>
        <w:pStyle w:val="H56GA"/>
        <w:rPr>
          <w:rtl/>
        </w:rPr>
      </w:pPr>
      <w:r>
        <w:rPr>
          <w:rtl/>
        </w:rPr>
        <w:lastRenderedPageBreak/>
        <w:tab/>
      </w:r>
      <w:r>
        <w:rPr>
          <w:rtl/>
        </w:rPr>
        <w:tab/>
      </w:r>
      <w:r w:rsidR="00944A3C" w:rsidRPr="00A10A96">
        <w:rPr>
          <w:rtl/>
        </w:rPr>
        <w:t>التعويض على أساس مسؤولية الدولة دون تقصير</w:t>
      </w:r>
    </w:p>
    <w:p w:rsidR="00944A3C" w:rsidRPr="00A10A96" w:rsidRDefault="00944A3C" w:rsidP="00446794">
      <w:pPr>
        <w:pStyle w:val="SingleTxtGA"/>
        <w:rPr>
          <w:rtl/>
        </w:rPr>
      </w:pPr>
      <w:r w:rsidRPr="00A10A96">
        <w:rPr>
          <w:rFonts w:hint="cs"/>
          <w:rtl/>
        </w:rPr>
        <w:t>333-</w:t>
      </w:r>
      <w:r w:rsidRPr="00A10A96">
        <w:rPr>
          <w:rFonts w:hint="cs"/>
          <w:rtl/>
        </w:rPr>
        <w:tab/>
      </w:r>
      <w:r w:rsidRPr="00A10A96">
        <w:rPr>
          <w:rtl/>
        </w:rPr>
        <w:t>يتعلق الأمر ببعض أنواع الضرر الذي تتسبب فيه الدولة ولا يكون ناجم</w:t>
      </w:r>
      <w:r w:rsidR="00B27C28">
        <w:rPr>
          <w:rtl/>
        </w:rPr>
        <w:t xml:space="preserve">اً </w:t>
      </w:r>
      <w:r w:rsidRPr="00A10A96">
        <w:rPr>
          <w:rtl/>
        </w:rPr>
        <w:t>عن تقصير من جانبها</w:t>
      </w:r>
      <w:r w:rsidRPr="00A10A96">
        <w:rPr>
          <w:rFonts w:hint="cs"/>
          <w:rtl/>
        </w:rPr>
        <w:t xml:space="preserve">. </w:t>
      </w:r>
      <w:r w:rsidRPr="00A10A96">
        <w:rPr>
          <w:rtl/>
        </w:rPr>
        <w:t>وثمة نوعان من التعويض: التعويض العيني عن الأضرار، والتعويض الجزافي الذي يحدده القانون (نظام معاشات العجز وحوادث العمل، ونظام التعويض عن أضرار الحرب، والمكتب الوطني للتعويض عن الحوادث الطبية</w:t>
      </w:r>
      <w:r w:rsidRPr="00A10A96">
        <w:rPr>
          <w:rFonts w:hint="cs"/>
          <w:rtl/>
        </w:rPr>
        <w:t>، وما إلى ذلك</w:t>
      </w:r>
      <w:r w:rsidRPr="00A10A96">
        <w:rPr>
          <w:rtl/>
        </w:rPr>
        <w:t>)</w:t>
      </w:r>
      <w:r w:rsidRPr="00A10A96">
        <w:rPr>
          <w:rFonts w:hint="cs"/>
          <w:rtl/>
        </w:rPr>
        <w:t xml:space="preserve">. </w:t>
      </w:r>
      <w:r w:rsidRPr="00A10A96">
        <w:rPr>
          <w:rtl/>
        </w:rPr>
        <w:t xml:space="preserve">ولا يجوز بالتالي للضحية </w:t>
      </w:r>
      <w:r w:rsidRPr="00A10A96">
        <w:rPr>
          <w:rFonts w:hint="cs"/>
          <w:rtl/>
        </w:rPr>
        <w:t xml:space="preserve">طلب الاستعاضة عن </w:t>
      </w:r>
      <w:r w:rsidRPr="00A10A96">
        <w:rPr>
          <w:rtl/>
        </w:rPr>
        <w:t xml:space="preserve">هذا النظام بتقييم مباشر للضرر، </w:t>
      </w:r>
      <w:r w:rsidRPr="00A10A96">
        <w:rPr>
          <w:rFonts w:hint="cs"/>
          <w:rtl/>
        </w:rPr>
        <w:t xml:space="preserve">إلا </w:t>
      </w:r>
      <w:r w:rsidRPr="00A10A96">
        <w:rPr>
          <w:rtl/>
        </w:rPr>
        <w:t>في حالات استثنائية</w:t>
      </w:r>
      <w:r w:rsidRPr="00A10A96">
        <w:rPr>
          <w:rFonts w:hint="cs"/>
          <w:rtl/>
        </w:rPr>
        <w:t>.</w:t>
      </w:r>
    </w:p>
    <w:p w:rsidR="00944A3C" w:rsidRPr="00A10A96" w:rsidRDefault="00944A3C" w:rsidP="008D0DB1">
      <w:pPr>
        <w:pStyle w:val="SingleTxtGA"/>
        <w:rPr>
          <w:rtl/>
        </w:rPr>
      </w:pPr>
      <w:r w:rsidRPr="00A10A96">
        <w:rPr>
          <w:rFonts w:hint="cs"/>
          <w:rtl/>
        </w:rPr>
        <w:t>334-</w:t>
      </w:r>
      <w:r w:rsidRPr="00A10A96">
        <w:rPr>
          <w:rFonts w:hint="cs"/>
          <w:rtl/>
        </w:rPr>
        <w:tab/>
      </w:r>
      <w:r w:rsidRPr="00A10A96">
        <w:rPr>
          <w:rtl/>
        </w:rPr>
        <w:t>وفيما يتعلق بالتعويض عن انتهاكات الحقوق الأساسية التي تتسبب فيها الدولة دون تقصير من جانبها، يمكن الإشارة إلى الأمثلة التالية</w:t>
      </w:r>
      <w:r w:rsidRPr="00A10A96">
        <w:rPr>
          <w:rFonts w:hint="cs"/>
          <w:rtl/>
        </w:rPr>
        <w:t>:</w:t>
      </w:r>
    </w:p>
    <w:p w:rsidR="00944A3C" w:rsidRPr="00A10A96" w:rsidRDefault="00944A3C" w:rsidP="00446794">
      <w:pPr>
        <w:pStyle w:val="Bullet1GA"/>
        <w:bidi/>
      </w:pPr>
      <w:r w:rsidRPr="00A10A96">
        <w:rPr>
          <w:rtl/>
        </w:rPr>
        <w:t>التعويض عن الضرر المترتب على إدانة جنائية</w:t>
      </w:r>
      <w:r w:rsidRPr="00A10A96">
        <w:rPr>
          <w:rFonts w:hint="cs"/>
          <w:rtl/>
        </w:rPr>
        <w:t xml:space="preserve">. </w:t>
      </w:r>
      <w:r w:rsidRPr="00A10A96">
        <w:rPr>
          <w:rtl/>
        </w:rPr>
        <w:t xml:space="preserve">يُمنح هذا التعويض </w:t>
      </w:r>
      <w:r w:rsidRPr="00A10A96">
        <w:rPr>
          <w:rFonts w:hint="cs"/>
          <w:rtl/>
        </w:rPr>
        <w:t>ل</w:t>
      </w:r>
      <w:r w:rsidRPr="00A10A96">
        <w:rPr>
          <w:rtl/>
        </w:rPr>
        <w:t>لشخص المدان الذي تثبت براءته بعد إعادة محاكمته عن جريمة أو جنحة (المادة 626 من قانون الإجراءات الجنائية)</w:t>
      </w:r>
      <w:r w:rsidRPr="00A10A96">
        <w:rPr>
          <w:rFonts w:hint="cs"/>
          <w:rtl/>
        </w:rPr>
        <w:t>؛</w:t>
      </w:r>
    </w:p>
    <w:p w:rsidR="00944A3C" w:rsidRPr="00A10A96" w:rsidRDefault="00944A3C" w:rsidP="00446794">
      <w:pPr>
        <w:pStyle w:val="Bullet1GA"/>
        <w:bidi/>
        <w:rPr>
          <w:rtl/>
        </w:rPr>
      </w:pPr>
      <w:r w:rsidRPr="00A10A96">
        <w:rPr>
          <w:rtl/>
        </w:rPr>
        <w:t xml:space="preserve">التعويض الممنوح لشخص قضى فترة الحبس الاحتياطي خلال إجراءات انتهت لصالحه بموجب حكم نهائي برد الدعوى أو بالإفراج أو البراءة، </w:t>
      </w:r>
      <w:r w:rsidRPr="00A10A96">
        <w:rPr>
          <w:rFonts w:hint="cs"/>
          <w:rtl/>
        </w:rPr>
        <w:t xml:space="preserve">إذا </w:t>
      </w:r>
      <w:r w:rsidRPr="00A10A96">
        <w:rPr>
          <w:rtl/>
        </w:rPr>
        <w:t>سبب له هذا الاحتجاز ضرر</w:t>
      </w:r>
      <w:r w:rsidR="00B27C28">
        <w:rPr>
          <w:rtl/>
        </w:rPr>
        <w:t xml:space="preserve">اً </w:t>
      </w:r>
      <w:r w:rsidRPr="00A10A96">
        <w:rPr>
          <w:rFonts w:hint="cs"/>
          <w:rtl/>
        </w:rPr>
        <w:t xml:space="preserve">واضح الفظاعة </w:t>
      </w:r>
      <w:r w:rsidRPr="00A10A96">
        <w:rPr>
          <w:rtl/>
        </w:rPr>
        <w:t>وبالغ الخطورة (المادة 149 وما يليها من قانون الإجراءات الجنائية)</w:t>
      </w:r>
      <w:r w:rsidRPr="00A10A96">
        <w:rPr>
          <w:rFonts w:hint="cs"/>
          <w:rtl/>
        </w:rPr>
        <w:t>.</w:t>
      </w:r>
    </w:p>
    <w:p w:rsidR="00944A3C" w:rsidRPr="00A10A96" w:rsidRDefault="00944A3C" w:rsidP="001D4D90">
      <w:pPr>
        <w:pStyle w:val="SingleTxtGA"/>
        <w:rPr>
          <w:rtl/>
        </w:rPr>
      </w:pPr>
      <w:r w:rsidRPr="00A10A96">
        <w:rPr>
          <w:rFonts w:hint="cs"/>
          <w:rtl/>
        </w:rPr>
        <w:t>335-</w:t>
      </w:r>
      <w:r w:rsidRPr="00A10A96">
        <w:rPr>
          <w:rFonts w:hint="cs"/>
          <w:rtl/>
        </w:rPr>
        <w:tab/>
      </w:r>
      <w:r w:rsidRPr="00A10A96">
        <w:rPr>
          <w:rtl/>
        </w:rPr>
        <w:t xml:space="preserve">وسواء تسبب في الضرر الناجم شخص عادي أو موظف عام، يجوز للمتقاضي أن يحصل على جزء من المبلغ الذي طالب به أو يعتزم المطالبة به، إذا لم يكن وجود الالتزام المحتج به من قبل الدائن </w:t>
      </w:r>
      <w:r w:rsidRPr="00A10A96">
        <w:rPr>
          <w:rFonts w:hint="cs"/>
          <w:rtl/>
        </w:rPr>
        <w:t xml:space="preserve">ضد </w:t>
      </w:r>
      <w:r w:rsidRPr="00A10A96">
        <w:rPr>
          <w:rtl/>
        </w:rPr>
        <w:t xml:space="preserve">المدين </w:t>
      </w:r>
      <w:r w:rsidRPr="00A10A96">
        <w:rPr>
          <w:rFonts w:hint="cs"/>
          <w:rtl/>
        </w:rPr>
        <w:t xml:space="preserve">محط </w:t>
      </w:r>
      <w:r w:rsidRPr="00A10A96">
        <w:rPr>
          <w:rtl/>
        </w:rPr>
        <w:t>جدل حقيقي</w:t>
      </w:r>
      <w:r w:rsidRPr="00A10A96">
        <w:rPr>
          <w:rFonts w:hint="cs"/>
          <w:rtl/>
        </w:rPr>
        <w:t xml:space="preserve">. </w:t>
      </w:r>
      <w:r w:rsidRPr="00A10A96">
        <w:rPr>
          <w:rtl/>
        </w:rPr>
        <w:t xml:space="preserve">وتتاح </w:t>
      </w:r>
      <w:r w:rsidRPr="00A10A96">
        <w:rPr>
          <w:rFonts w:hint="cs"/>
          <w:rtl/>
        </w:rPr>
        <w:t xml:space="preserve">له </w:t>
      </w:r>
      <w:r w:rsidRPr="00A10A96">
        <w:rPr>
          <w:rtl/>
        </w:rPr>
        <w:t xml:space="preserve">هذه الإمكانية من خلال الدعوى المستعجلة </w:t>
      </w:r>
      <w:r w:rsidRPr="00A10A96">
        <w:rPr>
          <w:rFonts w:hint="cs"/>
          <w:rtl/>
        </w:rPr>
        <w:t xml:space="preserve">لمنح </w:t>
      </w:r>
      <w:r w:rsidRPr="00A10A96">
        <w:rPr>
          <w:rtl/>
        </w:rPr>
        <w:t xml:space="preserve">المبلغ (الفقرة 2 من المادة 809 من قانون الإجراءات المدنية والمادة </w:t>
      </w:r>
      <w:r w:rsidRPr="008D0DB1">
        <w:rPr>
          <w:szCs w:val="36"/>
        </w:rPr>
        <w:t>R.</w:t>
      </w:r>
      <w:r w:rsidR="001D4D90">
        <w:rPr>
          <w:szCs w:val="36"/>
        </w:rPr>
        <w:t> </w:t>
      </w:r>
      <w:r w:rsidRPr="008D0DB1">
        <w:rPr>
          <w:szCs w:val="36"/>
        </w:rPr>
        <w:t>541-1</w:t>
      </w:r>
      <w:r w:rsidRPr="00A10A96">
        <w:rPr>
          <w:sz w:val="22"/>
          <w:szCs w:val="32"/>
          <w:rtl/>
        </w:rPr>
        <w:t xml:space="preserve"> </w:t>
      </w:r>
      <w:r w:rsidRPr="00A10A96">
        <w:rPr>
          <w:rtl/>
        </w:rPr>
        <w:t>من قانون القضاء الإداري)</w:t>
      </w:r>
      <w:r w:rsidRPr="00A10A96">
        <w:rPr>
          <w:rFonts w:hint="cs"/>
          <w:rtl/>
        </w:rPr>
        <w:t>.</w:t>
      </w:r>
    </w:p>
    <w:p w:rsidR="00944A3C" w:rsidRPr="00A10A96" w:rsidRDefault="00944A3C" w:rsidP="00944A3C">
      <w:pPr>
        <w:pStyle w:val="H23G"/>
        <w:bidi/>
        <w:rPr>
          <w:rFonts w:hint="default"/>
          <w:b w:val="0"/>
          <w:bCs/>
          <w:rtl/>
        </w:rPr>
      </w:pPr>
      <w:r w:rsidRPr="00A10A96">
        <w:rPr>
          <w:b w:val="0"/>
          <w:bCs/>
          <w:rtl/>
        </w:rPr>
        <w:tab/>
        <w:t>(ب)</w:t>
      </w:r>
      <w:r w:rsidRPr="00A10A96">
        <w:rPr>
          <w:b w:val="0"/>
          <w:bCs/>
          <w:rtl/>
        </w:rPr>
        <w:tab/>
        <w:t>آليات تقديم المساعدة للضحايا</w:t>
      </w:r>
    </w:p>
    <w:p w:rsidR="00944A3C" w:rsidRPr="00A10A96" w:rsidRDefault="00944A3C" w:rsidP="008D0DB1">
      <w:pPr>
        <w:pStyle w:val="SingleTxtGA"/>
        <w:rPr>
          <w:rtl/>
        </w:rPr>
      </w:pPr>
      <w:r w:rsidRPr="00A10A96">
        <w:rPr>
          <w:rFonts w:hint="cs"/>
          <w:rtl/>
        </w:rPr>
        <w:t>336-</w:t>
      </w:r>
      <w:r w:rsidRPr="00A10A96">
        <w:rPr>
          <w:rFonts w:hint="cs"/>
          <w:rtl/>
        </w:rPr>
        <w:tab/>
        <w:t>ت</w:t>
      </w:r>
      <w:r w:rsidRPr="00A10A96">
        <w:rPr>
          <w:rtl/>
        </w:rPr>
        <w:t>دير مكتبَ مساعدة الضحايا، الموجود في كل محاكم الدرجة العليا تقريبا</w:t>
      </w:r>
      <w:r w:rsidR="00CD290E">
        <w:rPr>
          <w:rFonts w:hint="cs"/>
          <w:rtl/>
        </w:rPr>
        <w:t>ً</w:t>
      </w:r>
      <w:r w:rsidRPr="00A10A96">
        <w:rPr>
          <w:rStyle w:val="EndnoteReference"/>
          <w:rtl/>
        </w:rPr>
        <w:t>(</w:t>
      </w:r>
      <w:r w:rsidRPr="00A10A96">
        <w:rPr>
          <w:rStyle w:val="EndnoteReference"/>
          <w:rtl/>
        </w:rPr>
        <w:endnoteReference w:id="208"/>
      </w:r>
      <w:r w:rsidRPr="00A10A96">
        <w:rPr>
          <w:rStyle w:val="EndnoteReference"/>
          <w:rtl/>
        </w:rPr>
        <w:t>)</w:t>
      </w:r>
      <w:r w:rsidRPr="00A10A96">
        <w:rPr>
          <w:rtl/>
        </w:rPr>
        <w:t>، جمعياتُ مساعدة الضحايا التي تقدم المعلومات والتوجيه والدعم لضحايا الجرائم في جميع مراحل الإجراءات الجنائية</w:t>
      </w:r>
      <w:r w:rsidRPr="00A10A96">
        <w:rPr>
          <w:rFonts w:hint="cs"/>
          <w:rtl/>
        </w:rPr>
        <w:t xml:space="preserve">. </w:t>
      </w:r>
      <w:r w:rsidRPr="00A10A96">
        <w:rPr>
          <w:rtl/>
        </w:rPr>
        <w:t xml:space="preserve">والمقابلات </w:t>
      </w:r>
      <w:r w:rsidRPr="00A10A96">
        <w:rPr>
          <w:rFonts w:hint="cs"/>
          <w:rtl/>
        </w:rPr>
        <w:t xml:space="preserve">التي تجري </w:t>
      </w:r>
      <w:r w:rsidRPr="00A10A96">
        <w:rPr>
          <w:rtl/>
        </w:rPr>
        <w:t>في هذا المكتب مجانية وسرية</w:t>
      </w:r>
      <w:r w:rsidRPr="00A10A96">
        <w:rPr>
          <w:rStyle w:val="EndnoteReference"/>
          <w:rtl/>
        </w:rPr>
        <w:t>(</w:t>
      </w:r>
      <w:r w:rsidRPr="00A10A96">
        <w:rPr>
          <w:rStyle w:val="EndnoteReference"/>
          <w:rtl/>
        </w:rPr>
        <w:endnoteReference w:id="209"/>
      </w:r>
      <w:r w:rsidRPr="00A10A96">
        <w:rPr>
          <w:rStyle w:val="EndnoteReference"/>
          <w:rtl/>
        </w:rPr>
        <w:t>)</w:t>
      </w:r>
      <w:r w:rsidRPr="00A10A96">
        <w:rPr>
          <w:rFonts w:hint="cs"/>
          <w:rtl/>
        </w:rPr>
        <w:t>.</w:t>
      </w:r>
    </w:p>
    <w:p w:rsidR="00944A3C" w:rsidRPr="008D0DB1" w:rsidRDefault="00944A3C" w:rsidP="008D0DB1">
      <w:pPr>
        <w:pStyle w:val="SingleTxtGA"/>
        <w:rPr>
          <w:rtl/>
        </w:rPr>
      </w:pPr>
      <w:r w:rsidRPr="00A10A96">
        <w:rPr>
          <w:rFonts w:hint="cs"/>
          <w:rtl/>
        </w:rPr>
        <w:t>337-</w:t>
      </w:r>
      <w:r w:rsidRPr="00A10A96">
        <w:rPr>
          <w:rFonts w:hint="cs"/>
          <w:rtl/>
        </w:rPr>
        <w:tab/>
      </w:r>
      <w:r w:rsidRPr="00A10A96">
        <w:rPr>
          <w:rtl/>
        </w:rPr>
        <w:t>توجد دُور العدالة والقانون (133)، المنشأة بموجب القانون رقم 98-1163 المؤرخ</w:t>
      </w:r>
      <w:r w:rsidR="008D0DB1">
        <w:rPr>
          <w:rFonts w:hint="cs"/>
          <w:rtl/>
        </w:rPr>
        <w:t> </w:t>
      </w:r>
      <w:r w:rsidRPr="00A10A96">
        <w:rPr>
          <w:rtl/>
        </w:rPr>
        <w:t>18 كانون الأول/ديسمبر 1998، أساس</w:t>
      </w:r>
      <w:r w:rsidR="00443A06">
        <w:rPr>
          <w:rtl/>
        </w:rPr>
        <w:t xml:space="preserve">اً </w:t>
      </w:r>
      <w:r w:rsidRPr="00A10A96">
        <w:rPr>
          <w:rtl/>
        </w:rPr>
        <w:t xml:space="preserve">في المناطق الحضرية </w:t>
      </w:r>
      <w:r w:rsidRPr="00A10A96">
        <w:rPr>
          <w:rFonts w:hint="cs"/>
          <w:rtl/>
        </w:rPr>
        <w:t xml:space="preserve">الأشد </w:t>
      </w:r>
      <w:r w:rsidRPr="00A10A96">
        <w:rPr>
          <w:rtl/>
        </w:rPr>
        <w:t>حساسية، وتوجد فروع العدالة (42) في البلديات البعيدة عن المحاكم والقليلة السكان</w:t>
      </w:r>
      <w:r w:rsidRPr="00A10A96">
        <w:rPr>
          <w:rFonts w:hint="cs"/>
          <w:rtl/>
        </w:rPr>
        <w:t xml:space="preserve">. </w:t>
      </w:r>
      <w:r w:rsidRPr="00A10A96">
        <w:rPr>
          <w:rtl/>
        </w:rPr>
        <w:t xml:space="preserve">ويكمن الفرق الأساسي بين هذين النوعين من الهيئات في أن فروع العدالة ليس لها وضع قانوني وقد تنشأ بمبادرة صرفة من رؤساء الهيئات القضائية والمنتخبين المحليين، في حين أن دُور العدالة والقانون منصوص عليها في قانون التنظيم القضائي وتُنشأ بموجب قرار </w:t>
      </w:r>
      <w:r w:rsidRPr="00A10A96">
        <w:rPr>
          <w:rFonts w:hint="cs"/>
          <w:rtl/>
        </w:rPr>
        <w:t xml:space="preserve">يصدره </w:t>
      </w:r>
      <w:r w:rsidRPr="00A10A96">
        <w:rPr>
          <w:rtl/>
        </w:rPr>
        <w:t>وزير العدل</w:t>
      </w:r>
      <w:r w:rsidRPr="00A10A96">
        <w:rPr>
          <w:rFonts w:hint="cs"/>
          <w:rtl/>
        </w:rPr>
        <w:t xml:space="preserve">. </w:t>
      </w:r>
      <w:r w:rsidRPr="00A10A96">
        <w:rPr>
          <w:rtl/>
        </w:rPr>
        <w:t>و</w:t>
      </w:r>
      <w:r w:rsidRPr="00A10A96">
        <w:rPr>
          <w:rFonts w:hint="cs"/>
          <w:rtl/>
        </w:rPr>
        <w:t xml:space="preserve">رغم </w:t>
      </w:r>
      <w:r w:rsidRPr="00A10A96">
        <w:rPr>
          <w:rtl/>
        </w:rPr>
        <w:t xml:space="preserve">ذلك، </w:t>
      </w:r>
      <w:r w:rsidRPr="00A10A96">
        <w:rPr>
          <w:rFonts w:hint="cs"/>
          <w:rtl/>
        </w:rPr>
        <w:t xml:space="preserve">تخضع هذه الهيئات بنوعيها </w:t>
      </w:r>
      <w:r w:rsidRPr="00A10A96">
        <w:rPr>
          <w:rtl/>
        </w:rPr>
        <w:t xml:space="preserve">لسلطة المدعي العام للجمهورية ورئيس محكمة الدرجة العليا </w:t>
      </w:r>
      <w:r w:rsidRPr="00A10A96">
        <w:rPr>
          <w:rFonts w:hint="cs"/>
          <w:rtl/>
        </w:rPr>
        <w:t xml:space="preserve">التي تشملها </w:t>
      </w:r>
      <w:r w:rsidRPr="00A10A96">
        <w:rPr>
          <w:rtl/>
        </w:rPr>
        <w:t xml:space="preserve">دائرة </w:t>
      </w:r>
      <w:r w:rsidRPr="00A10A96">
        <w:rPr>
          <w:rFonts w:hint="cs"/>
          <w:rtl/>
        </w:rPr>
        <w:t xml:space="preserve">نفوذها. </w:t>
      </w:r>
      <w:r w:rsidRPr="00A10A96">
        <w:rPr>
          <w:rtl/>
        </w:rPr>
        <w:t>وتعمل</w:t>
      </w:r>
      <w:r w:rsidRPr="00A10A96">
        <w:rPr>
          <w:rFonts w:hint="cs"/>
          <w:rtl/>
        </w:rPr>
        <w:t xml:space="preserve"> هذه الهيئات</w:t>
      </w:r>
      <w:r w:rsidRPr="00A10A96">
        <w:rPr>
          <w:rtl/>
        </w:rPr>
        <w:t xml:space="preserve"> على أساس الشراكة بين القضاة والمنتخبين وأفراد الشرطة والجمعيات </w:t>
      </w:r>
      <w:r w:rsidRPr="00A10A96">
        <w:rPr>
          <w:rFonts w:hint="cs"/>
          <w:rtl/>
        </w:rPr>
        <w:t xml:space="preserve">والأخصائيين الاجتماعيين. </w:t>
      </w:r>
      <w:r w:rsidRPr="00A10A96">
        <w:rPr>
          <w:rtl/>
        </w:rPr>
        <w:t xml:space="preserve">وتكفل وجود قضاء القرب وتساهم في منع الجريمة، وفي </w:t>
      </w:r>
      <w:r w:rsidRPr="008D0DB1">
        <w:rPr>
          <w:rtl/>
        </w:rPr>
        <w:t xml:space="preserve">مساعدة الضحايا، والوصول إلى القضاء (المادة </w:t>
      </w:r>
      <w:r w:rsidRPr="008D0DB1">
        <w:rPr>
          <w:szCs w:val="36"/>
        </w:rPr>
        <w:t>L</w:t>
      </w:r>
      <w:r w:rsidR="008D0DB1">
        <w:rPr>
          <w:szCs w:val="36"/>
        </w:rPr>
        <w:t> </w:t>
      </w:r>
      <w:r w:rsidRPr="008D0DB1">
        <w:rPr>
          <w:szCs w:val="36"/>
        </w:rPr>
        <w:t>7-12-1-1</w:t>
      </w:r>
      <w:r w:rsidRPr="008D0DB1">
        <w:rPr>
          <w:szCs w:val="36"/>
          <w:rtl/>
        </w:rPr>
        <w:t xml:space="preserve"> </w:t>
      </w:r>
      <w:r w:rsidRPr="008D0DB1">
        <w:rPr>
          <w:rtl/>
        </w:rPr>
        <w:t>من قانون التنظيم القضائي)</w:t>
      </w:r>
      <w:r w:rsidRPr="008D0DB1">
        <w:rPr>
          <w:rFonts w:hint="cs"/>
          <w:rtl/>
        </w:rPr>
        <w:t>. و</w:t>
      </w:r>
      <w:r w:rsidRPr="008D0DB1">
        <w:rPr>
          <w:rtl/>
        </w:rPr>
        <w:t xml:space="preserve">تتمثل إحدى مهامها </w:t>
      </w:r>
      <w:r w:rsidRPr="008D0DB1">
        <w:rPr>
          <w:rFonts w:hint="cs"/>
          <w:rtl/>
        </w:rPr>
        <w:t xml:space="preserve">بالتالي </w:t>
      </w:r>
      <w:r w:rsidRPr="008D0DB1">
        <w:rPr>
          <w:rtl/>
        </w:rPr>
        <w:t xml:space="preserve">في ضمان خدمة الاستماع للضحايا، وتقديم الدعم لهم خلال </w:t>
      </w:r>
      <w:r w:rsidRPr="008D0DB1">
        <w:rPr>
          <w:rtl/>
        </w:rPr>
        <w:lastRenderedPageBreak/>
        <w:t xml:space="preserve">الإجراءات، وعند الاقتضاء، </w:t>
      </w:r>
      <w:r w:rsidRPr="008D0DB1">
        <w:rPr>
          <w:rFonts w:hint="cs"/>
          <w:rtl/>
        </w:rPr>
        <w:t xml:space="preserve">توفير </w:t>
      </w:r>
      <w:r w:rsidRPr="008D0DB1">
        <w:rPr>
          <w:rtl/>
        </w:rPr>
        <w:t>الدعم النفسي</w:t>
      </w:r>
      <w:r w:rsidRPr="008D0DB1">
        <w:rPr>
          <w:rFonts w:hint="cs"/>
          <w:rtl/>
        </w:rPr>
        <w:t xml:space="preserve">. </w:t>
      </w:r>
      <w:r w:rsidRPr="008D0DB1">
        <w:rPr>
          <w:rtl/>
        </w:rPr>
        <w:t xml:space="preserve">ويقدم </w:t>
      </w:r>
      <w:r w:rsidRPr="008D0DB1">
        <w:rPr>
          <w:rFonts w:hint="cs"/>
          <w:rtl/>
        </w:rPr>
        <w:t xml:space="preserve">فيها </w:t>
      </w:r>
      <w:r w:rsidRPr="008D0DB1">
        <w:rPr>
          <w:rtl/>
        </w:rPr>
        <w:t>المعلومات والمشورة القانونية محامون وجمعيات</w:t>
      </w:r>
      <w:r w:rsidRPr="008D0DB1">
        <w:rPr>
          <w:rStyle w:val="EndnoteReference"/>
          <w:rtl/>
        </w:rPr>
        <w:t>(</w:t>
      </w:r>
      <w:r w:rsidRPr="008D0DB1">
        <w:rPr>
          <w:rStyle w:val="EndnoteReference"/>
          <w:rtl/>
        </w:rPr>
        <w:endnoteReference w:id="210"/>
      </w:r>
      <w:r w:rsidRPr="008D0DB1">
        <w:rPr>
          <w:rStyle w:val="EndnoteReference"/>
          <w:rtl/>
        </w:rPr>
        <w:t>)</w:t>
      </w:r>
      <w:r w:rsidRPr="008D0DB1">
        <w:rPr>
          <w:rFonts w:hint="cs"/>
          <w:rtl/>
        </w:rPr>
        <w:t>.</w:t>
      </w:r>
    </w:p>
    <w:p w:rsidR="00944A3C" w:rsidRPr="008D0DB1" w:rsidRDefault="00944A3C" w:rsidP="008D0DB1">
      <w:pPr>
        <w:pStyle w:val="SingleTxtGA"/>
        <w:rPr>
          <w:spacing w:val="-2"/>
          <w:rtl/>
        </w:rPr>
      </w:pPr>
      <w:r w:rsidRPr="008D0DB1">
        <w:rPr>
          <w:rFonts w:hint="cs"/>
          <w:spacing w:val="-2"/>
          <w:rtl/>
        </w:rPr>
        <w:t>338-</w:t>
      </w:r>
      <w:r w:rsidRPr="008D0DB1">
        <w:rPr>
          <w:rFonts w:hint="cs"/>
          <w:spacing w:val="-2"/>
          <w:rtl/>
        </w:rPr>
        <w:tab/>
      </w:r>
      <w:r w:rsidRPr="008D0DB1">
        <w:rPr>
          <w:spacing w:val="-2"/>
          <w:rtl/>
        </w:rPr>
        <w:t xml:space="preserve">ويقدم الرقم الهاتفي الوطني، </w:t>
      </w:r>
      <w:r w:rsidRPr="008D0DB1">
        <w:rPr>
          <w:i/>
          <w:spacing w:val="-2"/>
          <w:szCs w:val="36"/>
          <w:lang w:val="fr-FR"/>
        </w:rPr>
        <w:t>08 Victimes</w:t>
      </w:r>
      <w:r w:rsidRPr="008D0DB1">
        <w:rPr>
          <w:spacing w:val="-2"/>
          <w:rtl/>
        </w:rPr>
        <w:t xml:space="preserve"> (37 846 842 08)، خدمة الاستماع على أساس شخصي لجميع الضحايا، الذين يجري توجيههم بعد ذلك إلى جمعيات دعم الضحايا</w:t>
      </w:r>
      <w:r w:rsidRPr="008D0DB1">
        <w:rPr>
          <w:rFonts w:hint="cs"/>
          <w:spacing w:val="-2"/>
          <w:rtl/>
        </w:rPr>
        <w:t>.</w:t>
      </w:r>
    </w:p>
    <w:p w:rsidR="00944A3C" w:rsidRPr="008D0DB1" w:rsidRDefault="00944A3C" w:rsidP="008D0DB1">
      <w:pPr>
        <w:pStyle w:val="SingleTxtGA"/>
        <w:rPr>
          <w:rtl/>
        </w:rPr>
      </w:pPr>
      <w:r w:rsidRPr="008D0DB1">
        <w:rPr>
          <w:rFonts w:hint="cs"/>
          <w:rtl/>
        </w:rPr>
        <w:t>339-</w:t>
      </w:r>
      <w:r w:rsidRPr="008D0DB1">
        <w:rPr>
          <w:rFonts w:hint="cs"/>
          <w:rtl/>
        </w:rPr>
        <w:tab/>
        <w:t>و</w:t>
      </w:r>
      <w:r w:rsidRPr="008D0DB1">
        <w:rPr>
          <w:rtl/>
        </w:rPr>
        <w:t xml:space="preserve">يوجد في كل محكمة قاض مكلف </w:t>
      </w:r>
      <w:r w:rsidRPr="008D0DB1">
        <w:rPr>
          <w:rFonts w:hint="cs"/>
          <w:rtl/>
        </w:rPr>
        <w:t>خصيص</w:t>
      </w:r>
      <w:r w:rsidR="00443A06">
        <w:rPr>
          <w:rFonts w:hint="cs"/>
          <w:rtl/>
        </w:rPr>
        <w:t xml:space="preserve">اً </w:t>
      </w:r>
      <w:r w:rsidRPr="008D0DB1">
        <w:rPr>
          <w:rFonts w:hint="cs"/>
          <w:rtl/>
        </w:rPr>
        <w:t>ب</w:t>
      </w:r>
      <w:r w:rsidRPr="008D0DB1">
        <w:rPr>
          <w:rtl/>
        </w:rPr>
        <w:t xml:space="preserve">مساعدة الضحايا: القاضي المنتدب </w:t>
      </w:r>
      <w:r w:rsidRPr="008D0DB1">
        <w:rPr>
          <w:rFonts w:hint="cs"/>
          <w:rtl/>
        </w:rPr>
        <w:t>المعني با</w:t>
      </w:r>
      <w:r w:rsidRPr="008D0DB1">
        <w:rPr>
          <w:rtl/>
        </w:rPr>
        <w:t>لضحايا، وهو أيض</w:t>
      </w:r>
      <w:r w:rsidR="00443A06">
        <w:rPr>
          <w:rtl/>
        </w:rPr>
        <w:t xml:space="preserve">اً </w:t>
      </w:r>
      <w:r w:rsidRPr="008D0DB1">
        <w:rPr>
          <w:rtl/>
        </w:rPr>
        <w:t>رئيس مجلس تعويض ضحايا الجرائم</w:t>
      </w:r>
      <w:r w:rsidRPr="008D0DB1">
        <w:rPr>
          <w:rFonts w:hint="cs"/>
          <w:rtl/>
        </w:rPr>
        <w:t xml:space="preserve">. </w:t>
      </w:r>
      <w:r w:rsidRPr="008D0DB1">
        <w:rPr>
          <w:rtl/>
        </w:rPr>
        <w:t xml:space="preserve">ويحرص هذا </w:t>
      </w:r>
      <w:r w:rsidRPr="008D0DB1">
        <w:rPr>
          <w:rFonts w:hint="cs"/>
          <w:rtl/>
        </w:rPr>
        <w:t>القاضي</w:t>
      </w:r>
      <w:r w:rsidRPr="008D0DB1">
        <w:rPr>
          <w:rtl/>
        </w:rPr>
        <w:t xml:space="preserve">، الذي أنشئ </w:t>
      </w:r>
      <w:r w:rsidRPr="008D0DB1">
        <w:rPr>
          <w:rFonts w:hint="cs"/>
          <w:rtl/>
        </w:rPr>
        <w:t xml:space="preserve">منصبه </w:t>
      </w:r>
      <w:r w:rsidRPr="008D0DB1">
        <w:rPr>
          <w:rtl/>
        </w:rPr>
        <w:t>في عام 2007، على كفالة الحقوق المعترف بها للضحايا، وذلك في إطار مراعاة التوازن بين حقوق الأطراف</w:t>
      </w:r>
      <w:r w:rsidRPr="008D0DB1">
        <w:rPr>
          <w:rStyle w:val="EndnoteReference"/>
          <w:rtl/>
        </w:rPr>
        <w:t>(</w:t>
      </w:r>
      <w:r w:rsidRPr="008D0DB1">
        <w:rPr>
          <w:rStyle w:val="EndnoteReference"/>
          <w:rtl/>
        </w:rPr>
        <w:endnoteReference w:id="211"/>
      </w:r>
      <w:r w:rsidRPr="008D0DB1">
        <w:rPr>
          <w:rStyle w:val="EndnoteReference"/>
          <w:rtl/>
        </w:rPr>
        <w:t>)</w:t>
      </w:r>
      <w:r w:rsidRPr="008D0DB1">
        <w:rPr>
          <w:rFonts w:hint="cs"/>
          <w:rtl/>
        </w:rPr>
        <w:t xml:space="preserve">. </w:t>
      </w:r>
      <w:r w:rsidRPr="008D0DB1">
        <w:rPr>
          <w:rtl/>
        </w:rPr>
        <w:t xml:space="preserve">وبالإضافة إلى ذلك، يجمع المجلس الوطني لمساعدة الضحايا، الذي أنشئ في عام 1999، العديد من الجهات الفاعلة في مجال سياسة مساعدة الضحايا (وزراء ومنتخبون وأعضاء في الجمعيات) </w:t>
      </w:r>
      <w:r w:rsidRPr="008D0DB1">
        <w:rPr>
          <w:rFonts w:hint="cs"/>
          <w:rtl/>
        </w:rPr>
        <w:t xml:space="preserve">تحت إشراف </w:t>
      </w:r>
      <w:r w:rsidRPr="008D0DB1">
        <w:rPr>
          <w:rtl/>
        </w:rPr>
        <w:t>وزير العدل</w:t>
      </w:r>
      <w:r w:rsidRPr="008D0DB1">
        <w:rPr>
          <w:rFonts w:hint="cs"/>
          <w:rtl/>
        </w:rPr>
        <w:t xml:space="preserve">. </w:t>
      </w:r>
      <w:r w:rsidRPr="008D0DB1">
        <w:rPr>
          <w:rtl/>
        </w:rPr>
        <w:t xml:space="preserve">ويضطلع بصياغة مقترحات ترمي إلى تحسين </w:t>
      </w:r>
      <w:r w:rsidRPr="008D0DB1">
        <w:rPr>
          <w:rFonts w:hint="cs"/>
          <w:rtl/>
        </w:rPr>
        <w:t xml:space="preserve">خدمات </w:t>
      </w:r>
      <w:r w:rsidRPr="008D0DB1">
        <w:rPr>
          <w:rtl/>
        </w:rPr>
        <w:t>استقبال الضحايا، وتقديم المعلومات إليهم، ورعايتهم، وتقديم التعويض لضحايا الجرائم الجنائية</w:t>
      </w:r>
      <w:r w:rsidRPr="008D0DB1">
        <w:rPr>
          <w:rStyle w:val="EndnoteReference"/>
          <w:rtl/>
        </w:rPr>
        <w:t>(</w:t>
      </w:r>
      <w:r w:rsidRPr="008D0DB1">
        <w:rPr>
          <w:rStyle w:val="EndnoteReference"/>
          <w:rtl/>
        </w:rPr>
        <w:endnoteReference w:id="212"/>
      </w:r>
      <w:r w:rsidRPr="008D0DB1">
        <w:rPr>
          <w:rStyle w:val="EndnoteReference"/>
          <w:rtl/>
        </w:rPr>
        <w:t>)</w:t>
      </w:r>
      <w:r w:rsidRPr="008D0DB1">
        <w:rPr>
          <w:rFonts w:hint="cs"/>
          <w:rtl/>
        </w:rPr>
        <w:t>.</w:t>
      </w:r>
    </w:p>
    <w:p w:rsidR="00944A3C" w:rsidRPr="008D0DB1" w:rsidRDefault="00944A3C" w:rsidP="005714DA">
      <w:pPr>
        <w:pStyle w:val="H1GA"/>
        <w:rPr>
          <w:rtl/>
        </w:rPr>
      </w:pPr>
      <w:r w:rsidRPr="008D0DB1">
        <w:rPr>
          <w:rFonts w:hint="cs"/>
          <w:rtl/>
        </w:rPr>
        <w:tab/>
      </w:r>
      <w:bookmarkStart w:id="356" w:name="_Toc508623288"/>
      <w:r w:rsidRPr="008D0DB1">
        <w:rPr>
          <w:rFonts w:hint="cs"/>
          <w:rtl/>
        </w:rPr>
        <w:t>دال</w:t>
      </w:r>
      <w:r w:rsidRPr="008D0DB1">
        <w:rPr>
          <w:rtl/>
        </w:rPr>
        <w:t>-</w:t>
      </w:r>
      <w:r w:rsidRPr="008D0DB1">
        <w:rPr>
          <w:rtl/>
        </w:rPr>
        <w:tab/>
        <w:t>الاعتراف باختصاص المحكمة الأوروبية لحقوق الإنسان</w:t>
      </w:r>
      <w:bookmarkEnd w:id="356"/>
    </w:p>
    <w:p w:rsidR="00944A3C" w:rsidRPr="008D0DB1" w:rsidRDefault="00944A3C" w:rsidP="008D0DB1">
      <w:pPr>
        <w:pStyle w:val="SingleTxtGA"/>
        <w:rPr>
          <w:rtl/>
        </w:rPr>
      </w:pPr>
      <w:r w:rsidRPr="008D0DB1">
        <w:rPr>
          <w:rFonts w:hint="cs"/>
          <w:rtl/>
        </w:rPr>
        <w:t>340</w:t>
      </w:r>
      <w:r w:rsidRPr="008D0DB1">
        <w:rPr>
          <w:rtl/>
        </w:rPr>
        <w:t>-</w:t>
      </w:r>
      <w:r w:rsidRPr="008D0DB1">
        <w:rPr>
          <w:rtl/>
        </w:rPr>
        <w:tab/>
        <w:t>صدقت فرنسا على الاتفاقية الأوروبية لحماية حقوق الإنسان والحريات الأساسية في 3 أيار/مايو 1974 وقبلت، في 2 تشرين الأول/أكتوبر 1981، الحق في تقديم الالتماسات الفردية المنصوص عليه في المادة 34 من هذه الاتفاقية</w:t>
      </w:r>
      <w:r w:rsidRPr="008D0DB1">
        <w:rPr>
          <w:rFonts w:hint="cs"/>
          <w:rtl/>
        </w:rPr>
        <w:t>.</w:t>
      </w:r>
    </w:p>
    <w:p w:rsidR="00944A3C" w:rsidRPr="008D0DB1" w:rsidRDefault="00944A3C" w:rsidP="008D0DB1">
      <w:pPr>
        <w:pStyle w:val="SingleTxtGA"/>
        <w:rPr>
          <w:rtl/>
        </w:rPr>
      </w:pPr>
      <w:r w:rsidRPr="008D0DB1">
        <w:rPr>
          <w:rFonts w:hint="cs"/>
          <w:rtl/>
        </w:rPr>
        <w:t>341-</w:t>
      </w:r>
      <w:r w:rsidRPr="008D0DB1">
        <w:rPr>
          <w:rFonts w:hint="cs"/>
          <w:rtl/>
        </w:rPr>
        <w:tab/>
      </w:r>
      <w:r w:rsidRPr="008D0DB1">
        <w:rPr>
          <w:rtl/>
        </w:rPr>
        <w:t>و</w:t>
      </w:r>
      <w:r w:rsidRPr="008D0DB1">
        <w:rPr>
          <w:rFonts w:hint="cs"/>
          <w:rtl/>
        </w:rPr>
        <w:t xml:space="preserve">هي </w:t>
      </w:r>
      <w:r w:rsidRPr="008D0DB1">
        <w:rPr>
          <w:rtl/>
        </w:rPr>
        <w:t>آلية فرعية لحماية حقوق الإنسان</w:t>
      </w:r>
      <w:r w:rsidRPr="008D0DB1">
        <w:rPr>
          <w:rFonts w:hint="cs"/>
          <w:rtl/>
        </w:rPr>
        <w:t xml:space="preserve">. </w:t>
      </w:r>
      <w:r w:rsidRPr="008D0DB1">
        <w:rPr>
          <w:rtl/>
        </w:rPr>
        <w:t>وبالفعل، فلكي تقبل المحكمة الأوروبية لحقوق الإنسان التماس</w:t>
      </w:r>
      <w:r w:rsidR="00443A06">
        <w:rPr>
          <w:rtl/>
        </w:rPr>
        <w:t xml:space="preserve">اً </w:t>
      </w:r>
      <w:r w:rsidRPr="008D0DB1">
        <w:rPr>
          <w:rtl/>
        </w:rPr>
        <w:t xml:space="preserve">ما، ينبغي أن يكون </w:t>
      </w:r>
      <w:r w:rsidRPr="008D0DB1">
        <w:rPr>
          <w:rFonts w:hint="cs"/>
          <w:rtl/>
        </w:rPr>
        <w:t xml:space="preserve">صاحبه </w:t>
      </w:r>
      <w:r w:rsidRPr="008D0DB1">
        <w:rPr>
          <w:rtl/>
        </w:rPr>
        <w:t>قد استنفد جميع سبل الانتصاف المحلية المتاحة</w:t>
      </w:r>
      <w:r w:rsidRPr="008D0DB1">
        <w:rPr>
          <w:rFonts w:hint="cs"/>
          <w:rtl/>
        </w:rPr>
        <w:t>.</w:t>
      </w:r>
    </w:p>
    <w:p w:rsidR="00944A3C" w:rsidRPr="008D0DB1" w:rsidRDefault="00944A3C" w:rsidP="008D0DB1">
      <w:pPr>
        <w:pStyle w:val="SingleTxtGA"/>
        <w:rPr>
          <w:rtl/>
        </w:rPr>
      </w:pPr>
      <w:r w:rsidRPr="008D0DB1">
        <w:rPr>
          <w:rFonts w:hint="cs"/>
          <w:rtl/>
        </w:rPr>
        <w:t>342-</w:t>
      </w:r>
      <w:r w:rsidRPr="008D0DB1">
        <w:rPr>
          <w:rFonts w:hint="cs"/>
          <w:rtl/>
        </w:rPr>
        <w:tab/>
        <w:t>و</w:t>
      </w:r>
      <w:r w:rsidRPr="008D0DB1">
        <w:rPr>
          <w:rtl/>
        </w:rPr>
        <w:t>ينبغي أن يستوفي الالتماس شروط</w:t>
      </w:r>
      <w:r w:rsidR="00443A06">
        <w:rPr>
          <w:rtl/>
        </w:rPr>
        <w:t xml:space="preserve">اً </w:t>
      </w:r>
      <w:r w:rsidRPr="008D0DB1">
        <w:rPr>
          <w:rtl/>
        </w:rPr>
        <w:t>أخرى للمقبولية</w:t>
      </w:r>
      <w:r w:rsidRPr="008D0DB1">
        <w:rPr>
          <w:rFonts w:hint="cs"/>
          <w:rtl/>
        </w:rPr>
        <w:t xml:space="preserve">. فعلى </w:t>
      </w:r>
      <w:r w:rsidRPr="008D0DB1">
        <w:rPr>
          <w:rtl/>
        </w:rPr>
        <w:t xml:space="preserve">المتقاضي أن يقدم التماسه </w:t>
      </w:r>
      <w:r w:rsidRPr="008D0DB1">
        <w:rPr>
          <w:rFonts w:hint="cs"/>
          <w:rtl/>
        </w:rPr>
        <w:t xml:space="preserve">إلى </w:t>
      </w:r>
      <w:r w:rsidRPr="008D0DB1">
        <w:rPr>
          <w:rtl/>
        </w:rPr>
        <w:t>هذه المحكمة في غضون الأشهر الستة التالية لصدور القرار النهائي عن المحكمة المحلية</w:t>
      </w:r>
      <w:r w:rsidRPr="008D0DB1">
        <w:rPr>
          <w:rFonts w:hint="cs"/>
          <w:rtl/>
        </w:rPr>
        <w:t xml:space="preserve">. </w:t>
      </w:r>
      <w:r w:rsidRPr="008D0DB1">
        <w:rPr>
          <w:rtl/>
        </w:rPr>
        <w:t xml:space="preserve">ويجب أن يدعي وقوع انتهاك لحكم أو </w:t>
      </w:r>
      <w:r w:rsidRPr="008D0DB1">
        <w:rPr>
          <w:rFonts w:hint="cs"/>
          <w:rtl/>
        </w:rPr>
        <w:t xml:space="preserve">أكثر </w:t>
      </w:r>
      <w:r w:rsidRPr="008D0DB1">
        <w:rPr>
          <w:rtl/>
        </w:rPr>
        <w:t>من أحكام الاتفاقية الأوروبية لحقوق الإنسان</w:t>
      </w:r>
      <w:r w:rsidRPr="008D0DB1">
        <w:rPr>
          <w:rFonts w:hint="cs"/>
          <w:rtl/>
        </w:rPr>
        <w:t xml:space="preserve">. </w:t>
      </w:r>
      <w:r w:rsidRPr="008D0DB1">
        <w:rPr>
          <w:rtl/>
        </w:rPr>
        <w:t>وينبغي أن يكون الضرر اللاحق به بالغ</w:t>
      </w:r>
      <w:r w:rsidR="00443A06">
        <w:rPr>
          <w:rtl/>
        </w:rPr>
        <w:t xml:space="preserve">اً </w:t>
      </w:r>
      <w:r w:rsidRPr="008D0DB1">
        <w:rPr>
          <w:rtl/>
        </w:rPr>
        <w:t xml:space="preserve">وألَّا يكون من الواضـح أن التماسه </w:t>
      </w:r>
      <w:r w:rsidRPr="008D0DB1">
        <w:rPr>
          <w:rFonts w:hint="cs"/>
          <w:rtl/>
        </w:rPr>
        <w:t>واهي ال</w:t>
      </w:r>
      <w:r w:rsidRPr="008D0DB1">
        <w:rPr>
          <w:rtl/>
        </w:rPr>
        <w:t xml:space="preserve">أسس أو </w:t>
      </w:r>
      <w:r w:rsidRPr="008D0DB1">
        <w:rPr>
          <w:rFonts w:hint="cs"/>
          <w:rtl/>
        </w:rPr>
        <w:t xml:space="preserve">يسيء </w:t>
      </w:r>
      <w:r w:rsidRPr="008D0DB1">
        <w:rPr>
          <w:rtl/>
        </w:rPr>
        <w:t>استخدام هذه الآلية</w:t>
      </w:r>
      <w:r w:rsidRPr="008D0DB1">
        <w:rPr>
          <w:rFonts w:hint="cs"/>
          <w:rtl/>
        </w:rPr>
        <w:t>.</w:t>
      </w:r>
    </w:p>
    <w:p w:rsidR="00944A3C" w:rsidRPr="008D0DB1" w:rsidRDefault="00944A3C" w:rsidP="008D0DB1">
      <w:pPr>
        <w:pStyle w:val="SingleTxtGA"/>
        <w:rPr>
          <w:rtl/>
        </w:rPr>
      </w:pPr>
      <w:r w:rsidRPr="008D0DB1">
        <w:rPr>
          <w:rFonts w:hint="cs"/>
          <w:rtl/>
        </w:rPr>
        <w:t>343-</w:t>
      </w:r>
      <w:r w:rsidRPr="008D0DB1">
        <w:rPr>
          <w:rFonts w:hint="cs"/>
          <w:rtl/>
        </w:rPr>
        <w:tab/>
      </w:r>
      <w:r w:rsidRPr="008D0DB1">
        <w:rPr>
          <w:rtl/>
        </w:rPr>
        <w:t xml:space="preserve">وليس للطلبات المقدمة إلى هذه المحكمة أثر إيقافي ولا تعفي المتقاضين من تنفيذ القرارات الصادرة في حقهم </w:t>
      </w:r>
      <w:r w:rsidRPr="008D0DB1">
        <w:rPr>
          <w:rFonts w:hint="cs"/>
          <w:rtl/>
        </w:rPr>
        <w:t xml:space="preserve">عن </w:t>
      </w:r>
      <w:r w:rsidRPr="008D0DB1">
        <w:rPr>
          <w:rtl/>
        </w:rPr>
        <w:t>المحاكم المحلية</w:t>
      </w:r>
      <w:r w:rsidRPr="008D0DB1">
        <w:rPr>
          <w:rFonts w:hint="cs"/>
          <w:rtl/>
        </w:rPr>
        <w:t xml:space="preserve">. </w:t>
      </w:r>
      <w:r w:rsidRPr="008D0DB1">
        <w:rPr>
          <w:rtl/>
        </w:rPr>
        <w:t>وليست المحكمة الأوروبية لحقوق الإنسان هيئة</w:t>
      </w:r>
      <w:r w:rsidRPr="008D0DB1">
        <w:rPr>
          <w:rFonts w:hint="cs"/>
          <w:rtl/>
        </w:rPr>
        <w:t>ً</w:t>
      </w:r>
      <w:r w:rsidRPr="008D0DB1">
        <w:rPr>
          <w:rtl/>
        </w:rPr>
        <w:t xml:space="preserve"> لاستئناف القرارات الصادرة عن المحاكم المحلية، </w:t>
      </w:r>
      <w:r w:rsidRPr="008D0DB1">
        <w:rPr>
          <w:rFonts w:hint="cs"/>
          <w:rtl/>
        </w:rPr>
        <w:t xml:space="preserve">حيث </w:t>
      </w:r>
      <w:r w:rsidRPr="008D0DB1">
        <w:rPr>
          <w:rtl/>
        </w:rPr>
        <w:t>لا يجوز أن تلغيها</w:t>
      </w:r>
      <w:r w:rsidRPr="008D0DB1">
        <w:rPr>
          <w:rFonts w:hint="cs"/>
          <w:rtl/>
        </w:rPr>
        <w:t>.</w:t>
      </w:r>
    </w:p>
    <w:p w:rsidR="00944A3C" w:rsidRPr="008D0DB1" w:rsidRDefault="00944A3C" w:rsidP="008D0DB1">
      <w:pPr>
        <w:pStyle w:val="SingleTxtGA"/>
        <w:rPr>
          <w:rtl/>
        </w:rPr>
      </w:pPr>
      <w:r w:rsidRPr="008D0DB1">
        <w:rPr>
          <w:rFonts w:hint="cs"/>
          <w:rtl/>
        </w:rPr>
        <w:t>344-</w:t>
      </w:r>
      <w:r w:rsidRPr="008D0DB1">
        <w:rPr>
          <w:rFonts w:hint="cs"/>
          <w:rtl/>
        </w:rPr>
        <w:tab/>
      </w:r>
      <w:r w:rsidRPr="008D0DB1">
        <w:rPr>
          <w:rtl/>
        </w:rPr>
        <w:t>ومنذ أن أكدت المحكمة الأوروبية لحقوق الإنسان</w:t>
      </w:r>
      <w:r w:rsidRPr="008D0DB1">
        <w:rPr>
          <w:rFonts w:hint="cs"/>
          <w:rtl/>
        </w:rPr>
        <w:t>،</w:t>
      </w:r>
      <w:r w:rsidRPr="008D0DB1">
        <w:rPr>
          <w:rtl/>
        </w:rPr>
        <w:t xml:space="preserve"> في </w:t>
      </w:r>
      <w:r w:rsidRPr="008D0DB1">
        <w:rPr>
          <w:rFonts w:hint="cs"/>
          <w:rtl/>
        </w:rPr>
        <w:t xml:space="preserve">قرارها </w:t>
      </w:r>
      <w:r w:rsidRPr="008D0DB1">
        <w:rPr>
          <w:rtl/>
        </w:rPr>
        <w:t xml:space="preserve">الصادر في قضية </w:t>
      </w:r>
      <w:r w:rsidRPr="008D0DB1">
        <w:rPr>
          <w:i/>
          <w:iCs/>
          <w:rtl/>
        </w:rPr>
        <w:t>ماماتكولوف ضد تركيا</w:t>
      </w:r>
      <w:r w:rsidRPr="008D0DB1">
        <w:rPr>
          <w:rtl/>
        </w:rPr>
        <w:t xml:space="preserve"> في 4 شباط/فبراير 2005</w:t>
      </w:r>
      <w:r w:rsidRPr="008D0DB1">
        <w:rPr>
          <w:rFonts w:hint="cs"/>
          <w:rtl/>
        </w:rPr>
        <w:t>، ال</w:t>
      </w:r>
      <w:r w:rsidRPr="008D0DB1">
        <w:rPr>
          <w:rtl/>
        </w:rPr>
        <w:t xml:space="preserve">طابع الإلزامي </w:t>
      </w:r>
      <w:r w:rsidRPr="008D0DB1">
        <w:rPr>
          <w:rFonts w:hint="cs"/>
          <w:rtl/>
        </w:rPr>
        <w:t>ل</w:t>
      </w:r>
      <w:r w:rsidRPr="008D0DB1">
        <w:rPr>
          <w:rtl/>
        </w:rPr>
        <w:t>لتدابير المؤقتة التي تتخذها بموجب المادة 39 من نظامها الداخلي</w:t>
      </w:r>
      <w:r w:rsidRPr="008D0DB1">
        <w:rPr>
          <w:rFonts w:hint="cs"/>
          <w:rtl/>
        </w:rPr>
        <w:t>،</w:t>
      </w:r>
      <w:r w:rsidRPr="008D0DB1">
        <w:rPr>
          <w:rtl/>
        </w:rPr>
        <w:t xml:space="preserve"> تنفذ فرنسا </w:t>
      </w:r>
      <w:r w:rsidRPr="008D0DB1">
        <w:rPr>
          <w:rFonts w:hint="cs"/>
          <w:rtl/>
        </w:rPr>
        <w:t>باستمرار التدابير التي تأمر بها هذه المحكمة.</w:t>
      </w:r>
    </w:p>
    <w:p w:rsidR="00944A3C" w:rsidRPr="008D0DB1" w:rsidRDefault="00944A3C" w:rsidP="008D0DB1">
      <w:pPr>
        <w:pStyle w:val="HChGA"/>
        <w:rPr>
          <w:rtl/>
        </w:rPr>
      </w:pPr>
      <w:r w:rsidRPr="008D0DB1">
        <w:rPr>
          <w:rtl/>
        </w:rPr>
        <w:lastRenderedPageBreak/>
        <w:tab/>
      </w:r>
      <w:bookmarkStart w:id="357" w:name="_Toc508623289"/>
      <w:r w:rsidRPr="008D0DB1">
        <w:rPr>
          <w:rFonts w:hint="cs"/>
          <w:rtl/>
        </w:rPr>
        <w:t>خامسا</w:t>
      </w:r>
      <w:r w:rsidR="008D0DB1">
        <w:rPr>
          <w:rFonts w:hint="cs"/>
          <w:rtl/>
        </w:rPr>
        <w:t>ً</w:t>
      </w:r>
      <w:r w:rsidRPr="008D0DB1">
        <w:rPr>
          <w:rtl/>
        </w:rPr>
        <w:t>-</w:t>
      </w:r>
      <w:r w:rsidRPr="008D0DB1">
        <w:rPr>
          <w:rtl/>
        </w:rPr>
        <w:tab/>
        <w:t xml:space="preserve">إطار </w:t>
      </w:r>
      <w:r w:rsidRPr="008D0DB1">
        <w:rPr>
          <w:rFonts w:hint="cs"/>
          <w:rtl/>
        </w:rPr>
        <w:t xml:space="preserve">تعزيز </w:t>
      </w:r>
      <w:r w:rsidRPr="008D0DB1">
        <w:rPr>
          <w:rtl/>
        </w:rPr>
        <w:t>حقوق الإنسان على الصعيد الوطني</w:t>
      </w:r>
      <w:bookmarkEnd w:id="357"/>
    </w:p>
    <w:p w:rsidR="00944A3C" w:rsidRPr="008D0DB1" w:rsidRDefault="00944A3C" w:rsidP="008D0DB1">
      <w:pPr>
        <w:pStyle w:val="H1GA"/>
        <w:rPr>
          <w:rtl/>
        </w:rPr>
      </w:pPr>
      <w:r w:rsidRPr="008D0DB1">
        <w:rPr>
          <w:rtl/>
        </w:rPr>
        <w:tab/>
      </w:r>
      <w:bookmarkStart w:id="358" w:name="_Toc508623290"/>
      <w:r w:rsidRPr="008D0DB1">
        <w:rPr>
          <w:rtl/>
        </w:rPr>
        <w:t>ألف-</w:t>
      </w:r>
      <w:r w:rsidRPr="008D0DB1">
        <w:rPr>
          <w:rtl/>
        </w:rPr>
        <w:tab/>
        <w:t>دور البرلمان والجماعات المحلية في تعزيز حقوق الإنسان</w:t>
      </w:r>
      <w:r w:rsidRPr="008D0DB1">
        <w:rPr>
          <w:rFonts w:hint="cs"/>
          <w:rtl/>
        </w:rPr>
        <w:t xml:space="preserve"> وحمايتها</w:t>
      </w:r>
      <w:bookmarkEnd w:id="358"/>
    </w:p>
    <w:p w:rsidR="00944A3C" w:rsidRPr="008D0DB1" w:rsidRDefault="00944A3C" w:rsidP="008D0DB1">
      <w:pPr>
        <w:pStyle w:val="SingleTxtGA"/>
        <w:rPr>
          <w:rtl/>
        </w:rPr>
      </w:pPr>
      <w:r w:rsidRPr="008D0DB1">
        <w:rPr>
          <w:rFonts w:hint="cs"/>
          <w:rtl/>
        </w:rPr>
        <w:t>345-</w:t>
      </w:r>
      <w:r w:rsidRPr="008D0DB1">
        <w:rPr>
          <w:rFonts w:hint="cs"/>
          <w:rtl/>
        </w:rPr>
        <w:tab/>
        <w:t xml:space="preserve">يشكل </w:t>
      </w:r>
      <w:r w:rsidRPr="008D0DB1">
        <w:rPr>
          <w:rtl/>
        </w:rPr>
        <w:t xml:space="preserve">الالتزام بحقوق الإنسان </w:t>
      </w:r>
      <w:r w:rsidRPr="008D0DB1">
        <w:rPr>
          <w:rFonts w:hint="cs"/>
          <w:rtl/>
        </w:rPr>
        <w:t xml:space="preserve">سمة </w:t>
      </w:r>
      <w:r w:rsidRPr="008D0DB1">
        <w:rPr>
          <w:rtl/>
        </w:rPr>
        <w:t>من سمات الثقافة الفرنسية و</w:t>
      </w:r>
      <w:r w:rsidRPr="008D0DB1">
        <w:rPr>
          <w:rFonts w:hint="cs"/>
          <w:rtl/>
        </w:rPr>
        <w:t xml:space="preserve">يطبع </w:t>
      </w:r>
      <w:r w:rsidRPr="008D0DB1">
        <w:rPr>
          <w:rtl/>
        </w:rPr>
        <w:t>جميع القرارات التي تتخذها السلطات</w:t>
      </w:r>
      <w:r w:rsidRPr="008D0DB1">
        <w:rPr>
          <w:rFonts w:hint="cs"/>
          <w:rtl/>
        </w:rPr>
        <w:t xml:space="preserve">. </w:t>
      </w:r>
      <w:r w:rsidRPr="008D0DB1">
        <w:rPr>
          <w:rtl/>
        </w:rPr>
        <w:t>ويمكن ملاحظة ذلك في جميع البرامج والتدابير المتخذة على الصعيدين المحلي والوطني</w:t>
      </w:r>
      <w:r w:rsidRPr="008D0DB1">
        <w:rPr>
          <w:rFonts w:hint="cs"/>
          <w:rtl/>
        </w:rPr>
        <w:t xml:space="preserve">. </w:t>
      </w:r>
      <w:r w:rsidRPr="008D0DB1">
        <w:rPr>
          <w:rtl/>
        </w:rPr>
        <w:t>وإذا كانت الحقوق المدنية والسياسية إلى حد ما من الصلاحيات الوطنية، فإن الحقوق الاقتصادية والاجتماعية والثقافية يمكن أن تشكل، وتشكل بالفعل، محور العديد من البرامج والإجراءات على صعيدي المناطق والمقاطعات وعلى الصعيد المحلي</w:t>
      </w:r>
      <w:r w:rsidRPr="008D0DB1">
        <w:rPr>
          <w:rFonts w:hint="cs"/>
          <w:rtl/>
        </w:rPr>
        <w:t>.</w:t>
      </w:r>
    </w:p>
    <w:p w:rsidR="00944A3C" w:rsidRPr="008D0DB1" w:rsidRDefault="00944A3C" w:rsidP="008D0DB1">
      <w:pPr>
        <w:pStyle w:val="SingleTxtGA"/>
        <w:rPr>
          <w:rtl/>
        </w:rPr>
      </w:pPr>
      <w:r w:rsidRPr="008D0DB1">
        <w:rPr>
          <w:rFonts w:hint="cs"/>
          <w:rtl/>
        </w:rPr>
        <w:t>346-</w:t>
      </w:r>
      <w:r w:rsidRPr="008D0DB1">
        <w:rPr>
          <w:rFonts w:hint="cs"/>
          <w:rtl/>
        </w:rPr>
        <w:tab/>
      </w:r>
      <w:r w:rsidRPr="008D0DB1">
        <w:rPr>
          <w:rtl/>
        </w:rPr>
        <w:t xml:space="preserve">وبالتالي، وفي إطار إضفاء طابع اللامركزية على اختصاصات الدولة، تتولى البلديات مسؤولية السياسات الاجتماعية </w:t>
      </w:r>
      <w:r w:rsidRPr="008D0DB1">
        <w:rPr>
          <w:rFonts w:hint="cs"/>
          <w:rtl/>
        </w:rPr>
        <w:t>و</w:t>
      </w:r>
      <w:r w:rsidRPr="008D0DB1">
        <w:rPr>
          <w:rtl/>
        </w:rPr>
        <w:t>مؤسسات التعليم ما قبل المدرسي والتعليم الابتدائي (</w:t>
      </w:r>
      <w:r w:rsidRPr="008D0DB1">
        <w:rPr>
          <w:rFonts w:hint="cs"/>
          <w:rtl/>
        </w:rPr>
        <w:t xml:space="preserve">باستثناء </w:t>
      </w:r>
      <w:r w:rsidRPr="008D0DB1">
        <w:rPr>
          <w:rtl/>
        </w:rPr>
        <w:t>تحديد محتوى المناهج التعليمية وإدارة عمل المدرسين)، وتضطلع في هذا الصدد بتعزيز حقوق الإنسان في هذا المجال (إجراءات لفائدة صغار السن في مرحلتي الطفولة المبكرة والطفولة، والحصول على السكن، وما إلى ذلك)</w:t>
      </w:r>
      <w:r w:rsidRPr="008D0DB1">
        <w:rPr>
          <w:rFonts w:hint="cs"/>
          <w:rtl/>
        </w:rPr>
        <w:t>.</w:t>
      </w:r>
    </w:p>
    <w:p w:rsidR="00944A3C" w:rsidRPr="008D0DB1" w:rsidRDefault="00944A3C" w:rsidP="008D0DB1">
      <w:pPr>
        <w:pStyle w:val="SingleTxtGA"/>
        <w:rPr>
          <w:rtl/>
        </w:rPr>
      </w:pPr>
      <w:r w:rsidRPr="008D0DB1">
        <w:rPr>
          <w:rFonts w:hint="cs"/>
          <w:rtl/>
        </w:rPr>
        <w:t>347-</w:t>
      </w:r>
      <w:r w:rsidRPr="008D0DB1">
        <w:rPr>
          <w:rFonts w:hint="cs"/>
          <w:rtl/>
        </w:rPr>
        <w:tab/>
      </w:r>
      <w:r w:rsidRPr="008D0DB1">
        <w:rPr>
          <w:rtl/>
        </w:rPr>
        <w:t>والمقاطعات هي الكيان</w:t>
      </w:r>
      <w:r w:rsidRPr="008D0DB1">
        <w:rPr>
          <w:rFonts w:hint="cs"/>
          <w:rtl/>
        </w:rPr>
        <w:t>ات</w:t>
      </w:r>
      <w:r w:rsidRPr="008D0DB1">
        <w:rPr>
          <w:rtl/>
        </w:rPr>
        <w:t xml:space="preserve"> "الرائد</w:t>
      </w:r>
      <w:r w:rsidRPr="008D0DB1">
        <w:rPr>
          <w:rFonts w:hint="cs"/>
          <w:rtl/>
        </w:rPr>
        <w:t>ة</w:t>
      </w:r>
      <w:r w:rsidRPr="008D0DB1">
        <w:rPr>
          <w:rtl/>
        </w:rPr>
        <w:t>" فيما يتعلق بالمساعدة الاجتماعية</w:t>
      </w:r>
      <w:r w:rsidRPr="008D0DB1">
        <w:rPr>
          <w:rFonts w:hint="cs"/>
          <w:rtl/>
        </w:rPr>
        <w:t xml:space="preserve">. </w:t>
      </w:r>
      <w:r w:rsidRPr="008D0DB1">
        <w:rPr>
          <w:rtl/>
        </w:rPr>
        <w:t>فهي تضطلع بوضع وتنفيذ السياسات الرامية إلى تحقيق المساواة بين الرجل والمرأة، ورعاية الأم والطفل، وتقديم الدعم للأسر التي تعاني من صعوبات مالية، ولكبار السن، وإلى الإدماج الاجتماعي للأشخاص ذوي الإعاقة</w:t>
      </w:r>
      <w:r w:rsidRPr="008D0DB1">
        <w:rPr>
          <w:rFonts w:hint="cs"/>
          <w:rtl/>
        </w:rPr>
        <w:t xml:space="preserve">. </w:t>
      </w:r>
      <w:r w:rsidRPr="008D0DB1">
        <w:rPr>
          <w:rtl/>
        </w:rPr>
        <w:t>وتمنح استحقاقات قانونية في إطار المساعدة الاجتماعية (الدخل التضامني للناشطين اقتصادي</w:t>
      </w:r>
      <w:r w:rsidR="0031739C">
        <w:rPr>
          <w:rtl/>
        </w:rPr>
        <w:t>اً،</w:t>
      </w:r>
      <w:r w:rsidRPr="008D0DB1">
        <w:rPr>
          <w:rtl/>
        </w:rPr>
        <w:t xml:space="preserve"> وإعانة التعويض عن الإعاقة)</w:t>
      </w:r>
      <w:r w:rsidRPr="008D0DB1">
        <w:rPr>
          <w:rFonts w:hint="cs"/>
          <w:rtl/>
        </w:rPr>
        <w:t>.</w:t>
      </w:r>
    </w:p>
    <w:p w:rsidR="00944A3C" w:rsidRPr="008D0DB1" w:rsidRDefault="00944A3C" w:rsidP="008D0DB1">
      <w:pPr>
        <w:pStyle w:val="SingleTxtGA"/>
        <w:rPr>
          <w:rtl/>
        </w:rPr>
      </w:pPr>
      <w:r w:rsidRPr="008D0DB1">
        <w:rPr>
          <w:rFonts w:hint="cs"/>
          <w:rtl/>
        </w:rPr>
        <w:t>348-</w:t>
      </w:r>
      <w:r w:rsidRPr="008D0DB1">
        <w:rPr>
          <w:rFonts w:hint="cs"/>
          <w:rtl/>
        </w:rPr>
        <w:tab/>
      </w:r>
      <w:r w:rsidRPr="008D0DB1">
        <w:rPr>
          <w:rtl/>
        </w:rPr>
        <w:t xml:space="preserve">وتتولى المناطق مسؤولية </w:t>
      </w:r>
      <w:r w:rsidRPr="008D0DB1">
        <w:rPr>
          <w:rFonts w:hint="cs"/>
          <w:rtl/>
        </w:rPr>
        <w:t xml:space="preserve">برنامج </w:t>
      </w:r>
      <w:r w:rsidRPr="008D0DB1">
        <w:rPr>
          <w:rtl/>
        </w:rPr>
        <w:t xml:space="preserve">التدريب المهني المستمر والتعلم، الذي يتيح على وجه الخصوص إدماج الشباب </w:t>
      </w:r>
      <w:r w:rsidRPr="008D0DB1">
        <w:rPr>
          <w:rFonts w:hint="cs"/>
          <w:rtl/>
        </w:rPr>
        <w:t>الذين يعيشون أوضاع</w:t>
      </w:r>
      <w:r w:rsidR="00443A06">
        <w:rPr>
          <w:rFonts w:hint="cs"/>
          <w:rtl/>
        </w:rPr>
        <w:t xml:space="preserve">اً </w:t>
      </w:r>
      <w:r w:rsidRPr="008D0DB1">
        <w:rPr>
          <w:rtl/>
        </w:rPr>
        <w:t>صعبة</w:t>
      </w:r>
      <w:r w:rsidRPr="008D0DB1">
        <w:rPr>
          <w:rStyle w:val="EndnoteReference"/>
          <w:rtl/>
        </w:rPr>
        <w:t>(</w:t>
      </w:r>
      <w:r w:rsidRPr="008D0DB1">
        <w:rPr>
          <w:rStyle w:val="EndnoteReference"/>
          <w:rtl/>
        </w:rPr>
        <w:endnoteReference w:id="213"/>
      </w:r>
      <w:r w:rsidRPr="008D0DB1">
        <w:rPr>
          <w:rStyle w:val="EndnoteReference"/>
          <w:rtl/>
        </w:rPr>
        <w:t>)</w:t>
      </w:r>
      <w:r w:rsidRPr="008D0DB1">
        <w:rPr>
          <w:rFonts w:hint="cs"/>
          <w:rtl/>
        </w:rPr>
        <w:t>.</w:t>
      </w:r>
    </w:p>
    <w:p w:rsidR="00944A3C" w:rsidRPr="008D0DB1" w:rsidRDefault="00944A3C" w:rsidP="008D0DB1">
      <w:pPr>
        <w:pStyle w:val="SingleTxtGA"/>
        <w:rPr>
          <w:rtl/>
        </w:rPr>
      </w:pPr>
      <w:r w:rsidRPr="008D0DB1">
        <w:rPr>
          <w:rFonts w:hint="cs"/>
          <w:rtl/>
        </w:rPr>
        <w:t>349-</w:t>
      </w:r>
      <w:r w:rsidRPr="008D0DB1">
        <w:rPr>
          <w:rFonts w:hint="cs"/>
          <w:rtl/>
        </w:rPr>
        <w:tab/>
      </w:r>
      <w:r w:rsidRPr="008D0DB1">
        <w:rPr>
          <w:rtl/>
        </w:rPr>
        <w:t>وجرى أيض</w:t>
      </w:r>
      <w:r w:rsidR="00443A06">
        <w:rPr>
          <w:rtl/>
        </w:rPr>
        <w:t xml:space="preserve">اً </w:t>
      </w:r>
      <w:r w:rsidRPr="008D0DB1">
        <w:rPr>
          <w:rtl/>
        </w:rPr>
        <w:t xml:space="preserve">تطوير ممارسات مبتكرة للتعلم الفعال في مجال الديمقراطية وحقوق الإنسان، من خلال برلمان </w:t>
      </w:r>
      <w:r w:rsidRPr="008D0DB1">
        <w:rPr>
          <w:rFonts w:hint="cs"/>
          <w:rtl/>
        </w:rPr>
        <w:t>الطفل</w:t>
      </w:r>
      <w:r w:rsidRPr="008D0DB1">
        <w:rPr>
          <w:rtl/>
        </w:rPr>
        <w:t>، والمجالس البلدية للأطفال، والمجالس الإقليمية للشباب</w:t>
      </w:r>
      <w:r w:rsidRPr="008D0DB1">
        <w:rPr>
          <w:rFonts w:hint="cs"/>
          <w:rtl/>
        </w:rPr>
        <w:t xml:space="preserve">. </w:t>
      </w:r>
      <w:r w:rsidRPr="008D0DB1">
        <w:rPr>
          <w:rtl/>
        </w:rPr>
        <w:t>وينعقد برلمان الطفل سنوي</w:t>
      </w:r>
      <w:r w:rsidR="00443A06">
        <w:rPr>
          <w:rtl/>
        </w:rPr>
        <w:t xml:space="preserve">اً </w:t>
      </w:r>
      <w:r w:rsidRPr="008D0DB1">
        <w:rPr>
          <w:rtl/>
        </w:rPr>
        <w:t xml:space="preserve">في </w:t>
      </w:r>
      <w:r w:rsidRPr="008D0DB1">
        <w:rPr>
          <w:rFonts w:hint="cs"/>
          <w:rtl/>
        </w:rPr>
        <w:t xml:space="preserve">مقر </w:t>
      </w:r>
      <w:r w:rsidRPr="008D0DB1">
        <w:rPr>
          <w:rtl/>
        </w:rPr>
        <w:t xml:space="preserve">الجمعية الوطنية بعد </w:t>
      </w:r>
      <w:r w:rsidRPr="008D0DB1">
        <w:rPr>
          <w:rFonts w:hint="cs"/>
          <w:rtl/>
        </w:rPr>
        <w:t xml:space="preserve">تحضير طويل </w:t>
      </w:r>
      <w:r w:rsidRPr="008D0DB1">
        <w:rPr>
          <w:rtl/>
        </w:rPr>
        <w:t>وتنظيم دقيق</w:t>
      </w:r>
      <w:r w:rsidRPr="008D0DB1">
        <w:rPr>
          <w:rFonts w:hint="cs"/>
          <w:rtl/>
        </w:rPr>
        <w:t xml:space="preserve">. </w:t>
      </w:r>
      <w:r w:rsidRPr="008D0DB1">
        <w:rPr>
          <w:rtl/>
        </w:rPr>
        <w:t>والقيمة الرمزية لهذا الاجتماع بالغة الأهمية بالنظر إلى أن "الأطفال</w:t>
      </w:r>
      <w:r w:rsidR="00D575E7">
        <w:rPr>
          <w:rFonts w:hint="cs"/>
          <w:rtl/>
        </w:rPr>
        <w:t xml:space="preserve"> </w:t>
      </w:r>
      <w:r w:rsidRPr="008D0DB1">
        <w:rPr>
          <w:rtl/>
        </w:rPr>
        <w:t>-</w:t>
      </w:r>
      <w:r w:rsidR="00D575E7">
        <w:rPr>
          <w:rFonts w:hint="cs"/>
          <w:rtl/>
        </w:rPr>
        <w:t xml:space="preserve"> </w:t>
      </w:r>
      <w:r w:rsidRPr="008D0DB1">
        <w:rPr>
          <w:rtl/>
        </w:rPr>
        <w:t>النواب" ينتخبهم أقرانهم وأن النواب البالغين يتبنون مشروع القانون الذي يصوت عليه برلمان الطفل</w:t>
      </w:r>
      <w:r w:rsidRPr="008D0DB1">
        <w:rPr>
          <w:rFonts w:hint="cs"/>
          <w:rtl/>
        </w:rPr>
        <w:t xml:space="preserve">. </w:t>
      </w:r>
      <w:r w:rsidRPr="008D0DB1">
        <w:rPr>
          <w:rtl/>
        </w:rPr>
        <w:t>وتعطي هذه الصيغة البرلمانية للتثقيف في مجال حقوق الإنسان والمواطنة قيمة لحق الطفل في المشاركة في الحياة داخل المجتمع، وفق</w:t>
      </w:r>
      <w:r w:rsidR="00443A06">
        <w:rPr>
          <w:rtl/>
        </w:rPr>
        <w:t xml:space="preserve">اً </w:t>
      </w:r>
      <w:r w:rsidRPr="008D0DB1">
        <w:rPr>
          <w:rtl/>
        </w:rPr>
        <w:t>لروح اتفاقية حقوق الطفل</w:t>
      </w:r>
      <w:r w:rsidRPr="008D0DB1">
        <w:rPr>
          <w:rFonts w:hint="cs"/>
          <w:rtl/>
        </w:rPr>
        <w:t>.</w:t>
      </w:r>
    </w:p>
    <w:p w:rsidR="00944A3C" w:rsidRPr="008D0DB1" w:rsidRDefault="00944A3C" w:rsidP="00A1269F">
      <w:pPr>
        <w:pStyle w:val="H1GA"/>
        <w:rPr>
          <w:rtl/>
        </w:rPr>
      </w:pPr>
      <w:r w:rsidRPr="008D0DB1">
        <w:rPr>
          <w:rtl/>
        </w:rPr>
        <w:tab/>
      </w:r>
      <w:bookmarkStart w:id="359" w:name="_Toc508623291"/>
      <w:r w:rsidRPr="008D0DB1">
        <w:rPr>
          <w:rFonts w:hint="cs"/>
          <w:rtl/>
        </w:rPr>
        <w:t>باء</w:t>
      </w:r>
      <w:r w:rsidRPr="008D0DB1">
        <w:rPr>
          <w:rtl/>
        </w:rPr>
        <w:t>-</w:t>
      </w:r>
      <w:r w:rsidRPr="008D0DB1">
        <w:rPr>
          <w:rtl/>
        </w:rPr>
        <w:tab/>
        <w:t xml:space="preserve">دور المؤسسات الوطنية </w:t>
      </w:r>
      <w:r w:rsidRPr="008D0DB1">
        <w:rPr>
          <w:rFonts w:hint="cs"/>
          <w:rtl/>
        </w:rPr>
        <w:t xml:space="preserve">للدفاع عن </w:t>
      </w:r>
      <w:r w:rsidRPr="008D0DB1">
        <w:rPr>
          <w:rtl/>
        </w:rPr>
        <w:t>حقوق الإنسان</w:t>
      </w:r>
      <w:bookmarkEnd w:id="359"/>
    </w:p>
    <w:p w:rsidR="00944A3C" w:rsidRPr="008D0DB1" w:rsidRDefault="00944A3C" w:rsidP="008D0DB1">
      <w:pPr>
        <w:pStyle w:val="SingleTxtGA"/>
        <w:rPr>
          <w:rtl/>
        </w:rPr>
      </w:pPr>
      <w:r w:rsidRPr="008D0DB1">
        <w:rPr>
          <w:rFonts w:hint="cs"/>
          <w:rtl/>
        </w:rPr>
        <w:t>350-</w:t>
      </w:r>
      <w:r w:rsidRPr="008D0DB1">
        <w:rPr>
          <w:rFonts w:hint="cs"/>
          <w:rtl/>
        </w:rPr>
        <w:tab/>
        <w:t xml:space="preserve">الهيئات </w:t>
      </w:r>
      <w:r w:rsidRPr="008D0DB1">
        <w:rPr>
          <w:rtl/>
        </w:rPr>
        <w:t xml:space="preserve">الإدارية المستقلة مؤسسات تابعة للدولة لا تخضع </w:t>
      </w:r>
      <w:r w:rsidRPr="008D0DB1">
        <w:rPr>
          <w:rFonts w:hint="cs"/>
          <w:rtl/>
        </w:rPr>
        <w:t xml:space="preserve">للمراقبة </w:t>
      </w:r>
      <w:r w:rsidRPr="008D0DB1">
        <w:rPr>
          <w:rtl/>
        </w:rPr>
        <w:t>الإداري</w:t>
      </w:r>
      <w:r w:rsidRPr="008D0DB1">
        <w:rPr>
          <w:rFonts w:hint="cs"/>
          <w:rtl/>
        </w:rPr>
        <w:t>ة</w:t>
      </w:r>
      <w:r w:rsidRPr="008D0DB1">
        <w:rPr>
          <w:rtl/>
        </w:rPr>
        <w:t xml:space="preserve"> </w:t>
      </w:r>
      <w:r w:rsidRPr="008D0DB1">
        <w:rPr>
          <w:rFonts w:hint="cs"/>
          <w:rtl/>
        </w:rPr>
        <w:t>من قبل ا</w:t>
      </w:r>
      <w:r w:rsidRPr="008D0DB1">
        <w:rPr>
          <w:rtl/>
        </w:rPr>
        <w:t>لسلطات العامة، وينيط بها المشرع مهمة خدمة المصلحة العامة</w:t>
      </w:r>
      <w:r w:rsidRPr="008D0DB1">
        <w:rPr>
          <w:rStyle w:val="EndnoteReference"/>
          <w:rtl/>
        </w:rPr>
        <w:t>(</w:t>
      </w:r>
      <w:r w:rsidRPr="008D0DB1">
        <w:rPr>
          <w:rStyle w:val="EndnoteReference"/>
          <w:rtl/>
        </w:rPr>
        <w:endnoteReference w:id="214"/>
      </w:r>
      <w:r w:rsidRPr="008D0DB1">
        <w:rPr>
          <w:rStyle w:val="EndnoteReference"/>
          <w:rtl/>
        </w:rPr>
        <w:t>)</w:t>
      </w:r>
      <w:r w:rsidRPr="008D0DB1">
        <w:rPr>
          <w:rFonts w:hint="cs"/>
          <w:rtl/>
        </w:rPr>
        <w:t>.</w:t>
      </w:r>
    </w:p>
    <w:p w:rsidR="00944A3C" w:rsidRPr="008D0DB1" w:rsidRDefault="00944A3C" w:rsidP="008D0DB1">
      <w:pPr>
        <w:pStyle w:val="SingleTxtGA"/>
        <w:rPr>
          <w:rtl/>
        </w:rPr>
      </w:pPr>
      <w:r w:rsidRPr="008D0DB1">
        <w:rPr>
          <w:rFonts w:hint="cs"/>
          <w:rtl/>
        </w:rPr>
        <w:t>351-</w:t>
      </w:r>
      <w:r w:rsidRPr="008D0DB1">
        <w:rPr>
          <w:rFonts w:hint="cs"/>
          <w:rtl/>
        </w:rPr>
        <w:tab/>
      </w:r>
      <w:r w:rsidRPr="008D0DB1">
        <w:rPr>
          <w:rtl/>
        </w:rPr>
        <w:t xml:space="preserve">وسيُكتفى فيما يلي بتناول </w:t>
      </w:r>
      <w:r w:rsidRPr="008D0DB1">
        <w:rPr>
          <w:rFonts w:hint="cs"/>
          <w:rtl/>
        </w:rPr>
        <w:t xml:space="preserve">موضوع الهيئات </w:t>
      </w:r>
      <w:r w:rsidRPr="008D0DB1">
        <w:rPr>
          <w:rtl/>
        </w:rPr>
        <w:t>المختصة أساس</w:t>
      </w:r>
      <w:r w:rsidR="00443A06">
        <w:rPr>
          <w:rtl/>
        </w:rPr>
        <w:t xml:space="preserve">اً </w:t>
      </w:r>
      <w:r w:rsidRPr="008D0DB1">
        <w:rPr>
          <w:rtl/>
        </w:rPr>
        <w:t>في مجال حماية الحقوق الأساسية</w:t>
      </w:r>
      <w:r w:rsidRPr="008D0DB1">
        <w:rPr>
          <w:rFonts w:hint="cs"/>
          <w:rtl/>
        </w:rPr>
        <w:t xml:space="preserve"> وتعزيزها.</w:t>
      </w:r>
    </w:p>
    <w:p w:rsidR="00944A3C" w:rsidRPr="008D0DB1" w:rsidRDefault="00944A3C" w:rsidP="00A1269F">
      <w:pPr>
        <w:pStyle w:val="H23GA"/>
        <w:rPr>
          <w:rtl/>
        </w:rPr>
      </w:pPr>
      <w:r w:rsidRPr="008D0DB1">
        <w:rPr>
          <w:rtl/>
        </w:rPr>
        <w:lastRenderedPageBreak/>
        <w:tab/>
      </w:r>
      <w:bookmarkStart w:id="360" w:name="_Toc508623292"/>
      <w:r w:rsidRPr="008D0DB1">
        <w:rPr>
          <w:rtl/>
        </w:rPr>
        <w:t>1-</w:t>
      </w:r>
      <w:r w:rsidRPr="008D0DB1">
        <w:rPr>
          <w:rtl/>
        </w:rPr>
        <w:tab/>
        <w:t>اللجنة الوطنية الاستشارية لحقوق الإنسان</w:t>
      </w:r>
      <w:bookmarkEnd w:id="360"/>
    </w:p>
    <w:p w:rsidR="00944A3C" w:rsidRPr="008D0DB1" w:rsidRDefault="00944A3C" w:rsidP="008D0DB1">
      <w:pPr>
        <w:pStyle w:val="H23GA"/>
        <w:rPr>
          <w:rtl/>
        </w:rPr>
      </w:pPr>
      <w:r w:rsidRPr="008D0DB1">
        <w:rPr>
          <w:rtl/>
        </w:rPr>
        <w:tab/>
        <w:t>(أ)</w:t>
      </w:r>
      <w:r w:rsidRPr="008D0DB1">
        <w:rPr>
          <w:rtl/>
        </w:rPr>
        <w:tab/>
        <w:t>معلومات أساسية</w:t>
      </w:r>
    </w:p>
    <w:p w:rsidR="00944A3C" w:rsidRPr="008D0DB1" w:rsidRDefault="00944A3C" w:rsidP="008D0DB1">
      <w:pPr>
        <w:pStyle w:val="SingleTxtGA"/>
        <w:rPr>
          <w:rtl/>
        </w:rPr>
      </w:pPr>
      <w:r w:rsidRPr="008D0DB1">
        <w:rPr>
          <w:rFonts w:hint="cs"/>
          <w:rtl/>
        </w:rPr>
        <w:t>352-</w:t>
      </w:r>
      <w:r w:rsidRPr="008D0DB1">
        <w:rPr>
          <w:rFonts w:hint="cs"/>
          <w:rtl/>
        </w:rPr>
        <w:tab/>
      </w:r>
      <w:r w:rsidRPr="008D0DB1">
        <w:rPr>
          <w:rtl/>
        </w:rPr>
        <w:t>في 17 آذار/مارس 1947، أُنشئت بموجب قرار صادر عن وزارة الشؤون الخارجية لجنة</w:t>
      </w:r>
      <w:r w:rsidRPr="008D0DB1">
        <w:rPr>
          <w:rFonts w:hint="cs"/>
          <w:rtl/>
        </w:rPr>
        <w:t>ٌ</w:t>
      </w:r>
      <w:r w:rsidRPr="008D0DB1">
        <w:rPr>
          <w:rtl/>
        </w:rPr>
        <w:t xml:space="preserve"> استشارية لتدوين القانون الدولي و</w:t>
      </w:r>
      <w:r w:rsidRPr="008D0DB1">
        <w:rPr>
          <w:rFonts w:hint="cs"/>
          <w:rtl/>
        </w:rPr>
        <w:t xml:space="preserve">الدفاع عن </w:t>
      </w:r>
      <w:r w:rsidRPr="008D0DB1">
        <w:rPr>
          <w:rtl/>
        </w:rPr>
        <w:t xml:space="preserve">حقوق الدول وواجباتها </w:t>
      </w:r>
      <w:r w:rsidRPr="008D0DB1">
        <w:rPr>
          <w:rFonts w:hint="cs"/>
          <w:rtl/>
        </w:rPr>
        <w:t>و</w:t>
      </w:r>
      <w:r w:rsidRPr="008D0DB1">
        <w:rPr>
          <w:rtl/>
        </w:rPr>
        <w:t>حقوق الإنسان</w:t>
      </w:r>
      <w:r w:rsidRPr="008D0DB1">
        <w:rPr>
          <w:rFonts w:hint="cs"/>
          <w:rtl/>
        </w:rPr>
        <w:t xml:space="preserve">. </w:t>
      </w:r>
      <w:r w:rsidRPr="008D0DB1">
        <w:rPr>
          <w:rtl/>
        </w:rPr>
        <w:t>وكانت تتألف حينها من عشرة أعضاء (</w:t>
      </w:r>
      <w:r w:rsidRPr="008D0DB1">
        <w:rPr>
          <w:rFonts w:hint="cs"/>
          <w:rtl/>
        </w:rPr>
        <w:t xml:space="preserve">متخصصون في </w:t>
      </w:r>
      <w:r w:rsidRPr="008D0DB1">
        <w:rPr>
          <w:rtl/>
        </w:rPr>
        <w:t>القانون وأكاديميون ودبلوماسيون)</w:t>
      </w:r>
      <w:r w:rsidRPr="008D0DB1">
        <w:rPr>
          <w:rFonts w:hint="cs"/>
          <w:rtl/>
        </w:rPr>
        <w:t xml:space="preserve">. </w:t>
      </w:r>
      <w:r w:rsidRPr="008D0DB1">
        <w:rPr>
          <w:rtl/>
        </w:rPr>
        <w:t>واضطلعت هذه اللجنة الاستشارية الأولى على وجه الخصوص بإعداد مشروع الإعلان العالمي لحقوق الإنسان</w:t>
      </w:r>
      <w:r w:rsidRPr="008D0DB1">
        <w:rPr>
          <w:rFonts w:hint="cs"/>
          <w:rtl/>
        </w:rPr>
        <w:t xml:space="preserve">. </w:t>
      </w:r>
      <w:r w:rsidRPr="008D0DB1">
        <w:rPr>
          <w:rtl/>
        </w:rPr>
        <w:t>وفي 30 كانون الثاني/يناير 1984، تحولت اللجنة الاستشارية المنشأة في عام</w:t>
      </w:r>
      <w:r w:rsidR="008D0DB1">
        <w:rPr>
          <w:rFonts w:hint="cs"/>
          <w:rtl/>
        </w:rPr>
        <w:t> </w:t>
      </w:r>
      <w:r w:rsidRPr="008D0DB1">
        <w:rPr>
          <w:rtl/>
        </w:rPr>
        <w:t>1947 إلى اللجنة الوطنية الاستشارية لحقوق الإنسان</w:t>
      </w:r>
      <w:r w:rsidRPr="008D0DB1">
        <w:rPr>
          <w:rFonts w:hint="cs"/>
          <w:rtl/>
        </w:rPr>
        <w:t xml:space="preserve">. وتتولى مهمة </w:t>
      </w:r>
      <w:r w:rsidRPr="008D0DB1">
        <w:rPr>
          <w:rtl/>
        </w:rPr>
        <w:t>إسداء المشورة لوزير الشؤون الخارجية فيما يتعلق بالإجراءات التي تتخذها فرنسا لصالح حقوق الإنسان في العالم</w:t>
      </w:r>
      <w:r w:rsidRPr="008D0DB1">
        <w:rPr>
          <w:rFonts w:hint="cs"/>
          <w:rtl/>
        </w:rPr>
        <w:t xml:space="preserve">. </w:t>
      </w:r>
      <w:r w:rsidRPr="008D0DB1">
        <w:rPr>
          <w:rtl/>
        </w:rPr>
        <w:t>وفي عام 1986، وُسع نطاق اختصاصها ليشمل المسائل المتصلة بحقوق الإنسان على الصعيد الوطني</w:t>
      </w:r>
      <w:r w:rsidRPr="008D0DB1">
        <w:rPr>
          <w:rFonts w:hint="cs"/>
          <w:rtl/>
        </w:rPr>
        <w:t xml:space="preserve">. </w:t>
      </w:r>
      <w:r w:rsidRPr="008D0DB1">
        <w:rPr>
          <w:rtl/>
        </w:rPr>
        <w:t>وتتألف اللجنة الوطنية الاستشارية لحقوق الإنسان، التي تُعَين لولاية مدتها سنتان، من</w:t>
      </w:r>
      <w:r w:rsidR="008D0DB1">
        <w:rPr>
          <w:rFonts w:hint="cs"/>
          <w:rtl/>
        </w:rPr>
        <w:t> </w:t>
      </w:r>
      <w:r w:rsidRPr="008D0DB1">
        <w:rPr>
          <w:rtl/>
        </w:rPr>
        <w:t>40 عضوا</w:t>
      </w:r>
      <w:r w:rsidR="00D575E7">
        <w:rPr>
          <w:rFonts w:hint="cs"/>
          <w:rtl/>
        </w:rPr>
        <w:t>ً</w:t>
      </w:r>
      <w:r w:rsidRPr="008D0DB1">
        <w:rPr>
          <w:rtl/>
        </w:rPr>
        <w:t>: ممثلون عن الجمعيات الرئيسية، وعن البرلمان، والوزارات المعنية، فضل</w:t>
      </w:r>
      <w:r w:rsidR="00443A06">
        <w:rPr>
          <w:rtl/>
        </w:rPr>
        <w:t xml:space="preserve">اً </w:t>
      </w:r>
      <w:r w:rsidRPr="008D0DB1">
        <w:rPr>
          <w:rtl/>
        </w:rPr>
        <w:t>عن شخصيات مؤهلة في مجال حقوق الإنسان</w:t>
      </w:r>
      <w:r w:rsidRPr="008D0DB1">
        <w:rPr>
          <w:rFonts w:hint="cs"/>
          <w:rtl/>
        </w:rPr>
        <w:t xml:space="preserve">. </w:t>
      </w:r>
      <w:r w:rsidRPr="008D0DB1">
        <w:rPr>
          <w:rtl/>
        </w:rPr>
        <w:t>وفي عام 1989، أصبحت اللجنة تابعة بشكل مباشر لرئيس الوزراء</w:t>
      </w:r>
      <w:r w:rsidRPr="008D0DB1">
        <w:rPr>
          <w:rFonts w:hint="cs"/>
          <w:rtl/>
        </w:rPr>
        <w:t xml:space="preserve">. </w:t>
      </w:r>
      <w:r w:rsidRPr="008D0DB1">
        <w:rPr>
          <w:rtl/>
        </w:rPr>
        <w:t>وأُسندت إليها صلاحية النظر من تلقاء ذاتها في جميع المسائل المندرجة ضمن اختصاصها</w:t>
      </w:r>
      <w:r w:rsidRPr="008D0DB1">
        <w:rPr>
          <w:rFonts w:hint="cs"/>
          <w:rtl/>
        </w:rPr>
        <w:t xml:space="preserve">. </w:t>
      </w:r>
      <w:r w:rsidRPr="008D0DB1">
        <w:rPr>
          <w:rtl/>
        </w:rPr>
        <w:t>وكرس القانون رقم 2007-292 المؤرخ 5 آذار/مارس 2007 استقلالها الذي كان معترف</w:t>
      </w:r>
      <w:r w:rsidR="00443A06">
        <w:rPr>
          <w:rtl/>
        </w:rPr>
        <w:t xml:space="preserve">اً </w:t>
      </w:r>
      <w:r w:rsidRPr="008D0DB1">
        <w:rPr>
          <w:rtl/>
        </w:rPr>
        <w:t>به صراحة في تلك الفترة</w:t>
      </w:r>
      <w:r w:rsidRPr="008D0DB1">
        <w:rPr>
          <w:rFonts w:hint="cs"/>
          <w:rtl/>
        </w:rPr>
        <w:t>.</w:t>
      </w:r>
    </w:p>
    <w:p w:rsidR="00944A3C" w:rsidRPr="008D0DB1" w:rsidRDefault="00944A3C" w:rsidP="008D0DB1">
      <w:pPr>
        <w:pStyle w:val="H23GA"/>
        <w:rPr>
          <w:rtl/>
        </w:rPr>
      </w:pPr>
      <w:r w:rsidRPr="008D0DB1">
        <w:rPr>
          <w:rtl/>
        </w:rPr>
        <w:tab/>
        <w:t>(ب)</w:t>
      </w:r>
      <w:r w:rsidRPr="008D0DB1">
        <w:rPr>
          <w:rtl/>
        </w:rPr>
        <w:tab/>
        <w:t>الولاية والتشكيلة</w:t>
      </w:r>
    </w:p>
    <w:p w:rsidR="00944A3C" w:rsidRPr="008D0DB1" w:rsidRDefault="00944A3C" w:rsidP="008D0DB1">
      <w:pPr>
        <w:pStyle w:val="SingleTxtGA"/>
        <w:rPr>
          <w:rtl/>
        </w:rPr>
      </w:pPr>
      <w:r w:rsidRPr="008D0DB1">
        <w:rPr>
          <w:rFonts w:hint="cs"/>
          <w:rtl/>
        </w:rPr>
        <w:t>353-</w:t>
      </w:r>
      <w:r w:rsidRPr="008D0DB1">
        <w:rPr>
          <w:rFonts w:hint="cs"/>
          <w:rtl/>
        </w:rPr>
        <w:tab/>
      </w:r>
      <w:r w:rsidRPr="008D0DB1">
        <w:rPr>
          <w:rtl/>
        </w:rPr>
        <w:t xml:space="preserve">يستند </w:t>
      </w:r>
      <w:r w:rsidRPr="008D0DB1">
        <w:rPr>
          <w:rFonts w:hint="cs"/>
          <w:rtl/>
        </w:rPr>
        <w:t xml:space="preserve">إنشاء </w:t>
      </w:r>
      <w:r w:rsidRPr="008D0DB1">
        <w:rPr>
          <w:rtl/>
        </w:rPr>
        <w:t xml:space="preserve">هذه المؤسسة الوطنية إلى القناعة بأن تجاهل حقوق الإنسان وازدراءها مسألتان لا يمكن مكافحتهما على نحو مستدام إلا من خلال الجمع بين </w:t>
      </w:r>
      <w:r w:rsidRPr="008D0DB1">
        <w:rPr>
          <w:rFonts w:hint="cs"/>
          <w:rtl/>
        </w:rPr>
        <w:t>ال</w:t>
      </w:r>
      <w:r w:rsidRPr="008D0DB1">
        <w:rPr>
          <w:rtl/>
        </w:rPr>
        <w:t>عمل المؤسس</w:t>
      </w:r>
      <w:r w:rsidRPr="008D0DB1">
        <w:rPr>
          <w:rFonts w:hint="cs"/>
          <w:rtl/>
        </w:rPr>
        <w:t>ي</w:t>
      </w:r>
      <w:r w:rsidRPr="008D0DB1">
        <w:rPr>
          <w:rtl/>
        </w:rPr>
        <w:t xml:space="preserve"> -سواء تعلق الأمر </w:t>
      </w:r>
      <w:r w:rsidRPr="008D0DB1">
        <w:rPr>
          <w:rFonts w:hint="cs"/>
          <w:rtl/>
        </w:rPr>
        <w:t>ب</w:t>
      </w:r>
      <w:r w:rsidRPr="008D0DB1">
        <w:rPr>
          <w:rtl/>
        </w:rPr>
        <w:t>السلطة التشريعية أو السلطة التنفيذية أو مختلف الهيئات القضائية</w:t>
      </w:r>
      <w:r w:rsidR="008D0DB1">
        <w:rPr>
          <w:rFonts w:hint="cs"/>
          <w:rtl/>
        </w:rPr>
        <w:t xml:space="preserve"> </w:t>
      </w:r>
      <w:r w:rsidRPr="008D0DB1">
        <w:rPr>
          <w:rFonts w:hint="cs"/>
          <w:rtl/>
        </w:rPr>
        <w:t>-</w:t>
      </w:r>
      <w:r w:rsidRPr="008D0DB1">
        <w:rPr>
          <w:rtl/>
        </w:rPr>
        <w:t xml:space="preserve"> والعمل الميداني لجميع الجهات الفاعلة الاجتماعية</w:t>
      </w:r>
      <w:r w:rsidRPr="008D0DB1">
        <w:rPr>
          <w:rFonts w:hint="cs"/>
          <w:rtl/>
        </w:rPr>
        <w:t>. و</w:t>
      </w:r>
      <w:r w:rsidRPr="008D0DB1">
        <w:rPr>
          <w:rtl/>
        </w:rPr>
        <w:t xml:space="preserve">تضطلع اللجنة الوطنية </w:t>
      </w:r>
      <w:r w:rsidRPr="008D0DB1">
        <w:rPr>
          <w:rFonts w:hint="cs"/>
          <w:rtl/>
        </w:rPr>
        <w:t xml:space="preserve">بالتالي </w:t>
      </w:r>
      <w:r w:rsidRPr="008D0DB1">
        <w:rPr>
          <w:rtl/>
        </w:rPr>
        <w:t>بمهام عديدة</w:t>
      </w:r>
      <w:r w:rsidRPr="008D0DB1">
        <w:rPr>
          <w:rFonts w:hint="cs"/>
          <w:rtl/>
        </w:rPr>
        <w:t>.</w:t>
      </w:r>
    </w:p>
    <w:p w:rsidR="00944A3C" w:rsidRPr="008D0DB1" w:rsidRDefault="00944A3C" w:rsidP="001D4D90">
      <w:pPr>
        <w:pStyle w:val="H4GA"/>
        <w:rPr>
          <w:rtl/>
        </w:rPr>
      </w:pPr>
      <w:r w:rsidRPr="008D0DB1">
        <w:rPr>
          <w:rtl/>
        </w:rPr>
        <w:tab/>
      </w:r>
      <w:r w:rsidR="001D4D90">
        <w:rPr>
          <w:rFonts w:hint="cs"/>
          <w:rtl/>
        </w:rPr>
        <w:t>‘1‘</w:t>
      </w:r>
      <w:r w:rsidRPr="008D0DB1">
        <w:rPr>
          <w:rtl/>
        </w:rPr>
        <w:tab/>
        <w:t>تشجيع الحوار بين الدولة والمجتمع المدني وتنسيق عملهما</w:t>
      </w:r>
    </w:p>
    <w:p w:rsidR="00944A3C" w:rsidRPr="008D0DB1" w:rsidRDefault="00944A3C" w:rsidP="008D0DB1">
      <w:pPr>
        <w:pStyle w:val="SingleTxtGA"/>
        <w:rPr>
          <w:rtl/>
        </w:rPr>
      </w:pPr>
      <w:r w:rsidRPr="008D0DB1">
        <w:rPr>
          <w:rFonts w:hint="cs"/>
          <w:rtl/>
        </w:rPr>
        <w:t>354-</w:t>
      </w:r>
      <w:r w:rsidRPr="008D0DB1">
        <w:rPr>
          <w:rFonts w:hint="cs"/>
          <w:rtl/>
        </w:rPr>
        <w:tab/>
        <w:t xml:space="preserve">تيسر </w:t>
      </w:r>
      <w:r w:rsidRPr="008D0DB1">
        <w:rPr>
          <w:rtl/>
        </w:rPr>
        <w:t>هذا الحوار</w:t>
      </w:r>
      <w:r w:rsidRPr="008D0DB1">
        <w:rPr>
          <w:rFonts w:hint="cs"/>
          <w:rtl/>
        </w:rPr>
        <w:t>َ</w:t>
      </w:r>
      <w:r w:rsidRPr="008D0DB1">
        <w:rPr>
          <w:rtl/>
        </w:rPr>
        <w:t xml:space="preserve"> وهذا التنسيق تشكيلة</w:t>
      </w:r>
      <w:r w:rsidRPr="008D0DB1">
        <w:rPr>
          <w:rFonts w:hint="cs"/>
          <w:rtl/>
        </w:rPr>
        <w:t>ُ</w:t>
      </w:r>
      <w:r w:rsidRPr="008D0DB1">
        <w:rPr>
          <w:rtl/>
        </w:rPr>
        <w:t xml:space="preserve"> اللجنة الوطنية الاستشارية لحقوق الإنسان، التي تكفل تمثيل المؤسسات السياسية ومؤسسات المجتمع المدني وكذلك تعددية القناعات والآراء</w:t>
      </w:r>
      <w:r w:rsidRPr="008D0DB1">
        <w:rPr>
          <w:rFonts w:hint="cs"/>
          <w:rtl/>
        </w:rPr>
        <w:t xml:space="preserve">. </w:t>
      </w:r>
      <w:r w:rsidRPr="008D0DB1">
        <w:rPr>
          <w:rtl/>
        </w:rPr>
        <w:t>ويشكل وجود نائب برلماني وعضو من أعضاء مجلس الشيوخ يعَينهما رئيس</w:t>
      </w:r>
      <w:r w:rsidR="00443A06">
        <w:rPr>
          <w:rtl/>
        </w:rPr>
        <w:t xml:space="preserve">ا </w:t>
      </w:r>
      <w:r w:rsidRPr="008D0DB1">
        <w:rPr>
          <w:rtl/>
        </w:rPr>
        <w:t xml:space="preserve">المجلسين حلقة </w:t>
      </w:r>
      <w:r w:rsidRPr="008D0DB1">
        <w:rPr>
          <w:rFonts w:hint="cs"/>
          <w:rtl/>
        </w:rPr>
        <w:t>ال</w:t>
      </w:r>
      <w:r w:rsidRPr="008D0DB1">
        <w:rPr>
          <w:rtl/>
        </w:rPr>
        <w:t>وصل مع السلطة التشريعية</w:t>
      </w:r>
      <w:r w:rsidRPr="008D0DB1">
        <w:rPr>
          <w:rFonts w:hint="cs"/>
          <w:rtl/>
        </w:rPr>
        <w:t xml:space="preserve">. ويضطلع </w:t>
      </w:r>
      <w:r w:rsidRPr="008D0DB1">
        <w:rPr>
          <w:rtl/>
        </w:rPr>
        <w:t xml:space="preserve">ممثل </w:t>
      </w:r>
      <w:r w:rsidRPr="008D0DB1">
        <w:rPr>
          <w:rFonts w:hint="cs"/>
          <w:rtl/>
        </w:rPr>
        <w:t xml:space="preserve">عن </w:t>
      </w:r>
      <w:r w:rsidRPr="008D0DB1">
        <w:rPr>
          <w:rtl/>
        </w:rPr>
        <w:t xml:space="preserve">المجلس الاقتصادي والاجتماعي والبيئي، </w:t>
      </w:r>
      <w:r w:rsidRPr="008D0DB1">
        <w:rPr>
          <w:rFonts w:hint="cs"/>
          <w:rtl/>
        </w:rPr>
        <w:t>من جانبه</w:t>
      </w:r>
      <w:r w:rsidRPr="008D0DB1">
        <w:rPr>
          <w:rtl/>
        </w:rPr>
        <w:t xml:space="preserve">، </w:t>
      </w:r>
      <w:r w:rsidRPr="008D0DB1">
        <w:rPr>
          <w:rFonts w:hint="cs"/>
          <w:rtl/>
        </w:rPr>
        <w:t xml:space="preserve">بدور صلة الوصل مع </w:t>
      </w:r>
      <w:r w:rsidRPr="008D0DB1">
        <w:rPr>
          <w:rtl/>
        </w:rPr>
        <w:t>هذه المؤسسة</w:t>
      </w:r>
      <w:r w:rsidRPr="008D0DB1">
        <w:rPr>
          <w:rFonts w:hint="cs"/>
          <w:rtl/>
        </w:rPr>
        <w:t xml:space="preserve">. </w:t>
      </w:r>
      <w:r w:rsidRPr="008D0DB1">
        <w:rPr>
          <w:rtl/>
        </w:rPr>
        <w:t xml:space="preserve">ويعين رئيس الوزراء هؤلاء الأعضاء </w:t>
      </w:r>
      <w:r w:rsidRPr="008D0DB1">
        <w:rPr>
          <w:rFonts w:hint="cs"/>
          <w:rtl/>
        </w:rPr>
        <w:t>ل</w:t>
      </w:r>
      <w:r w:rsidRPr="008D0DB1">
        <w:rPr>
          <w:rtl/>
        </w:rPr>
        <w:t>ولاي</w:t>
      </w:r>
      <w:r w:rsidRPr="008D0DB1">
        <w:rPr>
          <w:rFonts w:hint="cs"/>
          <w:rtl/>
        </w:rPr>
        <w:t xml:space="preserve">ة كاملة. </w:t>
      </w:r>
    </w:p>
    <w:p w:rsidR="00944A3C" w:rsidRPr="008D0DB1" w:rsidRDefault="00944A3C" w:rsidP="008D0DB1">
      <w:pPr>
        <w:pStyle w:val="SingleTxtGA"/>
        <w:rPr>
          <w:rtl/>
        </w:rPr>
      </w:pPr>
      <w:r w:rsidRPr="008D0DB1">
        <w:rPr>
          <w:rFonts w:hint="cs"/>
          <w:rtl/>
        </w:rPr>
        <w:t>355-</w:t>
      </w:r>
      <w:r w:rsidRPr="008D0DB1">
        <w:rPr>
          <w:rFonts w:hint="cs"/>
          <w:rtl/>
        </w:rPr>
        <w:tab/>
        <w:t xml:space="preserve">ويجسد </w:t>
      </w:r>
      <w:r w:rsidRPr="008D0DB1">
        <w:rPr>
          <w:rtl/>
        </w:rPr>
        <w:t xml:space="preserve">المدافع عن الحقوق خبرة هذه المؤسسة </w:t>
      </w:r>
      <w:r w:rsidRPr="008D0DB1">
        <w:rPr>
          <w:rFonts w:hint="cs"/>
          <w:rtl/>
        </w:rPr>
        <w:t xml:space="preserve">في </w:t>
      </w:r>
      <w:r w:rsidRPr="008D0DB1">
        <w:rPr>
          <w:rtl/>
        </w:rPr>
        <w:t>العلاقات مع مختلف الإدارات الوطنية والمحلية</w:t>
      </w:r>
      <w:r w:rsidRPr="008D0DB1">
        <w:rPr>
          <w:rFonts w:hint="cs"/>
          <w:rtl/>
        </w:rPr>
        <w:t xml:space="preserve">. </w:t>
      </w:r>
      <w:r w:rsidRPr="008D0DB1">
        <w:rPr>
          <w:rtl/>
        </w:rPr>
        <w:t>و</w:t>
      </w:r>
      <w:r w:rsidRPr="008D0DB1">
        <w:rPr>
          <w:rFonts w:hint="cs"/>
          <w:rtl/>
        </w:rPr>
        <w:t xml:space="preserve">يمثل </w:t>
      </w:r>
      <w:r w:rsidRPr="008D0DB1">
        <w:rPr>
          <w:rtl/>
        </w:rPr>
        <w:t>المجتمع</w:t>
      </w:r>
      <w:r w:rsidRPr="008D0DB1">
        <w:rPr>
          <w:rFonts w:hint="cs"/>
          <w:rtl/>
        </w:rPr>
        <w:t>َ</w:t>
      </w:r>
      <w:r w:rsidRPr="008D0DB1">
        <w:rPr>
          <w:rtl/>
        </w:rPr>
        <w:t xml:space="preserve"> المدني فيها</w:t>
      </w:r>
      <w:r w:rsidRPr="008D0DB1">
        <w:rPr>
          <w:rFonts w:hint="cs"/>
          <w:rtl/>
        </w:rPr>
        <w:t>:</w:t>
      </w:r>
    </w:p>
    <w:p w:rsidR="00944A3C" w:rsidRPr="008D0DB1" w:rsidRDefault="00944A3C" w:rsidP="008D0DB1">
      <w:pPr>
        <w:pStyle w:val="Bullet1GA"/>
        <w:bidi/>
      </w:pPr>
      <w:r w:rsidRPr="008D0DB1">
        <w:rPr>
          <w:rtl/>
        </w:rPr>
        <w:t xml:space="preserve">23 جمعية وطنية مكرسة لتعزيز وحماية حقوق الإنسان </w:t>
      </w:r>
      <w:r w:rsidRPr="008D0DB1">
        <w:rPr>
          <w:rFonts w:hint="cs"/>
          <w:rtl/>
        </w:rPr>
        <w:t>ب</w:t>
      </w:r>
      <w:r w:rsidRPr="008D0DB1">
        <w:rPr>
          <w:rtl/>
        </w:rPr>
        <w:t>مختلف جوانبها</w:t>
      </w:r>
      <w:r w:rsidRPr="008D0DB1">
        <w:rPr>
          <w:rFonts w:hint="cs"/>
          <w:rtl/>
        </w:rPr>
        <w:t>؛</w:t>
      </w:r>
    </w:p>
    <w:p w:rsidR="00944A3C" w:rsidRPr="008D0DB1" w:rsidRDefault="00944A3C" w:rsidP="008D0DB1">
      <w:pPr>
        <w:pStyle w:val="Bullet1GA"/>
        <w:bidi/>
      </w:pPr>
      <w:r w:rsidRPr="008D0DB1">
        <w:rPr>
          <w:rtl/>
        </w:rPr>
        <w:t>ممثلو الاتحادات النقابية السبعة الرئيسية</w:t>
      </w:r>
      <w:r w:rsidRPr="008D0DB1">
        <w:rPr>
          <w:rFonts w:hint="cs"/>
          <w:rtl/>
        </w:rPr>
        <w:t>؛</w:t>
      </w:r>
    </w:p>
    <w:p w:rsidR="00944A3C" w:rsidRPr="008D0DB1" w:rsidRDefault="00944A3C" w:rsidP="008D0DB1">
      <w:pPr>
        <w:pStyle w:val="Bullet1GA"/>
        <w:bidi/>
        <w:rPr>
          <w:rtl/>
        </w:rPr>
      </w:pPr>
      <w:r w:rsidRPr="008D0DB1">
        <w:rPr>
          <w:rtl/>
        </w:rPr>
        <w:lastRenderedPageBreak/>
        <w:t xml:space="preserve">30 </w:t>
      </w:r>
      <w:r w:rsidRPr="008D0DB1">
        <w:rPr>
          <w:rFonts w:hint="cs"/>
          <w:rtl/>
        </w:rPr>
        <w:t xml:space="preserve">من الشخصيات </w:t>
      </w:r>
      <w:r w:rsidRPr="008D0DB1">
        <w:rPr>
          <w:rtl/>
        </w:rPr>
        <w:t xml:space="preserve">المؤهلة </w:t>
      </w:r>
      <w:r w:rsidRPr="008D0DB1">
        <w:rPr>
          <w:rFonts w:hint="cs"/>
          <w:rtl/>
        </w:rPr>
        <w:t xml:space="preserve">التي </w:t>
      </w:r>
      <w:r w:rsidRPr="008D0DB1">
        <w:rPr>
          <w:rtl/>
        </w:rPr>
        <w:t>تمثل الديان</w:t>
      </w:r>
      <w:r w:rsidRPr="008D0DB1">
        <w:rPr>
          <w:rFonts w:hint="cs"/>
          <w:rtl/>
        </w:rPr>
        <w:t>ات</w:t>
      </w:r>
      <w:r w:rsidRPr="008D0DB1">
        <w:rPr>
          <w:rtl/>
        </w:rPr>
        <w:t xml:space="preserve"> الكاثوليكية والإسلام</w:t>
      </w:r>
      <w:r w:rsidRPr="008D0DB1">
        <w:rPr>
          <w:rFonts w:hint="cs"/>
          <w:rtl/>
        </w:rPr>
        <w:t>ية</w:t>
      </w:r>
      <w:r w:rsidRPr="008D0DB1">
        <w:rPr>
          <w:rtl/>
        </w:rPr>
        <w:t xml:space="preserve"> والبروتستانتية واليهودية، أو </w:t>
      </w:r>
      <w:r w:rsidRPr="008D0DB1">
        <w:rPr>
          <w:rFonts w:hint="cs"/>
          <w:rtl/>
        </w:rPr>
        <w:t xml:space="preserve">التي تنتمي إلى </w:t>
      </w:r>
      <w:r w:rsidRPr="008D0DB1">
        <w:rPr>
          <w:rtl/>
        </w:rPr>
        <w:t xml:space="preserve">الأوساط الأكاديمية والسلك الدبلوماسي وهيئة </w:t>
      </w:r>
      <w:r w:rsidRPr="008D0DB1">
        <w:rPr>
          <w:rFonts w:hint="cs"/>
          <w:rtl/>
        </w:rPr>
        <w:t xml:space="preserve">تضم </w:t>
      </w:r>
      <w:r w:rsidRPr="008D0DB1">
        <w:rPr>
          <w:rtl/>
        </w:rPr>
        <w:t>عد</w:t>
      </w:r>
      <w:r w:rsidRPr="008D0DB1">
        <w:rPr>
          <w:rFonts w:hint="cs"/>
          <w:rtl/>
        </w:rPr>
        <w:t>ة</w:t>
      </w:r>
      <w:r w:rsidRPr="008D0DB1">
        <w:rPr>
          <w:rtl/>
        </w:rPr>
        <w:t xml:space="preserve"> خبراء مستقلين </w:t>
      </w:r>
      <w:r w:rsidRPr="008D0DB1">
        <w:rPr>
          <w:rFonts w:hint="cs"/>
          <w:rtl/>
        </w:rPr>
        <w:t>يعملون في م</w:t>
      </w:r>
      <w:r w:rsidRPr="008D0DB1">
        <w:rPr>
          <w:rtl/>
        </w:rPr>
        <w:t>نظمات دولية</w:t>
      </w:r>
      <w:r w:rsidRPr="008D0DB1">
        <w:rPr>
          <w:rFonts w:hint="cs"/>
          <w:rtl/>
        </w:rPr>
        <w:t>.</w:t>
      </w:r>
    </w:p>
    <w:p w:rsidR="00944A3C" w:rsidRPr="008D0DB1" w:rsidRDefault="00944A3C" w:rsidP="008D0DB1">
      <w:pPr>
        <w:pStyle w:val="SingleTxtGA"/>
        <w:rPr>
          <w:rtl/>
        </w:rPr>
      </w:pPr>
      <w:r w:rsidRPr="008D0DB1">
        <w:rPr>
          <w:rFonts w:hint="cs"/>
          <w:rtl/>
        </w:rPr>
        <w:t>356-</w:t>
      </w:r>
      <w:r w:rsidRPr="008D0DB1">
        <w:rPr>
          <w:rFonts w:hint="cs"/>
          <w:rtl/>
        </w:rPr>
        <w:tab/>
      </w:r>
      <w:r w:rsidRPr="008D0DB1">
        <w:rPr>
          <w:rtl/>
        </w:rPr>
        <w:t xml:space="preserve">ويعيَّن هؤلاء الأعضاء لولاية مدتها ثلاث سنوات، بقرار </w:t>
      </w:r>
      <w:r w:rsidRPr="008D0DB1">
        <w:rPr>
          <w:rFonts w:hint="cs"/>
          <w:rtl/>
        </w:rPr>
        <w:t xml:space="preserve">يتخذه </w:t>
      </w:r>
      <w:r w:rsidRPr="008D0DB1">
        <w:rPr>
          <w:rtl/>
        </w:rPr>
        <w:t xml:space="preserve">رئيس الوزراء، بعد </w:t>
      </w:r>
      <w:r w:rsidRPr="008D0DB1">
        <w:rPr>
          <w:rFonts w:hint="cs"/>
          <w:rtl/>
        </w:rPr>
        <w:t xml:space="preserve">استشارة </w:t>
      </w:r>
      <w:r w:rsidRPr="008D0DB1">
        <w:rPr>
          <w:rtl/>
        </w:rPr>
        <w:t>لجنة مؤلفة من نائب رئيس مجلس الدولة ورئيس محكمة النقض ورئيس محكمة تدقيق الحسابات</w:t>
      </w:r>
      <w:r w:rsidRPr="008D0DB1">
        <w:rPr>
          <w:rFonts w:hint="cs"/>
          <w:rtl/>
        </w:rPr>
        <w:t xml:space="preserve">. </w:t>
      </w:r>
      <w:r w:rsidRPr="008D0DB1">
        <w:rPr>
          <w:rtl/>
        </w:rPr>
        <w:t>ويمكن أن يشارك ممثلون لرئيس الوزراء والوزراء المعنيين أيض</w:t>
      </w:r>
      <w:r w:rsidR="00443A06">
        <w:rPr>
          <w:rtl/>
        </w:rPr>
        <w:t xml:space="preserve">اً </w:t>
      </w:r>
      <w:r w:rsidRPr="008D0DB1">
        <w:rPr>
          <w:rtl/>
        </w:rPr>
        <w:t>في أعمال اللجنة بصفة استشارية</w:t>
      </w:r>
      <w:r w:rsidRPr="008D0DB1">
        <w:rPr>
          <w:rFonts w:hint="cs"/>
          <w:rtl/>
        </w:rPr>
        <w:t>.</w:t>
      </w:r>
    </w:p>
    <w:p w:rsidR="00944A3C" w:rsidRPr="008D0DB1" w:rsidRDefault="00944A3C" w:rsidP="001D4D90">
      <w:pPr>
        <w:pStyle w:val="H4GA"/>
        <w:rPr>
          <w:rtl/>
        </w:rPr>
      </w:pPr>
      <w:r w:rsidRPr="008D0DB1">
        <w:rPr>
          <w:rtl/>
        </w:rPr>
        <w:tab/>
      </w:r>
      <w:r w:rsidR="001D4D90">
        <w:rPr>
          <w:rFonts w:hint="cs"/>
          <w:rtl/>
        </w:rPr>
        <w:t>‘2‘</w:t>
      </w:r>
      <w:r w:rsidRPr="008D0DB1">
        <w:rPr>
          <w:rtl/>
        </w:rPr>
        <w:tab/>
        <w:t>إسداء المشورة إلى رئيس الوزراء والحكومة</w:t>
      </w:r>
    </w:p>
    <w:p w:rsidR="00944A3C" w:rsidRPr="008D0DB1" w:rsidRDefault="00944A3C" w:rsidP="008D0DB1">
      <w:pPr>
        <w:pStyle w:val="SingleTxtGA"/>
        <w:rPr>
          <w:rtl/>
        </w:rPr>
      </w:pPr>
      <w:r w:rsidRPr="008D0DB1">
        <w:rPr>
          <w:rFonts w:hint="cs"/>
          <w:rtl/>
        </w:rPr>
        <w:t>357-</w:t>
      </w:r>
      <w:r w:rsidRPr="008D0DB1">
        <w:rPr>
          <w:rFonts w:hint="cs"/>
          <w:rtl/>
        </w:rPr>
        <w:tab/>
      </w:r>
      <w:r w:rsidRPr="008D0DB1">
        <w:rPr>
          <w:rtl/>
        </w:rPr>
        <w:t xml:space="preserve">تمارس اللجنة الوطنية الاستشارية لحقوق الإنسان مهمة مزدوجة رقابية واقتراحية سواء في بداية العمل الحكومي لدى إعداد مشاريع القوانين </w:t>
      </w:r>
      <w:r w:rsidRPr="008D0DB1">
        <w:rPr>
          <w:rFonts w:hint="cs"/>
          <w:rtl/>
        </w:rPr>
        <w:t xml:space="preserve">أو </w:t>
      </w:r>
      <w:r w:rsidRPr="008D0DB1">
        <w:rPr>
          <w:rtl/>
        </w:rPr>
        <w:t xml:space="preserve">الأنظمة </w:t>
      </w:r>
      <w:r w:rsidRPr="008D0DB1">
        <w:rPr>
          <w:rFonts w:hint="cs"/>
          <w:rtl/>
        </w:rPr>
        <w:t>و</w:t>
      </w:r>
      <w:r w:rsidRPr="008D0DB1">
        <w:rPr>
          <w:rtl/>
        </w:rPr>
        <w:t>السياسات والبرامج، أو في نهاية المطاف خلال التحقق من المراعاة الفعلية لحقوق الإنسان</w:t>
      </w:r>
      <w:r w:rsidRPr="008D0DB1">
        <w:rPr>
          <w:rFonts w:hint="cs"/>
          <w:rtl/>
        </w:rPr>
        <w:t xml:space="preserve">. </w:t>
      </w:r>
      <w:r w:rsidRPr="008D0DB1">
        <w:rPr>
          <w:rtl/>
        </w:rPr>
        <w:t>وبالتالي، ووفق</w:t>
      </w:r>
      <w:r w:rsidR="00443A06">
        <w:rPr>
          <w:rtl/>
        </w:rPr>
        <w:t xml:space="preserve">اً </w:t>
      </w:r>
      <w:r w:rsidRPr="008D0DB1">
        <w:rPr>
          <w:rtl/>
        </w:rPr>
        <w:t>للمادة 1 من القانون رقم 2007-292 المؤرخ 5 آذار/مارس</w:t>
      </w:r>
      <w:r w:rsidR="00D575E7">
        <w:rPr>
          <w:rFonts w:hint="cs"/>
          <w:rtl/>
        </w:rPr>
        <w:t xml:space="preserve"> </w:t>
      </w:r>
      <w:r w:rsidRPr="008D0DB1">
        <w:rPr>
          <w:rtl/>
        </w:rPr>
        <w:t>2007 بصيغته المعدلة، "تضطلع اللجنة الوطنية الاستشارية لحقوق الإنسان بدور تقديم المشورة والاقتراحات إلى الحكومة في مجال حقوق الإنسان، والقانون الدولي الإنساني، والعمل الإنساني</w:t>
      </w:r>
      <w:r w:rsidRPr="008D0DB1">
        <w:rPr>
          <w:rFonts w:hint="cs"/>
          <w:rtl/>
        </w:rPr>
        <w:t xml:space="preserve">. </w:t>
      </w:r>
      <w:r w:rsidRPr="008D0DB1">
        <w:rPr>
          <w:rtl/>
        </w:rPr>
        <w:t>وتقدم المساعدة لرئيس الوزراء والوزراء المعنيين من خلال إبداء آرائها بشأن جميع المسائل ذات الطابع العام التي تندرج ضمن مجال اختصاصه</w:t>
      </w:r>
      <w:r w:rsidRPr="008D0DB1">
        <w:rPr>
          <w:rFonts w:hint="cs"/>
          <w:rtl/>
        </w:rPr>
        <w:t>ا</w:t>
      </w:r>
      <w:r w:rsidRPr="008D0DB1">
        <w:rPr>
          <w:rtl/>
        </w:rPr>
        <w:t xml:space="preserve"> </w:t>
      </w:r>
      <w:r w:rsidRPr="008D0DB1">
        <w:rPr>
          <w:rFonts w:hint="cs"/>
          <w:rtl/>
        </w:rPr>
        <w:t xml:space="preserve">سواء </w:t>
      </w:r>
      <w:r w:rsidRPr="008D0DB1">
        <w:rPr>
          <w:rtl/>
        </w:rPr>
        <w:t xml:space="preserve">على الصعيد الوطني </w:t>
      </w:r>
      <w:r w:rsidRPr="008D0DB1">
        <w:rPr>
          <w:rFonts w:hint="cs"/>
          <w:rtl/>
        </w:rPr>
        <w:t xml:space="preserve">أو </w:t>
      </w:r>
      <w:r w:rsidRPr="008D0DB1">
        <w:rPr>
          <w:rtl/>
        </w:rPr>
        <w:t>الدولي</w:t>
      </w:r>
      <w:r w:rsidRPr="008D0DB1">
        <w:rPr>
          <w:rFonts w:hint="cs"/>
          <w:rtl/>
        </w:rPr>
        <w:t>". وعلى هذا النحو</w:t>
      </w:r>
      <w:r w:rsidRPr="008D0DB1">
        <w:rPr>
          <w:rtl/>
        </w:rPr>
        <w:t>، تساهم هذه اللجنة على وجه الخصوص في إعداد التقارير التي تقدمها فرنسا إلى المنظمات الدولية</w:t>
      </w:r>
      <w:r w:rsidRPr="008D0DB1">
        <w:rPr>
          <w:rFonts w:hint="cs"/>
          <w:rtl/>
        </w:rPr>
        <w:t xml:space="preserve">. </w:t>
      </w:r>
      <w:r w:rsidRPr="008D0DB1">
        <w:rPr>
          <w:rtl/>
        </w:rPr>
        <w:t>ويجوز للجنة أيض</w:t>
      </w:r>
      <w:r w:rsidR="00443A06">
        <w:rPr>
          <w:rtl/>
        </w:rPr>
        <w:t xml:space="preserve">اً </w:t>
      </w:r>
      <w:r w:rsidRPr="008D0DB1">
        <w:rPr>
          <w:rtl/>
        </w:rPr>
        <w:t xml:space="preserve">أن تأخذ زمام المبادرة: "يجوز لها </w:t>
      </w:r>
      <w:r w:rsidRPr="008D0DB1">
        <w:rPr>
          <w:rFonts w:hint="cs"/>
          <w:rtl/>
        </w:rPr>
        <w:t>أن تبادر تلقائي</w:t>
      </w:r>
      <w:r w:rsidR="00443A06">
        <w:rPr>
          <w:rFonts w:hint="cs"/>
          <w:rtl/>
        </w:rPr>
        <w:t xml:space="preserve">اً </w:t>
      </w:r>
      <w:r w:rsidRPr="008D0DB1">
        <w:rPr>
          <w:rFonts w:hint="cs"/>
          <w:rtl/>
        </w:rPr>
        <w:t xml:space="preserve">إلى إثارة </w:t>
      </w:r>
      <w:r w:rsidRPr="008D0DB1">
        <w:rPr>
          <w:rtl/>
        </w:rPr>
        <w:t xml:space="preserve">انتباه البرلمان والحكومة </w:t>
      </w:r>
      <w:r w:rsidRPr="008D0DB1">
        <w:rPr>
          <w:rFonts w:hint="cs"/>
          <w:rtl/>
        </w:rPr>
        <w:t>علن</w:t>
      </w:r>
      <w:r w:rsidR="00443A06">
        <w:rPr>
          <w:rFonts w:hint="cs"/>
          <w:rtl/>
        </w:rPr>
        <w:t xml:space="preserve">اً </w:t>
      </w:r>
      <w:r w:rsidRPr="008D0DB1">
        <w:rPr>
          <w:rFonts w:hint="cs"/>
          <w:rtl/>
        </w:rPr>
        <w:t xml:space="preserve">إلى </w:t>
      </w:r>
      <w:r w:rsidRPr="008D0DB1">
        <w:rPr>
          <w:rtl/>
        </w:rPr>
        <w:t xml:space="preserve">التدابير التي ترى أن من شأنها أن </w:t>
      </w:r>
      <w:r w:rsidRPr="008D0DB1">
        <w:rPr>
          <w:rFonts w:hint="cs"/>
          <w:rtl/>
        </w:rPr>
        <w:t xml:space="preserve">تشجع </w:t>
      </w:r>
      <w:r w:rsidRPr="008D0DB1">
        <w:rPr>
          <w:rtl/>
        </w:rPr>
        <w:t>حماية وتعزيز حقوق الإنسان"</w:t>
      </w:r>
      <w:r w:rsidRPr="008D0DB1">
        <w:rPr>
          <w:rFonts w:hint="cs"/>
          <w:rtl/>
        </w:rPr>
        <w:t xml:space="preserve">. </w:t>
      </w:r>
      <w:r w:rsidRPr="008D0DB1">
        <w:rPr>
          <w:rtl/>
        </w:rPr>
        <w:t>ويتاح الاطلاع على آرائها للعموم</w:t>
      </w:r>
      <w:r w:rsidRPr="008D0DB1">
        <w:rPr>
          <w:rFonts w:hint="cs"/>
          <w:rtl/>
        </w:rPr>
        <w:t xml:space="preserve">. </w:t>
      </w:r>
      <w:r w:rsidRPr="008D0DB1">
        <w:rPr>
          <w:rtl/>
        </w:rPr>
        <w:t xml:space="preserve">وهذه اللجنة مستقلة فيما يتعلق باختيار المسائل الوطنية والدولية التي تنظر فيها </w:t>
      </w:r>
      <w:r w:rsidRPr="008D0DB1">
        <w:rPr>
          <w:rFonts w:hint="cs"/>
          <w:rtl/>
        </w:rPr>
        <w:t>على هذا النحو.</w:t>
      </w:r>
    </w:p>
    <w:p w:rsidR="00944A3C" w:rsidRPr="008D0DB1" w:rsidRDefault="00944A3C" w:rsidP="008D0DB1">
      <w:pPr>
        <w:pStyle w:val="SingleTxtGA"/>
        <w:rPr>
          <w:rtl/>
        </w:rPr>
      </w:pPr>
      <w:r w:rsidRPr="008D0DB1">
        <w:rPr>
          <w:rFonts w:hint="cs"/>
          <w:rtl/>
        </w:rPr>
        <w:t>358-</w:t>
      </w:r>
      <w:r w:rsidRPr="008D0DB1">
        <w:rPr>
          <w:rFonts w:hint="cs"/>
          <w:rtl/>
        </w:rPr>
        <w:tab/>
      </w:r>
      <w:r w:rsidRPr="008D0DB1">
        <w:rPr>
          <w:rtl/>
        </w:rPr>
        <w:t xml:space="preserve">وأتاح لها نطاق بحثها الواسع إبداء آرائها بشأن مشاريع القوانين </w:t>
      </w:r>
      <w:r w:rsidRPr="008D0DB1">
        <w:rPr>
          <w:rFonts w:hint="cs"/>
          <w:rtl/>
        </w:rPr>
        <w:t xml:space="preserve">والأحكام </w:t>
      </w:r>
      <w:r w:rsidRPr="008D0DB1">
        <w:rPr>
          <w:rtl/>
        </w:rPr>
        <w:t>الإدارية وتقديم اقتراحات تتعلق، على سبيل المثال، بالفقر المدقع أو بالحق في اللجوء أو ال</w:t>
      </w:r>
      <w:r w:rsidRPr="008D0DB1">
        <w:rPr>
          <w:rFonts w:hint="cs"/>
          <w:rtl/>
        </w:rPr>
        <w:t>إ</w:t>
      </w:r>
      <w:r w:rsidRPr="008D0DB1">
        <w:rPr>
          <w:rtl/>
        </w:rPr>
        <w:t xml:space="preserve">دماج الاجتماعي لمدمني المخدرات، أو بالعلمانية، أو اختبار فيروس نقص المناعة البشرية، أو قواعد السلوك في العلوم </w:t>
      </w:r>
      <w:r w:rsidRPr="008D0DB1">
        <w:rPr>
          <w:rFonts w:hint="cs"/>
          <w:rtl/>
        </w:rPr>
        <w:t>الإحيائية</w:t>
      </w:r>
      <w:r w:rsidRPr="008D0DB1">
        <w:rPr>
          <w:rtl/>
        </w:rPr>
        <w:t>، أو إصلاح قانون الإجراءات الجنائية، أو التثقيف في مجال حقوق الإنسان، أو التنصت على المكالمات الهاتفية، أو سجلات الشرطة، أو الحق في الجنسية ومراقبة</w:t>
      </w:r>
      <w:r w:rsidR="008D0DB1">
        <w:rPr>
          <w:rFonts w:hint="cs"/>
          <w:rtl/>
        </w:rPr>
        <w:t> </w:t>
      </w:r>
      <w:r w:rsidRPr="008D0DB1">
        <w:rPr>
          <w:rtl/>
        </w:rPr>
        <w:t>الهجرة</w:t>
      </w:r>
      <w:r w:rsidRPr="008D0DB1">
        <w:rPr>
          <w:rFonts w:hint="cs"/>
          <w:rtl/>
        </w:rPr>
        <w:t>.</w:t>
      </w:r>
    </w:p>
    <w:p w:rsidR="00944A3C" w:rsidRPr="008D0DB1" w:rsidRDefault="00944A3C" w:rsidP="001D4D90">
      <w:pPr>
        <w:pStyle w:val="H4GA"/>
        <w:rPr>
          <w:rtl/>
        </w:rPr>
      </w:pPr>
      <w:r w:rsidRPr="008D0DB1">
        <w:rPr>
          <w:rtl/>
        </w:rPr>
        <w:tab/>
      </w:r>
      <w:r w:rsidR="001D4D90">
        <w:rPr>
          <w:rFonts w:hint="cs"/>
          <w:rtl/>
        </w:rPr>
        <w:t>‘3‘</w:t>
      </w:r>
      <w:r w:rsidRPr="008D0DB1">
        <w:rPr>
          <w:rtl/>
        </w:rPr>
        <w:tab/>
        <w:t>المشاركة في التوعية باحترام حقوق الإنسان وفي توفير التدريب في هذا المجال</w:t>
      </w:r>
    </w:p>
    <w:p w:rsidR="00944A3C" w:rsidRPr="008D0DB1" w:rsidRDefault="00944A3C" w:rsidP="008D0DB1">
      <w:pPr>
        <w:pStyle w:val="SingleTxtGA"/>
        <w:rPr>
          <w:rtl/>
        </w:rPr>
      </w:pPr>
      <w:r w:rsidRPr="008D0DB1">
        <w:rPr>
          <w:rFonts w:hint="cs"/>
          <w:spacing w:val="-4"/>
          <w:rtl/>
        </w:rPr>
        <w:t>359-</w:t>
      </w:r>
      <w:r w:rsidRPr="008D0DB1">
        <w:rPr>
          <w:rFonts w:hint="cs"/>
          <w:spacing w:val="-4"/>
          <w:rtl/>
        </w:rPr>
        <w:tab/>
      </w:r>
      <w:r w:rsidRPr="008D0DB1">
        <w:rPr>
          <w:spacing w:val="-4"/>
          <w:rtl/>
        </w:rPr>
        <w:t>تساهم اللجنة الوطنية الاستشارية لحقوق الإنسان، بموجب المرسوم رقم 2007-1137</w:t>
      </w:r>
      <w:r w:rsidRPr="008D0DB1">
        <w:rPr>
          <w:rtl/>
        </w:rPr>
        <w:t xml:space="preserve"> المؤرخ 26 تموز/يوليه 2007 المتعلق بتشكيلتها وعملها، في التثقيف في مجال حقوق الإنسان</w:t>
      </w:r>
      <w:r w:rsidRPr="008D0DB1">
        <w:rPr>
          <w:rFonts w:hint="cs"/>
          <w:rtl/>
        </w:rPr>
        <w:t xml:space="preserve">. وفي هذا الصدد، ترصد </w:t>
      </w:r>
      <w:r w:rsidRPr="008D0DB1">
        <w:rPr>
          <w:rtl/>
        </w:rPr>
        <w:t xml:space="preserve">عمل الهيئات الدولية في هذا المجال </w:t>
      </w:r>
      <w:r w:rsidRPr="008D0DB1">
        <w:rPr>
          <w:rFonts w:hint="cs"/>
          <w:rtl/>
        </w:rPr>
        <w:t>و</w:t>
      </w:r>
      <w:r w:rsidRPr="008D0DB1">
        <w:rPr>
          <w:rtl/>
        </w:rPr>
        <w:t>ت</w:t>
      </w:r>
      <w:r w:rsidRPr="008D0DB1">
        <w:rPr>
          <w:rFonts w:hint="cs"/>
          <w:rtl/>
        </w:rPr>
        <w:t>ُ</w:t>
      </w:r>
      <w:r w:rsidRPr="008D0DB1">
        <w:rPr>
          <w:rtl/>
        </w:rPr>
        <w:t>عر</w:t>
      </w:r>
      <w:r w:rsidRPr="008D0DB1">
        <w:rPr>
          <w:rFonts w:hint="cs"/>
          <w:rtl/>
        </w:rPr>
        <w:t>ِّ</w:t>
      </w:r>
      <w:r w:rsidRPr="008D0DB1">
        <w:rPr>
          <w:rtl/>
        </w:rPr>
        <w:t xml:space="preserve">ف به، وتتابع </w:t>
      </w:r>
      <w:r w:rsidRPr="008D0DB1">
        <w:rPr>
          <w:rFonts w:hint="cs"/>
          <w:rtl/>
        </w:rPr>
        <w:t xml:space="preserve">عن كثب </w:t>
      </w:r>
      <w:r w:rsidRPr="008D0DB1">
        <w:rPr>
          <w:rtl/>
        </w:rPr>
        <w:t xml:space="preserve">أعمال مجلس حقوق الإنسان ولجان الأمم المتحدة، </w:t>
      </w:r>
      <w:r w:rsidRPr="008D0DB1">
        <w:rPr>
          <w:rFonts w:hint="cs"/>
          <w:rtl/>
        </w:rPr>
        <w:t xml:space="preserve">وأعمال </w:t>
      </w:r>
      <w:r w:rsidRPr="008D0DB1">
        <w:rPr>
          <w:rtl/>
        </w:rPr>
        <w:t xml:space="preserve">منظمة الأمن والتعاون في أوروبا </w:t>
      </w:r>
      <w:r w:rsidRPr="008D0DB1">
        <w:rPr>
          <w:rFonts w:hint="cs"/>
          <w:rtl/>
        </w:rPr>
        <w:t xml:space="preserve">وأعمال </w:t>
      </w:r>
      <w:r w:rsidRPr="008D0DB1">
        <w:rPr>
          <w:rtl/>
        </w:rPr>
        <w:t>مجلس أوروبا</w:t>
      </w:r>
      <w:r w:rsidRPr="008D0DB1">
        <w:rPr>
          <w:rFonts w:hint="cs"/>
          <w:rtl/>
        </w:rPr>
        <w:t xml:space="preserve">. </w:t>
      </w:r>
      <w:r w:rsidRPr="008D0DB1">
        <w:rPr>
          <w:rtl/>
        </w:rPr>
        <w:t xml:space="preserve">كما تنشط دورات تدريبية وتنظم ندوات وتشارك في حلقات دراسية </w:t>
      </w:r>
      <w:r w:rsidRPr="008D0DB1">
        <w:rPr>
          <w:rFonts w:hint="cs"/>
          <w:rtl/>
        </w:rPr>
        <w:t xml:space="preserve">عديدة </w:t>
      </w:r>
      <w:r w:rsidRPr="008D0DB1">
        <w:rPr>
          <w:rtl/>
        </w:rPr>
        <w:t xml:space="preserve">في إطار مهمتها </w:t>
      </w:r>
      <w:r w:rsidRPr="008D0DB1">
        <w:rPr>
          <w:rFonts w:hint="cs"/>
          <w:rtl/>
        </w:rPr>
        <w:t>المتعلقة ب</w:t>
      </w:r>
      <w:r w:rsidRPr="008D0DB1">
        <w:rPr>
          <w:rtl/>
        </w:rPr>
        <w:t xml:space="preserve">التثقيف </w:t>
      </w:r>
      <w:r w:rsidRPr="008D0DB1">
        <w:rPr>
          <w:rFonts w:hint="cs"/>
          <w:rtl/>
        </w:rPr>
        <w:t xml:space="preserve">في مجال </w:t>
      </w:r>
      <w:r w:rsidRPr="008D0DB1">
        <w:rPr>
          <w:rtl/>
        </w:rPr>
        <w:t>حقوق الإنسان</w:t>
      </w:r>
      <w:r w:rsidRPr="008D0DB1">
        <w:rPr>
          <w:rFonts w:hint="cs"/>
          <w:rtl/>
        </w:rPr>
        <w:t>.</w:t>
      </w:r>
    </w:p>
    <w:p w:rsidR="00944A3C" w:rsidRPr="008D0DB1" w:rsidRDefault="00944A3C" w:rsidP="001D4D90">
      <w:pPr>
        <w:pStyle w:val="H4GA"/>
        <w:rPr>
          <w:rtl/>
        </w:rPr>
      </w:pPr>
      <w:r w:rsidRPr="008D0DB1">
        <w:rPr>
          <w:rtl/>
        </w:rPr>
        <w:lastRenderedPageBreak/>
        <w:tab/>
      </w:r>
      <w:r w:rsidR="001D4D90">
        <w:rPr>
          <w:rFonts w:hint="cs"/>
          <w:rtl/>
        </w:rPr>
        <w:t>‘4‘</w:t>
      </w:r>
      <w:r w:rsidRPr="008D0DB1">
        <w:rPr>
          <w:rtl/>
        </w:rPr>
        <w:tab/>
        <w:t>التنبيه إلى حالة حقوق الإنسان</w:t>
      </w:r>
    </w:p>
    <w:p w:rsidR="00944A3C" w:rsidRPr="008D0DB1" w:rsidRDefault="00944A3C" w:rsidP="008D0DB1">
      <w:pPr>
        <w:pStyle w:val="SingleTxtGA"/>
        <w:rPr>
          <w:rtl/>
        </w:rPr>
      </w:pPr>
      <w:r w:rsidRPr="008D0DB1">
        <w:rPr>
          <w:rFonts w:hint="cs"/>
          <w:rtl/>
        </w:rPr>
        <w:t>360-</w:t>
      </w:r>
      <w:r w:rsidRPr="008D0DB1">
        <w:rPr>
          <w:rFonts w:hint="cs"/>
          <w:rtl/>
        </w:rPr>
        <w:tab/>
      </w:r>
      <w:r w:rsidRPr="008D0DB1">
        <w:rPr>
          <w:rtl/>
        </w:rPr>
        <w:t>على الصعيد الوطني</w:t>
      </w:r>
      <w:r w:rsidRPr="008D0DB1">
        <w:rPr>
          <w:rFonts w:hint="cs"/>
          <w:rtl/>
        </w:rPr>
        <w:t>، ت</w:t>
      </w:r>
      <w:r w:rsidRPr="008D0DB1">
        <w:rPr>
          <w:rtl/>
        </w:rPr>
        <w:t>نشر اللجنة الوطنية الاستشارية لحقوق الإنسان تقرير</w:t>
      </w:r>
      <w:r w:rsidR="00443A06">
        <w:rPr>
          <w:rtl/>
        </w:rPr>
        <w:t xml:space="preserve">اً </w:t>
      </w:r>
      <w:r w:rsidRPr="008D0DB1">
        <w:rPr>
          <w:rtl/>
        </w:rPr>
        <w:t>سنوي</w:t>
      </w:r>
      <w:r w:rsidR="00443A06">
        <w:rPr>
          <w:rtl/>
        </w:rPr>
        <w:t xml:space="preserve">اً </w:t>
      </w:r>
      <w:r w:rsidRPr="008D0DB1">
        <w:rPr>
          <w:rtl/>
        </w:rPr>
        <w:t>عن مكافحة العنصرية ومعاداة السامية وكره الأجانب</w:t>
      </w:r>
      <w:r w:rsidRPr="008D0DB1">
        <w:rPr>
          <w:rFonts w:hint="cs"/>
          <w:rtl/>
        </w:rPr>
        <w:t xml:space="preserve">. </w:t>
      </w:r>
      <w:r w:rsidRPr="008D0DB1">
        <w:rPr>
          <w:rtl/>
        </w:rPr>
        <w:t>وعلى الصعيد الدولي، تبلغ الهيئات الدولية عن حالة حقوق الإنسان في فرنسا</w:t>
      </w:r>
      <w:r w:rsidRPr="008D0DB1">
        <w:rPr>
          <w:rFonts w:hint="cs"/>
          <w:rtl/>
        </w:rPr>
        <w:t>.</w:t>
      </w:r>
    </w:p>
    <w:p w:rsidR="00944A3C" w:rsidRPr="008D0DB1" w:rsidRDefault="00944A3C" w:rsidP="00A1269F">
      <w:pPr>
        <w:pStyle w:val="H23GA"/>
        <w:rPr>
          <w:rtl/>
        </w:rPr>
      </w:pPr>
      <w:r w:rsidRPr="008D0DB1">
        <w:rPr>
          <w:rtl/>
        </w:rPr>
        <w:tab/>
        <w:t>2-</w:t>
      </w:r>
      <w:r w:rsidRPr="008D0DB1">
        <w:rPr>
          <w:rtl/>
        </w:rPr>
        <w:tab/>
        <w:t>مؤسسة المدافع عن الحقوق</w:t>
      </w:r>
    </w:p>
    <w:p w:rsidR="00944A3C" w:rsidRPr="008D0DB1" w:rsidRDefault="00944A3C" w:rsidP="008D0DB1">
      <w:pPr>
        <w:pStyle w:val="SingleTxtGA"/>
        <w:rPr>
          <w:rtl/>
        </w:rPr>
      </w:pPr>
      <w:r w:rsidRPr="008D0DB1">
        <w:rPr>
          <w:rFonts w:hint="cs"/>
          <w:rtl/>
        </w:rPr>
        <w:t>361-</w:t>
      </w:r>
      <w:r w:rsidRPr="008D0DB1">
        <w:rPr>
          <w:rFonts w:hint="cs"/>
          <w:rtl/>
        </w:rPr>
        <w:tab/>
      </w:r>
      <w:r w:rsidRPr="008D0DB1">
        <w:rPr>
          <w:rtl/>
        </w:rPr>
        <w:t>خلَفت مؤسسة المدافع عن الحقوق، المنصوص عليها في الدستور منذ 23 تموز/</w:t>
      </w:r>
      <w:r w:rsidR="008D0DB1">
        <w:rPr>
          <w:rFonts w:hint="cs"/>
          <w:rtl/>
        </w:rPr>
        <w:t xml:space="preserve"> </w:t>
      </w:r>
      <w:r w:rsidRPr="008D0DB1">
        <w:rPr>
          <w:rtl/>
        </w:rPr>
        <w:t>يوليه</w:t>
      </w:r>
      <w:r w:rsidR="008D0DB1">
        <w:rPr>
          <w:rFonts w:hint="cs"/>
          <w:rtl/>
        </w:rPr>
        <w:t> </w:t>
      </w:r>
      <w:r w:rsidRPr="008D0DB1">
        <w:rPr>
          <w:rtl/>
        </w:rPr>
        <w:t>2008 والمنشأة بموجب القانون التنظيمي والقانون العادي المؤرخين 29 آذار/</w:t>
      </w:r>
      <w:r w:rsidR="008D0DB1">
        <w:rPr>
          <w:rFonts w:hint="cs"/>
          <w:rtl/>
        </w:rPr>
        <w:t xml:space="preserve"> </w:t>
      </w:r>
      <w:r w:rsidRPr="008D0DB1">
        <w:rPr>
          <w:rtl/>
        </w:rPr>
        <w:t>مارس</w:t>
      </w:r>
      <w:r w:rsidR="008D0DB1">
        <w:rPr>
          <w:rFonts w:hint="cs"/>
          <w:rtl/>
        </w:rPr>
        <w:t> </w:t>
      </w:r>
      <w:r w:rsidRPr="008D0DB1">
        <w:rPr>
          <w:rtl/>
        </w:rPr>
        <w:t>2011، مكتب أمين المظالم، وتضطلع أيض</w:t>
      </w:r>
      <w:r w:rsidR="00443A06">
        <w:rPr>
          <w:rtl/>
        </w:rPr>
        <w:t xml:space="preserve">اً </w:t>
      </w:r>
      <w:r w:rsidRPr="008D0DB1">
        <w:rPr>
          <w:rtl/>
        </w:rPr>
        <w:t>بصلاحيات</w:t>
      </w:r>
      <w:r w:rsidRPr="008D0DB1">
        <w:rPr>
          <w:rFonts w:hint="cs"/>
          <w:rtl/>
        </w:rPr>
        <w:t xml:space="preserve"> كل من</w:t>
      </w:r>
      <w:r w:rsidRPr="008D0DB1">
        <w:rPr>
          <w:rtl/>
        </w:rPr>
        <w:t xml:space="preserve"> أمين المظالم المعني بالطفل، واللجنة الوطنية لأخلاقيات الأمن، والهيئة العليا للمساواة ومكافحة التمييز</w:t>
      </w:r>
      <w:r w:rsidRPr="008D0DB1">
        <w:rPr>
          <w:rFonts w:hint="cs"/>
          <w:rtl/>
        </w:rPr>
        <w:t xml:space="preserve">. </w:t>
      </w:r>
      <w:r w:rsidRPr="008D0DB1">
        <w:rPr>
          <w:rtl/>
        </w:rPr>
        <w:t xml:space="preserve">وهي هيئة دستورية مستقلة (الباب الحادي عشر </w:t>
      </w:r>
      <w:r w:rsidRPr="00670E59">
        <w:rPr>
          <w:i/>
          <w:iCs/>
          <w:rtl/>
        </w:rPr>
        <w:t>مكرر</w:t>
      </w:r>
      <w:r w:rsidR="00443A06" w:rsidRPr="00670E59">
        <w:rPr>
          <w:i/>
          <w:iCs/>
          <w:rtl/>
        </w:rPr>
        <w:t xml:space="preserve">اً </w:t>
      </w:r>
      <w:r w:rsidRPr="008D0DB1">
        <w:rPr>
          <w:rtl/>
        </w:rPr>
        <w:t>من الدستور)</w:t>
      </w:r>
      <w:r w:rsidRPr="008D0DB1">
        <w:rPr>
          <w:rFonts w:hint="cs"/>
          <w:rtl/>
        </w:rPr>
        <w:t xml:space="preserve">. </w:t>
      </w:r>
      <w:r w:rsidRPr="008D0DB1">
        <w:rPr>
          <w:rtl/>
        </w:rPr>
        <w:t>ويُعرض القرار الذي يتخذه رئيس الجمهورية بشأن تعيين المدافع عن الحقوق، لولاية مدتها ست سنوات غير قابلة للتجديد، على الجمعية الوطنية ومجلس الشيوخ للتصويت عليه.</w:t>
      </w:r>
    </w:p>
    <w:p w:rsidR="00944A3C" w:rsidRPr="008D0DB1" w:rsidRDefault="00944A3C" w:rsidP="008D0DB1">
      <w:pPr>
        <w:pStyle w:val="SingleTxtGA"/>
        <w:rPr>
          <w:rtl/>
        </w:rPr>
      </w:pPr>
      <w:r w:rsidRPr="008D0DB1">
        <w:rPr>
          <w:rFonts w:hint="cs"/>
          <w:rtl/>
        </w:rPr>
        <w:t>362-</w:t>
      </w:r>
      <w:r w:rsidRPr="008D0DB1">
        <w:rPr>
          <w:rFonts w:hint="cs"/>
          <w:rtl/>
        </w:rPr>
        <w:tab/>
      </w:r>
      <w:r w:rsidRPr="008D0DB1">
        <w:rPr>
          <w:rtl/>
        </w:rPr>
        <w:t>وأُسندت إلى مؤسسة المدافع عن الحقوق أربع مهام، هي</w:t>
      </w:r>
      <w:r w:rsidRPr="008D0DB1">
        <w:rPr>
          <w:rFonts w:hint="cs"/>
          <w:rtl/>
        </w:rPr>
        <w:t>:</w:t>
      </w:r>
    </w:p>
    <w:p w:rsidR="00944A3C" w:rsidRPr="008D0DB1" w:rsidRDefault="00944A3C" w:rsidP="008D0DB1">
      <w:pPr>
        <w:pStyle w:val="Bullet1GA"/>
        <w:bidi/>
      </w:pPr>
      <w:r w:rsidRPr="008D0DB1">
        <w:rPr>
          <w:rtl/>
        </w:rPr>
        <w:t>تعزيز وحماية حقوق المستفيدين من الخدمات العامة</w:t>
      </w:r>
      <w:r w:rsidRPr="008D0DB1">
        <w:rPr>
          <w:rFonts w:hint="cs"/>
          <w:rtl/>
        </w:rPr>
        <w:t>؛</w:t>
      </w:r>
    </w:p>
    <w:p w:rsidR="00944A3C" w:rsidRPr="008D0DB1" w:rsidRDefault="00944A3C" w:rsidP="008D0DB1">
      <w:pPr>
        <w:pStyle w:val="Bullet1GA"/>
        <w:bidi/>
      </w:pPr>
      <w:r w:rsidRPr="008D0DB1">
        <w:rPr>
          <w:rtl/>
        </w:rPr>
        <w:t>تعزيز حقوق الطفل وحمايتها</w:t>
      </w:r>
      <w:r w:rsidRPr="008D0DB1">
        <w:rPr>
          <w:rFonts w:hint="cs"/>
          <w:rtl/>
        </w:rPr>
        <w:t>؛</w:t>
      </w:r>
    </w:p>
    <w:p w:rsidR="00944A3C" w:rsidRPr="008D0DB1" w:rsidRDefault="00944A3C" w:rsidP="008D0DB1">
      <w:pPr>
        <w:pStyle w:val="Bullet1GA"/>
        <w:bidi/>
      </w:pPr>
      <w:r w:rsidRPr="008D0DB1">
        <w:rPr>
          <w:rtl/>
        </w:rPr>
        <w:t>مكافحة أفعال التمييز التي يحظرها القانون وتعزيز المساواة في مجال العمالة والسكن والتعليم وال</w:t>
      </w:r>
      <w:r w:rsidRPr="008D0DB1">
        <w:rPr>
          <w:rFonts w:hint="cs"/>
          <w:rtl/>
        </w:rPr>
        <w:t>ح</w:t>
      </w:r>
      <w:r w:rsidRPr="008D0DB1">
        <w:rPr>
          <w:rtl/>
        </w:rPr>
        <w:t xml:space="preserve">صول </w:t>
      </w:r>
      <w:r w:rsidRPr="008D0DB1">
        <w:rPr>
          <w:rFonts w:hint="cs"/>
          <w:rtl/>
        </w:rPr>
        <w:t>ع</w:t>
      </w:r>
      <w:r w:rsidRPr="008D0DB1">
        <w:rPr>
          <w:rtl/>
        </w:rPr>
        <w:t>لى السلع والخدمات</w:t>
      </w:r>
      <w:r w:rsidRPr="008D0DB1">
        <w:rPr>
          <w:rFonts w:hint="cs"/>
          <w:rtl/>
        </w:rPr>
        <w:t>؛</w:t>
      </w:r>
    </w:p>
    <w:p w:rsidR="00944A3C" w:rsidRPr="008D0DB1" w:rsidRDefault="00944A3C" w:rsidP="008D0DB1">
      <w:pPr>
        <w:pStyle w:val="Bullet1GA"/>
        <w:bidi/>
        <w:rPr>
          <w:rtl/>
        </w:rPr>
      </w:pPr>
      <w:r w:rsidRPr="008D0DB1">
        <w:rPr>
          <w:rFonts w:hint="cs"/>
          <w:rtl/>
        </w:rPr>
        <w:t xml:space="preserve">ضمان </w:t>
      </w:r>
      <w:r w:rsidRPr="008D0DB1">
        <w:rPr>
          <w:rtl/>
        </w:rPr>
        <w:t>احترام الأشخاص الذين يمارسون أنشطة أمنية للأخلاقيات المهنية</w:t>
      </w:r>
      <w:r w:rsidRPr="008D0DB1">
        <w:rPr>
          <w:rFonts w:hint="cs"/>
          <w:rtl/>
        </w:rPr>
        <w:t>.</w:t>
      </w:r>
    </w:p>
    <w:p w:rsidR="00944A3C" w:rsidRPr="008D0DB1" w:rsidRDefault="00944A3C" w:rsidP="00944A3C">
      <w:pPr>
        <w:pStyle w:val="SingleTxtGA"/>
        <w:spacing w:after="100" w:line="378" w:lineRule="exact"/>
        <w:rPr>
          <w:rtl/>
        </w:rPr>
      </w:pPr>
      <w:r w:rsidRPr="008D0DB1">
        <w:rPr>
          <w:rFonts w:hint="cs"/>
          <w:rtl/>
        </w:rPr>
        <w:t>363-</w:t>
      </w:r>
      <w:r w:rsidRPr="008D0DB1">
        <w:rPr>
          <w:rFonts w:hint="cs"/>
          <w:rtl/>
        </w:rPr>
        <w:tab/>
      </w:r>
      <w:r w:rsidRPr="008D0DB1">
        <w:rPr>
          <w:rtl/>
        </w:rPr>
        <w:t>وتضطلع هذه المؤسسة بإجراءات شتى لتعزيز الحقوق في هذه المجالات</w:t>
      </w:r>
      <w:r w:rsidRPr="008D0DB1">
        <w:rPr>
          <w:rFonts w:hint="cs"/>
          <w:rtl/>
        </w:rPr>
        <w:t>.</w:t>
      </w:r>
    </w:p>
    <w:p w:rsidR="00944A3C" w:rsidRPr="008D0DB1" w:rsidRDefault="00944A3C" w:rsidP="008D0DB1">
      <w:pPr>
        <w:pStyle w:val="SingleTxtGA"/>
        <w:rPr>
          <w:spacing w:val="-2"/>
          <w:rtl/>
        </w:rPr>
      </w:pPr>
      <w:r w:rsidRPr="008D0DB1">
        <w:rPr>
          <w:rFonts w:hint="cs"/>
          <w:spacing w:val="-2"/>
          <w:rtl/>
        </w:rPr>
        <w:t>364-</w:t>
      </w:r>
      <w:r w:rsidRPr="008D0DB1">
        <w:rPr>
          <w:rFonts w:hint="cs"/>
          <w:spacing w:val="-2"/>
          <w:rtl/>
        </w:rPr>
        <w:tab/>
      </w:r>
      <w:r w:rsidRPr="008D0DB1">
        <w:rPr>
          <w:spacing w:val="-2"/>
          <w:rtl/>
        </w:rPr>
        <w:t>وتباشر إجراءات للإعلام التربوي بشأن الحق في المساواة وعدم التمييز من خلال إعداد كتيبات للتوعية ترمي إلى تحسين فهم أشكال التمييز و</w:t>
      </w:r>
      <w:r w:rsidRPr="008D0DB1">
        <w:rPr>
          <w:rFonts w:hint="cs"/>
          <w:spacing w:val="-2"/>
          <w:rtl/>
        </w:rPr>
        <w:t xml:space="preserve">إلى </w:t>
      </w:r>
      <w:r w:rsidRPr="008D0DB1">
        <w:rPr>
          <w:spacing w:val="-2"/>
          <w:rtl/>
        </w:rPr>
        <w:t xml:space="preserve">تعزيز </w:t>
      </w:r>
      <w:r w:rsidRPr="008D0DB1">
        <w:rPr>
          <w:rFonts w:hint="cs"/>
          <w:spacing w:val="-2"/>
          <w:rtl/>
        </w:rPr>
        <w:t xml:space="preserve">تمتع </w:t>
      </w:r>
      <w:r w:rsidRPr="008D0DB1">
        <w:rPr>
          <w:spacing w:val="-2"/>
          <w:rtl/>
        </w:rPr>
        <w:t>المواطنين</w:t>
      </w:r>
      <w:r w:rsidRPr="008D0DB1">
        <w:rPr>
          <w:rFonts w:hint="cs"/>
          <w:spacing w:val="-2"/>
          <w:rtl/>
        </w:rPr>
        <w:t xml:space="preserve"> ب</w:t>
      </w:r>
      <w:r w:rsidRPr="008D0DB1">
        <w:rPr>
          <w:spacing w:val="-2"/>
          <w:rtl/>
        </w:rPr>
        <w:t>حقوق</w:t>
      </w:r>
      <w:r w:rsidRPr="008D0DB1">
        <w:rPr>
          <w:rFonts w:hint="cs"/>
          <w:spacing w:val="-2"/>
          <w:rtl/>
        </w:rPr>
        <w:t>هم</w:t>
      </w:r>
      <w:r w:rsidRPr="008D0DB1">
        <w:rPr>
          <w:spacing w:val="-2"/>
          <w:rtl/>
        </w:rPr>
        <w:t>، وكذلك من خلال توفير وحدات للتوعية والتدريب عن بعد، يمكن تحميلها من موقعها الشبكي</w:t>
      </w:r>
      <w:r w:rsidRPr="008D0DB1">
        <w:rPr>
          <w:rFonts w:hint="cs"/>
          <w:spacing w:val="-2"/>
          <w:rtl/>
        </w:rPr>
        <w:t xml:space="preserve">. </w:t>
      </w:r>
      <w:r w:rsidRPr="008D0DB1">
        <w:rPr>
          <w:spacing w:val="-2"/>
          <w:rtl/>
        </w:rPr>
        <w:t xml:space="preserve">وتنشط هذه المؤسسة </w:t>
      </w:r>
      <w:r w:rsidRPr="008D0DB1">
        <w:rPr>
          <w:rFonts w:hint="cs"/>
          <w:spacing w:val="-2"/>
          <w:rtl/>
        </w:rPr>
        <w:t xml:space="preserve">في </w:t>
      </w:r>
      <w:r w:rsidRPr="008D0DB1">
        <w:rPr>
          <w:spacing w:val="-2"/>
          <w:rtl/>
        </w:rPr>
        <w:t>وسائط التواصل الاجتماعي</w:t>
      </w:r>
      <w:r w:rsidRPr="008D0DB1">
        <w:rPr>
          <w:rFonts w:hint="cs"/>
          <w:spacing w:val="-2"/>
          <w:rtl/>
        </w:rPr>
        <w:t xml:space="preserve">. </w:t>
      </w:r>
      <w:r w:rsidRPr="008D0DB1">
        <w:rPr>
          <w:spacing w:val="-2"/>
          <w:rtl/>
        </w:rPr>
        <w:t xml:space="preserve">وعلاوة على ذلك، كانت مؤسسة المدافع عن الحقوق وراء إنجاز أفلام </w:t>
      </w:r>
      <w:r w:rsidRPr="008D0DB1">
        <w:rPr>
          <w:rFonts w:hint="cs"/>
          <w:spacing w:val="-2"/>
          <w:rtl/>
        </w:rPr>
        <w:t xml:space="preserve">وأشرطة </w:t>
      </w:r>
      <w:r w:rsidRPr="008D0DB1">
        <w:rPr>
          <w:spacing w:val="-2"/>
          <w:rtl/>
        </w:rPr>
        <w:t xml:space="preserve">قصيرة عن أشكال التمييز، يمكن استخدامها لتوعية عامة الجمهور أو فئات محددة (الشباب والنساء وأرباب العمل، </w:t>
      </w:r>
      <w:r w:rsidRPr="008D0DB1">
        <w:rPr>
          <w:rFonts w:hint="cs"/>
          <w:spacing w:val="-2"/>
          <w:rtl/>
        </w:rPr>
        <w:t>وغيرهم</w:t>
      </w:r>
      <w:r w:rsidRPr="008D0DB1">
        <w:rPr>
          <w:spacing w:val="-2"/>
          <w:rtl/>
        </w:rPr>
        <w:t xml:space="preserve">) وبالتالي </w:t>
      </w:r>
      <w:r w:rsidRPr="008D0DB1">
        <w:rPr>
          <w:rFonts w:hint="cs"/>
          <w:spacing w:val="-2"/>
          <w:rtl/>
        </w:rPr>
        <w:t>إذكاء ال</w:t>
      </w:r>
      <w:r w:rsidRPr="008D0DB1">
        <w:rPr>
          <w:spacing w:val="-2"/>
          <w:rtl/>
        </w:rPr>
        <w:t>وعي ب</w:t>
      </w:r>
      <w:r w:rsidRPr="008D0DB1">
        <w:rPr>
          <w:rFonts w:hint="cs"/>
          <w:spacing w:val="-2"/>
          <w:rtl/>
        </w:rPr>
        <w:t>ال</w:t>
      </w:r>
      <w:r w:rsidRPr="008D0DB1">
        <w:rPr>
          <w:spacing w:val="-2"/>
          <w:rtl/>
        </w:rPr>
        <w:t>حقوق</w:t>
      </w:r>
      <w:r w:rsidRPr="008D0DB1">
        <w:rPr>
          <w:rFonts w:hint="cs"/>
          <w:spacing w:val="-2"/>
          <w:rtl/>
        </w:rPr>
        <w:t>.</w:t>
      </w:r>
    </w:p>
    <w:p w:rsidR="00944A3C" w:rsidRPr="008D0DB1" w:rsidRDefault="00944A3C" w:rsidP="008D0DB1">
      <w:pPr>
        <w:pStyle w:val="SingleTxtGA"/>
        <w:rPr>
          <w:rtl/>
        </w:rPr>
      </w:pPr>
      <w:r w:rsidRPr="008D0DB1">
        <w:rPr>
          <w:rFonts w:hint="cs"/>
          <w:rtl/>
        </w:rPr>
        <w:t>365-</w:t>
      </w:r>
      <w:r w:rsidRPr="008D0DB1">
        <w:rPr>
          <w:rFonts w:hint="cs"/>
          <w:rtl/>
        </w:rPr>
        <w:tab/>
      </w:r>
      <w:r w:rsidRPr="008D0DB1">
        <w:rPr>
          <w:rtl/>
        </w:rPr>
        <w:t xml:space="preserve">وتُجري مؤسسة </w:t>
      </w:r>
      <w:r w:rsidRPr="008D0DB1">
        <w:rPr>
          <w:rFonts w:hint="cs"/>
          <w:rtl/>
        </w:rPr>
        <w:t xml:space="preserve">المدافع عن الحقوق </w:t>
      </w:r>
      <w:r w:rsidRPr="008D0DB1">
        <w:rPr>
          <w:rtl/>
        </w:rPr>
        <w:t>حوار</w:t>
      </w:r>
      <w:r w:rsidR="00443A06">
        <w:rPr>
          <w:rtl/>
        </w:rPr>
        <w:t xml:space="preserve">اً </w:t>
      </w:r>
      <w:r w:rsidRPr="008D0DB1">
        <w:rPr>
          <w:rtl/>
        </w:rPr>
        <w:t>مستمر</w:t>
      </w:r>
      <w:r w:rsidR="00443A06">
        <w:rPr>
          <w:rtl/>
        </w:rPr>
        <w:t xml:space="preserve">اً </w:t>
      </w:r>
      <w:r w:rsidRPr="008D0DB1">
        <w:rPr>
          <w:rtl/>
        </w:rPr>
        <w:t xml:space="preserve">مع المجتمع المدني، على وجه الخصوص من خلال مشاورات مخصصة، ولجان </w:t>
      </w:r>
      <w:r w:rsidRPr="008D0DB1">
        <w:rPr>
          <w:rFonts w:hint="cs"/>
          <w:rtl/>
        </w:rPr>
        <w:t>ل</w:t>
      </w:r>
      <w:r w:rsidRPr="008D0DB1">
        <w:rPr>
          <w:rtl/>
        </w:rPr>
        <w:t>لتفاهم (الإعاقة، وجماعة المثليات والمثليين ومزدوجي الميل الجنسي ومغايري الهوية الجنسانية ...)، وأفرقة عمل مواضيعية (</w:t>
      </w:r>
      <w:r w:rsidRPr="008D0DB1">
        <w:rPr>
          <w:rFonts w:hint="cs"/>
          <w:rtl/>
        </w:rPr>
        <w:t>ج</w:t>
      </w:r>
      <w:r w:rsidRPr="008D0DB1">
        <w:rPr>
          <w:rtl/>
        </w:rPr>
        <w:t>ماعة المثليات والمثليين ومزدوجي الميل الجنسي ومغايري الهوية الجنسانية/العمالة، والعمالة/الإعاقة ...)</w:t>
      </w:r>
      <w:r w:rsidRPr="008D0DB1">
        <w:rPr>
          <w:rFonts w:hint="cs"/>
          <w:rtl/>
        </w:rPr>
        <w:t>.</w:t>
      </w:r>
    </w:p>
    <w:p w:rsidR="00944A3C" w:rsidRPr="008D0DB1" w:rsidRDefault="00944A3C" w:rsidP="008D0DB1">
      <w:pPr>
        <w:pStyle w:val="SingleTxtGA"/>
        <w:rPr>
          <w:rtl/>
        </w:rPr>
      </w:pPr>
      <w:r w:rsidRPr="008D0DB1">
        <w:rPr>
          <w:rFonts w:hint="cs"/>
          <w:rtl/>
        </w:rPr>
        <w:t>366-</w:t>
      </w:r>
      <w:r w:rsidRPr="008D0DB1">
        <w:rPr>
          <w:rFonts w:hint="cs"/>
          <w:rtl/>
        </w:rPr>
        <w:tab/>
      </w:r>
      <w:r w:rsidRPr="008D0DB1">
        <w:rPr>
          <w:rtl/>
        </w:rPr>
        <w:t xml:space="preserve">وتحدد الممارسات الجيدة، </w:t>
      </w:r>
      <w:r w:rsidRPr="008D0DB1">
        <w:rPr>
          <w:rFonts w:hint="cs"/>
          <w:rtl/>
        </w:rPr>
        <w:t xml:space="preserve">ولا سيما </w:t>
      </w:r>
      <w:r w:rsidRPr="008D0DB1">
        <w:rPr>
          <w:rtl/>
        </w:rPr>
        <w:t>من خلال إرسال استبيانات بعنوان "أطر العمل والإبلاغ"</w:t>
      </w:r>
      <w:r w:rsidRPr="008D0DB1">
        <w:rPr>
          <w:rFonts w:hint="cs"/>
          <w:rtl/>
        </w:rPr>
        <w:t xml:space="preserve">. </w:t>
      </w:r>
      <w:r w:rsidRPr="008D0DB1">
        <w:rPr>
          <w:rtl/>
        </w:rPr>
        <w:t xml:space="preserve">وتنشر بعد ذلك دلائل </w:t>
      </w:r>
      <w:r w:rsidRPr="008D0DB1">
        <w:rPr>
          <w:rFonts w:hint="cs"/>
          <w:rtl/>
        </w:rPr>
        <w:t>ت</w:t>
      </w:r>
      <w:r w:rsidRPr="008D0DB1">
        <w:rPr>
          <w:rtl/>
        </w:rPr>
        <w:t>حدد فيها المسائل التي تستدعي الاهتمام، وتُجمع الممارسات المبتكرة، وتسدي المشورة إلى جميع الجهات الفاعلة المعنية من أجل منع أفعال التمييز</w:t>
      </w:r>
      <w:r w:rsidRPr="008D0DB1">
        <w:rPr>
          <w:rFonts w:hint="cs"/>
          <w:rtl/>
        </w:rPr>
        <w:t>.</w:t>
      </w:r>
    </w:p>
    <w:p w:rsidR="00944A3C" w:rsidRPr="008D0DB1" w:rsidRDefault="00944A3C" w:rsidP="008D0DB1">
      <w:pPr>
        <w:pStyle w:val="SingleTxtGA"/>
        <w:rPr>
          <w:rtl/>
        </w:rPr>
      </w:pPr>
      <w:r w:rsidRPr="008D0DB1">
        <w:rPr>
          <w:rFonts w:hint="cs"/>
          <w:rtl/>
        </w:rPr>
        <w:lastRenderedPageBreak/>
        <w:t>367-</w:t>
      </w:r>
      <w:r w:rsidRPr="008D0DB1">
        <w:rPr>
          <w:rFonts w:hint="cs"/>
          <w:rtl/>
        </w:rPr>
        <w:tab/>
      </w:r>
      <w:r w:rsidRPr="008D0DB1">
        <w:rPr>
          <w:rtl/>
        </w:rPr>
        <w:t xml:space="preserve">وتضطلع </w:t>
      </w:r>
      <w:r w:rsidRPr="008D0DB1">
        <w:rPr>
          <w:rFonts w:hint="cs"/>
          <w:rtl/>
        </w:rPr>
        <w:t xml:space="preserve">مؤسسة المدافع عن الحقوق </w:t>
      </w:r>
      <w:r w:rsidRPr="008D0DB1">
        <w:rPr>
          <w:rtl/>
        </w:rPr>
        <w:t xml:space="preserve">بإجراءات التدريب الرامية إلى دعم الجهات الفاعلة المعنية </w:t>
      </w:r>
      <w:r w:rsidRPr="008D0DB1">
        <w:rPr>
          <w:rFonts w:hint="cs"/>
          <w:rtl/>
        </w:rPr>
        <w:t xml:space="preserve">في </w:t>
      </w:r>
      <w:r w:rsidRPr="008D0DB1">
        <w:rPr>
          <w:rtl/>
        </w:rPr>
        <w:t>تغيير ممارساتها</w:t>
      </w:r>
      <w:r w:rsidRPr="008D0DB1">
        <w:rPr>
          <w:rFonts w:hint="cs"/>
          <w:rtl/>
        </w:rPr>
        <w:t>.</w:t>
      </w:r>
    </w:p>
    <w:p w:rsidR="00944A3C" w:rsidRPr="008D0DB1" w:rsidRDefault="00944A3C" w:rsidP="008D0DB1">
      <w:pPr>
        <w:pStyle w:val="SingleTxtGA"/>
        <w:rPr>
          <w:rtl/>
        </w:rPr>
      </w:pPr>
      <w:r w:rsidRPr="008D0DB1">
        <w:rPr>
          <w:rFonts w:hint="cs"/>
          <w:rtl/>
        </w:rPr>
        <w:t>368-</w:t>
      </w:r>
      <w:r w:rsidRPr="008D0DB1">
        <w:rPr>
          <w:rFonts w:hint="cs"/>
          <w:rtl/>
        </w:rPr>
        <w:tab/>
      </w:r>
      <w:r w:rsidRPr="008D0DB1">
        <w:rPr>
          <w:rtl/>
        </w:rPr>
        <w:t>و</w:t>
      </w:r>
      <w:r w:rsidRPr="008D0DB1">
        <w:rPr>
          <w:rFonts w:hint="cs"/>
          <w:rtl/>
        </w:rPr>
        <w:t>ت</w:t>
      </w:r>
      <w:r w:rsidRPr="008D0DB1">
        <w:rPr>
          <w:rtl/>
        </w:rPr>
        <w:t>قدم آراء وتوصيات إلى السلطات العامة وكذلك مقترحات لإصلاح النصوص أو</w:t>
      </w:r>
      <w:r w:rsidR="008D0DB1">
        <w:rPr>
          <w:rFonts w:hint="cs"/>
          <w:rtl/>
        </w:rPr>
        <w:t> </w:t>
      </w:r>
      <w:r w:rsidRPr="008D0DB1">
        <w:rPr>
          <w:rFonts w:hint="cs"/>
          <w:rtl/>
        </w:rPr>
        <w:t>الآليات.</w:t>
      </w:r>
    </w:p>
    <w:p w:rsidR="00944A3C" w:rsidRPr="008D0DB1" w:rsidRDefault="00944A3C" w:rsidP="008D0DB1">
      <w:pPr>
        <w:pStyle w:val="SingleTxtGA"/>
        <w:rPr>
          <w:rtl/>
        </w:rPr>
      </w:pPr>
      <w:r w:rsidRPr="008D0DB1">
        <w:rPr>
          <w:rFonts w:hint="cs"/>
          <w:rtl/>
        </w:rPr>
        <w:t>369-</w:t>
      </w:r>
      <w:r w:rsidRPr="008D0DB1">
        <w:rPr>
          <w:rFonts w:hint="cs"/>
          <w:rtl/>
        </w:rPr>
        <w:tab/>
        <w:t xml:space="preserve">وتنسق </w:t>
      </w:r>
      <w:r w:rsidRPr="008D0DB1">
        <w:rPr>
          <w:rtl/>
        </w:rPr>
        <w:t xml:space="preserve">مؤسسة المدافع عن الحقوق الدراسات والبحوث في مجالات اختصاصها، للتعرف بشكل أفضل على الممارسات التمييزية وتجلياتها وعواقبها، وذلك بغرض </w:t>
      </w:r>
      <w:r w:rsidRPr="008D0DB1">
        <w:rPr>
          <w:rFonts w:hint="cs"/>
          <w:rtl/>
        </w:rPr>
        <w:t xml:space="preserve">وضع </w:t>
      </w:r>
      <w:r w:rsidRPr="008D0DB1">
        <w:rPr>
          <w:rtl/>
        </w:rPr>
        <w:t>أدوات جديدة للعمل</w:t>
      </w:r>
      <w:r w:rsidRPr="008D0DB1">
        <w:rPr>
          <w:rFonts w:hint="cs"/>
          <w:rtl/>
        </w:rPr>
        <w:t xml:space="preserve">. </w:t>
      </w:r>
      <w:r w:rsidRPr="008D0DB1">
        <w:rPr>
          <w:rtl/>
        </w:rPr>
        <w:t>وتنشر نتائج</w:t>
      </w:r>
      <w:r w:rsidRPr="008D0DB1">
        <w:rPr>
          <w:rFonts w:hint="cs"/>
          <w:rtl/>
        </w:rPr>
        <w:t>ه</w:t>
      </w:r>
      <w:r w:rsidR="00443A06">
        <w:rPr>
          <w:rFonts w:hint="cs"/>
          <w:rtl/>
        </w:rPr>
        <w:t xml:space="preserve">ا </w:t>
      </w:r>
      <w:r w:rsidRPr="008D0DB1">
        <w:rPr>
          <w:rtl/>
        </w:rPr>
        <w:t xml:space="preserve">في </w:t>
      </w:r>
      <w:r w:rsidRPr="008D0DB1">
        <w:rPr>
          <w:rFonts w:hint="cs"/>
          <w:rtl/>
        </w:rPr>
        <w:t xml:space="preserve">مجموعة </w:t>
      </w:r>
      <w:r w:rsidRPr="008D0DB1">
        <w:rPr>
          <w:rtl/>
        </w:rPr>
        <w:t>"</w:t>
      </w:r>
      <w:r w:rsidRPr="008D0DB1">
        <w:rPr>
          <w:szCs w:val="36"/>
        </w:rPr>
        <w:t>études &amp; recherches</w:t>
      </w:r>
      <w:r w:rsidRPr="008D0DB1">
        <w:rPr>
          <w:rtl/>
        </w:rPr>
        <w:t>" (دراسات وبحوث).</w:t>
      </w:r>
      <w:r w:rsidRPr="008D0DB1">
        <w:rPr>
          <w:rFonts w:hint="cs"/>
          <w:rtl/>
        </w:rPr>
        <w:t xml:space="preserve"> </w:t>
      </w:r>
      <w:r w:rsidRPr="008D0DB1">
        <w:rPr>
          <w:rtl/>
        </w:rPr>
        <w:t>و</w:t>
      </w:r>
      <w:r w:rsidRPr="008D0DB1">
        <w:rPr>
          <w:rFonts w:hint="cs"/>
          <w:rtl/>
        </w:rPr>
        <w:t xml:space="preserve">في هذا الصدد، </w:t>
      </w:r>
      <w:r w:rsidRPr="008D0DB1">
        <w:rPr>
          <w:rtl/>
        </w:rPr>
        <w:t xml:space="preserve">أتاحت استطلاعات شتى للرأي </w:t>
      </w:r>
      <w:r w:rsidRPr="008D0DB1">
        <w:rPr>
          <w:rFonts w:hint="cs"/>
          <w:rtl/>
        </w:rPr>
        <w:t xml:space="preserve">قياس مدى </w:t>
      </w:r>
      <w:r w:rsidRPr="008D0DB1">
        <w:rPr>
          <w:rtl/>
        </w:rPr>
        <w:t>الإحساس بالتمييز</w:t>
      </w:r>
      <w:r w:rsidRPr="008D0DB1">
        <w:rPr>
          <w:rStyle w:val="EndnoteReference"/>
          <w:rtl/>
        </w:rPr>
        <w:t>(</w:t>
      </w:r>
      <w:r w:rsidRPr="008D0DB1">
        <w:rPr>
          <w:rStyle w:val="EndnoteReference"/>
          <w:rtl/>
        </w:rPr>
        <w:endnoteReference w:id="215"/>
      </w:r>
      <w:r w:rsidRPr="008D0DB1">
        <w:rPr>
          <w:rStyle w:val="EndnoteReference"/>
          <w:rtl/>
        </w:rPr>
        <w:t>)</w:t>
      </w:r>
      <w:r w:rsidRPr="008D0DB1">
        <w:rPr>
          <w:rFonts w:hint="cs"/>
          <w:rtl/>
        </w:rPr>
        <w:t>.</w:t>
      </w:r>
    </w:p>
    <w:p w:rsidR="00944A3C" w:rsidRPr="008D0DB1" w:rsidRDefault="00944A3C" w:rsidP="00A1269F">
      <w:pPr>
        <w:pStyle w:val="H23GA"/>
        <w:rPr>
          <w:rtl/>
        </w:rPr>
      </w:pPr>
      <w:r w:rsidRPr="008D0DB1">
        <w:rPr>
          <w:rtl/>
        </w:rPr>
        <w:tab/>
        <w:t>3-</w:t>
      </w:r>
      <w:r w:rsidRPr="008D0DB1">
        <w:rPr>
          <w:rtl/>
        </w:rPr>
        <w:tab/>
        <w:t>اللجنة الوطنية لتكنولوجيا المعلومات والحريات</w:t>
      </w:r>
    </w:p>
    <w:p w:rsidR="00944A3C" w:rsidRPr="008D0DB1" w:rsidRDefault="00944A3C" w:rsidP="008D0DB1">
      <w:pPr>
        <w:pStyle w:val="SingleTxtGA"/>
        <w:rPr>
          <w:rtl/>
        </w:rPr>
      </w:pPr>
      <w:r w:rsidRPr="008D0DB1">
        <w:rPr>
          <w:rFonts w:hint="cs"/>
          <w:rtl/>
        </w:rPr>
        <w:t>370-</w:t>
      </w:r>
      <w:r w:rsidRPr="008D0DB1">
        <w:rPr>
          <w:rFonts w:hint="cs"/>
          <w:rtl/>
        </w:rPr>
        <w:tab/>
      </w:r>
      <w:r w:rsidRPr="008D0DB1">
        <w:rPr>
          <w:rtl/>
        </w:rPr>
        <w:t>أنشئت اللجنة الوطنية لتكنولوجيا المعلومات والحريات بموجب القانون رقم 78-17 المؤرخ 6 كانون الثاني/يناير 1978 لكفالة حماية البيانات الشخصية في ظل توسع الحوسبة</w:t>
      </w:r>
      <w:r w:rsidRPr="008D0DB1">
        <w:rPr>
          <w:rFonts w:hint="cs"/>
          <w:rtl/>
        </w:rPr>
        <w:t xml:space="preserve">. </w:t>
      </w:r>
      <w:r w:rsidRPr="008D0DB1">
        <w:rPr>
          <w:rtl/>
        </w:rPr>
        <w:t>وبالفعل، فبموجب المادة 1 من هذا القانون، لا ينبغي لتكنولوجيا المعلومات أن "</w:t>
      </w:r>
      <w:r w:rsidRPr="008D0DB1">
        <w:rPr>
          <w:rFonts w:hint="cs"/>
          <w:rtl/>
        </w:rPr>
        <w:t>تمس ب</w:t>
      </w:r>
      <w:r w:rsidRPr="008D0DB1">
        <w:rPr>
          <w:rtl/>
        </w:rPr>
        <w:t xml:space="preserve">هوية الإنسان، ولا </w:t>
      </w:r>
      <w:r w:rsidRPr="008D0DB1">
        <w:rPr>
          <w:rFonts w:hint="cs"/>
          <w:rtl/>
        </w:rPr>
        <w:t>ب</w:t>
      </w:r>
      <w:r w:rsidRPr="008D0DB1">
        <w:rPr>
          <w:rtl/>
        </w:rPr>
        <w:t xml:space="preserve">حقوق الإنسان، ولا </w:t>
      </w:r>
      <w:r w:rsidRPr="008D0DB1">
        <w:rPr>
          <w:rFonts w:hint="cs"/>
          <w:rtl/>
        </w:rPr>
        <w:t>ب</w:t>
      </w:r>
      <w:r w:rsidRPr="008D0DB1">
        <w:rPr>
          <w:rtl/>
        </w:rPr>
        <w:t xml:space="preserve">الحياة الخاصة، ولا </w:t>
      </w:r>
      <w:r w:rsidRPr="008D0DB1">
        <w:rPr>
          <w:rFonts w:hint="cs"/>
          <w:rtl/>
        </w:rPr>
        <w:t>ب</w:t>
      </w:r>
      <w:r w:rsidRPr="008D0DB1">
        <w:rPr>
          <w:rtl/>
        </w:rPr>
        <w:t>الحريات الفردية أو العامة". وينطبق هذا القانون على المعالجة الآلية للبيانات الشخصية وعلى المعالجة غير الآلية للبيانات الشخصية التي يجري تضمينها في الملفات، سواء في القطاع العام أو الخاص</w:t>
      </w:r>
      <w:r w:rsidRPr="008D0DB1">
        <w:rPr>
          <w:rFonts w:hint="cs"/>
          <w:rtl/>
        </w:rPr>
        <w:t xml:space="preserve">. </w:t>
      </w:r>
      <w:r w:rsidRPr="008D0DB1">
        <w:rPr>
          <w:rtl/>
        </w:rPr>
        <w:t>وتخضع أي معالجة للبيانات للقواعد التي يحددها القانون والتي ترصد اللجنة تنفيذها</w:t>
      </w:r>
      <w:r w:rsidRPr="008D0DB1">
        <w:rPr>
          <w:rFonts w:hint="cs"/>
          <w:rtl/>
        </w:rPr>
        <w:t xml:space="preserve">. </w:t>
      </w:r>
      <w:r w:rsidRPr="008D0DB1">
        <w:rPr>
          <w:rtl/>
        </w:rPr>
        <w:t>واللجنة الوطنية لتكنولوجيا المعلومات والحريات هيئة إدارية مستقلة، تتألف من 17 عضو</w:t>
      </w:r>
      <w:r w:rsidR="00443A06">
        <w:rPr>
          <w:rtl/>
        </w:rPr>
        <w:t xml:space="preserve">اً </w:t>
      </w:r>
      <w:r w:rsidRPr="008D0DB1">
        <w:rPr>
          <w:rtl/>
        </w:rPr>
        <w:t>(6 قضاة، و4 نواب برلمانيين، و5 شخصيات مؤهلة، وعضوان من المجلس الاقتصادي والاجتماعي والبيئي) يعينون كل خمس سنوات: يُختار 12 منهم من قِبل أقرانهم وتعين الحكومة والبرلمان</w:t>
      </w:r>
      <w:r w:rsidRPr="008D0DB1">
        <w:rPr>
          <w:rFonts w:hint="cs"/>
          <w:rtl/>
        </w:rPr>
        <w:t xml:space="preserve"> 5 منهم. </w:t>
      </w:r>
      <w:r w:rsidRPr="008D0DB1">
        <w:rPr>
          <w:rtl/>
        </w:rPr>
        <w:t xml:space="preserve">ولا </w:t>
      </w:r>
      <w:r w:rsidRPr="008D0DB1">
        <w:rPr>
          <w:rFonts w:hint="cs"/>
          <w:rtl/>
        </w:rPr>
        <w:t>ي</w:t>
      </w:r>
      <w:r w:rsidRPr="008D0DB1">
        <w:rPr>
          <w:rtl/>
        </w:rPr>
        <w:t>تلق</w:t>
      </w:r>
      <w:r w:rsidRPr="008D0DB1">
        <w:rPr>
          <w:rFonts w:hint="cs"/>
          <w:rtl/>
        </w:rPr>
        <w:t>ون</w:t>
      </w:r>
      <w:r w:rsidRPr="008D0DB1">
        <w:rPr>
          <w:rtl/>
        </w:rPr>
        <w:t xml:space="preserve"> التعليمات من أي سلطة</w:t>
      </w:r>
      <w:r w:rsidRPr="008D0DB1">
        <w:rPr>
          <w:rFonts w:hint="cs"/>
          <w:rtl/>
        </w:rPr>
        <w:t>.</w:t>
      </w:r>
    </w:p>
    <w:p w:rsidR="00944A3C" w:rsidRPr="008D0DB1" w:rsidRDefault="00944A3C" w:rsidP="008D0DB1">
      <w:pPr>
        <w:pStyle w:val="SingleTxtGA"/>
        <w:rPr>
          <w:rtl/>
        </w:rPr>
      </w:pPr>
      <w:r w:rsidRPr="008D0DB1">
        <w:rPr>
          <w:rFonts w:hint="cs"/>
          <w:rtl/>
        </w:rPr>
        <w:t>371-</w:t>
      </w:r>
      <w:r w:rsidRPr="008D0DB1">
        <w:rPr>
          <w:rFonts w:hint="cs"/>
          <w:rtl/>
        </w:rPr>
        <w:tab/>
        <w:t>ومُنحت ل</w:t>
      </w:r>
      <w:r w:rsidRPr="008D0DB1">
        <w:rPr>
          <w:rtl/>
        </w:rPr>
        <w:t xml:space="preserve">هذه اللجنة صلاحيات واسعة: </w:t>
      </w:r>
      <w:r w:rsidRPr="008D0DB1">
        <w:rPr>
          <w:rFonts w:hint="cs"/>
          <w:rtl/>
        </w:rPr>
        <w:t>ف</w:t>
      </w:r>
      <w:r w:rsidRPr="008D0DB1">
        <w:rPr>
          <w:rtl/>
        </w:rPr>
        <w:t xml:space="preserve">قبل تنفيذ بعض </w:t>
      </w:r>
      <w:r w:rsidRPr="008D0DB1">
        <w:rPr>
          <w:rFonts w:hint="cs"/>
          <w:rtl/>
        </w:rPr>
        <w:t xml:space="preserve">أشكال </w:t>
      </w:r>
      <w:r w:rsidRPr="008D0DB1">
        <w:rPr>
          <w:rtl/>
        </w:rPr>
        <w:t>المعالج</w:t>
      </w:r>
      <w:r w:rsidRPr="008D0DB1">
        <w:rPr>
          <w:rFonts w:hint="cs"/>
          <w:rtl/>
        </w:rPr>
        <w:t>ة</w:t>
      </w:r>
      <w:r w:rsidRPr="008D0DB1">
        <w:rPr>
          <w:rtl/>
        </w:rPr>
        <w:t xml:space="preserve"> الآلية للبيانات الشخصية، مثل تلك المتعلقة بأمن الدولة أو بالدفاع أو بالسلامة العامة أو تلك التي تهدف إلى منع الجرائم </w:t>
      </w:r>
      <w:r w:rsidRPr="008D0DB1">
        <w:rPr>
          <w:rFonts w:hint="cs"/>
          <w:rtl/>
        </w:rPr>
        <w:t>و</w:t>
      </w:r>
      <w:r w:rsidRPr="008D0DB1">
        <w:rPr>
          <w:rtl/>
        </w:rPr>
        <w:t xml:space="preserve">البحث </w:t>
      </w:r>
      <w:r w:rsidRPr="008D0DB1">
        <w:rPr>
          <w:rFonts w:hint="cs"/>
          <w:rtl/>
        </w:rPr>
        <w:t xml:space="preserve">عن </w:t>
      </w:r>
      <w:r w:rsidRPr="008D0DB1">
        <w:rPr>
          <w:rtl/>
        </w:rPr>
        <w:t>الجناة والتحقيق</w:t>
      </w:r>
      <w:r w:rsidRPr="008D0DB1">
        <w:rPr>
          <w:rFonts w:hint="cs"/>
          <w:rtl/>
        </w:rPr>
        <w:t xml:space="preserve"> معهم</w:t>
      </w:r>
      <w:r w:rsidRPr="008D0DB1">
        <w:rPr>
          <w:rtl/>
        </w:rPr>
        <w:t xml:space="preserve"> </w:t>
      </w:r>
      <w:r w:rsidRPr="008D0DB1">
        <w:rPr>
          <w:rFonts w:hint="cs"/>
          <w:rtl/>
        </w:rPr>
        <w:t>ومقاضاتهم</w:t>
      </w:r>
      <w:r w:rsidRPr="008D0DB1">
        <w:rPr>
          <w:rtl/>
        </w:rPr>
        <w:t xml:space="preserve">، ينبغي أن تحصل </w:t>
      </w:r>
      <w:r w:rsidRPr="008D0DB1">
        <w:rPr>
          <w:rFonts w:hint="cs"/>
          <w:rtl/>
        </w:rPr>
        <w:t>ا</w:t>
      </w:r>
      <w:r w:rsidRPr="008D0DB1">
        <w:rPr>
          <w:rtl/>
        </w:rPr>
        <w:t xml:space="preserve">لحكومة والإدارة العامة والدولة والجماعات الإقليمية والمؤسسات العامة وشركات القطاع الخاص التي تدير خدمات عامة على موافقة اللجنة الوطنية لتكنولوجيا المعلومات والحريات، </w:t>
      </w:r>
      <w:r w:rsidRPr="008D0DB1">
        <w:rPr>
          <w:rFonts w:hint="cs"/>
          <w:rtl/>
        </w:rPr>
        <w:t xml:space="preserve">التي يجري </w:t>
      </w:r>
      <w:r w:rsidRPr="008D0DB1">
        <w:rPr>
          <w:rtl/>
        </w:rPr>
        <w:t>نشر</w:t>
      </w:r>
      <w:r w:rsidRPr="008D0DB1">
        <w:rPr>
          <w:rFonts w:hint="cs"/>
          <w:rtl/>
        </w:rPr>
        <w:t xml:space="preserve">ها. </w:t>
      </w:r>
      <w:r w:rsidRPr="008D0DB1">
        <w:rPr>
          <w:rtl/>
        </w:rPr>
        <w:t>و</w:t>
      </w:r>
      <w:r w:rsidRPr="008D0DB1">
        <w:rPr>
          <w:rFonts w:hint="cs"/>
          <w:rtl/>
        </w:rPr>
        <w:t>ت</w:t>
      </w:r>
      <w:r w:rsidRPr="008D0DB1">
        <w:rPr>
          <w:rtl/>
        </w:rPr>
        <w:t>ترتب على عدم احترام هذا الإجراء عقوبات إدارية أو جنائية</w:t>
      </w:r>
      <w:r w:rsidRPr="008D0DB1">
        <w:rPr>
          <w:rFonts w:hint="cs"/>
          <w:rtl/>
        </w:rPr>
        <w:t xml:space="preserve">. </w:t>
      </w:r>
      <w:r w:rsidRPr="008D0DB1">
        <w:rPr>
          <w:rtl/>
        </w:rPr>
        <w:t xml:space="preserve">وفيما يتعلق بالقطاع الخاص أو </w:t>
      </w:r>
      <w:r w:rsidRPr="008D0DB1">
        <w:rPr>
          <w:rFonts w:hint="cs"/>
          <w:rtl/>
        </w:rPr>
        <w:t>بإجراءات ا</w:t>
      </w:r>
      <w:r w:rsidRPr="008D0DB1">
        <w:rPr>
          <w:rtl/>
        </w:rPr>
        <w:t xml:space="preserve">لمعالجة الآلية الأخرى التي تنفذها المؤسسات المذكورة أعلاه، ينبغي </w:t>
      </w:r>
      <w:r w:rsidRPr="008D0DB1">
        <w:rPr>
          <w:rFonts w:hint="cs"/>
          <w:rtl/>
        </w:rPr>
        <w:t xml:space="preserve">أن يقدَّم </w:t>
      </w:r>
      <w:r w:rsidRPr="008D0DB1">
        <w:rPr>
          <w:rtl/>
        </w:rPr>
        <w:t>إلى اللجنة الوطنية لتكنولوجيا المعلومات والحريات إع</w:t>
      </w:r>
      <w:r w:rsidRPr="008D0DB1">
        <w:rPr>
          <w:rFonts w:hint="cs"/>
          <w:rtl/>
        </w:rPr>
        <w:t>لان</w:t>
      </w:r>
      <w:r w:rsidRPr="008D0DB1">
        <w:rPr>
          <w:rtl/>
        </w:rPr>
        <w:t xml:space="preserve"> </w:t>
      </w:r>
      <w:r w:rsidRPr="008D0DB1">
        <w:rPr>
          <w:rFonts w:hint="cs"/>
          <w:rtl/>
        </w:rPr>
        <w:t xml:space="preserve">قبل </w:t>
      </w:r>
      <w:r w:rsidRPr="008D0DB1">
        <w:rPr>
          <w:rtl/>
        </w:rPr>
        <w:t>أي معالجة للبيانات الإلكترونية</w:t>
      </w:r>
      <w:r w:rsidRPr="008D0DB1">
        <w:rPr>
          <w:rFonts w:hint="cs"/>
          <w:rtl/>
        </w:rPr>
        <w:t xml:space="preserve">. </w:t>
      </w:r>
      <w:r w:rsidRPr="008D0DB1">
        <w:rPr>
          <w:rtl/>
        </w:rPr>
        <w:t>وينبغي الحصول على موافقة هذه اللجنة بالنسبة لبعض أشكال المعالجة الآلية</w:t>
      </w:r>
      <w:r w:rsidRPr="008D0DB1">
        <w:rPr>
          <w:rFonts w:hint="cs"/>
          <w:rtl/>
        </w:rPr>
        <w:t>. ولهذا الغرض</w:t>
      </w:r>
      <w:r w:rsidRPr="008D0DB1">
        <w:rPr>
          <w:rtl/>
        </w:rPr>
        <w:t xml:space="preserve">، يجري التحقق من استيفاء المعالجة الآلية </w:t>
      </w:r>
      <w:r w:rsidRPr="008D0DB1">
        <w:rPr>
          <w:rFonts w:hint="cs"/>
          <w:rtl/>
        </w:rPr>
        <w:t xml:space="preserve">لمقتضيات </w:t>
      </w:r>
      <w:r w:rsidRPr="008D0DB1">
        <w:rPr>
          <w:rtl/>
        </w:rPr>
        <w:t>القانون</w:t>
      </w:r>
      <w:r w:rsidRPr="008D0DB1">
        <w:rPr>
          <w:rFonts w:hint="cs"/>
          <w:rtl/>
        </w:rPr>
        <w:t xml:space="preserve">. </w:t>
      </w:r>
      <w:r w:rsidRPr="008D0DB1">
        <w:rPr>
          <w:rtl/>
        </w:rPr>
        <w:t>وفيما يتعلق بفئات معالجة البيانات الأكثر شيوع</w:t>
      </w:r>
      <w:r w:rsidR="0031739C">
        <w:rPr>
          <w:rtl/>
        </w:rPr>
        <w:t>اً،</w:t>
      </w:r>
      <w:r w:rsidRPr="008D0DB1">
        <w:rPr>
          <w:rtl/>
        </w:rPr>
        <w:t xml:space="preserve"> في القطاع العام والخاص على حد سواء، </w:t>
      </w:r>
      <w:r w:rsidRPr="008D0DB1">
        <w:rPr>
          <w:rFonts w:hint="cs"/>
          <w:rtl/>
        </w:rPr>
        <w:t xml:space="preserve">تعتمد </w:t>
      </w:r>
      <w:r w:rsidRPr="008D0DB1">
        <w:rPr>
          <w:rtl/>
        </w:rPr>
        <w:t>اللجنة معايير مبسطة بموجب سلطتها التنظيمية</w:t>
      </w:r>
      <w:r w:rsidRPr="008D0DB1">
        <w:rPr>
          <w:rFonts w:hint="cs"/>
          <w:rtl/>
        </w:rPr>
        <w:t>.</w:t>
      </w:r>
    </w:p>
    <w:p w:rsidR="00944A3C" w:rsidRPr="008D0DB1" w:rsidRDefault="00944A3C" w:rsidP="008D0DB1">
      <w:pPr>
        <w:pStyle w:val="SingleTxtGA"/>
        <w:rPr>
          <w:rtl/>
        </w:rPr>
      </w:pPr>
      <w:r w:rsidRPr="008D0DB1">
        <w:rPr>
          <w:rFonts w:hint="cs"/>
          <w:rtl/>
        </w:rPr>
        <w:t>372-</w:t>
      </w:r>
      <w:r w:rsidRPr="008D0DB1">
        <w:rPr>
          <w:rFonts w:hint="cs"/>
          <w:rtl/>
        </w:rPr>
        <w:tab/>
      </w:r>
      <w:r w:rsidRPr="008D0DB1">
        <w:rPr>
          <w:rtl/>
        </w:rPr>
        <w:t>وتملك اللجنة أيض</w:t>
      </w:r>
      <w:r w:rsidR="00443A06">
        <w:rPr>
          <w:rtl/>
        </w:rPr>
        <w:t xml:space="preserve">اً </w:t>
      </w:r>
      <w:r w:rsidRPr="008D0DB1">
        <w:rPr>
          <w:rtl/>
        </w:rPr>
        <w:t>صلاحية تلقي الشكاوى والالتماسات والمطالبات</w:t>
      </w:r>
      <w:r w:rsidRPr="008D0DB1">
        <w:rPr>
          <w:rFonts w:hint="cs"/>
          <w:rtl/>
        </w:rPr>
        <w:t xml:space="preserve">. </w:t>
      </w:r>
      <w:r w:rsidRPr="008D0DB1">
        <w:rPr>
          <w:rtl/>
        </w:rPr>
        <w:t xml:space="preserve">ويجوز </w:t>
      </w:r>
      <w:r w:rsidRPr="008D0DB1">
        <w:rPr>
          <w:rFonts w:hint="cs"/>
          <w:rtl/>
        </w:rPr>
        <w:t>لها</w:t>
      </w:r>
      <w:r w:rsidRPr="008D0DB1">
        <w:rPr>
          <w:rtl/>
        </w:rPr>
        <w:t>، بناء على تلك الشكاوى أو بمبادرة منها، أن تستخدم سلطات واسعة للمراقبة والتحقق من خلال انتقالها إلى عين المكان و</w:t>
      </w:r>
      <w:r w:rsidRPr="008D0DB1">
        <w:rPr>
          <w:rFonts w:hint="cs"/>
          <w:rtl/>
        </w:rPr>
        <w:t>ال</w:t>
      </w:r>
      <w:r w:rsidRPr="008D0DB1">
        <w:rPr>
          <w:rtl/>
        </w:rPr>
        <w:t xml:space="preserve">تمحيص </w:t>
      </w:r>
      <w:r w:rsidRPr="008D0DB1">
        <w:rPr>
          <w:rFonts w:hint="cs"/>
          <w:rtl/>
        </w:rPr>
        <w:t>الدقيق ل</w:t>
      </w:r>
      <w:r w:rsidRPr="008D0DB1">
        <w:rPr>
          <w:rtl/>
        </w:rPr>
        <w:t>شروط استخدام البيانات</w:t>
      </w:r>
      <w:r w:rsidRPr="008D0DB1">
        <w:rPr>
          <w:rFonts w:hint="cs"/>
          <w:rtl/>
        </w:rPr>
        <w:t xml:space="preserve"> </w:t>
      </w:r>
      <w:r w:rsidRPr="008D0DB1">
        <w:rPr>
          <w:rtl/>
        </w:rPr>
        <w:t>ومعالج</w:t>
      </w:r>
      <w:r w:rsidRPr="008D0DB1">
        <w:rPr>
          <w:rFonts w:hint="cs"/>
          <w:rtl/>
        </w:rPr>
        <w:t xml:space="preserve">تها. </w:t>
      </w:r>
      <w:r w:rsidRPr="008D0DB1">
        <w:rPr>
          <w:rtl/>
        </w:rPr>
        <w:t xml:space="preserve">ويجوز لها، عند </w:t>
      </w:r>
      <w:r w:rsidRPr="008D0DB1">
        <w:rPr>
          <w:rtl/>
        </w:rPr>
        <w:lastRenderedPageBreak/>
        <w:t xml:space="preserve">الاقتضاء، إحالة قضية ما إلى هيئة المنازعات التابعة لها وإصدار </w:t>
      </w:r>
      <w:r w:rsidRPr="008D0DB1">
        <w:rPr>
          <w:rFonts w:hint="cs"/>
          <w:rtl/>
        </w:rPr>
        <w:t xml:space="preserve">جزاءات </w:t>
      </w:r>
      <w:r w:rsidRPr="008D0DB1">
        <w:rPr>
          <w:rtl/>
        </w:rPr>
        <w:t>(تحذير، أو غرامة مالية، أو أمر، أو الإحالة إلى رئيس الوزراء) (المادة 45 من القانون رقم 78-17 المؤرخ 6 كانون الثاني/يناير 1978)</w:t>
      </w:r>
      <w:r w:rsidRPr="008D0DB1">
        <w:rPr>
          <w:rFonts w:hint="cs"/>
          <w:rtl/>
        </w:rPr>
        <w:t xml:space="preserve">. </w:t>
      </w:r>
      <w:r w:rsidRPr="008D0DB1">
        <w:rPr>
          <w:rtl/>
        </w:rPr>
        <w:t xml:space="preserve">ولا يستبعد هذا الإجراء إمكانية إحالة القضية إلى </w:t>
      </w:r>
      <w:r w:rsidRPr="008D0DB1">
        <w:rPr>
          <w:rFonts w:hint="cs"/>
          <w:rtl/>
        </w:rPr>
        <w:t xml:space="preserve">النيابة العامة </w:t>
      </w:r>
      <w:r w:rsidRPr="008D0DB1">
        <w:rPr>
          <w:rtl/>
        </w:rPr>
        <w:t>(المادة 40 من قانون الإجراءات الجنائية)</w:t>
      </w:r>
      <w:r w:rsidRPr="008D0DB1">
        <w:rPr>
          <w:rFonts w:hint="cs"/>
          <w:rtl/>
        </w:rPr>
        <w:t>.</w:t>
      </w:r>
    </w:p>
    <w:p w:rsidR="00944A3C" w:rsidRPr="008D0DB1" w:rsidRDefault="00944A3C" w:rsidP="008D0DB1">
      <w:pPr>
        <w:pStyle w:val="SingleTxtGA"/>
        <w:rPr>
          <w:rtl/>
        </w:rPr>
      </w:pPr>
      <w:r w:rsidRPr="008D0DB1">
        <w:rPr>
          <w:rFonts w:hint="cs"/>
          <w:rtl/>
        </w:rPr>
        <w:t>373-</w:t>
      </w:r>
      <w:r w:rsidRPr="008D0DB1">
        <w:rPr>
          <w:rFonts w:hint="cs"/>
          <w:rtl/>
        </w:rPr>
        <w:tab/>
      </w:r>
      <w:r w:rsidRPr="008D0DB1">
        <w:rPr>
          <w:rtl/>
        </w:rPr>
        <w:t xml:space="preserve">ويتعين على اللجنة تقديم المعلومات والمشورة إلى الأشخاص بشأن حقوقهم وواجباتهم </w:t>
      </w:r>
      <w:r w:rsidRPr="008D0DB1">
        <w:rPr>
          <w:rFonts w:hint="cs"/>
          <w:rtl/>
        </w:rPr>
        <w:t xml:space="preserve">وأن تُحدِّث معلوماتها عن </w:t>
      </w:r>
      <w:r w:rsidRPr="008D0DB1">
        <w:rPr>
          <w:rtl/>
        </w:rPr>
        <w:t xml:space="preserve">آثار استخدام تكنولوجيا المعلومات على الحياة الخاصة </w:t>
      </w:r>
      <w:r w:rsidRPr="008D0DB1">
        <w:rPr>
          <w:rFonts w:hint="cs"/>
          <w:rtl/>
        </w:rPr>
        <w:t>و</w:t>
      </w:r>
      <w:r w:rsidRPr="008D0DB1">
        <w:rPr>
          <w:rtl/>
        </w:rPr>
        <w:t xml:space="preserve">ممارسة الحريات </w:t>
      </w:r>
      <w:r w:rsidRPr="008D0DB1">
        <w:rPr>
          <w:rFonts w:hint="cs"/>
          <w:rtl/>
        </w:rPr>
        <w:t>و</w:t>
      </w:r>
      <w:r w:rsidRPr="008D0DB1">
        <w:rPr>
          <w:rtl/>
        </w:rPr>
        <w:t>عمل المؤسسات الديمقراطية</w:t>
      </w:r>
      <w:r w:rsidRPr="008D0DB1">
        <w:rPr>
          <w:rFonts w:hint="cs"/>
          <w:rtl/>
        </w:rPr>
        <w:t xml:space="preserve">. </w:t>
      </w:r>
      <w:r w:rsidRPr="008D0DB1">
        <w:rPr>
          <w:rtl/>
        </w:rPr>
        <w:t xml:space="preserve">ويجوز لها أن تقدم أي اقتراحات لمواءمة حماية الحريات مع </w:t>
      </w:r>
      <w:r w:rsidRPr="008D0DB1">
        <w:rPr>
          <w:rFonts w:hint="cs"/>
          <w:rtl/>
        </w:rPr>
        <w:t xml:space="preserve">تطور </w:t>
      </w:r>
      <w:r w:rsidRPr="008D0DB1">
        <w:rPr>
          <w:rtl/>
        </w:rPr>
        <w:t>استخدامات وتقنيات تكنولوجيا المعلومات</w:t>
      </w:r>
      <w:r w:rsidRPr="008D0DB1">
        <w:rPr>
          <w:rFonts w:hint="cs"/>
          <w:rtl/>
        </w:rPr>
        <w:t xml:space="preserve">. </w:t>
      </w:r>
      <w:r w:rsidRPr="008D0DB1">
        <w:rPr>
          <w:rtl/>
        </w:rPr>
        <w:t>وتقدم تقرير</w:t>
      </w:r>
      <w:r w:rsidR="00443A06">
        <w:rPr>
          <w:rtl/>
        </w:rPr>
        <w:t xml:space="preserve">اً </w:t>
      </w:r>
      <w:r w:rsidRPr="008D0DB1">
        <w:rPr>
          <w:rtl/>
        </w:rPr>
        <w:t>سنوي</w:t>
      </w:r>
      <w:r w:rsidR="00443A06">
        <w:rPr>
          <w:rtl/>
        </w:rPr>
        <w:t xml:space="preserve">اً </w:t>
      </w:r>
      <w:r w:rsidRPr="008D0DB1">
        <w:rPr>
          <w:rtl/>
        </w:rPr>
        <w:t>إلى رئيس الجمهورية و</w:t>
      </w:r>
      <w:r w:rsidRPr="008D0DB1">
        <w:rPr>
          <w:rFonts w:hint="cs"/>
          <w:rtl/>
        </w:rPr>
        <w:t xml:space="preserve">إلى </w:t>
      </w:r>
      <w:r w:rsidRPr="008D0DB1">
        <w:rPr>
          <w:rtl/>
        </w:rPr>
        <w:t>البرلمان، يجري نشره بعد ذلك</w:t>
      </w:r>
      <w:r w:rsidRPr="008D0DB1">
        <w:rPr>
          <w:rFonts w:hint="cs"/>
          <w:rtl/>
        </w:rPr>
        <w:t>.</w:t>
      </w:r>
    </w:p>
    <w:p w:rsidR="00944A3C" w:rsidRPr="008D0DB1" w:rsidRDefault="00944A3C" w:rsidP="008D0DB1">
      <w:pPr>
        <w:pStyle w:val="H23GA"/>
        <w:rPr>
          <w:rtl/>
        </w:rPr>
      </w:pPr>
      <w:r w:rsidRPr="008D0DB1">
        <w:rPr>
          <w:rtl/>
        </w:rPr>
        <w:tab/>
        <w:t>4-</w:t>
      </w:r>
      <w:r w:rsidRPr="008D0DB1">
        <w:rPr>
          <w:rtl/>
        </w:rPr>
        <w:tab/>
        <w:t>المجلس الأعلى للوسائط السمعية البصرية</w:t>
      </w:r>
      <w:r w:rsidRPr="008D0DB1">
        <w:rPr>
          <w:rStyle w:val="EndnoteReference"/>
          <w:b w:val="0"/>
          <w:bCs w:val="0"/>
          <w:rtl/>
        </w:rPr>
        <w:t>(</w:t>
      </w:r>
      <w:r w:rsidRPr="008D0DB1">
        <w:rPr>
          <w:rStyle w:val="EndnoteReference"/>
          <w:b w:val="0"/>
          <w:bCs w:val="0"/>
          <w:rtl/>
        </w:rPr>
        <w:endnoteReference w:id="216"/>
      </w:r>
      <w:r w:rsidRPr="008D0DB1">
        <w:rPr>
          <w:rStyle w:val="EndnoteReference"/>
          <w:b w:val="0"/>
          <w:bCs w:val="0"/>
          <w:rtl/>
        </w:rPr>
        <w:t>)</w:t>
      </w:r>
    </w:p>
    <w:p w:rsidR="00944A3C" w:rsidRPr="008D0DB1" w:rsidRDefault="00944A3C" w:rsidP="00D575E7">
      <w:pPr>
        <w:pStyle w:val="SingleTxtGA"/>
        <w:rPr>
          <w:rtl/>
        </w:rPr>
      </w:pPr>
      <w:r w:rsidRPr="008D0DB1">
        <w:rPr>
          <w:rFonts w:hint="cs"/>
          <w:rtl/>
        </w:rPr>
        <w:t>374-</w:t>
      </w:r>
      <w:r w:rsidRPr="008D0DB1">
        <w:rPr>
          <w:rFonts w:hint="cs"/>
          <w:rtl/>
        </w:rPr>
        <w:tab/>
      </w:r>
      <w:r w:rsidRPr="008D0DB1">
        <w:rPr>
          <w:rtl/>
        </w:rPr>
        <w:t>تتمثل مهمة المجلس الأعلى للوسائط السمعية البصرية، المنشأ بموجب القانون المؤرخ</w:t>
      </w:r>
      <w:r w:rsidR="008D0DB1">
        <w:rPr>
          <w:rFonts w:hint="cs"/>
          <w:rtl/>
        </w:rPr>
        <w:t> </w:t>
      </w:r>
      <w:r w:rsidRPr="008D0DB1">
        <w:rPr>
          <w:rtl/>
        </w:rPr>
        <w:t>17 كانون الثاني/يناير 1989، في كفالة حرية الاتصال السمعي البصري في فرنسا</w:t>
      </w:r>
      <w:r w:rsidRPr="008D0DB1">
        <w:rPr>
          <w:rFonts w:hint="cs"/>
          <w:rtl/>
        </w:rPr>
        <w:t xml:space="preserve">. </w:t>
      </w:r>
      <w:r w:rsidRPr="008D0DB1">
        <w:rPr>
          <w:rtl/>
        </w:rPr>
        <w:t>وقد خلَف الهيئة العليا للاتصال السمعي البصري (1982</w:t>
      </w:r>
      <w:r w:rsidR="00D575E7">
        <w:rPr>
          <w:rtl/>
        </w:rPr>
        <w:noBreakHyphen/>
      </w:r>
      <w:r w:rsidRPr="008D0DB1">
        <w:rPr>
          <w:rtl/>
        </w:rPr>
        <w:t>1986) واللجنة الوطنية للاتصالات والحريات (1986</w:t>
      </w:r>
      <w:r w:rsidR="00D575E7">
        <w:rPr>
          <w:rtl/>
        </w:rPr>
        <w:noBreakHyphen/>
      </w:r>
      <w:r w:rsidRPr="008D0DB1">
        <w:rPr>
          <w:rtl/>
        </w:rPr>
        <w:t>1989)</w:t>
      </w:r>
      <w:r w:rsidRPr="008D0DB1">
        <w:rPr>
          <w:rFonts w:hint="cs"/>
          <w:rtl/>
        </w:rPr>
        <w:t>. و</w:t>
      </w:r>
      <w:r w:rsidRPr="008D0DB1">
        <w:rPr>
          <w:rtl/>
        </w:rPr>
        <w:t>تنص المادة 1 من القانون المؤرخ 30 أيلول/سبتمبر 1986 المعدل بالقانون المؤرخ 15 تشرين الثاني/نوفمبر 2013 المتعلق باستقلال الوسائط السمعية البصرية</w:t>
      </w:r>
      <w:r w:rsidRPr="008D0DB1">
        <w:rPr>
          <w:rFonts w:hint="cs"/>
          <w:rtl/>
        </w:rPr>
        <w:t>، بصفة خاصة</w:t>
      </w:r>
      <w:r w:rsidRPr="008D0DB1">
        <w:rPr>
          <w:rtl/>
        </w:rPr>
        <w:t>، على أن</w:t>
      </w:r>
      <w:r w:rsidRPr="008D0DB1">
        <w:rPr>
          <w:rFonts w:hint="cs"/>
          <w:rtl/>
        </w:rPr>
        <w:t>ه</w:t>
      </w:r>
      <w:r w:rsidRPr="008D0DB1">
        <w:rPr>
          <w:rtl/>
        </w:rPr>
        <w:t xml:space="preserve"> "لا يجوز تقييد ممارسة هذه الحرية إلا بالقدر </w:t>
      </w:r>
      <w:r w:rsidRPr="008D0DB1">
        <w:rPr>
          <w:rFonts w:hint="cs"/>
          <w:rtl/>
        </w:rPr>
        <w:t>الذي يقتضيه</w:t>
      </w:r>
      <w:r w:rsidRPr="008D0DB1">
        <w:rPr>
          <w:rtl/>
        </w:rPr>
        <w:t xml:space="preserve">، من جهة، احترام الكرامة الإنسانية، وحرية الآخر </w:t>
      </w:r>
      <w:r w:rsidRPr="008D0DB1">
        <w:rPr>
          <w:rFonts w:hint="cs"/>
          <w:rtl/>
        </w:rPr>
        <w:t>وخصوصيته</w:t>
      </w:r>
      <w:r w:rsidRPr="008D0DB1">
        <w:rPr>
          <w:rtl/>
        </w:rPr>
        <w:t xml:space="preserve">، والطابع التعددي للتعبير عن تيارات الفكر والرأي، </w:t>
      </w:r>
      <w:r w:rsidRPr="008D0DB1">
        <w:rPr>
          <w:rFonts w:hint="cs"/>
          <w:rtl/>
        </w:rPr>
        <w:t xml:space="preserve">والذي تستلزمه، </w:t>
      </w:r>
      <w:r w:rsidRPr="008D0DB1">
        <w:rPr>
          <w:rtl/>
        </w:rPr>
        <w:t xml:space="preserve">من جهة أخرى، حماية الأطفال والمراهقين، وحفظ النظام العام، </w:t>
      </w:r>
      <w:r w:rsidRPr="008D0DB1">
        <w:rPr>
          <w:rFonts w:hint="cs"/>
          <w:rtl/>
        </w:rPr>
        <w:t xml:space="preserve">ومتطلبات </w:t>
      </w:r>
      <w:r w:rsidRPr="008D0DB1">
        <w:rPr>
          <w:rtl/>
        </w:rPr>
        <w:t xml:space="preserve">الدفاع الوطني، ومتطلبات الخدمات العامة، </w:t>
      </w:r>
      <w:r w:rsidRPr="008D0DB1">
        <w:rPr>
          <w:rFonts w:hint="cs"/>
          <w:rtl/>
        </w:rPr>
        <w:t xml:space="preserve">والقيود </w:t>
      </w:r>
      <w:r w:rsidRPr="008D0DB1">
        <w:rPr>
          <w:rtl/>
        </w:rPr>
        <w:t xml:space="preserve">التقنية ذات الصلة بوسائل الاتصال، وكذلك </w:t>
      </w:r>
      <w:r w:rsidRPr="008D0DB1">
        <w:rPr>
          <w:rFonts w:hint="cs"/>
          <w:rtl/>
        </w:rPr>
        <w:t xml:space="preserve">ضرورة </w:t>
      </w:r>
      <w:r w:rsidRPr="008D0DB1">
        <w:rPr>
          <w:rtl/>
        </w:rPr>
        <w:t>تطوير الإنتاج السمعي البصري"</w:t>
      </w:r>
      <w:r w:rsidRPr="008D0DB1">
        <w:rPr>
          <w:rFonts w:hint="cs"/>
          <w:rtl/>
        </w:rPr>
        <w:t>.</w:t>
      </w:r>
    </w:p>
    <w:p w:rsidR="00944A3C" w:rsidRPr="008D0DB1" w:rsidRDefault="00944A3C" w:rsidP="008D0DB1">
      <w:pPr>
        <w:pStyle w:val="SingleTxtGA"/>
        <w:rPr>
          <w:rtl/>
        </w:rPr>
      </w:pPr>
      <w:r w:rsidRPr="008D0DB1">
        <w:rPr>
          <w:rFonts w:hint="cs"/>
          <w:rtl/>
        </w:rPr>
        <w:t>375-</w:t>
      </w:r>
      <w:r w:rsidRPr="008D0DB1">
        <w:rPr>
          <w:rFonts w:hint="cs"/>
          <w:rtl/>
        </w:rPr>
        <w:tab/>
      </w:r>
      <w:r w:rsidRPr="008D0DB1">
        <w:rPr>
          <w:rtl/>
        </w:rPr>
        <w:t>ووفق</w:t>
      </w:r>
      <w:r w:rsidR="00443A06">
        <w:rPr>
          <w:rtl/>
        </w:rPr>
        <w:t xml:space="preserve">اً </w:t>
      </w:r>
      <w:r w:rsidRPr="008D0DB1">
        <w:rPr>
          <w:rtl/>
        </w:rPr>
        <w:t xml:space="preserve">للقانون رقم 2013-1028 المؤرخ 15 تشرين الثاني/نوفمبر 2013 المتعلق باستقلال الوسائط السمعية البصرية العامة، يتألف المجلس الأعلى للوسائط السمعية البصرية من سبعة أعضاء، يعينون بموجب مرسوم </w:t>
      </w:r>
      <w:r w:rsidRPr="008D0DB1">
        <w:rPr>
          <w:rFonts w:hint="cs"/>
          <w:rtl/>
        </w:rPr>
        <w:t>ل</w:t>
      </w:r>
      <w:r w:rsidRPr="008D0DB1">
        <w:rPr>
          <w:rtl/>
        </w:rPr>
        <w:t>رئيس الجمهورية</w:t>
      </w:r>
      <w:r w:rsidRPr="008D0DB1">
        <w:rPr>
          <w:rFonts w:hint="cs"/>
          <w:rtl/>
        </w:rPr>
        <w:t xml:space="preserve">. </w:t>
      </w:r>
      <w:r w:rsidRPr="008D0DB1">
        <w:rPr>
          <w:rtl/>
        </w:rPr>
        <w:t xml:space="preserve">ويعين رئيس الجمهورية رئيس </w:t>
      </w:r>
      <w:r w:rsidRPr="008D0DB1">
        <w:rPr>
          <w:rFonts w:hint="cs"/>
          <w:rtl/>
        </w:rPr>
        <w:t xml:space="preserve">هذا </w:t>
      </w:r>
      <w:r w:rsidRPr="008D0DB1">
        <w:rPr>
          <w:rtl/>
        </w:rPr>
        <w:t xml:space="preserve">المجلس، ويختار رئيس الجمعية الوطنية ثلاثة أعضاء ورئيس مجلس الشيوخ ثلاث أعضاء بعد موافقة </w:t>
      </w:r>
      <w:r w:rsidRPr="008D0DB1">
        <w:rPr>
          <w:rFonts w:hint="cs"/>
          <w:rtl/>
        </w:rPr>
        <w:t>ال</w:t>
      </w:r>
      <w:r w:rsidRPr="008D0DB1">
        <w:rPr>
          <w:rtl/>
        </w:rPr>
        <w:t>لجنت</w:t>
      </w:r>
      <w:r w:rsidRPr="008D0DB1">
        <w:rPr>
          <w:rFonts w:hint="cs"/>
          <w:rtl/>
        </w:rPr>
        <w:t>ين</w:t>
      </w:r>
      <w:r w:rsidRPr="008D0DB1">
        <w:rPr>
          <w:rtl/>
        </w:rPr>
        <w:t xml:space="preserve"> المختصتين المكلفتين بالشؤون الثقافية </w:t>
      </w:r>
      <w:r w:rsidRPr="008D0DB1">
        <w:rPr>
          <w:rFonts w:hint="cs"/>
          <w:rtl/>
        </w:rPr>
        <w:t>في المجلسين</w:t>
      </w:r>
      <w:r w:rsidRPr="008D0DB1">
        <w:rPr>
          <w:rtl/>
        </w:rPr>
        <w:t xml:space="preserve"> </w:t>
      </w:r>
      <w:r w:rsidRPr="008D0DB1">
        <w:rPr>
          <w:rFonts w:hint="cs"/>
          <w:rtl/>
        </w:rPr>
        <w:t>ب</w:t>
      </w:r>
      <w:r w:rsidRPr="008D0DB1">
        <w:rPr>
          <w:rtl/>
        </w:rPr>
        <w:t>أغلبية ثلاثة أخماس</w:t>
      </w:r>
      <w:r w:rsidRPr="008D0DB1">
        <w:rPr>
          <w:rFonts w:hint="cs"/>
          <w:rtl/>
        </w:rPr>
        <w:t>ٍ</w:t>
      </w:r>
      <w:r w:rsidRPr="008D0DB1">
        <w:rPr>
          <w:rtl/>
        </w:rPr>
        <w:t xml:space="preserve"> </w:t>
      </w:r>
      <w:r w:rsidRPr="008D0DB1">
        <w:rPr>
          <w:rFonts w:hint="cs"/>
          <w:rtl/>
        </w:rPr>
        <w:t xml:space="preserve">من أصوات </w:t>
      </w:r>
      <w:r w:rsidRPr="008D0DB1">
        <w:rPr>
          <w:rtl/>
        </w:rPr>
        <w:t>أعضا</w:t>
      </w:r>
      <w:r w:rsidRPr="008D0DB1">
        <w:rPr>
          <w:rFonts w:hint="cs"/>
          <w:rtl/>
        </w:rPr>
        <w:t xml:space="preserve">ئهما. </w:t>
      </w:r>
      <w:r w:rsidRPr="008D0DB1">
        <w:rPr>
          <w:rtl/>
        </w:rPr>
        <w:t>وولايتهم، التي تدوم ست سنوات، غير قابلة للإلغاء ولا للتجديد</w:t>
      </w:r>
      <w:r w:rsidRPr="008D0DB1">
        <w:rPr>
          <w:rFonts w:hint="cs"/>
          <w:rtl/>
        </w:rPr>
        <w:t xml:space="preserve">. </w:t>
      </w:r>
      <w:r w:rsidRPr="008D0DB1">
        <w:rPr>
          <w:rtl/>
        </w:rPr>
        <w:t>ويجدَّد ثلث أعضاء المجلس كل سنتين</w:t>
      </w:r>
      <w:r w:rsidRPr="008D0DB1">
        <w:rPr>
          <w:rFonts w:hint="cs"/>
          <w:rtl/>
        </w:rPr>
        <w:t>.</w:t>
      </w:r>
    </w:p>
    <w:p w:rsidR="00944A3C" w:rsidRPr="008D0DB1" w:rsidRDefault="00944A3C" w:rsidP="008D0DB1">
      <w:pPr>
        <w:pStyle w:val="SingleTxtGA"/>
        <w:rPr>
          <w:spacing w:val="-2"/>
          <w:rtl/>
        </w:rPr>
      </w:pPr>
      <w:r w:rsidRPr="008D0DB1">
        <w:rPr>
          <w:rFonts w:hint="cs"/>
          <w:rtl/>
        </w:rPr>
        <w:t>376-</w:t>
      </w:r>
      <w:r w:rsidRPr="008D0DB1">
        <w:rPr>
          <w:rFonts w:hint="cs"/>
          <w:rtl/>
        </w:rPr>
        <w:tab/>
      </w:r>
      <w:r w:rsidRPr="008D0DB1">
        <w:rPr>
          <w:rtl/>
        </w:rPr>
        <w:t>ويكفل المجلس الأعلى للوسائط السمعية البصرية، وفق</w:t>
      </w:r>
      <w:r w:rsidR="00443A06">
        <w:rPr>
          <w:rtl/>
        </w:rPr>
        <w:t xml:space="preserve">اً </w:t>
      </w:r>
      <w:r w:rsidRPr="008D0DB1">
        <w:rPr>
          <w:rtl/>
        </w:rPr>
        <w:t xml:space="preserve">للمادة 3-1 من القانون </w:t>
      </w:r>
      <w:r w:rsidRPr="008D0DB1">
        <w:rPr>
          <w:spacing w:val="-2"/>
          <w:rtl/>
        </w:rPr>
        <w:t>المؤرخ</w:t>
      </w:r>
      <w:r w:rsidR="008D0DB1" w:rsidRPr="008D0DB1">
        <w:rPr>
          <w:rFonts w:hint="cs"/>
          <w:spacing w:val="-2"/>
          <w:rtl/>
        </w:rPr>
        <w:t> </w:t>
      </w:r>
      <w:r w:rsidRPr="008D0DB1">
        <w:rPr>
          <w:spacing w:val="-2"/>
          <w:rtl/>
        </w:rPr>
        <w:t>30 أيلول/سبتمبر 1986 بصيغته المعدلة، "المساواة في معاملة (</w:t>
      </w:r>
      <w:r w:rsidRPr="008D0DB1">
        <w:rPr>
          <w:rFonts w:hint="cs"/>
          <w:spacing w:val="-2"/>
          <w:rtl/>
        </w:rPr>
        <w:t>ا</w:t>
      </w:r>
      <w:r w:rsidRPr="008D0DB1">
        <w:rPr>
          <w:spacing w:val="-2"/>
          <w:rtl/>
        </w:rPr>
        <w:t>لمستخد</w:t>
      </w:r>
      <w:r w:rsidRPr="008D0DB1">
        <w:rPr>
          <w:rFonts w:hint="cs"/>
          <w:spacing w:val="-2"/>
          <w:rtl/>
        </w:rPr>
        <w:t>ِ</w:t>
      </w:r>
      <w:r w:rsidRPr="008D0DB1">
        <w:rPr>
          <w:spacing w:val="-2"/>
          <w:rtl/>
        </w:rPr>
        <w:t>مين)</w:t>
      </w:r>
      <w:r w:rsidRPr="008D0DB1">
        <w:rPr>
          <w:rFonts w:hint="cs"/>
          <w:spacing w:val="-2"/>
          <w:rtl/>
        </w:rPr>
        <w:t xml:space="preserve">؛ </w:t>
      </w:r>
      <w:r w:rsidRPr="008D0DB1">
        <w:rPr>
          <w:spacing w:val="-2"/>
          <w:rtl/>
        </w:rPr>
        <w:t>ويضمن استقلال قطاع الاتصال السمعي البصري العام وحياده</w:t>
      </w:r>
      <w:r w:rsidRPr="008D0DB1">
        <w:rPr>
          <w:rFonts w:hint="cs"/>
          <w:spacing w:val="-2"/>
          <w:rtl/>
        </w:rPr>
        <w:t xml:space="preserve">؛ </w:t>
      </w:r>
      <w:r w:rsidRPr="008D0DB1">
        <w:rPr>
          <w:spacing w:val="-2"/>
          <w:rtl/>
        </w:rPr>
        <w:t xml:space="preserve">ويحرص على تعزيز المنافسة الحرة وإرساء علاقات غير تمييزية بين الناشرين </w:t>
      </w:r>
      <w:r w:rsidRPr="008D0DB1">
        <w:rPr>
          <w:rFonts w:hint="cs"/>
          <w:spacing w:val="-2"/>
          <w:rtl/>
        </w:rPr>
        <w:t xml:space="preserve">والموزعين </w:t>
      </w:r>
      <w:r w:rsidRPr="008D0DB1">
        <w:rPr>
          <w:spacing w:val="-2"/>
          <w:rtl/>
        </w:rPr>
        <w:t>[...]</w:t>
      </w:r>
      <w:r w:rsidRPr="008D0DB1">
        <w:rPr>
          <w:rFonts w:hint="cs"/>
          <w:spacing w:val="-2"/>
          <w:rtl/>
        </w:rPr>
        <w:t xml:space="preserve">؛ </w:t>
      </w:r>
      <w:r w:rsidRPr="008D0DB1">
        <w:rPr>
          <w:spacing w:val="-2"/>
          <w:rtl/>
        </w:rPr>
        <w:t>ويحرص على ضمان جودة البرامج وتنوعها، وعلى تطوير الإنتاج والإبداع في قطاع الاتصال السمعي البصري الوطني وعلى حماية وإبراز اللغة والثقافة الفرنسية [...]</w:t>
      </w:r>
      <w:r w:rsidRPr="008D0DB1">
        <w:rPr>
          <w:rFonts w:hint="cs"/>
          <w:spacing w:val="-2"/>
          <w:rtl/>
        </w:rPr>
        <w:t xml:space="preserve">". </w:t>
      </w:r>
      <w:r w:rsidRPr="008D0DB1">
        <w:rPr>
          <w:spacing w:val="-2"/>
          <w:rtl/>
        </w:rPr>
        <w:t>ويكفل المجلس الأعلى للوسائط السمعية البصرية احترام التعبير التعددي لتيارات الفكر والرأي في برامج القنوات الإذاعية والتلفزيونية</w:t>
      </w:r>
      <w:r w:rsidRPr="008D0DB1">
        <w:rPr>
          <w:rFonts w:hint="cs"/>
          <w:spacing w:val="-2"/>
          <w:rtl/>
        </w:rPr>
        <w:t xml:space="preserve">. </w:t>
      </w:r>
      <w:r w:rsidRPr="008D0DB1">
        <w:rPr>
          <w:spacing w:val="-2"/>
          <w:rtl/>
        </w:rPr>
        <w:t xml:space="preserve">ويحرص على حماية الأطفال </w:t>
      </w:r>
      <w:r w:rsidRPr="008D0DB1">
        <w:rPr>
          <w:spacing w:val="-2"/>
          <w:rtl/>
        </w:rPr>
        <w:lastRenderedPageBreak/>
        <w:t>والمراهقين، وعلى احترام كرامة الشخص، وحماية اللغة الفرنسية وإبرازها</w:t>
      </w:r>
      <w:r w:rsidRPr="008D0DB1">
        <w:rPr>
          <w:rFonts w:hint="cs"/>
          <w:spacing w:val="-2"/>
          <w:rtl/>
        </w:rPr>
        <w:t xml:space="preserve">. </w:t>
      </w:r>
      <w:r w:rsidRPr="008D0DB1">
        <w:rPr>
          <w:spacing w:val="-2"/>
          <w:rtl/>
        </w:rPr>
        <w:t>ويكافح التمييز في مجال الاتصال السمعي البصري ويحرص على أن تعكس البرمجة السمعية البصرية تنوع المجتمع الفرنسي</w:t>
      </w:r>
      <w:r w:rsidRPr="008D0DB1">
        <w:rPr>
          <w:rFonts w:hint="cs"/>
          <w:spacing w:val="-2"/>
          <w:rtl/>
        </w:rPr>
        <w:t>.</w:t>
      </w:r>
    </w:p>
    <w:p w:rsidR="00944A3C" w:rsidRPr="008D0DB1" w:rsidRDefault="00944A3C" w:rsidP="008D0DB1">
      <w:pPr>
        <w:pStyle w:val="SingleTxtGA"/>
        <w:rPr>
          <w:rtl/>
        </w:rPr>
      </w:pPr>
      <w:r w:rsidRPr="008D0DB1">
        <w:rPr>
          <w:rFonts w:hint="cs"/>
          <w:rtl/>
        </w:rPr>
        <w:t>377-</w:t>
      </w:r>
      <w:r w:rsidRPr="008D0DB1">
        <w:rPr>
          <w:rFonts w:hint="cs"/>
          <w:rtl/>
        </w:rPr>
        <w:tab/>
      </w:r>
      <w:r w:rsidRPr="008D0DB1">
        <w:rPr>
          <w:rtl/>
        </w:rPr>
        <w:t>ومنح تراخيص استخدام الترددات لكل قناة إذاعية أو تلفزيونية جديدة تبث برامجها عبر الموجات الدقيقة أو الرقمية الأرضية أو عبر الساتل، مرهون بإبرام اتفاق بين المجلس الأعلى للوسائط السمعية البصرية، باسم الدولة، والشخص الذي يطلب الترخيص</w:t>
      </w:r>
      <w:r w:rsidRPr="008D0DB1">
        <w:rPr>
          <w:rFonts w:hint="cs"/>
          <w:rtl/>
        </w:rPr>
        <w:t xml:space="preserve">. </w:t>
      </w:r>
      <w:r w:rsidRPr="008D0DB1">
        <w:rPr>
          <w:rtl/>
        </w:rPr>
        <w:t>وينبغي لكل قناة تلفزيونية أو إذاعية ترغب في بث برامجها في فرنسا أن تقوم بالإجراءات اللازمة لدى المجلس الأعلى للوسائط السمعية البصرية</w:t>
      </w:r>
      <w:r w:rsidRPr="008D0DB1">
        <w:rPr>
          <w:rFonts w:hint="cs"/>
          <w:rtl/>
        </w:rPr>
        <w:t xml:space="preserve">. وطبيعة </w:t>
      </w:r>
      <w:r w:rsidRPr="008D0DB1">
        <w:rPr>
          <w:rtl/>
        </w:rPr>
        <w:t>هذه الإجراءات</w:t>
      </w:r>
      <w:r w:rsidRPr="008D0DB1">
        <w:rPr>
          <w:rFonts w:hint="cs"/>
          <w:rtl/>
        </w:rPr>
        <w:t xml:space="preserve"> متنوعة</w:t>
      </w:r>
      <w:r w:rsidRPr="008D0DB1">
        <w:rPr>
          <w:rtl/>
        </w:rPr>
        <w:t>: التوقيع على اتفاقية التزام مقابل الترخيص باستخدام الترددات في حالة خدمة البث عبر الموجات الدقيقة، أو توقيع اتفاقية أو إعلان بسيط في حالة خدمة البث عبر وسائل أخرى (البث التلفزيوني والإذاعي عبر الإنترنت، والبث التلفزيوني والإذاعي الرقمي، وما إلى ذلك)</w:t>
      </w:r>
      <w:r w:rsidRPr="008D0DB1">
        <w:rPr>
          <w:rFonts w:hint="cs"/>
          <w:rtl/>
        </w:rPr>
        <w:t>.</w:t>
      </w:r>
    </w:p>
    <w:p w:rsidR="00944A3C" w:rsidRPr="008D0DB1" w:rsidRDefault="00944A3C" w:rsidP="008D0DB1">
      <w:pPr>
        <w:pStyle w:val="SingleTxtGA"/>
        <w:rPr>
          <w:rtl/>
        </w:rPr>
      </w:pPr>
      <w:r w:rsidRPr="008D0DB1">
        <w:rPr>
          <w:rFonts w:hint="cs"/>
          <w:rtl/>
        </w:rPr>
        <w:t>378-</w:t>
      </w:r>
      <w:r w:rsidRPr="008D0DB1">
        <w:rPr>
          <w:rFonts w:hint="cs"/>
          <w:rtl/>
        </w:rPr>
        <w:tab/>
      </w:r>
      <w:r w:rsidRPr="008D0DB1">
        <w:rPr>
          <w:rtl/>
        </w:rPr>
        <w:t xml:space="preserve">ولدى المجلس الأعلى للوسائط السمعية البصرية صلاحية فرض عقوبات على </w:t>
      </w:r>
      <w:r w:rsidRPr="008D0DB1">
        <w:rPr>
          <w:rFonts w:hint="cs"/>
          <w:rtl/>
        </w:rPr>
        <w:t>ال</w:t>
      </w:r>
      <w:r w:rsidRPr="008D0DB1">
        <w:rPr>
          <w:rtl/>
        </w:rPr>
        <w:t>قنوات الإذاع</w:t>
      </w:r>
      <w:r w:rsidRPr="008D0DB1">
        <w:rPr>
          <w:rFonts w:hint="cs"/>
          <w:rtl/>
        </w:rPr>
        <w:t>ي</w:t>
      </w:r>
      <w:r w:rsidRPr="008D0DB1">
        <w:rPr>
          <w:rtl/>
        </w:rPr>
        <w:t>ة والتلفزيون</w:t>
      </w:r>
      <w:r w:rsidRPr="008D0DB1">
        <w:rPr>
          <w:rFonts w:hint="cs"/>
          <w:rtl/>
        </w:rPr>
        <w:t>ية</w:t>
      </w:r>
      <w:r w:rsidRPr="008D0DB1">
        <w:rPr>
          <w:rtl/>
        </w:rPr>
        <w:t xml:space="preserve"> </w:t>
      </w:r>
      <w:r w:rsidRPr="008D0DB1">
        <w:rPr>
          <w:rFonts w:hint="cs"/>
          <w:rtl/>
        </w:rPr>
        <w:t>العامة و</w:t>
      </w:r>
      <w:r w:rsidRPr="008D0DB1">
        <w:rPr>
          <w:rtl/>
        </w:rPr>
        <w:t>الخاصة</w:t>
      </w:r>
      <w:r w:rsidRPr="008D0DB1">
        <w:rPr>
          <w:rFonts w:hint="cs"/>
          <w:rtl/>
        </w:rPr>
        <w:t xml:space="preserve">. </w:t>
      </w:r>
      <w:r w:rsidRPr="008D0DB1">
        <w:rPr>
          <w:rtl/>
        </w:rPr>
        <w:t>ويمكنه أيض</w:t>
      </w:r>
      <w:r w:rsidR="00443A06">
        <w:rPr>
          <w:rtl/>
        </w:rPr>
        <w:t xml:space="preserve">اً </w:t>
      </w:r>
      <w:r w:rsidRPr="008D0DB1">
        <w:rPr>
          <w:rtl/>
        </w:rPr>
        <w:t xml:space="preserve">اللجوء إلى السلطات الإدارية أو القضائية المختصة </w:t>
      </w:r>
      <w:r w:rsidRPr="008D0DB1">
        <w:rPr>
          <w:rFonts w:hint="cs"/>
          <w:rtl/>
        </w:rPr>
        <w:t xml:space="preserve">في </w:t>
      </w:r>
      <w:r w:rsidRPr="008D0DB1">
        <w:rPr>
          <w:rtl/>
        </w:rPr>
        <w:t>النظر في الممارسات التقييدية للمنافسة والتركزات الاقتصادية</w:t>
      </w:r>
      <w:r w:rsidRPr="008D0DB1">
        <w:rPr>
          <w:rFonts w:hint="cs"/>
          <w:rtl/>
        </w:rPr>
        <w:t>.</w:t>
      </w:r>
    </w:p>
    <w:p w:rsidR="00944A3C" w:rsidRPr="008D0DB1" w:rsidRDefault="00944A3C" w:rsidP="008D0DB1">
      <w:pPr>
        <w:pStyle w:val="SingleTxtGA"/>
        <w:rPr>
          <w:rtl/>
        </w:rPr>
      </w:pPr>
      <w:r w:rsidRPr="008D0DB1">
        <w:rPr>
          <w:rFonts w:hint="cs"/>
          <w:rtl/>
        </w:rPr>
        <w:t>379-</w:t>
      </w:r>
      <w:r w:rsidRPr="008D0DB1">
        <w:rPr>
          <w:rFonts w:hint="cs"/>
          <w:rtl/>
        </w:rPr>
        <w:tab/>
      </w:r>
      <w:r w:rsidRPr="008D0DB1">
        <w:rPr>
          <w:rtl/>
        </w:rPr>
        <w:t>وبالإضافة إلى مهمته العامة المتمثلة في المراقبة، يتمتع المجلس الأعلى للوسائط السمعية البصرية بسلطة استشارية وسلطة تنظيمية</w:t>
      </w:r>
      <w:r w:rsidRPr="008D0DB1">
        <w:rPr>
          <w:rFonts w:hint="cs"/>
          <w:rtl/>
        </w:rPr>
        <w:t xml:space="preserve">. </w:t>
      </w:r>
      <w:r w:rsidRPr="008D0DB1">
        <w:rPr>
          <w:rtl/>
        </w:rPr>
        <w:t>وتنبع سلطته الاستشارية من الصلاحيات الواسعة النطاق التي يتمتع بها في مجال الاتصالات</w:t>
      </w:r>
      <w:r w:rsidRPr="008D0DB1">
        <w:rPr>
          <w:rFonts w:hint="cs"/>
          <w:rtl/>
        </w:rPr>
        <w:t xml:space="preserve">. </w:t>
      </w:r>
      <w:r w:rsidRPr="008D0DB1">
        <w:rPr>
          <w:rtl/>
        </w:rPr>
        <w:t>ويشارك بالتالي، على مستويات شتى، في وضع القواعد القانونية، وي</w:t>
      </w:r>
      <w:r w:rsidRPr="008D0DB1">
        <w:rPr>
          <w:rFonts w:hint="cs"/>
          <w:rtl/>
        </w:rPr>
        <w:t>ج</w:t>
      </w:r>
      <w:r w:rsidRPr="008D0DB1">
        <w:rPr>
          <w:rtl/>
        </w:rPr>
        <w:t>وز له تقديم اقتراحات</w:t>
      </w:r>
      <w:r w:rsidRPr="008D0DB1">
        <w:rPr>
          <w:rFonts w:hint="cs"/>
          <w:rtl/>
        </w:rPr>
        <w:t xml:space="preserve">. </w:t>
      </w:r>
      <w:r w:rsidRPr="008D0DB1">
        <w:rPr>
          <w:rtl/>
        </w:rPr>
        <w:t xml:space="preserve">وتتعلق سلطته التنظيمية على وجه الخصوص بالمجالات التالية: الترخيص باستخدام </w:t>
      </w:r>
      <w:r w:rsidRPr="008D0DB1">
        <w:rPr>
          <w:rFonts w:hint="cs"/>
          <w:rtl/>
        </w:rPr>
        <w:t xml:space="preserve">نطاقات </w:t>
      </w:r>
      <w:r w:rsidRPr="008D0DB1">
        <w:rPr>
          <w:rtl/>
        </w:rPr>
        <w:t>التردد أو الترددات ال</w:t>
      </w:r>
      <w:r w:rsidRPr="008D0DB1">
        <w:rPr>
          <w:rFonts w:hint="cs"/>
          <w:rtl/>
        </w:rPr>
        <w:t>ت</w:t>
      </w:r>
      <w:r w:rsidRPr="008D0DB1">
        <w:rPr>
          <w:rtl/>
        </w:rPr>
        <w:t>ي أسندت إليه مهمة منحه</w:t>
      </w:r>
      <w:r w:rsidRPr="008D0DB1">
        <w:rPr>
          <w:rFonts w:hint="cs"/>
          <w:rtl/>
        </w:rPr>
        <w:t>ا</w:t>
      </w:r>
      <w:r w:rsidRPr="008D0DB1">
        <w:rPr>
          <w:rtl/>
        </w:rPr>
        <w:t xml:space="preserve"> أو تخصيصه</w:t>
      </w:r>
      <w:r w:rsidRPr="008D0DB1">
        <w:rPr>
          <w:rFonts w:hint="cs"/>
          <w:rtl/>
        </w:rPr>
        <w:t>ا</w:t>
      </w:r>
      <w:r w:rsidRPr="008D0DB1">
        <w:rPr>
          <w:rtl/>
        </w:rPr>
        <w:t xml:space="preserve">، وإمكانية اتخاذ التدابير اللازمة لضمان </w:t>
      </w:r>
      <w:r w:rsidRPr="008D0DB1">
        <w:rPr>
          <w:rFonts w:hint="cs"/>
          <w:rtl/>
        </w:rPr>
        <w:t xml:space="preserve">جودة </w:t>
      </w:r>
      <w:r w:rsidRPr="008D0DB1">
        <w:rPr>
          <w:rtl/>
        </w:rPr>
        <w:t>استقبال الإشارات</w:t>
      </w:r>
      <w:r w:rsidRPr="008D0DB1">
        <w:rPr>
          <w:rFonts w:hint="cs"/>
          <w:rtl/>
        </w:rPr>
        <w:t>.</w:t>
      </w:r>
    </w:p>
    <w:p w:rsidR="00944A3C" w:rsidRPr="008D0DB1" w:rsidRDefault="00944A3C" w:rsidP="00A1269F">
      <w:pPr>
        <w:pStyle w:val="H23GA"/>
        <w:rPr>
          <w:vertAlign w:val="superscript"/>
          <w:rtl/>
        </w:rPr>
      </w:pPr>
      <w:r w:rsidRPr="008D0DB1">
        <w:rPr>
          <w:rtl/>
        </w:rPr>
        <w:tab/>
        <w:t>5-</w:t>
      </w:r>
      <w:r w:rsidRPr="008D0DB1">
        <w:rPr>
          <w:rtl/>
        </w:rPr>
        <w:tab/>
        <w:t>المراقب العام لأماكن الاحتجاز</w:t>
      </w:r>
    </w:p>
    <w:p w:rsidR="00944A3C" w:rsidRPr="008D0DB1" w:rsidRDefault="00944A3C" w:rsidP="008D0DB1">
      <w:pPr>
        <w:pStyle w:val="H23GA"/>
        <w:rPr>
          <w:rtl/>
          <w:lang w:val="es-ES" w:eastAsia="es-ES"/>
        </w:rPr>
      </w:pPr>
      <w:r w:rsidRPr="008D0DB1">
        <w:rPr>
          <w:rtl/>
        </w:rPr>
        <w:tab/>
      </w:r>
      <w:r w:rsidRPr="008D0DB1">
        <w:rPr>
          <w:rFonts w:hint="cs"/>
          <w:rtl/>
        </w:rPr>
        <w:t>(أ)</w:t>
      </w:r>
      <w:r w:rsidRPr="008D0DB1">
        <w:rPr>
          <w:rtl/>
        </w:rPr>
        <w:tab/>
        <w:t>مركز المراقب العام</w:t>
      </w:r>
    </w:p>
    <w:p w:rsidR="00944A3C" w:rsidRPr="005C0E11" w:rsidRDefault="00944A3C" w:rsidP="005C0E11">
      <w:pPr>
        <w:pStyle w:val="SingleTxtGA"/>
        <w:rPr>
          <w:spacing w:val="-4"/>
          <w:rtl/>
        </w:rPr>
      </w:pPr>
      <w:r w:rsidRPr="005C0E11">
        <w:rPr>
          <w:rFonts w:hint="cs"/>
          <w:spacing w:val="-4"/>
          <w:rtl/>
        </w:rPr>
        <w:t>380-</w:t>
      </w:r>
      <w:r w:rsidRPr="005C0E11">
        <w:rPr>
          <w:rFonts w:hint="cs"/>
          <w:spacing w:val="-4"/>
          <w:rtl/>
        </w:rPr>
        <w:tab/>
      </w:r>
      <w:r w:rsidRPr="005C0E11">
        <w:rPr>
          <w:spacing w:val="-4"/>
          <w:rtl/>
        </w:rPr>
        <w:t xml:space="preserve">عقب التصديق على البروتوكول الاختياري لاتفاقية مناهضة التعذيب وغيره من ضروب المعاملة </w:t>
      </w:r>
      <w:r w:rsidRPr="005C0E11">
        <w:rPr>
          <w:rFonts w:hint="cs"/>
          <w:spacing w:val="-4"/>
          <w:rtl/>
        </w:rPr>
        <w:t xml:space="preserve">أو العقوبة </w:t>
      </w:r>
      <w:r w:rsidRPr="005C0E11">
        <w:rPr>
          <w:spacing w:val="-4"/>
          <w:rtl/>
        </w:rPr>
        <w:t>القاسية أو اللاإنسانية أو المهينة، الذي اعتمدته الجمعية العامة للأمم المتحدة في</w:t>
      </w:r>
      <w:r w:rsidR="005C0E11">
        <w:rPr>
          <w:rFonts w:hint="cs"/>
          <w:spacing w:val="-4"/>
          <w:rtl/>
        </w:rPr>
        <w:t> </w:t>
      </w:r>
      <w:r w:rsidRPr="005C0E11">
        <w:rPr>
          <w:spacing w:val="-4"/>
          <w:rtl/>
        </w:rPr>
        <w:t xml:space="preserve">18 كانون الأول/ديسمبر 2002، أنشأ المشرع الفرنسي، بموجب القانون رقم 2007-1545 المؤرخ 30 تشرين الأول/أكتوبر 2007، </w:t>
      </w:r>
      <w:r w:rsidRPr="005C0E11">
        <w:rPr>
          <w:rFonts w:hint="cs"/>
          <w:spacing w:val="-4"/>
          <w:rtl/>
        </w:rPr>
        <w:t xml:space="preserve">منصب </w:t>
      </w:r>
      <w:r w:rsidRPr="005C0E11">
        <w:rPr>
          <w:spacing w:val="-4"/>
          <w:rtl/>
        </w:rPr>
        <w:t xml:space="preserve">المراقب العام لأماكن </w:t>
      </w:r>
      <w:r w:rsidRPr="005C0E11">
        <w:rPr>
          <w:rFonts w:hint="cs"/>
          <w:spacing w:val="-4"/>
          <w:rtl/>
        </w:rPr>
        <w:t>الاحتجاز</w:t>
      </w:r>
      <w:r w:rsidRPr="005C0E11">
        <w:rPr>
          <w:spacing w:val="-4"/>
          <w:rtl/>
        </w:rPr>
        <w:t>، ال</w:t>
      </w:r>
      <w:r w:rsidRPr="005C0E11">
        <w:rPr>
          <w:rFonts w:hint="cs"/>
          <w:spacing w:val="-4"/>
          <w:rtl/>
        </w:rPr>
        <w:t>ذ</w:t>
      </w:r>
      <w:r w:rsidRPr="005C0E11">
        <w:rPr>
          <w:spacing w:val="-4"/>
          <w:rtl/>
        </w:rPr>
        <w:t xml:space="preserve">ي </w:t>
      </w:r>
      <w:r w:rsidRPr="005C0E11">
        <w:rPr>
          <w:rFonts w:hint="cs"/>
          <w:spacing w:val="-4"/>
          <w:rtl/>
        </w:rPr>
        <w:t>يعمل بم</w:t>
      </w:r>
      <w:r w:rsidRPr="005C0E11">
        <w:rPr>
          <w:spacing w:val="-4"/>
          <w:rtl/>
        </w:rPr>
        <w:t>ساعد</w:t>
      </w:r>
      <w:r w:rsidRPr="005C0E11">
        <w:rPr>
          <w:rFonts w:hint="cs"/>
          <w:spacing w:val="-4"/>
          <w:rtl/>
        </w:rPr>
        <w:t>ة</w:t>
      </w:r>
      <w:r w:rsidRPr="005C0E11">
        <w:rPr>
          <w:spacing w:val="-4"/>
          <w:rtl/>
        </w:rPr>
        <w:t xml:space="preserve"> العديد من المتعاونين (قضاة، وعاملون في المجال الصحي، </w:t>
      </w:r>
      <w:r w:rsidRPr="005C0E11">
        <w:rPr>
          <w:rFonts w:hint="cs"/>
          <w:spacing w:val="-4"/>
          <w:rtl/>
        </w:rPr>
        <w:t xml:space="preserve">وفاعلون </w:t>
      </w:r>
      <w:r w:rsidRPr="005C0E11">
        <w:rPr>
          <w:spacing w:val="-4"/>
          <w:rtl/>
        </w:rPr>
        <w:t>خارجي</w:t>
      </w:r>
      <w:r w:rsidRPr="005C0E11">
        <w:rPr>
          <w:rFonts w:hint="cs"/>
          <w:spacing w:val="-4"/>
          <w:rtl/>
        </w:rPr>
        <w:t>ون</w:t>
      </w:r>
      <w:r w:rsidRPr="005C0E11">
        <w:rPr>
          <w:spacing w:val="-4"/>
          <w:rtl/>
        </w:rPr>
        <w:t xml:space="preserve">، </w:t>
      </w:r>
      <w:r w:rsidRPr="005C0E11">
        <w:rPr>
          <w:rFonts w:hint="cs"/>
          <w:spacing w:val="-4"/>
          <w:rtl/>
        </w:rPr>
        <w:t>وغيرهم</w:t>
      </w:r>
      <w:r w:rsidRPr="005C0E11">
        <w:rPr>
          <w:spacing w:val="-4"/>
          <w:rtl/>
        </w:rPr>
        <w:t>)</w:t>
      </w:r>
      <w:r w:rsidRPr="005C0E11">
        <w:rPr>
          <w:rFonts w:hint="cs"/>
          <w:spacing w:val="-4"/>
          <w:rtl/>
        </w:rPr>
        <w:t>.</w:t>
      </w:r>
    </w:p>
    <w:p w:rsidR="00944A3C" w:rsidRPr="008D0DB1" w:rsidRDefault="00944A3C" w:rsidP="008D0DB1">
      <w:pPr>
        <w:pStyle w:val="SingleTxtGA"/>
        <w:rPr>
          <w:rtl/>
        </w:rPr>
      </w:pPr>
      <w:r w:rsidRPr="008D0DB1">
        <w:rPr>
          <w:rFonts w:hint="cs"/>
          <w:rtl/>
        </w:rPr>
        <w:t>381-</w:t>
      </w:r>
      <w:r w:rsidRPr="008D0DB1">
        <w:rPr>
          <w:rFonts w:hint="cs"/>
          <w:rtl/>
        </w:rPr>
        <w:tab/>
      </w:r>
      <w:r w:rsidRPr="008D0DB1">
        <w:rPr>
          <w:rtl/>
        </w:rPr>
        <w:t xml:space="preserve">ويمنح القانون المؤرخ 30 تشرين الأول/أكتوبر 2007 </w:t>
      </w:r>
      <w:r w:rsidRPr="008D0DB1">
        <w:rPr>
          <w:rFonts w:hint="cs"/>
          <w:rtl/>
        </w:rPr>
        <w:t>ل</w:t>
      </w:r>
      <w:r w:rsidRPr="008D0DB1">
        <w:rPr>
          <w:rtl/>
        </w:rPr>
        <w:t xml:space="preserve">لمراقب العام صفة هيئة مستقلة (المادة 1) ويحدد شروط هذا الاستقلال </w:t>
      </w:r>
      <w:r w:rsidRPr="008D0DB1">
        <w:rPr>
          <w:rFonts w:hint="cs"/>
          <w:rtl/>
        </w:rPr>
        <w:t xml:space="preserve">إزاء </w:t>
      </w:r>
      <w:r w:rsidRPr="008D0DB1">
        <w:rPr>
          <w:rtl/>
        </w:rPr>
        <w:t xml:space="preserve">السلطات العامة، </w:t>
      </w:r>
      <w:r w:rsidRPr="008D0DB1">
        <w:rPr>
          <w:rFonts w:hint="cs"/>
          <w:rtl/>
        </w:rPr>
        <w:t xml:space="preserve">ولا سيما بنصه على </w:t>
      </w:r>
      <w:r w:rsidRPr="008D0DB1">
        <w:rPr>
          <w:rtl/>
        </w:rPr>
        <w:t xml:space="preserve">عدم </w:t>
      </w:r>
      <w:r w:rsidRPr="008D0DB1">
        <w:rPr>
          <w:rFonts w:hint="cs"/>
          <w:rtl/>
        </w:rPr>
        <w:t xml:space="preserve">جواز </w:t>
      </w:r>
      <w:r w:rsidRPr="008D0DB1">
        <w:rPr>
          <w:rtl/>
        </w:rPr>
        <w:t>تلقي</w:t>
      </w:r>
      <w:r w:rsidRPr="008D0DB1">
        <w:rPr>
          <w:rFonts w:hint="cs"/>
          <w:rtl/>
        </w:rPr>
        <w:t>ه</w:t>
      </w:r>
      <w:r w:rsidRPr="008D0DB1">
        <w:rPr>
          <w:rtl/>
        </w:rPr>
        <w:t xml:space="preserve"> </w:t>
      </w:r>
      <w:r w:rsidRPr="008D0DB1">
        <w:rPr>
          <w:rFonts w:hint="cs"/>
          <w:rtl/>
        </w:rPr>
        <w:t>ل</w:t>
      </w:r>
      <w:r w:rsidRPr="008D0DB1">
        <w:rPr>
          <w:rtl/>
        </w:rPr>
        <w:t>أي تعليمات من أي سلطة في مجال اختصاصه</w:t>
      </w:r>
      <w:r w:rsidRPr="008D0DB1">
        <w:rPr>
          <w:rFonts w:hint="cs"/>
          <w:rtl/>
        </w:rPr>
        <w:t xml:space="preserve">. </w:t>
      </w:r>
      <w:r w:rsidRPr="008D0DB1">
        <w:rPr>
          <w:rtl/>
        </w:rPr>
        <w:t>ويكفل استقلالَ</w:t>
      </w:r>
      <w:r w:rsidRPr="008D0DB1">
        <w:rPr>
          <w:rFonts w:hint="cs"/>
          <w:rtl/>
        </w:rPr>
        <w:t>ه</w:t>
      </w:r>
      <w:r w:rsidRPr="008D0DB1">
        <w:rPr>
          <w:rtl/>
        </w:rPr>
        <w:t xml:space="preserve"> أيض</w:t>
      </w:r>
      <w:r w:rsidR="00443A06">
        <w:rPr>
          <w:rtl/>
        </w:rPr>
        <w:t xml:space="preserve">اً </w:t>
      </w:r>
      <w:r w:rsidRPr="008D0DB1">
        <w:rPr>
          <w:rtl/>
        </w:rPr>
        <w:t>عدم قابلية ولايته الوحيدة التي تدوم ست سنوات للتجديد وعدم جواز عزله</w:t>
      </w:r>
      <w:r w:rsidRPr="008D0DB1">
        <w:rPr>
          <w:rFonts w:hint="cs"/>
          <w:rtl/>
        </w:rPr>
        <w:t xml:space="preserve">. </w:t>
      </w:r>
      <w:r w:rsidRPr="008D0DB1">
        <w:rPr>
          <w:rtl/>
        </w:rPr>
        <w:t xml:space="preserve">وعلاوة على ذلك، لا يجوز </w:t>
      </w:r>
      <w:r w:rsidRPr="008D0DB1">
        <w:rPr>
          <w:rFonts w:hint="cs"/>
          <w:rtl/>
        </w:rPr>
        <w:t>فعلي</w:t>
      </w:r>
      <w:r w:rsidR="00443A06">
        <w:rPr>
          <w:rFonts w:hint="cs"/>
          <w:rtl/>
        </w:rPr>
        <w:t xml:space="preserve">اً </w:t>
      </w:r>
      <w:r w:rsidRPr="008D0DB1">
        <w:rPr>
          <w:rtl/>
        </w:rPr>
        <w:t xml:space="preserve">ملاحقة المراقب العام ولا طلبه للعدالة ولا اعتقاله ولا احتجازه ولا محاكمته عن الآراء التي يعرب عنها أو الإجراءات التي يتخذها </w:t>
      </w:r>
      <w:r w:rsidRPr="008D0DB1">
        <w:rPr>
          <w:rFonts w:hint="cs"/>
          <w:rtl/>
        </w:rPr>
        <w:t xml:space="preserve">في إطار ممارسة </w:t>
      </w:r>
      <w:r w:rsidRPr="008D0DB1">
        <w:rPr>
          <w:rtl/>
        </w:rPr>
        <w:t>مهامه (المادة 2)</w:t>
      </w:r>
      <w:r w:rsidRPr="008D0DB1">
        <w:rPr>
          <w:rFonts w:hint="cs"/>
          <w:rtl/>
        </w:rPr>
        <w:t xml:space="preserve">. </w:t>
      </w:r>
      <w:r w:rsidRPr="008D0DB1">
        <w:rPr>
          <w:rtl/>
        </w:rPr>
        <w:t xml:space="preserve">ويعزز نظام التنافي الصارم المنصوص عليه في المادة 2 </w:t>
      </w:r>
      <w:r w:rsidRPr="008D0DB1">
        <w:rPr>
          <w:rFonts w:hint="cs"/>
          <w:rtl/>
        </w:rPr>
        <w:t xml:space="preserve">مسألة عدم ارتباط </w:t>
      </w:r>
      <w:r w:rsidRPr="008D0DB1">
        <w:rPr>
          <w:rtl/>
        </w:rPr>
        <w:t xml:space="preserve">المراقب العام </w:t>
      </w:r>
      <w:r w:rsidRPr="008D0DB1">
        <w:rPr>
          <w:rFonts w:hint="cs"/>
          <w:rtl/>
        </w:rPr>
        <w:t>ب</w:t>
      </w:r>
      <w:r w:rsidRPr="008D0DB1">
        <w:rPr>
          <w:rtl/>
        </w:rPr>
        <w:t xml:space="preserve">المجال السياسي (عدم إمكانية </w:t>
      </w:r>
      <w:r w:rsidRPr="008D0DB1">
        <w:rPr>
          <w:rtl/>
        </w:rPr>
        <w:lastRenderedPageBreak/>
        <w:t xml:space="preserve">ممارسة أي ولاية انتخابية)، </w:t>
      </w:r>
      <w:r w:rsidRPr="008D0DB1">
        <w:rPr>
          <w:rFonts w:hint="cs"/>
          <w:rtl/>
        </w:rPr>
        <w:t>وب</w:t>
      </w:r>
      <w:r w:rsidRPr="008D0DB1">
        <w:rPr>
          <w:rtl/>
        </w:rPr>
        <w:t xml:space="preserve">أي مصلحة </w:t>
      </w:r>
      <w:r w:rsidRPr="008D0DB1">
        <w:rPr>
          <w:rFonts w:hint="cs"/>
          <w:rtl/>
        </w:rPr>
        <w:t xml:space="preserve">اقتصادية </w:t>
      </w:r>
      <w:r w:rsidRPr="008D0DB1">
        <w:rPr>
          <w:rtl/>
        </w:rPr>
        <w:t xml:space="preserve">(عدم إمكانية ممارسة أي نشاط أو مهنة أخرى)، </w:t>
      </w:r>
      <w:r w:rsidRPr="008D0DB1">
        <w:rPr>
          <w:rFonts w:hint="cs"/>
          <w:rtl/>
        </w:rPr>
        <w:t xml:space="preserve">وعدم تحكمه في </w:t>
      </w:r>
      <w:r w:rsidRPr="008D0DB1">
        <w:rPr>
          <w:rtl/>
        </w:rPr>
        <w:t xml:space="preserve">مستقبل </w:t>
      </w:r>
      <w:r w:rsidRPr="008D0DB1">
        <w:rPr>
          <w:rFonts w:hint="cs"/>
          <w:rtl/>
        </w:rPr>
        <w:t xml:space="preserve">منصبه </w:t>
      </w:r>
      <w:r w:rsidRPr="008D0DB1">
        <w:rPr>
          <w:rtl/>
        </w:rPr>
        <w:t>(عدم قابلية ولايته للتجديد)</w:t>
      </w:r>
      <w:r w:rsidRPr="008D0DB1">
        <w:rPr>
          <w:rFonts w:hint="cs"/>
          <w:rtl/>
        </w:rPr>
        <w:t>.</w:t>
      </w:r>
    </w:p>
    <w:p w:rsidR="00944A3C" w:rsidRPr="008D0DB1" w:rsidRDefault="00944A3C" w:rsidP="008D0DB1">
      <w:pPr>
        <w:pStyle w:val="SingleTxtGA"/>
        <w:rPr>
          <w:rtl/>
        </w:rPr>
      </w:pPr>
      <w:r w:rsidRPr="008D0DB1">
        <w:rPr>
          <w:rFonts w:hint="cs"/>
          <w:rtl/>
        </w:rPr>
        <w:t>382-</w:t>
      </w:r>
      <w:r w:rsidRPr="008D0DB1">
        <w:rPr>
          <w:rFonts w:hint="cs"/>
          <w:rtl/>
        </w:rPr>
        <w:tab/>
      </w:r>
      <w:r w:rsidRPr="008D0DB1">
        <w:rPr>
          <w:rtl/>
        </w:rPr>
        <w:t xml:space="preserve">وينص هذا القانون (المادة 2) على أنه، كما هي العادة فيما يخص "المناصب العليا" في فرنسا، </w:t>
      </w:r>
      <w:r w:rsidRPr="008D0DB1">
        <w:rPr>
          <w:rFonts w:hint="cs"/>
          <w:rtl/>
        </w:rPr>
        <w:t>لا ي</w:t>
      </w:r>
      <w:r w:rsidRPr="008D0DB1">
        <w:rPr>
          <w:rtl/>
        </w:rPr>
        <w:t xml:space="preserve">عين رئيس الجمهورية المراقب العام </w:t>
      </w:r>
      <w:r w:rsidRPr="008D0DB1">
        <w:rPr>
          <w:rFonts w:hint="cs"/>
          <w:rtl/>
        </w:rPr>
        <w:t xml:space="preserve">إلا </w:t>
      </w:r>
      <w:r w:rsidRPr="008D0DB1">
        <w:rPr>
          <w:rtl/>
        </w:rPr>
        <w:t>"</w:t>
      </w:r>
      <w:r w:rsidRPr="008D0DB1">
        <w:rPr>
          <w:rFonts w:hint="cs"/>
          <w:rtl/>
        </w:rPr>
        <w:t xml:space="preserve">على أساس </w:t>
      </w:r>
      <w:r w:rsidRPr="008D0DB1">
        <w:rPr>
          <w:rtl/>
        </w:rPr>
        <w:t xml:space="preserve">كفاءاته وخبراته المهنية" وبعد التشاور مع لجنتي القوانين </w:t>
      </w:r>
      <w:r w:rsidRPr="008D0DB1">
        <w:rPr>
          <w:rFonts w:hint="cs"/>
          <w:rtl/>
        </w:rPr>
        <w:t xml:space="preserve">في </w:t>
      </w:r>
      <w:r w:rsidRPr="008D0DB1">
        <w:rPr>
          <w:rtl/>
        </w:rPr>
        <w:t>مجلسي البرلمان</w:t>
      </w:r>
      <w:r w:rsidRPr="008D0DB1">
        <w:rPr>
          <w:rStyle w:val="EndnoteReference"/>
          <w:rtl/>
        </w:rPr>
        <w:t>(</w:t>
      </w:r>
      <w:r w:rsidRPr="008D0DB1">
        <w:rPr>
          <w:rStyle w:val="EndnoteReference"/>
          <w:rtl/>
        </w:rPr>
        <w:endnoteReference w:id="217"/>
      </w:r>
      <w:r w:rsidRPr="008D0DB1">
        <w:rPr>
          <w:rStyle w:val="EndnoteReference"/>
          <w:rtl/>
        </w:rPr>
        <w:t>)</w:t>
      </w:r>
      <w:r w:rsidRPr="008D0DB1">
        <w:rPr>
          <w:rFonts w:hint="cs"/>
          <w:rtl/>
        </w:rPr>
        <w:t xml:space="preserve">. </w:t>
      </w:r>
      <w:r w:rsidRPr="008D0DB1">
        <w:rPr>
          <w:rtl/>
        </w:rPr>
        <w:t xml:space="preserve">ولا يجوز، على وجه الخصوص، لأي أحد أن ينهي قبل الأوان ولاية المراقب العام، ومدتها ست سنوات، إلا هو </w:t>
      </w:r>
      <w:r w:rsidRPr="008D0DB1">
        <w:rPr>
          <w:rFonts w:hint="cs"/>
          <w:rtl/>
        </w:rPr>
        <w:t>نفسه</w:t>
      </w:r>
      <w:r w:rsidRPr="008D0DB1">
        <w:rPr>
          <w:rtl/>
        </w:rPr>
        <w:t xml:space="preserve">، </w:t>
      </w:r>
      <w:r w:rsidRPr="008D0DB1">
        <w:rPr>
          <w:rFonts w:hint="cs"/>
          <w:rtl/>
        </w:rPr>
        <w:t>با</w:t>
      </w:r>
      <w:r w:rsidRPr="008D0DB1">
        <w:rPr>
          <w:rtl/>
        </w:rPr>
        <w:t>ستقال</w:t>
      </w:r>
      <w:r w:rsidRPr="008D0DB1">
        <w:rPr>
          <w:rFonts w:hint="cs"/>
          <w:rtl/>
        </w:rPr>
        <w:t>ته</w:t>
      </w:r>
      <w:r w:rsidRPr="008D0DB1">
        <w:rPr>
          <w:rtl/>
        </w:rPr>
        <w:t xml:space="preserve"> أو </w:t>
      </w:r>
      <w:r w:rsidRPr="008D0DB1">
        <w:rPr>
          <w:rFonts w:hint="cs"/>
          <w:rtl/>
        </w:rPr>
        <w:t>نظر</w:t>
      </w:r>
      <w:r w:rsidR="00443A06">
        <w:rPr>
          <w:rFonts w:hint="cs"/>
          <w:rtl/>
        </w:rPr>
        <w:t xml:space="preserve">اً </w:t>
      </w:r>
      <w:r w:rsidRPr="008D0DB1">
        <w:rPr>
          <w:rFonts w:hint="cs"/>
          <w:rtl/>
        </w:rPr>
        <w:t>ل</w:t>
      </w:r>
      <w:r w:rsidRPr="008D0DB1">
        <w:rPr>
          <w:rtl/>
        </w:rPr>
        <w:t xml:space="preserve">وجود </w:t>
      </w:r>
      <w:r w:rsidRPr="008D0DB1">
        <w:rPr>
          <w:rFonts w:hint="cs"/>
          <w:rtl/>
        </w:rPr>
        <w:t xml:space="preserve">مانع </w:t>
      </w:r>
      <w:r w:rsidRPr="008D0DB1">
        <w:rPr>
          <w:rtl/>
        </w:rPr>
        <w:t>(مرض خطير)</w:t>
      </w:r>
      <w:r w:rsidRPr="008D0DB1">
        <w:rPr>
          <w:rFonts w:hint="cs"/>
          <w:rtl/>
        </w:rPr>
        <w:t>.</w:t>
      </w:r>
    </w:p>
    <w:p w:rsidR="00944A3C" w:rsidRPr="008D0DB1" w:rsidRDefault="00944A3C" w:rsidP="008D0DB1">
      <w:pPr>
        <w:pStyle w:val="SingleTxtGA"/>
        <w:rPr>
          <w:rtl/>
        </w:rPr>
      </w:pPr>
      <w:r w:rsidRPr="008D0DB1">
        <w:rPr>
          <w:rFonts w:hint="cs"/>
          <w:rtl/>
        </w:rPr>
        <w:t>383-</w:t>
      </w:r>
      <w:r w:rsidRPr="008D0DB1">
        <w:rPr>
          <w:rFonts w:hint="cs"/>
          <w:rtl/>
        </w:rPr>
        <w:tab/>
      </w:r>
      <w:r w:rsidRPr="008D0DB1">
        <w:rPr>
          <w:rtl/>
        </w:rPr>
        <w:t>والمراقب العام مستقل أيض</w:t>
      </w:r>
      <w:r w:rsidR="00443A06">
        <w:rPr>
          <w:rtl/>
        </w:rPr>
        <w:t xml:space="preserve">اً </w:t>
      </w:r>
      <w:r w:rsidRPr="008D0DB1">
        <w:rPr>
          <w:rtl/>
        </w:rPr>
        <w:t xml:space="preserve">عن </w:t>
      </w:r>
      <w:r w:rsidRPr="008D0DB1">
        <w:rPr>
          <w:rFonts w:hint="cs"/>
          <w:rtl/>
        </w:rPr>
        <w:t xml:space="preserve">الهيئات </w:t>
      </w:r>
      <w:r w:rsidRPr="008D0DB1">
        <w:rPr>
          <w:rtl/>
        </w:rPr>
        <w:t>المستقلة الأخرى</w:t>
      </w:r>
      <w:r w:rsidRPr="008D0DB1">
        <w:rPr>
          <w:rFonts w:hint="cs"/>
          <w:rtl/>
        </w:rPr>
        <w:t>.</w:t>
      </w:r>
    </w:p>
    <w:p w:rsidR="00944A3C" w:rsidRPr="008D0DB1" w:rsidRDefault="00944A3C" w:rsidP="008D0DB1">
      <w:pPr>
        <w:pStyle w:val="SingleTxtGA"/>
        <w:rPr>
          <w:rtl/>
        </w:rPr>
      </w:pPr>
      <w:r w:rsidRPr="008D0DB1">
        <w:rPr>
          <w:rFonts w:hint="cs"/>
          <w:rtl/>
        </w:rPr>
        <w:t>384-</w:t>
      </w:r>
      <w:r w:rsidRPr="008D0DB1">
        <w:rPr>
          <w:rFonts w:hint="cs"/>
          <w:rtl/>
        </w:rPr>
        <w:tab/>
      </w:r>
      <w:r w:rsidRPr="008D0DB1">
        <w:rPr>
          <w:rtl/>
        </w:rPr>
        <w:t>ويكفل القانون أيض</w:t>
      </w:r>
      <w:r w:rsidR="00443A06">
        <w:rPr>
          <w:rtl/>
        </w:rPr>
        <w:t xml:space="preserve">اً </w:t>
      </w:r>
      <w:r w:rsidRPr="008D0DB1">
        <w:rPr>
          <w:rtl/>
        </w:rPr>
        <w:t xml:space="preserve">استقلال إدارة هذه المؤسسة: يختار المراقب العام </w:t>
      </w:r>
      <w:r w:rsidRPr="008D0DB1">
        <w:rPr>
          <w:rFonts w:hint="cs"/>
          <w:rtl/>
        </w:rPr>
        <w:t xml:space="preserve">مساعديه بنفسه؛ وتُرصد لمؤسسته </w:t>
      </w:r>
      <w:r w:rsidRPr="008D0DB1">
        <w:rPr>
          <w:rtl/>
        </w:rPr>
        <w:t xml:space="preserve">ميزانية خاصة، يصوت عليها البرلمان، </w:t>
      </w:r>
      <w:r w:rsidRPr="008D0DB1">
        <w:rPr>
          <w:rFonts w:hint="cs"/>
          <w:rtl/>
        </w:rPr>
        <w:t xml:space="preserve">تكون </w:t>
      </w:r>
      <w:r w:rsidRPr="008D0DB1">
        <w:rPr>
          <w:rtl/>
        </w:rPr>
        <w:t xml:space="preserve">مميزة </w:t>
      </w:r>
      <w:r w:rsidRPr="008D0DB1">
        <w:rPr>
          <w:rFonts w:hint="cs"/>
          <w:rtl/>
        </w:rPr>
        <w:t xml:space="preserve">رغم تصنيفها </w:t>
      </w:r>
      <w:r w:rsidRPr="008D0DB1">
        <w:rPr>
          <w:rtl/>
        </w:rPr>
        <w:t>مع ميزاني</w:t>
      </w:r>
      <w:r w:rsidRPr="008D0DB1">
        <w:rPr>
          <w:rFonts w:hint="cs"/>
          <w:rtl/>
        </w:rPr>
        <w:t>ة</w:t>
      </w:r>
      <w:r w:rsidRPr="008D0DB1">
        <w:rPr>
          <w:rtl/>
        </w:rPr>
        <w:t xml:space="preserve"> </w:t>
      </w:r>
      <w:r w:rsidRPr="008D0DB1">
        <w:rPr>
          <w:rFonts w:hint="cs"/>
          <w:rtl/>
        </w:rPr>
        <w:t>ال</w:t>
      </w:r>
      <w:r w:rsidRPr="008D0DB1">
        <w:rPr>
          <w:rtl/>
        </w:rPr>
        <w:t xml:space="preserve">هيئات </w:t>
      </w:r>
      <w:r w:rsidRPr="008D0DB1">
        <w:rPr>
          <w:rFonts w:hint="cs"/>
          <w:rtl/>
        </w:rPr>
        <w:t>ال</w:t>
      </w:r>
      <w:r w:rsidRPr="008D0DB1">
        <w:rPr>
          <w:rtl/>
        </w:rPr>
        <w:t xml:space="preserve">مستقلة </w:t>
      </w:r>
      <w:r w:rsidRPr="008D0DB1">
        <w:rPr>
          <w:rFonts w:hint="cs"/>
          <w:rtl/>
        </w:rPr>
        <w:t>ال</w:t>
      </w:r>
      <w:r w:rsidRPr="008D0DB1">
        <w:rPr>
          <w:rtl/>
        </w:rPr>
        <w:t>أخرى، للتشديد على طابعها الخاص</w:t>
      </w:r>
      <w:r w:rsidRPr="008D0DB1">
        <w:rPr>
          <w:rFonts w:hint="cs"/>
          <w:rtl/>
        </w:rPr>
        <w:t xml:space="preserve">؛ </w:t>
      </w:r>
      <w:r w:rsidRPr="008D0DB1">
        <w:rPr>
          <w:rtl/>
        </w:rPr>
        <w:t xml:space="preserve">ولا تخضع نفقاتها للمراقبة المسبقة كما هو الشأن بالنسبة للإدارات، </w:t>
      </w:r>
      <w:r w:rsidRPr="008D0DB1">
        <w:rPr>
          <w:rFonts w:hint="cs"/>
          <w:rtl/>
        </w:rPr>
        <w:t xml:space="preserve">بل </w:t>
      </w:r>
      <w:r w:rsidRPr="008D0DB1">
        <w:rPr>
          <w:rtl/>
        </w:rPr>
        <w:t>للمراقبة اللاحقة</w:t>
      </w:r>
      <w:r w:rsidRPr="008D0DB1">
        <w:rPr>
          <w:rFonts w:hint="cs"/>
          <w:rtl/>
        </w:rPr>
        <w:t xml:space="preserve"> فقط،</w:t>
      </w:r>
      <w:r w:rsidRPr="008D0DB1">
        <w:rPr>
          <w:rtl/>
        </w:rPr>
        <w:t xml:space="preserve"> </w:t>
      </w:r>
      <w:r w:rsidRPr="008D0DB1">
        <w:rPr>
          <w:rFonts w:hint="cs"/>
          <w:rtl/>
        </w:rPr>
        <w:t>في إطار المراجعة المنتظمة لحساباتها</w:t>
      </w:r>
      <w:r w:rsidRPr="008D0DB1">
        <w:rPr>
          <w:rtl/>
        </w:rPr>
        <w:t xml:space="preserve"> من قبل محكمة تدقيق الحسابات</w:t>
      </w:r>
      <w:r w:rsidRPr="008D0DB1">
        <w:rPr>
          <w:rFonts w:hint="cs"/>
          <w:rtl/>
        </w:rPr>
        <w:t>.</w:t>
      </w:r>
    </w:p>
    <w:p w:rsidR="00944A3C" w:rsidRPr="008D0DB1" w:rsidRDefault="00944A3C" w:rsidP="008D0DB1">
      <w:pPr>
        <w:pStyle w:val="SingleTxtGA"/>
        <w:rPr>
          <w:rtl/>
        </w:rPr>
      </w:pPr>
      <w:r w:rsidRPr="008D0DB1">
        <w:rPr>
          <w:rFonts w:hint="cs"/>
          <w:rtl/>
        </w:rPr>
        <w:t>385-</w:t>
      </w:r>
      <w:r w:rsidRPr="008D0DB1">
        <w:rPr>
          <w:rFonts w:hint="cs"/>
          <w:rtl/>
        </w:rPr>
        <w:tab/>
      </w:r>
      <w:r w:rsidRPr="008D0DB1">
        <w:rPr>
          <w:rtl/>
        </w:rPr>
        <w:t>وفي عام 2015، فاقت الميزانية المخصصة للمراقب العام 4,79 ملايين يورو</w:t>
      </w:r>
      <w:r w:rsidRPr="008D0DB1">
        <w:rPr>
          <w:rFonts w:hint="cs"/>
          <w:rtl/>
        </w:rPr>
        <w:t>.</w:t>
      </w:r>
    </w:p>
    <w:p w:rsidR="00944A3C" w:rsidRPr="008D0DB1" w:rsidRDefault="00944A3C" w:rsidP="005C0E11">
      <w:pPr>
        <w:pStyle w:val="H23GA"/>
        <w:rPr>
          <w:rtl/>
        </w:rPr>
      </w:pPr>
      <w:r w:rsidRPr="008D0DB1">
        <w:rPr>
          <w:rtl/>
        </w:rPr>
        <w:tab/>
      </w:r>
      <w:r w:rsidRPr="008D0DB1">
        <w:rPr>
          <w:rFonts w:hint="cs"/>
          <w:rtl/>
        </w:rPr>
        <w:t>(ب)</w:t>
      </w:r>
      <w:r w:rsidRPr="008D0DB1">
        <w:rPr>
          <w:rtl/>
        </w:rPr>
        <w:tab/>
      </w:r>
      <w:r w:rsidRPr="008D0DB1">
        <w:rPr>
          <w:rFonts w:hint="cs"/>
          <w:rtl/>
        </w:rPr>
        <w:t xml:space="preserve">مهام </w:t>
      </w:r>
      <w:r w:rsidRPr="008D0DB1">
        <w:rPr>
          <w:rtl/>
        </w:rPr>
        <w:t>المراقب العام</w:t>
      </w:r>
    </w:p>
    <w:p w:rsidR="00944A3C" w:rsidRPr="008D0DB1" w:rsidRDefault="00944A3C" w:rsidP="001D4D90">
      <w:pPr>
        <w:pStyle w:val="H4GA"/>
        <w:rPr>
          <w:rtl/>
          <w:lang w:val="es-ES" w:eastAsia="es-ES"/>
        </w:rPr>
      </w:pPr>
      <w:r w:rsidRPr="008D0DB1">
        <w:rPr>
          <w:rtl/>
        </w:rPr>
        <w:tab/>
      </w:r>
      <w:r w:rsidR="001D4D90">
        <w:rPr>
          <w:rFonts w:hint="cs"/>
          <w:rtl/>
        </w:rPr>
        <w:t>‘1‘</w:t>
      </w:r>
      <w:r w:rsidRPr="008D0DB1">
        <w:rPr>
          <w:rtl/>
        </w:rPr>
        <w:tab/>
        <w:t>زيارات أماكن الاحتجاز</w:t>
      </w:r>
    </w:p>
    <w:p w:rsidR="00944A3C" w:rsidRPr="008D0DB1" w:rsidRDefault="00944A3C" w:rsidP="008D0DB1">
      <w:pPr>
        <w:pStyle w:val="SingleTxtGA"/>
        <w:rPr>
          <w:rtl/>
        </w:rPr>
      </w:pPr>
      <w:r w:rsidRPr="008D0DB1">
        <w:rPr>
          <w:rFonts w:hint="cs"/>
          <w:rtl/>
        </w:rPr>
        <w:t>386-</w:t>
      </w:r>
      <w:r w:rsidRPr="008D0DB1">
        <w:rPr>
          <w:rFonts w:hint="cs"/>
          <w:rtl/>
        </w:rPr>
        <w:tab/>
        <w:t xml:space="preserve">يعزز </w:t>
      </w:r>
      <w:r w:rsidRPr="008D0DB1">
        <w:rPr>
          <w:rtl/>
        </w:rPr>
        <w:t xml:space="preserve">المراقب العام حقوق الأشخاص المحتجزين </w:t>
      </w:r>
      <w:r w:rsidRPr="008D0DB1">
        <w:rPr>
          <w:rFonts w:hint="cs"/>
          <w:rtl/>
        </w:rPr>
        <w:t xml:space="preserve">ويحميها. </w:t>
      </w:r>
      <w:r w:rsidRPr="008D0DB1">
        <w:rPr>
          <w:rtl/>
        </w:rPr>
        <w:t xml:space="preserve">وتتمثل مهمته الرئيسية بالتالي في زيارة أماكن </w:t>
      </w:r>
      <w:r w:rsidRPr="008D0DB1">
        <w:rPr>
          <w:rFonts w:hint="cs"/>
          <w:rtl/>
        </w:rPr>
        <w:t xml:space="preserve">احتجاز </w:t>
      </w:r>
      <w:r w:rsidRPr="008D0DB1">
        <w:rPr>
          <w:rtl/>
        </w:rPr>
        <w:t xml:space="preserve">الأشخاص في جميع أنحاء الإقليم الفرنسي، بغرض التحقق من أنهم </w:t>
      </w:r>
      <w:r w:rsidRPr="008D0DB1">
        <w:rPr>
          <w:rFonts w:hint="cs"/>
          <w:rtl/>
        </w:rPr>
        <w:t xml:space="preserve">يعامَلون </w:t>
      </w:r>
      <w:r w:rsidRPr="008D0DB1">
        <w:rPr>
          <w:rtl/>
        </w:rPr>
        <w:t>معاملة إنسانية تحترم الكرامة المتأصلة في الإنسان</w:t>
      </w:r>
      <w:r w:rsidRPr="008D0DB1">
        <w:rPr>
          <w:rStyle w:val="EndnoteReference"/>
          <w:rtl/>
        </w:rPr>
        <w:t>(</w:t>
      </w:r>
      <w:r w:rsidRPr="008D0DB1">
        <w:rPr>
          <w:rStyle w:val="EndnoteReference"/>
          <w:rtl/>
        </w:rPr>
        <w:endnoteReference w:id="218"/>
      </w:r>
      <w:r w:rsidRPr="008D0DB1">
        <w:rPr>
          <w:rStyle w:val="EndnoteReference"/>
          <w:rtl/>
        </w:rPr>
        <w:t>)</w:t>
      </w:r>
      <w:r w:rsidRPr="008D0DB1">
        <w:rPr>
          <w:rFonts w:hint="cs"/>
          <w:rtl/>
        </w:rPr>
        <w:t xml:space="preserve">. </w:t>
      </w:r>
      <w:r w:rsidRPr="008D0DB1">
        <w:rPr>
          <w:rtl/>
        </w:rPr>
        <w:t>و</w:t>
      </w:r>
      <w:r w:rsidRPr="008D0DB1">
        <w:rPr>
          <w:rFonts w:hint="cs"/>
          <w:rtl/>
        </w:rPr>
        <w:t xml:space="preserve">في هذا الصدد، يتفقد </w:t>
      </w:r>
      <w:r w:rsidRPr="008D0DB1">
        <w:rPr>
          <w:rtl/>
        </w:rPr>
        <w:t xml:space="preserve">المؤسسات السجنية، والمؤسسات الصحية، </w:t>
      </w:r>
      <w:r w:rsidRPr="008D0DB1">
        <w:rPr>
          <w:rFonts w:hint="cs"/>
          <w:rtl/>
        </w:rPr>
        <w:t xml:space="preserve">وأماكن </w:t>
      </w:r>
      <w:r w:rsidRPr="008D0DB1">
        <w:rPr>
          <w:rtl/>
        </w:rPr>
        <w:t xml:space="preserve">الاحتجاز </w:t>
      </w:r>
      <w:r w:rsidRPr="008D0DB1">
        <w:rPr>
          <w:rFonts w:hint="cs"/>
          <w:rtl/>
        </w:rPr>
        <w:t xml:space="preserve">في مراكز </w:t>
      </w:r>
      <w:r w:rsidRPr="008D0DB1">
        <w:rPr>
          <w:rtl/>
        </w:rPr>
        <w:t>الشرطة، و</w:t>
      </w:r>
      <w:r w:rsidRPr="008D0DB1">
        <w:rPr>
          <w:rFonts w:hint="cs"/>
          <w:rtl/>
        </w:rPr>
        <w:t xml:space="preserve">أماكن </w:t>
      </w:r>
      <w:r w:rsidRPr="008D0DB1">
        <w:rPr>
          <w:rtl/>
        </w:rPr>
        <w:t xml:space="preserve">الاحتجاز الجمركي والإداري، وباحات الانتظار في الموانئ والمطارات، والمؤسسات التعليمية المغلقة، وكذلك أي مركبة </w:t>
      </w:r>
      <w:r w:rsidRPr="008D0DB1">
        <w:rPr>
          <w:rFonts w:hint="cs"/>
          <w:rtl/>
        </w:rPr>
        <w:t>ل</w:t>
      </w:r>
      <w:r w:rsidRPr="008D0DB1">
        <w:rPr>
          <w:rtl/>
        </w:rPr>
        <w:t>نقل الأشخاص سليبي الحرية</w:t>
      </w:r>
      <w:r w:rsidRPr="008D0DB1">
        <w:rPr>
          <w:rFonts w:hint="cs"/>
          <w:rtl/>
        </w:rPr>
        <w:t xml:space="preserve">. </w:t>
      </w:r>
      <w:r w:rsidRPr="008D0DB1">
        <w:rPr>
          <w:rtl/>
        </w:rPr>
        <w:t>ويجوز له، خلال هذه الزيارات، أن يتواصل في إطار من السرية مع الأشخاص الذين يرى ضرورة الاستماع إليهم</w:t>
      </w:r>
      <w:r w:rsidRPr="008D0DB1">
        <w:rPr>
          <w:rFonts w:hint="cs"/>
          <w:rtl/>
        </w:rPr>
        <w:t>.</w:t>
      </w:r>
    </w:p>
    <w:p w:rsidR="00944A3C" w:rsidRPr="008D0DB1" w:rsidRDefault="00944A3C" w:rsidP="005C0E11">
      <w:pPr>
        <w:pStyle w:val="SingleTxtGA"/>
        <w:rPr>
          <w:rtl/>
        </w:rPr>
      </w:pPr>
      <w:r w:rsidRPr="008D0DB1">
        <w:rPr>
          <w:rFonts w:hint="cs"/>
          <w:rtl/>
        </w:rPr>
        <w:t>387-</w:t>
      </w:r>
      <w:r w:rsidRPr="008D0DB1">
        <w:rPr>
          <w:rFonts w:hint="cs"/>
          <w:rtl/>
        </w:rPr>
        <w:tab/>
      </w:r>
      <w:r w:rsidRPr="008D0DB1">
        <w:rPr>
          <w:rtl/>
        </w:rPr>
        <w:t>ووسع القانون رقم 2014-528 المؤرخ 26 أيار/مايو 2014 المعدل للقانون رقم</w:t>
      </w:r>
      <w:r w:rsidR="005C0E11">
        <w:rPr>
          <w:rFonts w:hint="cs"/>
          <w:rtl/>
        </w:rPr>
        <w:t> </w:t>
      </w:r>
      <w:r w:rsidRPr="008D0DB1">
        <w:rPr>
          <w:rtl/>
        </w:rPr>
        <w:t xml:space="preserve">2007-1545 المؤرخ 30 تشرين الأول/أكتوبر 2007 المنشئ لمؤسسة المراقب العام لأماكن الاحتجاز، نطاق اختصاصه ليشمل مراقبة تدابير الإبعاد </w:t>
      </w:r>
      <w:r w:rsidRPr="008D0DB1">
        <w:rPr>
          <w:rFonts w:hint="cs"/>
          <w:rtl/>
        </w:rPr>
        <w:t xml:space="preserve">المتخذة </w:t>
      </w:r>
      <w:r w:rsidRPr="008D0DB1">
        <w:rPr>
          <w:rtl/>
        </w:rPr>
        <w:t xml:space="preserve">ضد الأجانب حتى مرحلة تسليمهم إلى سلطات دولة </w:t>
      </w:r>
      <w:r w:rsidRPr="008D0DB1">
        <w:rPr>
          <w:rFonts w:hint="cs"/>
          <w:rtl/>
        </w:rPr>
        <w:t xml:space="preserve">الوجهة. </w:t>
      </w:r>
      <w:r w:rsidRPr="008D0DB1">
        <w:rPr>
          <w:rtl/>
        </w:rPr>
        <w:t xml:space="preserve">ويهدف هذا القانون إلى كفالة تطبيق </w:t>
      </w:r>
      <w:r w:rsidRPr="008D0DB1">
        <w:rPr>
          <w:rFonts w:hint="cs"/>
          <w:rtl/>
        </w:rPr>
        <w:t xml:space="preserve">الفقرة 6 من </w:t>
      </w:r>
      <w:r w:rsidRPr="008D0DB1">
        <w:rPr>
          <w:rtl/>
        </w:rPr>
        <w:t xml:space="preserve">المادة 8 من </w:t>
      </w:r>
      <w:r w:rsidRPr="008D0DB1">
        <w:rPr>
          <w:rFonts w:hint="cs"/>
          <w:rtl/>
        </w:rPr>
        <w:t>ال</w:t>
      </w:r>
      <w:r w:rsidRPr="008D0DB1">
        <w:rPr>
          <w:rtl/>
        </w:rPr>
        <w:t xml:space="preserve">توجيه رقم </w:t>
      </w:r>
      <w:r w:rsidR="005C0E11">
        <w:rPr>
          <w:lang w:val="fr-FR"/>
        </w:rPr>
        <w:t>2008/115/CE</w:t>
      </w:r>
      <w:r w:rsidR="005C0E11" w:rsidRPr="005C0E11">
        <w:rPr>
          <w:szCs w:val="20"/>
          <w:rtl/>
        </w:rPr>
        <w:t xml:space="preserve"> </w:t>
      </w:r>
      <w:r w:rsidRPr="008D0DB1">
        <w:rPr>
          <w:rtl/>
        </w:rPr>
        <w:t>المؤرخ 16 كانون الأول/ديسمبر 2008</w:t>
      </w:r>
      <w:r w:rsidRPr="008D0DB1">
        <w:rPr>
          <w:rFonts w:hint="cs"/>
          <w:rtl/>
        </w:rPr>
        <w:t xml:space="preserve"> الصادر عن </w:t>
      </w:r>
      <w:r w:rsidRPr="008D0DB1">
        <w:rPr>
          <w:rtl/>
        </w:rPr>
        <w:t>الاتحاد الأوروبي، المعروف باسم "التوجيه المتعلق بالإعادة" ال</w:t>
      </w:r>
      <w:r w:rsidRPr="008D0DB1">
        <w:rPr>
          <w:rFonts w:hint="cs"/>
          <w:rtl/>
        </w:rPr>
        <w:t>ذ</w:t>
      </w:r>
      <w:r w:rsidRPr="008D0DB1">
        <w:rPr>
          <w:rtl/>
        </w:rPr>
        <w:t xml:space="preserve">ي </w:t>
      </w:r>
      <w:r w:rsidRPr="008D0DB1">
        <w:rPr>
          <w:rFonts w:hint="cs"/>
          <w:rtl/>
        </w:rPr>
        <w:t>ي</w:t>
      </w:r>
      <w:r w:rsidRPr="008D0DB1">
        <w:rPr>
          <w:rtl/>
        </w:rPr>
        <w:t xml:space="preserve">فرض وضع "نظام فعال لرصد إجراء الإعادة القسرية"، يشمل جميع مراحل الترحيل، بما في ذلك السفر بالطائرة، حتى تسليم الشخص المعني لسلطات بلد </w:t>
      </w:r>
      <w:r w:rsidRPr="008D0DB1">
        <w:rPr>
          <w:rFonts w:hint="cs"/>
          <w:rtl/>
        </w:rPr>
        <w:t>الوجهة.</w:t>
      </w:r>
    </w:p>
    <w:p w:rsidR="00944A3C" w:rsidRPr="008D0DB1" w:rsidRDefault="00944A3C" w:rsidP="00443A06">
      <w:pPr>
        <w:pStyle w:val="SingleTxtGA"/>
        <w:rPr>
          <w:rtl/>
        </w:rPr>
      </w:pPr>
      <w:r w:rsidRPr="008D0DB1">
        <w:rPr>
          <w:rFonts w:hint="cs"/>
          <w:rtl/>
        </w:rPr>
        <w:t>388-</w:t>
      </w:r>
      <w:r w:rsidRPr="008D0DB1">
        <w:rPr>
          <w:rFonts w:hint="cs"/>
          <w:rtl/>
        </w:rPr>
        <w:tab/>
      </w:r>
      <w:r w:rsidRPr="008D0DB1">
        <w:rPr>
          <w:rtl/>
        </w:rPr>
        <w:t>وتوخي</w:t>
      </w:r>
      <w:r w:rsidR="00443A06">
        <w:rPr>
          <w:rtl/>
        </w:rPr>
        <w:t xml:space="preserve">اً </w:t>
      </w:r>
      <w:r w:rsidRPr="008D0DB1">
        <w:rPr>
          <w:rtl/>
        </w:rPr>
        <w:t>لاتساق القوانين، استحسن البرلمانيون أيض</w:t>
      </w:r>
      <w:r w:rsidR="00443A06">
        <w:rPr>
          <w:rtl/>
        </w:rPr>
        <w:t xml:space="preserve">اً </w:t>
      </w:r>
      <w:r w:rsidRPr="008D0DB1">
        <w:rPr>
          <w:rtl/>
        </w:rPr>
        <w:t xml:space="preserve">ألا يشمل هذا التوسيع لنطاق الاختصاصات فقط حالات الترحيل نحو الدول غير الأعضاء في الاتحاد الأوروبي، بل كذلك حالات الترحيل داخل الاتحاد الأوروبي </w:t>
      </w:r>
      <w:r w:rsidRPr="008D0DB1">
        <w:rPr>
          <w:rFonts w:hint="cs"/>
          <w:rtl/>
        </w:rPr>
        <w:t>ن</w:t>
      </w:r>
      <w:r w:rsidRPr="008D0DB1">
        <w:rPr>
          <w:rtl/>
        </w:rPr>
        <w:t>فسه</w:t>
      </w:r>
      <w:r w:rsidRPr="008D0DB1">
        <w:rPr>
          <w:rFonts w:hint="cs"/>
          <w:rtl/>
        </w:rPr>
        <w:t>.</w:t>
      </w:r>
      <w:r w:rsidRPr="008D0DB1">
        <w:rPr>
          <w:rtl/>
        </w:rPr>
        <w:t xml:space="preserve"> وبالتالي، </w:t>
      </w:r>
      <w:r w:rsidRPr="008D0DB1">
        <w:rPr>
          <w:rFonts w:hint="cs"/>
          <w:rtl/>
        </w:rPr>
        <w:t xml:space="preserve">ورغم أن </w:t>
      </w:r>
      <w:r w:rsidRPr="008D0DB1">
        <w:rPr>
          <w:rtl/>
        </w:rPr>
        <w:t xml:space="preserve">التوجيه المتعلق بالإعادة </w:t>
      </w:r>
      <w:r w:rsidRPr="008D0DB1">
        <w:rPr>
          <w:rtl/>
        </w:rPr>
        <w:lastRenderedPageBreak/>
        <w:t>لا</w:t>
      </w:r>
      <w:r w:rsidR="00443A06">
        <w:rPr>
          <w:rFonts w:hint="cs"/>
          <w:rtl/>
        </w:rPr>
        <w:t> </w:t>
      </w:r>
      <w:r w:rsidRPr="008D0DB1">
        <w:rPr>
          <w:rtl/>
        </w:rPr>
        <w:t xml:space="preserve">ينطبق إلا على مواطني البلدان غير الأعضاء في الاتحاد الأوروبي، فإن القانون ينص على أن المراقبة التي يمارسها المراقب العام </w:t>
      </w:r>
      <w:r w:rsidRPr="008D0DB1">
        <w:rPr>
          <w:rFonts w:hint="cs"/>
          <w:rtl/>
        </w:rPr>
        <w:t xml:space="preserve">لأماكن الاحتجاز </w:t>
      </w:r>
      <w:r w:rsidRPr="008D0DB1">
        <w:rPr>
          <w:rtl/>
        </w:rPr>
        <w:t xml:space="preserve">تنطبق على أي تدبير لإبعاد الأجانب، حتى </w:t>
      </w:r>
      <w:r w:rsidRPr="008D0DB1">
        <w:rPr>
          <w:rFonts w:hint="cs"/>
          <w:rtl/>
        </w:rPr>
        <w:t xml:space="preserve">لو </w:t>
      </w:r>
      <w:r w:rsidRPr="008D0DB1">
        <w:rPr>
          <w:rtl/>
        </w:rPr>
        <w:t>كانوا من مواطني الاتحاد الأوروبي</w:t>
      </w:r>
      <w:r w:rsidRPr="008D0DB1">
        <w:rPr>
          <w:rFonts w:hint="cs"/>
          <w:rtl/>
        </w:rPr>
        <w:t xml:space="preserve">. </w:t>
      </w:r>
      <w:r w:rsidRPr="008D0DB1">
        <w:rPr>
          <w:rtl/>
        </w:rPr>
        <w:t>ويعزز القانون أيض</w:t>
      </w:r>
      <w:r w:rsidR="00443A06">
        <w:rPr>
          <w:rtl/>
        </w:rPr>
        <w:t xml:space="preserve">اً </w:t>
      </w:r>
      <w:r w:rsidRPr="008D0DB1">
        <w:rPr>
          <w:rtl/>
        </w:rPr>
        <w:t xml:space="preserve">صلاحيات المراقب العام </w:t>
      </w:r>
      <w:r w:rsidRPr="008D0DB1">
        <w:rPr>
          <w:rFonts w:hint="cs"/>
          <w:rtl/>
        </w:rPr>
        <w:t xml:space="preserve">بنصه على </w:t>
      </w:r>
      <w:r w:rsidRPr="008D0DB1">
        <w:rPr>
          <w:rtl/>
        </w:rPr>
        <w:t>نشر آرائه بشكل منتظم، و</w:t>
      </w:r>
      <w:r w:rsidRPr="008D0DB1">
        <w:rPr>
          <w:rFonts w:hint="cs"/>
          <w:rtl/>
        </w:rPr>
        <w:t xml:space="preserve">على </w:t>
      </w:r>
      <w:r w:rsidRPr="008D0DB1">
        <w:rPr>
          <w:rtl/>
        </w:rPr>
        <w:t>حماية الأشخاص الذين يحيلون إليه المعلومات، و</w:t>
      </w:r>
      <w:r w:rsidRPr="008D0DB1">
        <w:rPr>
          <w:rFonts w:hint="cs"/>
          <w:rtl/>
        </w:rPr>
        <w:t xml:space="preserve">على </w:t>
      </w:r>
      <w:r w:rsidRPr="008D0DB1">
        <w:rPr>
          <w:rtl/>
        </w:rPr>
        <w:t>المعاقبة الجنائية على عرقلة مهامه</w:t>
      </w:r>
      <w:r w:rsidRPr="008D0DB1">
        <w:rPr>
          <w:rFonts w:hint="cs"/>
          <w:rtl/>
        </w:rPr>
        <w:t>.</w:t>
      </w:r>
    </w:p>
    <w:p w:rsidR="00944A3C" w:rsidRPr="008D0DB1" w:rsidRDefault="00944A3C" w:rsidP="008D0DB1">
      <w:pPr>
        <w:pStyle w:val="SingleTxtGA"/>
        <w:rPr>
          <w:rtl/>
        </w:rPr>
      </w:pPr>
      <w:r w:rsidRPr="008D0DB1">
        <w:rPr>
          <w:rFonts w:hint="cs"/>
          <w:rtl/>
        </w:rPr>
        <w:t>389-</w:t>
      </w:r>
      <w:r w:rsidRPr="008D0DB1">
        <w:rPr>
          <w:rFonts w:hint="cs"/>
          <w:rtl/>
        </w:rPr>
        <w:tab/>
      </w:r>
      <w:r w:rsidRPr="008D0DB1">
        <w:rPr>
          <w:rtl/>
        </w:rPr>
        <w:t xml:space="preserve">وبعد إجراء تحقيق، يرسل المراقب العام ملاحظاته إلى السلطة المختصة التي ينبغي أن ترد عليها في غضون أجل </w:t>
      </w:r>
      <w:r w:rsidRPr="008D0DB1">
        <w:rPr>
          <w:rFonts w:hint="cs"/>
          <w:rtl/>
        </w:rPr>
        <w:t xml:space="preserve">محدد. </w:t>
      </w:r>
      <w:r w:rsidRPr="008D0DB1">
        <w:rPr>
          <w:rtl/>
        </w:rPr>
        <w:t xml:space="preserve">وعليه أن يُطلع المدعي العام للجمهورية على </w:t>
      </w:r>
      <w:r w:rsidRPr="008D0DB1">
        <w:rPr>
          <w:rFonts w:hint="cs"/>
          <w:rtl/>
        </w:rPr>
        <w:t xml:space="preserve">المخالفات الجنائية </w:t>
      </w:r>
      <w:r w:rsidRPr="008D0DB1">
        <w:rPr>
          <w:rtl/>
        </w:rPr>
        <w:t>التي يبلغ بها، ويجوز له أيضاً أن يلجأ إلى السلطة التأديبية المختصة</w:t>
      </w:r>
      <w:r w:rsidRPr="008D0DB1">
        <w:rPr>
          <w:rFonts w:hint="cs"/>
          <w:rtl/>
        </w:rPr>
        <w:t xml:space="preserve">. </w:t>
      </w:r>
      <w:r w:rsidRPr="008D0DB1">
        <w:rPr>
          <w:rtl/>
        </w:rPr>
        <w:t xml:space="preserve">ويسدي المشورة ويقدم توصيات </w:t>
      </w:r>
      <w:r w:rsidRPr="008D0DB1">
        <w:rPr>
          <w:rFonts w:hint="cs"/>
          <w:rtl/>
        </w:rPr>
        <w:t>يقوم بنشرها</w:t>
      </w:r>
      <w:r w:rsidRPr="008D0DB1">
        <w:rPr>
          <w:rtl/>
        </w:rPr>
        <w:t>، ويقترح تعديلات تشريعية أو تنظيمية</w:t>
      </w:r>
      <w:r w:rsidRPr="008D0DB1">
        <w:rPr>
          <w:rFonts w:hint="cs"/>
          <w:rtl/>
        </w:rPr>
        <w:t>.</w:t>
      </w:r>
    </w:p>
    <w:p w:rsidR="00944A3C" w:rsidRPr="008D0DB1" w:rsidRDefault="00944A3C" w:rsidP="008D0DB1">
      <w:pPr>
        <w:pStyle w:val="SingleTxtGA"/>
        <w:rPr>
          <w:rtl/>
        </w:rPr>
      </w:pPr>
      <w:r w:rsidRPr="008D0DB1">
        <w:rPr>
          <w:rFonts w:hint="cs"/>
          <w:rtl/>
        </w:rPr>
        <w:t>390-</w:t>
      </w:r>
      <w:r w:rsidRPr="008D0DB1">
        <w:rPr>
          <w:rFonts w:hint="cs"/>
          <w:rtl/>
        </w:rPr>
        <w:tab/>
      </w:r>
      <w:r w:rsidRPr="008D0DB1">
        <w:rPr>
          <w:rtl/>
        </w:rPr>
        <w:t xml:space="preserve">وعلاوة على ذلك، يمكن لأي شخص طبيعي أو اعتباري (الجمعيات والمنظمات غير الحكومية، </w:t>
      </w:r>
      <w:r w:rsidRPr="008D0DB1">
        <w:rPr>
          <w:rFonts w:hint="cs"/>
          <w:rtl/>
        </w:rPr>
        <w:t>وغيرها</w:t>
      </w:r>
      <w:r w:rsidRPr="008D0DB1">
        <w:rPr>
          <w:rtl/>
        </w:rPr>
        <w:t xml:space="preserve">) </w:t>
      </w:r>
      <w:r w:rsidRPr="008D0DB1">
        <w:rPr>
          <w:rFonts w:hint="cs"/>
          <w:rtl/>
        </w:rPr>
        <w:t xml:space="preserve">يتمثل </w:t>
      </w:r>
      <w:r w:rsidRPr="008D0DB1">
        <w:rPr>
          <w:rtl/>
        </w:rPr>
        <w:t xml:space="preserve">هدفه </w:t>
      </w:r>
      <w:r w:rsidRPr="008D0DB1">
        <w:rPr>
          <w:rFonts w:hint="cs"/>
          <w:rtl/>
        </w:rPr>
        <w:t xml:space="preserve">في كفالة </w:t>
      </w:r>
      <w:r w:rsidRPr="008D0DB1">
        <w:rPr>
          <w:rtl/>
        </w:rPr>
        <w:t>احترام الحقوق الأساسية أن يبلغ المراقب العام بالأفعال أو الحالات التي تشكل انتهاك</w:t>
      </w:r>
      <w:r w:rsidR="00443A06">
        <w:rPr>
          <w:rtl/>
        </w:rPr>
        <w:t xml:space="preserve">اً </w:t>
      </w:r>
      <w:r w:rsidRPr="008D0DB1">
        <w:rPr>
          <w:rtl/>
        </w:rPr>
        <w:t>للحقوق الأساسية للشخص المحتجز</w:t>
      </w:r>
      <w:r w:rsidRPr="008D0DB1">
        <w:rPr>
          <w:rFonts w:hint="cs"/>
          <w:rtl/>
        </w:rPr>
        <w:t xml:space="preserve">. </w:t>
      </w:r>
      <w:r w:rsidRPr="008D0DB1">
        <w:rPr>
          <w:rtl/>
        </w:rPr>
        <w:t>ويمكنه أيض</w:t>
      </w:r>
      <w:r w:rsidR="00443A06">
        <w:rPr>
          <w:rtl/>
        </w:rPr>
        <w:t xml:space="preserve">اً </w:t>
      </w:r>
      <w:r w:rsidRPr="008D0DB1">
        <w:rPr>
          <w:rtl/>
        </w:rPr>
        <w:t>أن يأخذ المبادرة من تلقاء نفسه</w:t>
      </w:r>
      <w:r w:rsidRPr="008D0DB1">
        <w:rPr>
          <w:rFonts w:hint="cs"/>
          <w:rtl/>
        </w:rPr>
        <w:t>.</w:t>
      </w:r>
    </w:p>
    <w:p w:rsidR="00944A3C" w:rsidRPr="008D0DB1" w:rsidRDefault="00944A3C" w:rsidP="008D0DB1">
      <w:pPr>
        <w:pStyle w:val="SingleTxtGA"/>
        <w:rPr>
          <w:rtl/>
        </w:rPr>
      </w:pPr>
      <w:r w:rsidRPr="008D0DB1">
        <w:rPr>
          <w:rFonts w:hint="cs"/>
          <w:rtl/>
        </w:rPr>
        <w:t>391-</w:t>
      </w:r>
      <w:r w:rsidRPr="008D0DB1">
        <w:rPr>
          <w:rFonts w:hint="cs"/>
          <w:rtl/>
        </w:rPr>
        <w:tab/>
      </w:r>
      <w:r w:rsidRPr="008D0DB1">
        <w:rPr>
          <w:rtl/>
        </w:rPr>
        <w:t xml:space="preserve">وبالإضافة إلى الأشخاص الذين يلتقيهم المراقب العام في عين المكان خلال التحقيقات والزيارات التي يجريها، فلديه علاقات منتظمة مع المنظمات المهنية للموظفين العامين المعنيين، ومع الهيئات المهنية للأطباء والمحامين، ومع المدارس العامة ومعاهد تدريب الموظفين، والجمعيات الوطنية التي يتمثل هدفها الاجتماعي في </w:t>
      </w:r>
      <w:r w:rsidRPr="008D0DB1">
        <w:rPr>
          <w:rFonts w:hint="cs"/>
          <w:rtl/>
        </w:rPr>
        <w:t xml:space="preserve">تقديم خدمات </w:t>
      </w:r>
      <w:r w:rsidRPr="008D0DB1">
        <w:rPr>
          <w:rtl/>
        </w:rPr>
        <w:t>في أماكن الاحتجاز أو في حماية وتعزيز حقوق الأشخاص سليبي الحرية، و</w:t>
      </w:r>
      <w:r w:rsidRPr="008D0DB1">
        <w:rPr>
          <w:rFonts w:hint="cs"/>
          <w:rtl/>
        </w:rPr>
        <w:t xml:space="preserve">مع </w:t>
      </w:r>
      <w:r w:rsidRPr="008D0DB1">
        <w:rPr>
          <w:rtl/>
        </w:rPr>
        <w:t>ممثلي الطوائف الدينية في أماكن الاحتجاز</w:t>
      </w:r>
      <w:r w:rsidRPr="008D0DB1">
        <w:rPr>
          <w:rFonts w:hint="cs"/>
          <w:rtl/>
        </w:rPr>
        <w:t xml:space="preserve">. </w:t>
      </w:r>
      <w:r w:rsidRPr="008D0DB1">
        <w:rPr>
          <w:rtl/>
        </w:rPr>
        <w:t xml:space="preserve">وعلاوة على ذلك، </w:t>
      </w:r>
      <w:r w:rsidRPr="008D0DB1">
        <w:rPr>
          <w:rFonts w:hint="cs"/>
          <w:rtl/>
        </w:rPr>
        <w:t xml:space="preserve">يجمِّع، </w:t>
      </w:r>
      <w:r w:rsidRPr="008D0DB1">
        <w:rPr>
          <w:rtl/>
        </w:rPr>
        <w:t>على نحو منتظم قدر الإمكان، آراء ومساهمات الباحثين في مجال التحليل الكمي أو في العلوم الإنسانية الذين تشكل أماكن الاحتجاز موضوع بح</w:t>
      </w:r>
      <w:r w:rsidRPr="008D0DB1">
        <w:rPr>
          <w:rFonts w:hint="cs"/>
          <w:rtl/>
        </w:rPr>
        <w:t>و</w:t>
      </w:r>
      <w:r w:rsidRPr="008D0DB1">
        <w:rPr>
          <w:rtl/>
        </w:rPr>
        <w:t>ث</w:t>
      </w:r>
      <w:r w:rsidRPr="008D0DB1">
        <w:rPr>
          <w:rFonts w:hint="cs"/>
          <w:rtl/>
        </w:rPr>
        <w:t>هم.</w:t>
      </w:r>
    </w:p>
    <w:p w:rsidR="00944A3C" w:rsidRPr="008D0DB1" w:rsidRDefault="00944A3C" w:rsidP="001D4D90">
      <w:pPr>
        <w:pStyle w:val="H4GA"/>
        <w:rPr>
          <w:rtl/>
          <w:lang w:val="es-ES" w:eastAsia="es-ES"/>
        </w:rPr>
      </w:pPr>
      <w:r w:rsidRPr="008D0DB1">
        <w:rPr>
          <w:rtl/>
        </w:rPr>
        <w:tab/>
      </w:r>
      <w:r w:rsidR="001D4D90">
        <w:rPr>
          <w:rFonts w:hint="cs"/>
          <w:rtl/>
        </w:rPr>
        <w:t>‘2‘</w:t>
      </w:r>
      <w:r w:rsidRPr="008D0DB1">
        <w:rPr>
          <w:rtl/>
        </w:rPr>
        <w:tab/>
        <w:t xml:space="preserve">الإعلام </w:t>
      </w:r>
      <w:r w:rsidRPr="008D0DB1">
        <w:rPr>
          <w:rFonts w:hint="cs"/>
          <w:rtl/>
        </w:rPr>
        <w:t xml:space="preserve">والتدريب في مجال </w:t>
      </w:r>
      <w:r w:rsidRPr="008D0DB1">
        <w:rPr>
          <w:rtl/>
        </w:rPr>
        <w:t xml:space="preserve">حقوق الأشخاص المحتجزين </w:t>
      </w:r>
    </w:p>
    <w:p w:rsidR="00944A3C" w:rsidRPr="008D0DB1" w:rsidRDefault="00944A3C" w:rsidP="008D0DB1">
      <w:pPr>
        <w:pStyle w:val="SingleTxtGA"/>
        <w:rPr>
          <w:rtl/>
        </w:rPr>
      </w:pPr>
      <w:r w:rsidRPr="008D0DB1">
        <w:rPr>
          <w:rFonts w:hint="cs"/>
          <w:rtl/>
        </w:rPr>
        <w:t>392-</w:t>
      </w:r>
      <w:r w:rsidRPr="008D0DB1">
        <w:rPr>
          <w:rFonts w:hint="cs"/>
          <w:rtl/>
        </w:rPr>
        <w:tab/>
      </w:r>
      <w:r w:rsidRPr="008D0DB1">
        <w:rPr>
          <w:rtl/>
        </w:rPr>
        <w:t>يقدم المراقب العام كل سنة تقرير</w:t>
      </w:r>
      <w:r w:rsidR="00443A06">
        <w:rPr>
          <w:rtl/>
        </w:rPr>
        <w:t xml:space="preserve">اً </w:t>
      </w:r>
      <w:r w:rsidRPr="008D0DB1">
        <w:rPr>
          <w:rtl/>
        </w:rPr>
        <w:t>مرحلي</w:t>
      </w:r>
      <w:r w:rsidR="00443A06">
        <w:rPr>
          <w:rtl/>
        </w:rPr>
        <w:t xml:space="preserve">اً </w:t>
      </w:r>
      <w:r w:rsidRPr="008D0DB1">
        <w:rPr>
          <w:rtl/>
        </w:rPr>
        <w:t>إلى رئيس الجمهورية و</w:t>
      </w:r>
      <w:r w:rsidRPr="008D0DB1">
        <w:rPr>
          <w:rFonts w:hint="cs"/>
          <w:rtl/>
        </w:rPr>
        <w:t xml:space="preserve">إلى </w:t>
      </w:r>
      <w:r w:rsidRPr="008D0DB1">
        <w:rPr>
          <w:rtl/>
        </w:rPr>
        <w:t>البرلمان</w:t>
      </w:r>
      <w:r w:rsidRPr="008D0DB1">
        <w:rPr>
          <w:rFonts w:hint="cs"/>
          <w:rtl/>
        </w:rPr>
        <w:t xml:space="preserve">. </w:t>
      </w:r>
      <w:r w:rsidRPr="008D0DB1">
        <w:rPr>
          <w:rtl/>
        </w:rPr>
        <w:t>ويجري تعميم هذا التقرير</w:t>
      </w:r>
      <w:r w:rsidRPr="008D0DB1">
        <w:rPr>
          <w:rFonts w:hint="cs"/>
          <w:rtl/>
        </w:rPr>
        <w:t xml:space="preserve">. </w:t>
      </w:r>
      <w:r w:rsidRPr="008D0DB1">
        <w:rPr>
          <w:rtl/>
        </w:rPr>
        <w:t xml:space="preserve">وبالإضافة إلى حصيلة الأنشطة، </w:t>
      </w:r>
      <w:r w:rsidRPr="008D0DB1">
        <w:rPr>
          <w:rFonts w:hint="cs"/>
          <w:rtl/>
        </w:rPr>
        <w:t xml:space="preserve">ترد في هذا </w:t>
      </w:r>
      <w:r w:rsidRPr="008D0DB1">
        <w:rPr>
          <w:rtl/>
        </w:rPr>
        <w:t>التقرير عدة تحليلات مواضيعية</w:t>
      </w:r>
      <w:r w:rsidRPr="008D0DB1">
        <w:rPr>
          <w:rFonts w:hint="cs"/>
          <w:rtl/>
        </w:rPr>
        <w:t>.</w:t>
      </w:r>
    </w:p>
    <w:p w:rsidR="00944A3C" w:rsidRPr="008D0DB1" w:rsidRDefault="00944A3C" w:rsidP="008D0DB1">
      <w:pPr>
        <w:pStyle w:val="SingleTxtGA"/>
        <w:rPr>
          <w:rtl/>
        </w:rPr>
      </w:pPr>
      <w:r w:rsidRPr="008D0DB1">
        <w:rPr>
          <w:rFonts w:hint="cs"/>
          <w:rtl/>
        </w:rPr>
        <w:t>393-</w:t>
      </w:r>
      <w:r w:rsidRPr="008D0DB1">
        <w:rPr>
          <w:rFonts w:hint="cs"/>
          <w:rtl/>
        </w:rPr>
        <w:tab/>
      </w:r>
      <w:r w:rsidRPr="008D0DB1">
        <w:rPr>
          <w:rtl/>
        </w:rPr>
        <w:t>ويتيح المراقب العام لعامة الجمهور إمكانية الاطلاع على التقارير والمعلومات المتعلقة بعمله من خلال موقعه على شبكة الإنترنت</w:t>
      </w:r>
      <w:r w:rsidRPr="008D0DB1">
        <w:rPr>
          <w:rFonts w:hint="cs"/>
          <w:rtl/>
        </w:rPr>
        <w:t>.</w:t>
      </w:r>
    </w:p>
    <w:p w:rsidR="00944A3C" w:rsidRPr="008D0DB1" w:rsidRDefault="00944A3C" w:rsidP="008D0DB1">
      <w:pPr>
        <w:pStyle w:val="SingleTxtGA"/>
        <w:rPr>
          <w:rtl/>
        </w:rPr>
      </w:pPr>
      <w:r w:rsidRPr="008D0DB1">
        <w:rPr>
          <w:rFonts w:hint="cs"/>
          <w:rtl/>
        </w:rPr>
        <w:t>394-</w:t>
      </w:r>
      <w:r w:rsidRPr="008D0DB1">
        <w:rPr>
          <w:rFonts w:hint="cs"/>
          <w:rtl/>
        </w:rPr>
        <w:tab/>
      </w:r>
      <w:r w:rsidRPr="008D0DB1">
        <w:rPr>
          <w:rtl/>
        </w:rPr>
        <w:t xml:space="preserve">ويساهم المراقب العام في التدريب المهني المتعلق بالحقوق الأساسية للأشخاص سليبي الحرية، من خلال </w:t>
      </w:r>
      <w:r w:rsidRPr="008D0DB1">
        <w:rPr>
          <w:rFonts w:hint="cs"/>
          <w:rtl/>
        </w:rPr>
        <w:t xml:space="preserve">دورات ينظمها </w:t>
      </w:r>
      <w:r w:rsidRPr="008D0DB1">
        <w:rPr>
          <w:rtl/>
        </w:rPr>
        <w:t>كل سنة في مدارس تدريب الموظفين العامين (المدرسة الوطنية لإدارة السجون، والمدرسة الوطنية للإدارة، والمدرسة الوطنية للقضاء، والمدرسة الوطنية العليا للشرطة، ومدرسة ضباط الدرك الوطني)</w:t>
      </w:r>
      <w:r w:rsidRPr="008D0DB1">
        <w:rPr>
          <w:rFonts w:hint="cs"/>
          <w:rtl/>
        </w:rPr>
        <w:t>.</w:t>
      </w:r>
    </w:p>
    <w:p w:rsidR="00944A3C" w:rsidRPr="008D0DB1" w:rsidRDefault="00944A3C" w:rsidP="005C0E11">
      <w:pPr>
        <w:pStyle w:val="H23GA"/>
        <w:rPr>
          <w:vertAlign w:val="superscript"/>
          <w:rtl/>
        </w:rPr>
      </w:pPr>
      <w:r w:rsidRPr="008D0DB1">
        <w:rPr>
          <w:rtl/>
        </w:rPr>
        <w:tab/>
        <w:t>6-</w:t>
      </w:r>
      <w:r w:rsidRPr="008D0DB1">
        <w:rPr>
          <w:rtl/>
        </w:rPr>
        <w:tab/>
        <w:t>المجلس الأعلى للمساواة بين الرجل والمرأة</w:t>
      </w:r>
    </w:p>
    <w:p w:rsidR="00944A3C" w:rsidRPr="008D0DB1" w:rsidRDefault="00944A3C" w:rsidP="00944A3C">
      <w:pPr>
        <w:pStyle w:val="SingleTxtGA"/>
        <w:spacing w:after="100" w:line="378" w:lineRule="exact"/>
        <w:rPr>
          <w:rtl/>
        </w:rPr>
      </w:pPr>
      <w:r w:rsidRPr="008D0DB1">
        <w:rPr>
          <w:rFonts w:hint="cs"/>
          <w:rtl/>
        </w:rPr>
        <w:t>395-</w:t>
      </w:r>
      <w:r w:rsidRPr="008D0DB1">
        <w:rPr>
          <w:rFonts w:hint="cs"/>
          <w:rtl/>
        </w:rPr>
        <w:tab/>
      </w:r>
      <w:r w:rsidRPr="008D0DB1">
        <w:rPr>
          <w:rtl/>
        </w:rPr>
        <w:t>أنشئ المجلس الأعلى للمساواة بين الرجل والمرأة بموجب مرسوم صادر عن رئيس الجمهورية في 3 كانون الثاني/يناير 2013</w:t>
      </w:r>
      <w:r w:rsidRPr="008D0DB1">
        <w:rPr>
          <w:rFonts w:hint="cs"/>
          <w:rtl/>
        </w:rPr>
        <w:t xml:space="preserve">. </w:t>
      </w:r>
      <w:r w:rsidRPr="008D0DB1">
        <w:rPr>
          <w:rtl/>
        </w:rPr>
        <w:t>ويتألف حالي</w:t>
      </w:r>
      <w:r w:rsidR="00443A06">
        <w:rPr>
          <w:rtl/>
        </w:rPr>
        <w:t xml:space="preserve">اً </w:t>
      </w:r>
      <w:r w:rsidRPr="008D0DB1">
        <w:rPr>
          <w:rtl/>
        </w:rPr>
        <w:t xml:space="preserve">من 72 </w:t>
      </w:r>
      <w:r w:rsidRPr="008D0DB1">
        <w:rPr>
          <w:rFonts w:hint="cs"/>
          <w:rtl/>
        </w:rPr>
        <w:t>شخصية</w:t>
      </w:r>
      <w:r w:rsidRPr="008D0DB1">
        <w:rPr>
          <w:rtl/>
        </w:rPr>
        <w:t>: ممثلو</w:t>
      </w:r>
      <w:r w:rsidRPr="008D0DB1">
        <w:rPr>
          <w:rFonts w:hint="cs"/>
          <w:rtl/>
        </w:rPr>
        <w:t>ن</w:t>
      </w:r>
      <w:r w:rsidRPr="008D0DB1">
        <w:rPr>
          <w:rtl/>
        </w:rPr>
        <w:t xml:space="preserve"> </w:t>
      </w:r>
      <w:r w:rsidRPr="008D0DB1">
        <w:rPr>
          <w:rFonts w:hint="cs"/>
          <w:rtl/>
        </w:rPr>
        <w:t>ل</w:t>
      </w:r>
      <w:r w:rsidRPr="008D0DB1">
        <w:rPr>
          <w:rtl/>
        </w:rPr>
        <w:t>لجمعيات، ومنتخبون، وأشخاص مؤهلون، وباحثون، وغيرهم</w:t>
      </w:r>
      <w:r w:rsidRPr="008D0DB1">
        <w:rPr>
          <w:rFonts w:hint="cs"/>
          <w:rtl/>
        </w:rPr>
        <w:t>.</w:t>
      </w:r>
    </w:p>
    <w:p w:rsidR="00944A3C" w:rsidRPr="008D0DB1" w:rsidRDefault="00944A3C" w:rsidP="008D0DB1">
      <w:pPr>
        <w:pStyle w:val="SingleTxtGA"/>
        <w:rPr>
          <w:rtl/>
        </w:rPr>
      </w:pPr>
      <w:r w:rsidRPr="008D0DB1">
        <w:rPr>
          <w:rFonts w:hint="cs"/>
          <w:rtl/>
        </w:rPr>
        <w:lastRenderedPageBreak/>
        <w:t>396-</w:t>
      </w:r>
      <w:r w:rsidRPr="008D0DB1">
        <w:rPr>
          <w:rFonts w:hint="cs"/>
          <w:rtl/>
        </w:rPr>
        <w:tab/>
      </w:r>
      <w:r w:rsidRPr="008D0DB1">
        <w:rPr>
          <w:rtl/>
        </w:rPr>
        <w:t xml:space="preserve">وتتمثل مهمة هذا المجلس في كفالة </w:t>
      </w:r>
      <w:r w:rsidRPr="008D0DB1">
        <w:rPr>
          <w:rFonts w:hint="cs"/>
          <w:rtl/>
        </w:rPr>
        <w:t xml:space="preserve">التنسيق </w:t>
      </w:r>
      <w:r w:rsidRPr="008D0DB1">
        <w:rPr>
          <w:rtl/>
        </w:rPr>
        <w:t xml:space="preserve">مع المجتمع المدني وتنشيط النقاش العام بشأن </w:t>
      </w:r>
      <w:r w:rsidRPr="008D0DB1">
        <w:rPr>
          <w:rFonts w:hint="cs"/>
          <w:rtl/>
        </w:rPr>
        <w:t>التوجهات الكبرى ل</w:t>
      </w:r>
      <w:r w:rsidRPr="008D0DB1">
        <w:rPr>
          <w:rtl/>
        </w:rPr>
        <w:t>سياسة حقوق المرأة والمساواة بين الجنسين</w:t>
      </w:r>
      <w:r w:rsidRPr="008D0DB1">
        <w:rPr>
          <w:rFonts w:hint="cs"/>
          <w:rtl/>
        </w:rPr>
        <w:t xml:space="preserve">. ويقوم </w:t>
      </w:r>
      <w:r w:rsidRPr="008D0DB1">
        <w:rPr>
          <w:rtl/>
        </w:rPr>
        <w:t>المجلس الأعلى للمساواة بين الرجل والمرأة، تحقيق</w:t>
      </w:r>
      <w:r w:rsidR="00443A06">
        <w:rPr>
          <w:rtl/>
        </w:rPr>
        <w:t xml:space="preserve">اً </w:t>
      </w:r>
      <w:r w:rsidRPr="008D0DB1">
        <w:rPr>
          <w:rtl/>
        </w:rPr>
        <w:t>لمهامه، بما يلي</w:t>
      </w:r>
      <w:r w:rsidRPr="008D0DB1">
        <w:rPr>
          <w:rFonts w:hint="cs"/>
          <w:rtl/>
        </w:rPr>
        <w:t>:</w:t>
      </w:r>
    </w:p>
    <w:p w:rsidR="00944A3C" w:rsidRPr="008D0DB1" w:rsidRDefault="00944A3C" w:rsidP="008D0DB1">
      <w:pPr>
        <w:pStyle w:val="Bullet1GA"/>
        <w:bidi/>
      </w:pPr>
      <w:r w:rsidRPr="008D0DB1">
        <w:rPr>
          <w:rtl/>
        </w:rPr>
        <w:t>يساهم في تقييم السياسات العامة ال</w:t>
      </w:r>
      <w:r w:rsidRPr="008D0DB1">
        <w:rPr>
          <w:rFonts w:hint="cs"/>
          <w:rtl/>
        </w:rPr>
        <w:t>م</w:t>
      </w:r>
      <w:r w:rsidRPr="008D0DB1">
        <w:rPr>
          <w:rtl/>
        </w:rPr>
        <w:t>تعلقة بالمساواة بين المرأة والرجل</w:t>
      </w:r>
      <w:r w:rsidRPr="008D0DB1">
        <w:rPr>
          <w:rFonts w:hint="cs"/>
          <w:rtl/>
        </w:rPr>
        <w:t>؛</w:t>
      </w:r>
    </w:p>
    <w:p w:rsidR="00944A3C" w:rsidRPr="008D0DB1" w:rsidRDefault="00944A3C" w:rsidP="008D0DB1">
      <w:pPr>
        <w:pStyle w:val="Bullet1GA"/>
        <w:bidi/>
      </w:pPr>
      <w:r w:rsidRPr="008D0DB1">
        <w:rPr>
          <w:rtl/>
        </w:rPr>
        <w:t>يكفل تقييم أثر القوانين، واللوائح التنظيمية، ووثائق تقييم قوانين المالية وقوانين تمويل الضمان الاجتماعي</w:t>
      </w:r>
      <w:r w:rsidRPr="008D0DB1">
        <w:rPr>
          <w:rFonts w:hint="cs"/>
          <w:rtl/>
        </w:rPr>
        <w:t>؛</w:t>
      </w:r>
    </w:p>
    <w:p w:rsidR="00944A3C" w:rsidRPr="008D0DB1" w:rsidRDefault="00944A3C" w:rsidP="008D0DB1">
      <w:pPr>
        <w:pStyle w:val="Bullet1GA"/>
        <w:bidi/>
      </w:pPr>
      <w:r w:rsidRPr="008D0DB1">
        <w:rPr>
          <w:rtl/>
        </w:rPr>
        <w:t>يجمع وينشر التحليلات والدراسات والبحوث الفرنسية والأوروبية والدولية المتعلقة بالمساواة بين المرأة والرجل</w:t>
      </w:r>
      <w:r w:rsidRPr="008D0DB1">
        <w:rPr>
          <w:rFonts w:hint="cs"/>
          <w:rtl/>
        </w:rPr>
        <w:t>؛</w:t>
      </w:r>
    </w:p>
    <w:p w:rsidR="00944A3C" w:rsidRPr="008D0DB1" w:rsidRDefault="00944A3C" w:rsidP="008D0DB1">
      <w:pPr>
        <w:pStyle w:val="Bullet1GA"/>
        <w:bidi/>
        <w:rPr>
          <w:rtl/>
        </w:rPr>
      </w:pPr>
      <w:r w:rsidRPr="008D0DB1">
        <w:rPr>
          <w:rtl/>
        </w:rPr>
        <w:t>يقدم التوصيات والآراء إلى رئيس الوزراء ويقترح عليه إصلاحات</w:t>
      </w:r>
      <w:r w:rsidRPr="008D0DB1">
        <w:rPr>
          <w:rFonts w:hint="cs"/>
          <w:rtl/>
        </w:rPr>
        <w:t>.</w:t>
      </w:r>
    </w:p>
    <w:p w:rsidR="00944A3C" w:rsidRPr="008D0DB1" w:rsidRDefault="00944A3C" w:rsidP="008D0DB1">
      <w:pPr>
        <w:pStyle w:val="SingleTxtGA"/>
        <w:rPr>
          <w:rtl/>
        </w:rPr>
      </w:pPr>
      <w:r w:rsidRPr="008D0DB1">
        <w:rPr>
          <w:rFonts w:hint="cs"/>
          <w:rtl/>
        </w:rPr>
        <w:t>397-</w:t>
      </w:r>
      <w:r w:rsidRPr="008D0DB1">
        <w:rPr>
          <w:rFonts w:hint="cs"/>
          <w:rtl/>
        </w:rPr>
        <w:tab/>
      </w:r>
      <w:r w:rsidRPr="008D0DB1">
        <w:rPr>
          <w:rtl/>
        </w:rPr>
        <w:t xml:space="preserve">ويمكن لرئيس الوزراء أو وزيرة حقوق المرأة </w:t>
      </w:r>
      <w:r w:rsidRPr="008D0DB1">
        <w:rPr>
          <w:rFonts w:hint="cs"/>
          <w:rtl/>
        </w:rPr>
        <w:t xml:space="preserve">إحالة أي مسألة </w:t>
      </w:r>
      <w:r w:rsidRPr="008D0DB1">
        <w:rPr>
          <w:rtl/>
        </w:rPr>
        <w:t xml:space="preserve">إلى </w:t>
      </w:r>
      <w:r w:rsidRPr="008D0DB1">
        <w:rPr>
          <w:rFonts w:hint="cs"/>
          <w:rtl/>
        </w:rPr>
        <w:t xml:space="preserve">هذا </w:t>
      </w:r>
      <w:r w:rsidRPr="008D0DB1">
        <w:rPr>
          <w:rtl/>
        </w:rPr>
        <w:t>المجلس الأعلى</w:t>
      </w:r>
      <w:r w:rsidRPr="008D0DB1">
        <w:rPr>
          <w:rFonts w:hint="cs"/>
          <w:rtl/>
        </w:rPr>
        <w:t xml:space="preserve">. </w:t>
      </w:r>
      <w:r w:rsidRPr="008D0DB1">
        <w:rPr>
          <w:rtl/>
        </w:rPr>
        <w:t>ويمكن</w:t>
      </w:r>
      <w:r w:rsidRPr="008D0DB1">
        <w:rPr>
          <w:rFonts w:hint="cs"/>
          <w:rtl/>
        </w:rPr>
        <w:t xml:space="preserve">ه أن ينظر من تلقاء نفسه </w:t>
      </w:r>
      <w:r w:rsidRPr="008D0DB1">
        <w:rPr>
          <w:rtl/>
        </w:rPr>
        <w:t xml:space="preserve">في جميع المسائل التي من شأنها أن تساهم في تحقيق المهام </w:t>
      </w:r>
      <w:r w:rsidRPr="008D0DB1">
        <w:rPr>
          <w:rFonts w:hint="cs"/>
          <w:rtl/>
        </w:rPr>
        <w:t>المنوطة به</w:t>
      </w:r>
      <w:r w:rsidRPr="008D0DB1">
        <w:rPr>
          <w:rStyle w:val="EndnoteReference"/>
          <w:rtl/>
        </w:rPr>
        <w:t>(</w:t>
      </w:r>
      <w:r w:rsidRPr="008D0DB1">
        <w:rPr>
          <w:rStyle w:val="EndnoteReference"/>
          <w:rtl/>
        </w:rPr>
        <w:endnoteReference w:id="219"/>
      </w:r>
      <w:r w:rsidRPr="008D0DB1">
        <w:rPr>
          <w:rStyle w:val="EndnoteReference"/>
          <w:rtl/>
        </w:rPr>
        <w:t>)</w:t>
      </w:r>
      <w:r w:rsidRPr="008D0DB1">
        <w:rPr>
          <w:rFonts w:hint="cs"/>
          <w:rtl/>
        </w:rPr>
        <w:t>.</w:t>
      </w:r>
    </w:p>
    <w:p w:rsidR="00944A3C" w:rsidRPr="008D0DB1" w:rsidRDefault="00944A3C" w:rsidP="005C0E11">
      <w:pPr>
        <w:pStyle w:val="H1GA"/>
        <w:rPr>
          <w:rtl/>
        </w:rPr>
      </w:pPr>
      <w:r w:rsidRPr="008D0DB1">
        <w:rPr>
          <w:rFonts w:hint="cs"/>
          <w:rtl/>
        </w:rPr>
        <w:tab/>
      </w:r>
      <w:bookmarkStart w:id="361" w:name="_Toc508623293"/>
      <w:r w:rsidRPr="008D0DB1">
        <w:rPr>
          <w:rFonts w:hint="cs"/>
          <w:rtl/>
        </w:rPr>
        <w:t>جيم</w:t>
      </w:r>
      <w:r w:rsidRPr="008D0DB1">
        <w:rPr>
          <w:rtl/>
        </w:rPr>
        <w:t>-</w:t>
      </w:r>
      <w:r w:rsidRPr="008D0DB1">
        <w:rPr>
          <w:rtl/>
        </w:rPr>
        <w:tab/>
        <w:t xml:space="preserve">نشر </w:t>
      </w:r>
      <w:r w:rsidRPr="008D0DB1">
        <w:rPr>
          <w:rFonts w:hint="cs"/>
          <w:rtl/>
        </w:rPr>
        <w:t>ال</w:t>
      </w:r>
      <w:r w:rsidRPr="008D0DB1">
        <w:rPr>
          <w:rtl/>
        </w:rPr>
        <w:t xml:space="preserve">صكوك </w:t>
      </w:r>
      <w:r w:rsidRPr="008D0DB1">
        <w:rPr>
          <w:rFonts w:hint="cs"/>
          <w:rtl/>
        </w:rPr>
        <w:t>المتعلقة ب</w:t>
      </w:r>
      <w:r w:rsidRPr="008D0DB1">
        <w:rPr>
          <w:rtl/>
        </w:rPr>
        <w:t>حقوق الإنسان</w:t>
      </w:r>
      <w:bookmarkEnd w:id="361"/>
    </w:p>
    <w:p w:rsidR="00944A3C" w:rsidRPr="008D0DB1" w:rsidRDefault="00944A3C" w:rsidP="005C0E11">
      <w:pPr>
        <w:pStyle w:val="H23GA"/>
        <w:rPr>
          <w:rtl/>
        </w:rPr>
      </w:pPr>
      <w:r w:rsidRPr="008D0DB1">
        <w:rPr>
          <w:rtl/>
        </w:rPr>
        <w:tab/>
        <w:t>1-</w:t>
      </w:r>
      <w:r w:rsidRPr="008D0DB1">
        <w:rPr>
          <w:rtl/>
        </w:rPr>
        <w:tab/>
        <w:t>نشر المعايير على الصعيد الوطني</w:t>
      </w:r>
    </w:p>
    <w:p w:rsidR="00944A3C" w:rsidRPr="008D0DB1" w:rsidRDefault="00944A3C" w:rsidP="008D0DB1">
      <w:pPr>
        <w:pStyle w:val="SingleTxtGA"/>
        <w:rPr>
          <w:rtl/>
        </w:rPr>
      </w:pPr>
      <w:r w:rsidRPr="008D0DB1">
        <w:rPr>
          <w:rFonts w:hint="cs"/>
          <w:rtl/>
        </w:rPr>
        <w:t>398-</w:t>
      </w:r>
      <w:r w:rsidRPr="008D0DB1">
        <w:rPr>
          <w:rFonts w:hint="cs"/>
          <w:rtl/>
        </w:rPr>
        <w:tab/>
        <w:t xml:space="preserve">باعتبار </w:t>
      </w:r>
      <w:r w:rsidRPr="008D0DB1">
        <w:rPr>
          <w:rtl/>
        </w:rPr>
        <w:t xml:space="preserve">الفرنسية إحدى اللغات الرسمية التي صيغت بها الصكوك الدولية لحقوق الإنسان التي انضمت إليها فرنسا (في إطار كلٍّ من منظمة الأمم المتحدة ومجلس أوروبا)، فقد </w:t>
      </w:r>
      <w:r w:rsidRPr="008D0DB1">
        <w:rPr>
          <w:rFonts w:hint="cs"/>
          <w:rtl/>
        </w:rPr>
        <w:t>ت</w:t>
      </w:r>
      <w:r w:rsidRPr="008D0DB1">
        <w:rPr>
          <w:rtl/>
        </w:rPr>
        <w:t>يسر إلى حد كبير نشر هذه الاتفاقيات</w:t>
      </w:r>
      <w:r w:rsidRPr="008D0DB1">
        <w:rPr>
          <w:rFonts w:hint="cs"/>
          <w:rtl/>
        </w:rPr>
        <w:t>.</w:t>
      </w:r>
    </w:p>
    <w:p w:rsidR="00944A3C" w:rsidRPr="008D0DB1" w:rsidRDefault="00944A3C" w:rsidP="008D0DB1">
      <w:pPr>
        <w:pStyle w:val="SingleTxtGA"/>
        <w:rPr>
          <w:rtl/>
        </w:rPr>
      </w:pPr>
      <w:r w:rsidRPr="008D0DB1">
        <w:rPr>
          <w:rFonts w:hint="cs"/>
          <w:rtl/>
        </w:rPr>
        <w:t>399-</w:t>
      </w:r>
      <w:r w:rsidRPr="008D0DB1">
        <w:rPr>
          <w:rFonts w:hint="cs"/>
          <w:rtl/>
        </w:rPr>
        <w:tab/>
      </w:r>
      <w:r w:rsidRPr="008D0DB1">
        <w:rPr>
          <w:rtl/>
        </w:rPr>
        <w:t xml:space="preserve">وعلى النحو المفصل أعلاه، </w:t>
      </w:r>
      <w:r w:rsidRPr="008D0DB1">
        <w:rPr>
          <w:rFonts w:hint="cs"/>
          <w:rtl/>
        </w:rPr>
        <w:t xml:space="preserve">يجري </w:t>
      </w:r>
      <w:r w:rsidRPr="008D0DB1">
        <w:rPr>
          <w:rtl/>
        </w:rPr>
        <w:t xml:space="preserve">نشر الاتفاقيات في </w:t>
      </w:r>
      <w:r w:rsidRPr="00170F39">
        <w:rPr>
          <w:i/>
          <w:iCs/>
          <w:rtl/>
        </w:rPr>
        <w:t>الجريدة الرسمية للجمهورية الفرنسية</w:t>
      </w:r>
      <w:r w:rsidRPr="008D0DB1">
        <w:rPr>
          <w:rtl/>
        </w:rPr>
        <w:t xml:space="preserve"> </w:t>
      </w:r>
      <w:r w:rsidRPr="008D0DB1">
        <w:rPr>
          <w:rFonts w:hint="cs"/>
          <w:rtl/>
        </w:rPr>
        <w:t xml:space="preserve">بشكل </w:t>
      </w:r>
      <w:r w:rsidRPr="008D0DB1">
        <w:rPr>
          <w:rtl/>
        </w:rPr>
        <w:t xml:space="preserve">منهجي، </w:t>
      </w:r>
      <w:r w:rsidRPr="008D0DB1">
        <w:rPr>
          <w:rFonts w:hint="cs"/>
          <w:rtl/>
        </w:rPr>
        <w:t xml:space="preserve">باعتبار ذلك </w:t>
      </w:r>
      <w:r w:rsidRPr="008D0DB1">
        <w:rPr>
          <w:rtl/>
        </w:rPr>
        <w:t>شرط</w:t>
      </w:r>
      <w:r w:rsidR="00443A06">
        <w:rPr>
          <w:rFonts w:hint="cs"/>
          <w:rtl/>
        </w:rPr>
        <w:t xml:space="preserve">اً </w:t>
      </w:r>
      <w:r w:rsidRPr="008D0DB1">
        <w:rPr>
          <w:rtl/>
        </w:rPr>
        <w:t>إلزامي</w:t>
      </w:r>
      <w:r w:rsidR="00443A06">
        <w:rPr>
          <w:rFonts w:hint="cs"/>
          <w:rtl/>
        </w:rPr>
        <w:t xml:space="preserve">اً </w:t>
      </w:r>
      <w:r w:rsidRPr="008D0DB1">
        <w:rPr>
          <w:rtl/>
        </w:rPr>
        <w:t>مسبق</w:t>
      </w:r>
      <w:r w:rsidR="00443A06">
        <w:rPr>
          <w:rFonts w:hint="cs"/>
          <w:rtl/>
        </w:rPr>
        <w:t xml:space="preserve">اً </w:t>
      </w:r>
      <w:r w:rsidRPr="008D0DB1">
        <w:rPr>
          <w:rtl/>
        </w:rPr>
        <w:t xml:space="preserve">لدخولها حيز النفاذ، على غرار النصوص </w:t>
      </w:r>
      <w:r w:rsidRPr="008D0DB1">
        <w:rPr>
          <w:rFonts w:hint="cs"/>
          <w:rtl/>
        </w:rPr>
        <w:t xml:space="preserve">التشريعية </w:t>
      </w:r>
      <w:r w:rsidRPr="008D0DB1">
        <w:rPr>
          <w:rtl/>
        </w:rPr>
        <w:t>والتنظيمية</w:t>
      </w:r>
      <w:r w:rsidRPr="008D0DB1">
        <w:rPr>
          <w:rFonts w:hint="cs"/>
          <w:rtl/>
        </w:rPr>
        <w:t xml:space="preserve">. </w:t>
      </w:r>
      <w:r w:rsidRPr="008D0DB1">
        <w:rPr>
          <w:rtl/>
        </w:rPr>
        <w:t xml:space="preserve">وبالإضافة إلى ذلك، </w:t>
      </w:r>
      <w:r w:rsidRPr="008D0DB1">
        <w:rPr>
          <w:rFonts w:hint="cs"/>
          <w:rtl/>
        </w:rPr>
        <w:t xml:space="preserve">يستلزم </w:t>
      </w:r>
      <w:r w:rsidRPr="008D0DB1">
        <w:rPr>
          <w:rtl/>
        </w:rPr>
        <w:t xml:space="preserve">تصديق فرنسا على هذه الصكوك (المادة 53 من الدستور) </w:t>
      </w:r>
      <w:r w:rsidRPr="008D0DB1">
        <w:rPr>
          <w:rFonts w:hint="cs"/>
          <w:rtl/>
        </w:rPr>
        <w:t xml:space="preserve">الحصول على </w:t>
      </w:r>
      <w:r w:rsidRPr="008D0DB1">
        <w:rPr>
          <w:rtl/>
        </w:rPr>
        <w:t xml:space="preserve">موافقة البرلمان، </w:t>
      </w:r>
      <w:r w:rsidRPr="008D0DB1">
        <w:rPr>
          <w:rFonts w:hint="cs"/>
          <w:rtl/>
        </w:rPr>
        <w:t xml:space="preserve">ويشكل ذلك </w:t>
      </w:r>
      <w:r w:rsidRPr="008D0DB1">
        <w:rPr>
          <w:rtl/>
        </w:rPr>
        <w:t xml:space="preserve">فرصة </w:t>
      </w:r>
      <w:r w:rsidRPr="008D0DB1">
        <w:rPr>
          <w:rFonts w:hint="cs"/>
          <w:rtl/>
        </w:rPr>
        <w:t xml:space="preserve">مواتية </w:t>
      </w:r>
      <w:r w:rsidRPr="008D0DB1">
        <w:rPr>
          <w:rtl/>
        </w:rPr>
        <w:t>ل</w:t>
      </w:r>
      <w:r w:rsidRPr="008D0DB1">
        <w:rPr>
          <w:rFonts w:hint="cs"/>
          <w:rtl/>
        </w:rPr>
        <w:t xml:space="preserve">إجراء </w:t>
      </w:r>
      <w:r w:rsidRPr="008D0DB1">
        <w:rPr>
          <w:rtl/>
        </w:rPr>
        <w:t xml:space="preserve">نقاش عام </w:t>
      </w:r>
      <w:r w:rsidRPr="008D0DB1">
        <w:rPr>
          <w:rFonts w:hint="cs"/>
          <w:rtl/>
        </w:rPr>
        <w:t xml:space="preserve">بشأن </w:t>
      </w:r>
      <w:r w:rsidRPr="008D0DB1">
        <w:rPr>
          <w:rtl/>
        </w:rPr>
        <w:t>مضمون النصوص المعتمدة ونشره</w:t>
      </w:r>
      <w:r w:rsidRPr="008D0DB1">
        <w:rPr>
          <w:rFonts w:hint="cs"/>
          <w:rtl/>
        </w:rPr>
        <w:t>ا</w:t>
      </w:r>
      <w:r w:rsidRPr="008D0DB1">
        <w:rPr>
          <w:rtl/>
        </w:rPr>
        <w:t xml:space="preserve"> على نطاق واسع، ليس فقط من خلال القنوات المؤسسية (مثل تقارير البرلمان)، بل أيض</w:t>
      </w:r>
      <w:r w:rsidR="00443A06">
        <w:rPr>
          <w:rtl/>
        </w:rPr>
        <w:t xml:space="preserve">اً </w:t>
      </w:r>
      <w:r w:rsidRPr="008D0DB1">
        <w:rPr>
          <w:rtl/>
        </w:rPr>
        <w:t>من خلال وسائط الإعلام</w:t>
      </w:r>
      <w:r w:rsidRPr="008D0DB1">
        <w:rPr>
          <w:rFonts w:hint="cs"/>
          <w:rtl/>
        </w:rPr>
        <w:t>.</w:t>
      </w:r>
    </w:p>
    <w:p w:rsidR="00944A3C" w:rsidRPr="008D0DB1" w:rsidRDefault="00944A3C" w:rsidP="008D0DB1">
      <w:pPr>
        <w:pStyle w:val="SingleTxtGA"/>
        <w:rPr>
          <w:rtl/>
        </w:rPr>
      </w:pPr>
      <w:r w:rsidRPr="008D0DB1">
        <w:rPr>
          <w:rFonts w:hint="cs"/>
          <w:rtl/>
        </w:rPr>
        <w:t>400-</w:t>
      </w:r>
      <w:r w:rsidRPr="008D0DB1">
        <w:rPr>
          <w:rFonts w:hint="cs"/>
          <w:rtl/>
        </w:rPr>
        <w:tab/>
      </w:r>
      <w:r w:rsidRPr="008D0DB1">
        <w:rPr>
          <w:rtl/>
        </w:rPr>
        <w:t>وأخير</w:t>
      </w:r>
      <w:r w:rsidR="0031739C">
        <w:rPr>
          <w:rtl/>
        </w:rPr>
        <w:t>اً،</w:t>
      </w:r>
      <w:r w:rsidRPr="008D0DB1">
        <w:rPr>
          <w:rtl/>
        </w:rPr>
        <w:t xml:space="preserve"> تضطلع المؤسسات والهيئات الوطنية المكلفة بضمان احترام حقوق الإنسان بدور جدير بالتنويه في هذا المجال، سواء لأن توعية المواطنين أو المتقاضين تشكل مهمتها الرئيسية، أو لأن هذه التوعية، باعتبارها جزء</w:t>
      </w:r>
      <w:r w:rsidR="00443A06">
        <w:rPr>
          <w:rtl/>
        </w:rPr>
        <w:t xml:space="preserve">اً </w:t>
      </w:r>
      <w:r w:rsidRPr="008D0DB1">
        <w:rPr>
          <w:rtl/>
        </w:rPr>
        <w:t>لا غنى عنه من أنشطتها، نتيجة طبيعية للصلاحيات الرئيسية التي تمارسها من خلال إصدار إعلانات عامة أو نشر تقارير أو دراسات</w:t>
      </w:r>
      <w:r w:rsidRPr="008D0DB1">
        <w:rPr>
          <w:rFonts w:hint="cs"/>
          <w:rtl/>
        </w:rPr>
        <w:t>.</w:t>
      </w:r>
    </w:p>
    <w:p w:rsidR="00944A3C" w:rsidRPr="008D0DB1" w:rsidRDefault="00944A3C" w:rsidP="005C0E11">
      <w:pPr>
        <w:pStyle w:val="H23GA"/>
        <w:rPr>
          <w:rtl/>
        </w:rPr>
      </w:pPr>
      <w:r w:rsidRPr="008D0DB1">
        <w:rPr>
          <w:rtl/>
        </w:rPr>
        <w:tab/>
        <w:t>2-</w:t>
      </w:r>
      <w:r w:rsidRPr="008D0DB1">
        <w:rPr>
          <w:rtl/>
        </w:rPr>
        <w:tab/>
        <w:t>الوصول إلى القضاء في إطار الهيئات المتخصصة</w:t>
      </w:r>
    </w:p>
    <w:p w:rsidR="00944A3C" w:rsidRPr="008D0DB1" w:rsidRDefault="00944A3C" w:rsidP="008D0DB1">
      <w:pPr>
        <w:pStyle w:val="SingleTxtGA"/>
        <w:rPr>
          <w:rtl/>
        </w:rPr>
      </w:pPr>
      <w:r w:rsidRPr="008D0DB1">
        <w:rPr>
          <w:rFonts w:hint="cs"/>
          <w:rtl/>
        </w:rPr>
        <w:t>401-</w:t>
      </w:r>
      <w:r w:rsidRPr="008D0DB1">
        <w:rPr>
          <w:rFonts w:hint="cs"/>
          <w:rtl/>
        </w:rPr>
        <w:tab/>
      </w:r>
      <w:r w:rsidRPr="008D0DB1">
        <w:rPr>
          <w:rtl/>
        </w:rPr>
        <w:t>أنشأ المشرع، من خلال اعتماد القانون المؤرخ 10 تموز/يوليه 1991 المتعلق بالمساعدة القانونية، خدمة المساعدة في الوصول إلى القضاء</w:t>
      </w:r>
      <w:r w:rsidRPr="008D0DB1">
        <w:rPr>
          <w:rFonts w:hint="cs"/>
          <w:rtl/>
        </w:rPr>
        <w:t xml:space="preserve">. </w:t>
      </w:r>
      <w:r w:rsidRPr="008D0DB1">
        <w:rPr>
          <w:rtl/>
        </w:rPr>
        <w:t xml:space="preserve">وتهدف السياسة العامة لتنفيذ خدمة الوصول إلى القضاء إلى تطوير شبكة للخدمات المجتمعية من أجل ضمان المساواة في وصول جميع المواطنين إلى القضاء، مع تمكين </w:t>
      </w:r>
      <w:r w:rsidRPr="008D0DB1">
        <w:rPr>
          <w:rFonts w:hint="cs"/>
          <w:rtl/>
        </w:rPr>
        <w:t>جميع الأ</w:t>
      </w:r>
      <w:r w:rsidRPr="008D0DB1">
        <w:rPr>
          <w:rtl/>
        </w:rPr>
        <w:t>شخ</w:t>
      </w:r>
      <w:r w:rsidRPr="008D0DB1">
        <w:rPr>
          <w:rFonts w:hint="cs"/>
          <w:rtl/>
        </w:rPr>
        <w:t>ا</w:t>
      </w:r>
      <w:r w:rsidRPr="008D0DB1">
        <w:rPr>
          <w:rtl/>
        </w:rPr>
        <w:t>ص من معرفة حقوقه</w:t>
      </w:r>
      <w:r w:rsidRPr="008D0DB1">
        <w:rPr>
          <w:rFonts w:hint="cs"/>
          <w:rtl/>
        </w:rPr>
        <w:t>م</w:t>
      </w:r>
      <w:r w:rsidRPr="008D0DB1">
        <w:rPr>
          <w:rtl/>
        </w:rPr>
        <w:t xml:space="preserve"> وممارستها، وبخاصة من </w:t>
      </w:r>
      <w:r w:rsidRPr="008D0DB1">
        <w:rPr>
          <w:rtl/>
        </w:rPr>
        <w:lastRenderedPageBreak/>
        <w:t>يعانون صعوبات شديدة</w:t>
      </w:r>
      <w:r w:rsidRPr="008D0DB1">
        <w:rPr>
          <w:rFonts w:hint="cs"/>
          <w:rtl/>
        </w:rPr>
        <w:t>. و</w:t>
      </w:r>
      <w:r w:rsidRPr="008D0DB1">
        <w:rPr>
          <w:rtl/>
        </w:rPr>
        <w:t>على الصعيد المحلي</w:t>
      </w:r>
      <w:r w:rsidRPr="008D0DB1">
        <w:rPr>
          <w:rFonts w:hint="cs"/>
          <w:rtl/>
        </w:rPr>
        <w:t xml:space="preserve">، تدعم </w:t>
      </w:r>
      <w:r w:rsidRPr="008D0DB1">
        <w:rPr>
          <w:rtl/>
        </w:rPr>
        <w:t>مجالس المقاطعات المعنية بالوصول إلى القضاء</w:t>
      </w:r>
      <w:r w:rsidRPr="008D0DB1">
        <w:rPr>
          <w:rFonts w:hint="cs"/>
          <w:rtl/>
        </w:rPr>
        <w:t xml:space="preserve"> </w:t>
      </w:r>
      <w:r w:rsidRPr="008D0DB1">
        <w:rPr>
          <w:rtl/>
        </w:rPr>
        <w:t xml:space="preserve">هذه السياسة، التي تقودها على الصعيد الوطني دائرة الوصول إلى القضاء والعدالة وسياسة المدينة، ويجري تنفيذها بشكل ملموس </w:t>
      </w:r>
      <w:r w:rsidRPr="008D0DB1">
        <w:rPr>
          <w:rFonts w:hint="cs"/>
          <w:rtl/>
        </w:rPr>
        <w:t xml:space="preserve">من خلال </w:t>
      </w:r>
      <w:r w:rsidRPr="008D0DB1">
        <w:rPr>
          <w:rtl/>
        </w:rPr>
        <w:t>دور العدالة والقانون، وفروع العدالة، ومراكز الوصول إلى القضاء ووحدات الوصول إلى القضاء</w:t>
      </w:r>
      <w:r w:rsidRPr="008D0DB1">
        <w:rPr>
          <w:rFonts w:hint="cs"/>
          <w:rtl/>
        </w:rPr>
        <w:t>.</w:t>
      </w:r>
    </w:p>
    <w:p w:rsidR="00944A3C" w:rsidRPr="008D0DB1" w:rsidRDefault="00944A3C" w:rsidP="005C0E11">
      <w:pPr>
        <w:pStyle w:val="H23GA"/>
        <w:rPr>
          <w:rtl/>
        </w:rPr>
      </w:pPr>
      <w:r w:rsidRPr="008D0DB1">
        <w:rPr>
          <w:rtl/>
        </w:rPr>
        <w:tab/>
        <w:t>(أ)</w:t>
      </w:r>
      <w:r w:rsidRPr="008D0DB1">
        <w:rPr>
          <w:rtl/>
        </w:rPr>
        <w:tab/>
        <w:t>مجالس المقاطعات المعنية بالوصول إلى القضاء</w:t>
      </w:r>
    </w:p>
    <w:p w:rsidR="00944A3C" w:rsidRPr="008D0DB1" w:rsidRDefault="00944A3C" w:rsidP="008D0DB1">
      <w:pPr>
        <w:pStyle w:val="SingleTxtGA"/>
        <w:rPr>
          <w:rtl/>
        </w:rPr>
      </w:pPr>
      <w:r w:rsidRPr="008D0DB1">
        <w:rPr>
          <w:rFonts w:hint="cs"/>
          <w:rtl/>
        </w:rPr>
        <w:t>402-</w:t>
      </w:r>
      <w:r w:rsidRPr="008D0DB1">
        <w:rPr>
          <w:rFonts w:hint="cs"/>
          <w:rtl/>
        </w:rPr>
        <w:tab/>
        <w:t xml:space="preserve">يتولى </w:t>
      </w:r>
      <w:r w:rsidRPr="008D0DB1">
        <w:rPr>
          <w:rtl/>
        </w:rPr>
        <w:t xml:space="preserve">مجلس المقاطعة المعني بالوصول إلى القضاء، الذي يرأسه رئيس محكمة الدرجة العليا في عاصمة المقاطعة، </w:t>
      </w:r>
      <w:r w:rsidRPr="008D0DB1">
        <w:rPr>
          <w:rFonts w:hint="cs"/>
          <w:rtl/>
        </w:rPr>
        <w:t xml:space="preserve">مهمة </w:t>
      </w:r>
      <w:r w:rsidRPr="008D0DB1">
        <w:rPr>
          <w:rtl/>
        </w:rPr>
        <w:t>تحديد وتنفيذ سياسة الوصول إلى القضاء على صعيد المقاطعة</w:t>
      </w:r>
      <w:r w:rsidRPr="008D0DB1">
        <w:rPr>
          <w:rFonts w:hint="cs"/>
          <w:rtl/>
        </w:rPr>
        <w:t xml:space="preserve">. </w:t>
      </w:r>
      <w:r w:rsidRPr="008D0DB1">
        <w:rPr>
          <w:rtl/>
        </w:rPr>
        <w:t>ويحدد كذلك الاحتياجات المحلية، وي</w:t>
      </w:r>
      <w:r w:rsidRPr="008D0DB1">
        <w:rPr>
          <w:rFonts w:hint="cs"/>
          <w:rtl/>
        </w:rPr>
        <w:t>ُ</w:t>
      </w:r>
      <w:r w:rsidRPr="008D0DB1">
        <w:rPr>
          <w:rtl/>
        </w:rPr>
        <w:t>عد جرد</w:t>
      </w:r>
      <w:r w:rsidR="00443A06">
        <w:rPr>
          <w:rtl/>
        </w:rPr>
        <w:t xml:space="preserve">اً </w:t>
      </w:r>
      <w:r w:rsidRPr="008D0DB1">
        <w:rPr>
          <w:rtl/>
        </w:rPr>
        <w:t>لجميع الإجراءات المتخذة وينشره، ويقيم نوعية وفعالية الآليات التي يقدم إليها المساعدة، ويحفز اتخاذ إجراءات جديدة</w:t>
      </w:r>
      <w:r w:rsidRPr="008D0DB1">
        <w:rPr>
          <w:rFonts w:hint="cs"/>
          <w:rtl/>
        </w:rPr>
        <w:t xml:space="preserve">. </w:t>
      </w:r>
      <w:r w:rsidRPr="008D0DB1">
        <w:rPr>
          <w:rtl/>
        </w:rPr>
        <w:t xml:space="preserve">وبالإضافة إلى ذلك، تتاح المشورة القانونية المجانية في مقر كل مجلس، ويجري التركيز على الأشخاص الذين يحتاجون إلى مساعدة خاصة (كبار السن، والأسر المعيشية </w:t>
      </w:r>
      <w:r w:rsidRPr="008D0DB1">
        <w:rPr>
          <w:rFonts w:hint="cs"/>
          <w:rtl/>
        </w:rPr>
        <w:t>المهددة ب</w:t>
      </w:r>
      <w:r w:rsidRPr="008D0DB1">
        <w:rPr>
          <w:rtl/>
        </w:rPr>
        <w:t>الإخلاء ...)</w:t>
      </w:r>
      <w:r w:rsidRPr="008D0DB1">
        <w:rPr>
          <w:rStyle w:val="EndnoteReference"/>
          <w:rtl/>
        </w:rPr>
        <w:t>(</w:t>
      </w:r>
      <w:r w:rsidRPr="008D0DB1">
        <w:rPr>
          <w:rStyle w:val="EndnoteReference"/>
          <w:rtl/>
        </w:rPr>
        <w:endnoteReference w:id="220"/>
      </w:r>
      <w:r w:rsidRPr="008D0DB1">
        <w:rPr>
          <w:rStyle w:val="EndnoteReference"/>
          <w:rtl/>
        </w:rPr>
        <w:t>)</w:t>
      </w:r>
      <w:r w:rsidRPr="008D0DB1">
        <w:rPr>
          <w:rFonts w:hint="cs"/>
          <w:rtl/>
        </w:rPr>
        <w:t>.</w:t>
      </w:r>
    </w:p>
    <w:p w:rsidR="00944A3C" w:rsidRPr="008D0DB1" w:rsidRDefault="00944A3C" w:rsidP="005C0E11">
      <w:pPr>
        <w:pStyle w:val="H23GA"/>
        <w:rPr>
          <w:rtl/>
        </w:rPr>
      </w:pPr>
      <w:r w:rsidRPr="008D0DB1">
        <w:rPr>
          <w:rtl/>
        </w:rPr>
        <w:tab/>
        <w:t>(ب)</w:t>
      </w:r>
      <w:r w:rsidRPr="008D0DB1">
        <w:rPr>
          <w:rtl/>
        </w:rPr>
        <w:tab/>
        <w:t>دُور العدالة والقانون وفروع العدالة</w:t>
      </w:r>
    </w:p>
    <w:p w:rsidR="00944A3C" w:rsidRPr="008D0DB1" w:rsidRDefault="00944A3C" w:rsidP="005C0E11">
      <w:pPr>
        <w:pStyle w:val="SingleTxtGA"/>
        <w:rPr>
          <w:rtl/>
        </w:rPr>
      </w:pPr>
      <w:r w:rsidRPr="005C0E11">
        <w:rPr>
          <w:rFonts w:hint="cs"/>
          <w:spacing w:val="-4"/>
          <w:rtl/>
        </w:rPr>
        <w:t>403-</w:t>
      </w:r>
      <w:r w:rsidRPr="005C0E11">
        <w:rPr>
          <w:rFonts w:hint="cs"/>
          <w:spacing w:val="-4"/>
          <w:rtl/>
        </w:rPr>
        <w:tab/>
      </w:r>
      <w:r w:rsidRPr="005C0E11">
        <w:rPr>
          <w:spacing w:val="-4"/>
          <w:rtl/>
        </w:rPr>
        <w:t>توجد دُور العدالة والقانون (133)، المنشأة بموجب القانون رقم 98-1163 المؤرخ 18</w:t>
      </w:r>
      <w:r w:rsidRPr="008D0DB1">
        <w:rPr>
          <w:rtl/>
        </w:rPr>
        <w:t xml:space="preserve"> كانون الأول/ديسمبر 1998، أساس</w:t>
      </w:r>
      <w:r w:rsidR="00443A06">
        <w:rPr>
          <w:rtl/>
        </w:rPr>
        <w:t xml:space="preserve">اً </w:t>
      </w:r>
      <w:r w:rsidRPr="008D0DB1">
        <w:rPr>
          <w:rtl/>
        </w:rPr>
        <w:t xml:space="preserve">في المناطق الحضرية </w:t>
      </w:r>
      <w:r w:rsidRPr="008D0DB1">
        <w:rPr>
          <w:rFonts w:hint="cs"/>
          <w:rtl/>
        </w:rPr>
        <w:t xml:space="preserve">الأشد </w:t>
      </w:r>
      <w:r w:rsidRPr="008D0DB1">
        <w:rPr>
          <w:rtl/>
        </w:rPr>
        <w:t>حساسية، وتوجد فروع العدالة</w:t>
      </w:r>
      <w:r w:rsidR="005C0E11">
        <w:rPr>
          <w:rFonts w:hint="cs"/>
          <w:rtl/>
        </w:rPr>
        <w:t> </w:t>
      </w:r>
      <w:r w:rsidRPr="008D0DB1">
        <w:rPr>
          <w:rtl/>
        </w:rPr>
        <w:t>(42) في البلديات البعيدة عن المحاكم والقليلة السكان</w:t>
      </w:r>
      <w:r w:rsidRPr="008D0DB1">
        <w:rPr>
          <w:rFonts w:hint="cs"/>
          <w:rtl/>
        </w:rPr>
        <w:t>.</w:t>
      </w:r>
    </w:p>
    <w:p w:rsidR="00944A3C" w:rsidRPr="008D0DB1" w:rsidRDefault="00944A3C" w:rsidP="008D0DB1">
      <w:pPr>
        <w:pStyle w:val="SingleTxtGA"/>
        <w:rPr>
          <w:rtl/>
        </w:rPr>
      </w:pPr>
      <w:r w:rsidRPr="008D0DB1">
        <w:rPr>
          <w:rFonts w:hint="cs"/>
          <w:rtl/>
        </w:rPr>
        <w:t>404-</w:t>
      </w:r>
      <w:r w:rsidRPr="008D0DB1">
        <w:rPr>
          <w:rFonts w:hint="cs"/>
          <w:rtl/>
        </w:rPr>
        <w:tab/>
      </w:r>
      <w:r w:rsidRPr="008D0DB1">
        <w:rPr>
          <w:rtl/>
        </w:rPr>
        <w:t xml:space="preserve">ويكمن الفرق الأساسي بين هذين النوعين من الهيئات في أن فروع العدالة ليس لها وضع قانوني وقد تنشأ بمبادرة صرفة من رؤساء الهيئات القضائية والمنتخبين المحليين، في حين أن دُور العدالة والقانون منصوص عليها في قانون التنظيم القضائي وتُنشأ بموجب قرار </w:t>
      </w:r>
      <w:r w:rsidRPr="008D0DB1">
        <w:rPr>
          <w:rFonts w:hint="cs"/>
          <w:rtl/>
        </w:rPr>
        <w:t xml:space="preserve">يصدره </w:t>
      </w:r>
      <w:r w:rsidRPr="008D0DB1">
        <w:rPr>
          <w:rtl/>
        </w:rPr>
        <w:t>وزير العدل</w:t>
      </w:r>
      <w:r w:rsidRPr="008D0DB1">
        <w:rPr>
          <w:rFonts w:hint="cs"/>
          <w:rtl/>
        </w:rPr>
        <w:t xml:space="preserve">. </w:t>
      </w:r>
      <w:r w:rsidRPr="008D0DB1">
        <w:rPr>
          <w:rtl/>
        </w:rPr>
        <w:t>و</w:t>
      </w:r>
      <w:r w:rsidRPr="008D0DB1">
        <w:rPr>
          <w:rFonts w:hint="cs"/>
          <w:rtl/>
        </w:rPr>
        <w:t xml:space="preserve">رغم </w:t>
      </w:r>
      <w:r w:rsidRPr="008D0DB1">
        <w:rPr>
          <w:rtl/>
        </w:rPr>
        <w:t xml:space="preserve">ذلك، </w:t>
      </w:r>
      <w:r w:rsidRPr="008D0DB1">
        <w:rPr>
          <w:rFonts w:hint="cs"/>
          <w:rtl/>
        </w:rPr>
        <w:t xml:space="preserve">تخضع هذه الهيئات بنوعيها </w:t>
      </w:r>
      <w:r w:rsidRPr="008D0DB1">
        <w:rPr>
          <w:rtl/>
        </w:rPr>
        <w:t xml:space="preserve">لسلطة المدعي العام للجمهورية ورئيس محكمة الدرجة العليا </w:t>
      </w:r>
      <w:r w:rsidRPr="008D0DB1">
        <w:rPr>
          <w:rFonts w:hint="cs"/>
          <w:rtl/>
        </w:rPr>
        <w:t xml:space="preserve">التي تشملها </w:t>
      </w:r>
      <w:r w:rsidRPr="008D0DB1">
        <w:rPr>
          <w:rtl/>
        </w:rPr>
        <w:t xml:space="preserve">دائرة </w:t>
      </w:r>
      <w:r w:rsidRPr="008D0DB1">
        <w:rPr>
          <w:rFonts w:hint="cs"/>
          <w:rtl/>
        </w:rPr>
        <w:t xml:space="preserve">نفوذها. </w:t>
      </w:r>
      <w:r w:rsidRPr="008D0DB1">
        <w:rPr>
          <w:rtl/>
        </w:rPr>
        <w:t>وتعمل</w:t>
      </w:r>
      <w:r w:rsidRPr="008D0DB1">
        <w:rPr>
          <w:rFonts w:hint="cs"/>
          <w:rtl/>
        </w:rPr>
        <w:t xml:space="preserve"> هذه الهيئات</w:t>
      </w:r>
      <w:r w:rsidRPr="008D0DB1">
        <w:rPr>
          <w:rtl/>
        </w:rPr>
        <w:t xml:space="preserve"> على أساس الشراكة بين القضاة والمنتخبين وأفراد الشرطة والجمعيات </w:t>
      </w:r>
      <w:r w:rsidRPr="008D0DB1">
        <w:rPr>
          <w:rFonts w:hint="cs"/>
          <w:rtl/>
        </w:rPr>
        <w:t xml:space="preserve">والأخصائيين الاجتماعيين. </w:t>
      </w:r>
      <w:r w:rsidRPr="008D0DB1">
        <w:rPr>
          <w:rtl/>
        </w:rPr>
        <w:t xml:space="preserve">وتكفل وجود قضاء القرب وتساهم في منع الجريمة، وفي مساعدة الضحايا، والوصول إلى القضاء (المادة </w:t>
      </w:r>
      <w:r w:rsidRPr="008D0DB1">
        <w:rPr>
          <w:szCs w:val="36"/>
        </w:rPr>
        <w:t>L 7-12-1-1</w:t>
      </w:r>
      <w:r w:rsidRPr="008D0DB1">
        <w:rPr>
          <w:szCs w:val="36"/>
          <w:rtl/>
        </w:rPr>
        <w:t xml:space="preserve"> </w:t>
      </w:r>
      <w:r w:rsidRPr="008D0DB1">
        <w:rPr>
          <w:rtl/>
        </w:rPr>
        <w:t>من قانون التنظيم القضائي)</w:t>
      </w:r>
      <w:r w:rsidRPr="008D0DB1">
        <w:rPr>
          <w:rFonts w:hint="cs"/>
          <w:rtl/>
        </w:rPr>
        <w:t>.</w:t>
      </w:r>
    </w:p>
    <w:p w:rsidR="00944A3C" w:rsidRPr="008D0DB1" w:rsidRDefault="00944A3C" w:rsidP="008D0DB1">
      <w:pPr>
        <w:pStyle w:val="SingleTxtGA"/>
        <w:rPr>
          <w:rtl/>
        </w:rPr>
      </w:pPr>
      <w:r w:rsidRPr="008D0DB1">
        <w:rPr>
          <w:rFonts w:hint="cs"/>
          <w:rtl/>
        </w:rPr>
        <w:t>405-</w:t>
      </w:r>
      <w:r w:rsidRPr="008D0DB1">
        <w:rPr>
          <w:rFonts w:hint="cs"/>
          <w:rtl/>
        </w:rPr>
        <w:tab/>
        <w:t>و</w:t>
      </w:r>
      <w:r w:rsidRPr="008D0DB1">
        <w:rPr>
          <w:rtl/>
        </w:rPr>
        <w:t xml:space="preserve">تتمثل إحدى مهامها </w:t>
      </w:r>
      <w:r w:rsidRPr="008D0DB1">
        <w:rPr>
          <w:rFonts w:hint="cs"/>
          <w:rtl/>
        </w:rPr>
        <w:t xml:space="preserve">بالتالي </w:t>
      </w:r>
      <w:r w:rsidRPr="008D0DB1">
        <w:rPr>
          <w:rtl/>
        </w:rPr>
        <w:t xml:space="preserve">في ضمان خدمة الاستماع للضحايا، وتقديم الدعم لهم خلال الإجراءات، وعند الاقتضاء، </w:t>
      </w:r>
      <w:r w:rsidRPr="008D0DB1">
        <w:rPr>
          <w:rFonts w:hint="cs"/>
          <w:rtl/>
        </w:rPr>
        <w:t xml:space="preserve">توفير </w:t>
      </w:r>
      <w:r w:rsidRPr="008D0DB1">
        <w:rPr>
          <w:rtl/>
        </w:rPr>
        <w:t>الدعم النفسي</w:t>
      </w:r>
      <w:r w:rsidRPr="008D0DB1">
        <w:rPr>
          <w:rFonts w:hint="cs"/>
          <w:rtl/>
        </w:rPr>
        <w:t xml:space="preserve">. </w:t>
      </w:r>
      <w:r w:rsidRPr="008D0DB1">
        <w:rPr>
          <w:rtl/>
        </w:rPr>
        <w:t xml:space="preserve">ويقدم </w:t>
      </w:r>
      <w:r w:rsidRPr="008D0DB1">
        <w:rPr>
          <w:rFonts w:hint="cs"/>
          <w:rtl/>
        </w:rPr>
        <w:t xml:space="preserve">فيها </w:t>
      </w:r>
      <w:r w:rsidRPr="008D0DB1">
        <w:rPr>
          <w:rtl/>
        </w:rPr>
        <w:t>المعلومات والمشورة القانونية محامون وجمعيات في إطار نظام للديمومة المجانية</w:t>
      </w:r>
      <w:r w:rsidRPr="008D0DB1">
        <w:rPr>
          <w:rStyle w:val="EndnoteReference"/>
          <w:rtl/>
        </w:rPr>
        <w:t>(</w:t>
      </w:r>
      <w:r w:rsidRPr="008D0DB1">
        <w:rPr>
          <w:rStyle w:val="EndnoteReference"/>
          <w:rtl/>
        </w:rPr>
        <w:endnoteReference w:id="221"/>
      </w:r>
      <w:r w:rsidRPr="008D0DB1">
        <w:rPr>
          <w:rStyle w:val="EndnoteReference"/>
          <w:rtl/>
        </w:rPr>
        <w:t>)</w:t>
      </w:r>
      <w:r w:rsidRPr="008D0DB1">
        <w:rPr>
          <w:rFonts w:hint="cs"/>
          <w:rtl/>
        </w:rPr>
        <w:t>.</w:t>
      </w:r>
    </w:p>
    <w:p w:rsidR="00944A3C" w:rsidRPr="008D0DB1" w:rsidRDefault="00944A3C" w:rsidP="005C0E11">
      <w:pPr>
        <w:pStyle w:val="H23GA"/>
        <w:rPr>
          <w:rtl/>
        </w:rPr>
      </w:pPr>
      <w:r w:rsidRPr="008D0DB1">
        <w:rPr>
          <w:rtl/>
        </w:rPr>
        <w:tab/>
        <w:t>(ج)</w:t>
      </w:r>
      <w:r w:rsidRPr="008D0DB1">
        <w:rPr>
          <w:rtl/>
        </w:rPr>
        <w:tab/>
        <w:t>مراكز ووحدات الوصول إلى القضاء</w:t>
      </w:r>
    </w:p>
    <w:p w:rsidR="00944A3C" w:rsidRPr="008D0DB1" w:rsidRDefault="00944A3C" w:rsidP="008D0DB1">
      <w:pPr>
        <w:pStyle w:val="SingleTxtGA"/>
        <w:rPr>
          <w:rtl/>
        </w:rPr>
      </w:pPr>
      <w:r w:rsidRPr="008D0DB1">
        <w:rPr>
          <w:rFonts w:hint="cs"/>
          <w:rtl/>
        </w:rPr>
        <w:t>406-</w:t>
      </w:r>
      <w:r w:rsidRPr="008D0DB1">
        <w:rPr>
          <w:rFonts w:hint="cs"/>
          <w:rtl/>
        </w:rPr>
        <w:tab/>
      </w:r>
      <w:r w:rsidRPr="008D0DB1">
        <w:rPr>
          <w:rtl/>
        </w:rPr>
        <w:t>هي مرافق استقبال، دائمة أو غير دائمة، تقدم خدمات مجانية مع التكتم على الهوية</w:t>
      </w:r>
      <w:r w:rsidRPr="008D0DB1">
        <w:rPr>
          <w:rFonts w:hint="cs"/>
          <w:rtl/>
        </w:rPr>
        <w:t>،</w:t>
      </w:r>
      <w:r w:rsidRPr="008D0DB1">
        <w:rPr>
          <w:rtl/>
        </w:rPr>
        <w:t xml:space="preserve"> توجد عادة داخل الهياكل المؤسسية والجمعيات</w:t>
      </w:r>
      <w:r w:rsidRPr="008D0DB1">
        <w:rPr>
          <w:rFonts w:hint="cs"/>
          <w:rtl/>
        </w:rPr>
        <w:t xml:space="preserve">. </w:t>
      </w:r>
      <w:r w:rsidRPr="008D0DB1">
        <w:rPr>
          <w:rtl/>
        </w:rPr>
        <w:t>وتكفل تقديم المعلومات للأشخاص الذين يواجهون مشاكل قانونية وإدارية عن حقوق</w:t>
      </w:r>
      <w:r w:rsidRPr="008D0DB1">
        <w:rPr>
          <w:rFonts w:hint="cs"/>
          <w:rtl/>
        </w:rPr>
        <w:t>هم</w:t>
      </w:r>
      <w:r w:rsidRPr="008D0DB1">
        <w:rPr>
          <w:rtl/>
        </w:rPr>
        <w:t xml:space="preserve"> وواجبات</w:t>
      </w:r>
      <w:r w:rsidRPr="008D0DB1">
        <w:rPr>
          <w:rFonts w:hint="cs"/>
          <w:rtl/>
        </w:rPr>
        <w:t>هم</w:t>
      </w:r>
      <w:r w:rsidRPr="008D0DB1">
        <w:rPr>
          <w:rtl/>
        </w:rPr>
        <w:t xml:space="preserve"> (الأسرة، والعمل، والسكن، والشركات، والقانون الجنائي، وقانون الأجانب)</w:t>
      </w:r>
      <w:r w:rsidRPr="008D0DB1">
        <w:rPr>
          <w:rFonts w:hint="cs"/>
          <w:rtl/>
        </w:rPr>
        <w:t xml:space="preserve">. </w:t>
      </w:r>
      <w:r w:rsidRPr="008D0DB1">
        <w:rPr>
          <w:rtl/>
        </w:rPr>
        <w:t xml:space="preserve">ويقدم هذه المعلومات خبراءُ في القانون من القطاع </w:t>
      </w:r>
      <w:r w:rsidRPr="008D0DB1">
        <w:rPr>
          <w:rFonts w:hint="cs"/>
          <w:rtl/>
        </w:rPr>
        <w:t xml:space="preserve">الجمعوي </w:t>
      </w:r>
      <w:r w:rsidRPr="008D0DB1">
        <w:rPr>
          <w:rtl/>
        </w:rPr>
        <w:t>ومزاولو</w:t>
      </w:r>
      <w:r w:rsidRPr="008D0DB1">
        <w:rPr>
          <w:rFonts w:hint="cs"/>
          <w:rtl/>
        </w:rPr>
        <w:t>ن</w:t>
      </w:r>
      <w:r w:rsidRPr="008D0DB1">
        <w:rPr>
          <w:rtl/>
        </w:rPr>
        <w:t xml:space="preserve"> </w:t>
      </w:r>
      <w:r w:rsidRPr="008D0DB1">
        <w:rPr>
          <w:rFonts w:hint="cs"/>
          <w:rtl/>
        </w:rPr>
        <w:t>ل</w:t>
      </w:r>
      <w:r w:rsidRPr="008D0DB1">
        <w:rPr>
          <w:rtl/>
        </w:rPr>
        <w:t xml:space="preserve">لمهن القانونية (محامون، وسعاة </w:t>
      </w:r>
      <w:r w:rsidRPr="008D0DB1">
        <w:rPr>
          <w:rFonts w:hint="cs"/>
          <w:rtl/>
        </w:rPr>
        <w:t>ل</w:t>
      </w:r>
      <w:r w:rsidRPr="008D0DB1">
        <w:rPr>
          <w:rtl/>
        </w:rPr>
        <w:t xml:space="preserve">لمحاكم، وموثقون، </w:t>
      </w:r>
      <w:r w:rsidRPr="008D0DB1">
        <w:rPr>
          <w:rFonts w:hint="cs"/>
          <w:rtl/>
        </w:rPr>
        <w:t xml:space="preserve">ومتخصصون في </w:t>
      </w:r>
      <w:r w:rsidRPr="008D0DB1">
        <w:rPr>
          <w:rtl/>
        </w:rPr>
        <w:t>القانون، وموف</w:t>
      </w:r>
      <w:r w:rsidRPr="008D0DB1">
        <w:rPr>
          <w:rFonts w:hint="cs"/>
          <w:rtl/>
        </w:rPr>
        <w:t>ِّ</w:t>
      </w:r>
      <w:r w:rsidRPr="008D0DB1">
        <w:rPr>
          <w:rtl/>
        </w:rPr>
        <w:t>قون، ومندوبو</w:t>
      </w:r>
      <w:r w:rsidRPr="008D0DB1">
        <w:rPr>
          <w:rFonts w:hint="cs"/>
          <w:rtl/>
        </w:rPr>
        <w:t>ن</w:t>
      </w:r>
      <w:r w:rsidRPr="008D0DB1">
        <w:rPr>
          <w:rtl/>
        </w:rPr>
        <w:t xml:space="preserve"> </w:t>
      </w:r>
      <w:r w:rsidRPr="008D0DB1">
        <w:rPr>
          <w:rFonts w:hint="cs"/>
          <w:rtl/>
        </w:rPr>
        <w:t>ل</w:t>
      </w:r>
      <w:r w:rsidRPr="008D0DB1">
        <w:rPr>
          <w:rtl/>
        </w:rPr>
        <w:t>لمدافع عن الحقوق، وغيرهم)</w:t>
      </w:r>
      <w:r w:rsidRPr="008D0DB1">
        <w:rPr>
          <w:rFonts w:hint="cs"/>
          <w:rtl/>
        </w:rPr>
        <w:t xml:space="preserve">. </w:t>
      </w:r>
      <w:r w:rsidRPr="008D0DB1">
        <w:rPr>
          <w:rtl/>
        </w:rPr>
        <w:t>و</w:t>
      </w:r>
      <w:r w:rsidRPr="008D0DB1">
        <w:rPr>
          <w:rFonts w:hint="cs"/>
          <w:rtl/>
        </w:rPr>
        <w:t xml:space="preserve">يقدم </w:t>
      </w:r>
      <w:r w:rsidRPr="008D0DB1">
        <w:rPr>
          <w:rtl/>
        </w:rPr>
        <w:t xml:space="preserve">هؤلاء الموظفون </w:t>
      </w:r>
      <w:r w:rsidRPr="008D0DB1">
        <w:rPr>
          <w:rFonts w:hint="cs"/>
          <w:rtl/>
        </w:rPr>
        <w:t xml:space="preserve">خدماتهم </w:t>
      </w:r>
      <w:r w:rsidRPr="008D0DB1">
        <w:rPr>
          <w:rtl/>
        </w:rPr>
        <w:lastRenderedPageBreak/>
        <w:t>أيض</w:t>
      </w:r>
      <w:r w:rsidR="00443A06">
        <w:rPr>
          <w:rtl/>
        </w:rPr>
        <w:t xml:space="preserve">اً </w:t>
      </w:r>
      <w:r w:rsidRPr="008D0DB1">
        <w:rPr>
          <w:rtl/>
        </w:rPr>
        <w:t>في مختلف المؤسسات التي تستقبل الأشخاص الذين يواجهون صعوبات (البعثات المحلية، والمراكز الاجتماعية، ومراكز الإيواء، وما إلى ذلك)</w:t>
      </w:r>
      <w:r w:rsidRPr="008D0DB1">
        <w:rPr>
          <w:rFonts w:hint="cs"/>
          <w:rtl/>
        </w:rPr>
        <w:t>.</w:t>
      </w:r>
    </w:p>
    <w:p w:rsidR="00944A3C" w:rsidRPr="008D0DB1" w:rsidRDefault="00944A3C" w:rsidP="005C0E11">
      <w:pPr>
        <w:pStyle w:val="H1GA"/>
        <w:rPr>
          <w:rtl/>
        </w:rPr>
      </w:pPr>
      <w:r w:rsidRPr="008D0DB1">
        <w:rPr>
          <w:rFonts w:hint="cs"/>
          <w:rtl/>
        </w:rPr>
        <w:tab/>
      </w:r>
      <w:bookmarkStart w:id="362" w:name="_Toc508623294"/>
      <w:r w:rsidRPr="008D0DB1">
        <w:rPr>
          <w:rFonts w:hint="cs"/>
          <w:rtl/>
        </w:rPr>
        <w:t>دال</w:t>
      </w:r>
      <w:r w:rsidRPr="008D0DB1">
        <w:rPr>
          <w:rtl/>
        </w:rPr>
        <w:t>-</w:t>
      </w:r>
      <w:r w:rsidRPr="008D0DB1">
        <w:rPr>
          <w:rtl/>
        </w:rPr>
        <w:tab/>
        <w:t>تثقيف الشباب في مجال حقوق الإنسان</w:t>
      </w:r>
      <w:bookmarkEnd w:id="362"/>
    </w:p>
    <w:p w:rsidR="00944A3C" w:rsidRPr="008D0DB1" w:rsidRDefault="00944A3C" w:rsidP="008D0DB1">
      <w:pPr>
        <w:pStyle w:val="SingleTxtGA"/>
        <w:rPr>
          <w:rtl/>
        </w:rPr>
      </w:pPr>
      <w:r w:rsidRPr="008D0DB1">
        <w:rPr>
          <w:rFonts w:hint="cs"/>
          <w:rtl/>
        </w:rPr>
        <w:t>407-</w:t>
      </w:r>
      <w:r w:rsidRPr="008D0DB1">
        <w:rPr>
          <w:rFonts w:hint="cs"/>
          <w:rtl/>
        </w:rPr>
        <w:tab/>
      </w:r>
      <w:r w:rsidRPr="008D0DB1">
        <w:rPr>
          <w:rtl/>
        </w:rPr>
        <w:t xml:space="preserve">إن التثقيف في مجال حقوق الإنسان مسألة </w:t>
      </w:r>
      <w:r w:rsidRPr="008D0DB1">
        <w:rPr>
          <w:rFonts w:hint="cs"/>
          <w:rtl/>
        </w:rPr>
        <w:t xml:space="preserve">حاسمة </w:t>
      </w:r>
      <w:r w:rsidRPr="008D0DB1">
        <w:rPr>
          <w:rtl/>
        </w:rPr>
        <w:t>لإعداد مواطنين واعين بحقوقهم</w:t>
      </w:r>
      <w:r w:rsidRPr="008D0DB1">
        <w:rPr>
          <w:rFonts w:hint="cs"/>
          <w:rtl/>
        </w:rPr>
        <w:t xml:space="preserve">. </w:t>
      </w:r>
      <w:r w:rsidRPr="008D0DB1">
        <w:rPr>
          <w:rtl/>
        </w:rPr>
        <w:t>ويجري ذلك من خلال برامج تعليمية وأنشطة تثقيفية، بالاستناد إلى الإعلان العالمي لحقوق الإنسان والاتفاقيات الرئيسية</w:t>
      </w:r>
      <w:r w:rsidRPr="008D0DB1">
        <w:rPr>
          <w:rFonts w:hint="cs"/>
          <w:rtl/>
        </w:rPr>
        <w:t>.</w:t>
      </w:r>
    </w:p>
    <w:p w:rsidR="00944A3C" w:rsidRPr="008D0DB1" w:rsidRDefault="00944A3C" w:rsidP="008D0DB1">
      <w:pPr>
        <w:pStyle w:val="SingleTxtGA"/>
        <w:rPr>
          <w:rtl/>
        </w:rPr>
      </w:pPr>
      <w:r w:rsidRPr="008D0DB1">
        <w:rPr>
          <w:rFonts w:hint="cs"/>
          <w:rtl/>
        </w:rPr>
        <w:t>408-</w:t>
      </w:r>
      <w:r w:rsidRPr="008D0DB1">
        <w:rPr>
          <w:rFonts w:hint="cs"/>
          <w:rtl/>
        </w:rPr>
        <w:tab/>
      </w:r>
      <w:r w:rsidRPr="008D0DB1">
        <w:rPr>
          <w:rtl/>
        </w:rPr>
        <w:t xml:space="preserve">وتراعي المناهج الدراسية الجديدة مسائل </w:t>
      </w:r>
      <w:r w:rsidRPr="008D0DB1">
        <w:rPr>
          <w:rFonts w:hint="cs"/>
          <w:rtl/>
        </w:rPr>
        <w:t>ذات أهمية كبرى بالنسبة ل</w:t>
      </w:r>
      <w:r w:rsidRPr="008D0DB1">
        <w:rPr>
          <w:rtl/>
        </w:rPr>
        <w:t xml:space="preserve">مجتمعنا، وهي: العنصرية، ومعاداة السامية، وكره الأجانب، </w:t>
      </w:r>
      <w:r w:rsidRPr="008D0DB1">
        <w:rPr>
          <w:rFonts w:hint="cs"/>
          <w:rtl/>
        </w:rPr>
        <w:t>والتدفقات</w:t>
      </w:r>
      <w:r w:rsidRPr="008D0DB1">
        <w:rPr>
          <w:rtl/>
        </w:rPr>
        <w:t xml:space="preserve"> المتتالية للهجرة، والعلاقة مع الآخر، وفهم التنوع في العالم</w:t>
      </w:r>
      <w:r w:rsidRPr="008D0DB1">
        <w:rPr>
          <w:rFonts w:hint="cs"/>
          <w:rtl/>
        </w:rPr>
        <w:t>.</w:t>
      </w:r>
    </w:p>
    <w:p w:rsidR="00944A3C" w:rsidRPr="008D0DB1" w:rsidRDefault="00944A3C" w:rsidP="008D0DB1">
      <w:pPr>
        <w:pStyle w:val="SingleTxtGA"/>
        <w:rPr>
          <w:rtl/>
        </w:rPr>
      </w:pPr>
      <w:r w:rsidRPr="008D0DB1">
        <w:rPr>
          <w:rFonts w:hint="cs"/>
          <w:rtl/>
        </w:rPr>
        <w:t>409-</w:t>
      </w:r>
      <w:r w:rsidRPr="008D0DB1">
        <w:rPr>
          <w:rFonts w:hint="cs"/>
          <w:rtl/>
        </w:rPr>
        <w:tab/>
      </w:r>
      <w:r w:rsidRPr="008D0DB1">
        <w:rPr>
          <w:rtl/>
        </w:rPr>
        <w:t xml:space="preserve">وبالإضافة إلى ذلك، يوجد برنامج للتربية المدنية في المدارس الابتدائية والإعدادية وبرنامج للتربية المدنية والقانونية والاجتماعية في المدارس الثانوية، </w:t>
      </w:r>
      <w:r w:rsidRPr="008D0DB1">
        <w:rPr>
          <w:rFonts w:hint="cs"/>
          <w:rtl/>
        </w:rPr>
        <w:t>ي</w:t>
      </w:r>
      <w:r w:rsidRPr="008D0DB1">
        <w:rPr>
          <w:rtl/>
        </w:rPr>
        <w:t>كر</w:t>
      </w:r>
      <w:r w:rsidRPr="008D0DB1">
        <w:rPr>
          <w:rFonts w:hint="cs"/>
          <w:rtl/>
        </w:rPr>
        <w:t>َّ</w:t>
      </w:r>
      <w:r w:rsidRPr="008D0DB1">
        <w:rPr>
          <w:rtl/>
        </w:rPr>
        <w:t>س</w:t>
      </w:r>
      <w:r w:rsidRPr="008D0DB1">
        <w:rPr>
          <w:rFonts w:hint="cs"/>
          <w:rtl/>
        </w:rPr>
        <w:t>ان</w:t>
      </w:r>
      <w:r w:rsidRPr="008D0DB1">
        <w:rPr>
          <w:rtl/>
        </w:rPr>
        <w:t xml:space="preserve"> </w:t>
      </w:r>
      <w:r w:rsidRPr="008D0DB1">
        <w:rPr>
          <w:rFonts w:hint="cs"/>
          <w:rtl/>
        </w:rPr>
        <w:t>تحديد</w:t>
      </w:r>
      <w:r w:rsidR="00443A06">
        <w:rPr>
          <w:rFonts w:hint="cs"/>
          <w:rtl/>
        </w:rPr>
        <w:t xml:space="preserve">اً </w:t>
      </w:r>
      <w:r w:rsidRPr="008D0DB1">
        <w:rPr>
          <w:rtl/>
        </w:rPr>
        <w:t>لتدريس الحقوق المدنية</w:t>
      </w:r>
      <w:r w:rsidRPr="008D0DB1">
        <w:rPr>
          <w:rFonts w:hint="cs"/>
          <w:rtl/>
        </w:rPr>
        <w:t xml:space="preserve">. </w:t>
      </w:r>
    </w:p>
    <w:p w:rsidR="00944A3C" w:rsidRPr="005C0E11" w:rsidRDefault="00944A3C" w:rsidP="008D0DB1">
      <w:pPr>
        <w:pStyle w:val="SingleTxtGA"/>
        <w:rPr>
          <w:spacing w:val="-2"/>
          <w:rtl/>
        </w:rPr>
      </w:pPr>
      <w:r w:rsidRPr="005C0E11">
        <w:rPr>
          <w:rFonts w:hint="cs"/>
          <w:spacing w:val="-2"/>
          <w:rtl/>
        </w:rPr>
        <w:t>410-</w:t>
      </w:r>
      <w:r w:rsidRPr="005C0E11">
        <w:rPr>
          <w:rFonts w:hint="cs"/>
          <w:spacing w:val="-2"/>
          <w:rtl/>
        </w:rPr>
        <w:tab/>
      </w:r>
      <w:r w:rsidRPr="005C0E11">
        <w:rPr>
          <w:spacing w:val="-2"/>
          <w:rtl/>
        </w:rPr>
        <w:t xml:space="preserve">ومنذ عام 1988، </w:t>
      </w:r>
      <w:r w:rsidRPr="005C0E11">
        <w:rPr>
          <w:rFonts w:hint="cs"/>
          <w:spacing w:val="-2"/>
          <w:rtl/>
        </w:rPr>
        <w:t xml:space="preserve">تكافئ </w:t>
      </w:r>
      <w:r w:rsidRPr="005C0E11">
        <w:rPr>
          <w:spacing w:val="-2"/>
          <w:rtl/>
        </w:rPr>
        <w:t xml:space="preserve">جائزة رينيه كاسان لحقوق الإنسان، التي تشرف على تنظيمها اللجنة الوطنية الاستشارية لحقوق الإنسان والمديرية العامة للتعليم المدرسي، أفضل الأعمال التي </w:t>
      </w:r>
      <w:r w:rsidRPr="005C0E11">
        <w:rPr>
          <w:rFonts w:hint="cs"/>
          <w:spacing w:val="-2"/>
          <w:rtl/>
        </w:rPr>
        <w:t>ينجزها</w:t>
      </w:r>
      <w:r w:rsidRPr="005C0E11">
        <w:rPr>
          <w:spacing w:val="-2"/>
          <w:rtl/>
        </w:rPr>
        <w:t xml:space="preserve"> تلاميذ المدارس الإعدادية </w:t>
      </w:r>
      <w:r w:rsidRPr="005C0E11">
        <w:rPr>
          <w:rFonts w:hint="cs"/>
          <w:spacing w:val="-2"/>
          <w:rtl/>
        </w:rPr>
        <w:t>و</w:t>
      </w:r>
      <w:r w:rsidRPr="005C0E11">
        <w:rPr>
          <w:spacing w:val="-2"/>
          <w:rtl/>
        </w:rPr>
        <w:t xml:space="preserve">الثانوية </w:t>
      </w:r>
      <w:r w:rsidRPr="005C0E11">
        <w:rPr>
          <w:rFonts w:hint="cs"/>
          <w:spacing w:val="-2"/>
          <w:rtl/>
        </w:rPr>
        <w:t>و</w:t>
      </w:r>
      <w:r w:rsidRPr="005C0E11">
        <w:rPr>
          <w:spacing w:val="-2"/>
          <w:rtl/>
        </w:rPr>
        <w:t>الابتدائية في مجال حقوق الإنسان</w:t>
      </w:r>
      <w:r w:rsidRPr="005C0E11">
        <w:rPr>
          <w:rFonts w:hint="cs"/>
          <w:spacing w:val="-2"/>
          <w:rtl/>
        </w:rPr>
        <w:t xml:space="preserve">. وبرسم الموسم </w:t>
      </w:r>
      <w:r w:rsidRPr="005C0E11">
        <w:rPr>
          <w:spacing w:val="-2"/>
          <w:rtl/>
        </w:rPr>
        <w:t xml:space="preserve">الدراسي 2014-2015، </w:t>
      </w:r>
      <w:r w:rsidRPr="005C0E11">
        <w:rPr>
          <w:rFonts w:hint="cs"/>
          <w:spacing w:val="-2"/>
          <w:rtl/>
        </w:rPr>
        <w:t xml:space="preserve">كافأت </w:t>
      </w:r>
      <w:r w:rsidRPr="005C0E11">
        <w:rPr>
          <w:spacing w:val="-2"/>
          <w:rtl/>
        </w:rPr>
        <w:t xml:space="preserve">الجوائز </w:t>
      </w:r>
      <w:r w:rsidRPr="005C0E11">
        <w:rPr>
          <w:rFonts w:hint="cs"/>
          <w:spacing w:val="-2"/>
          <w:rtl/>
        </w:rPr>
        <w:t xml:space="preserve">الممنوحة </w:t>
      </w:r>
      <w:r w:rsidRPr="005C0E11">
        <w:rPr>
          <w:spacing w:val="-2"/>
          <w:rtl/>
        </w:rPr>
        <w:t>أعمال</w:t>
      </w:r>
      <w:r w:rsidR="00443A06">
        <w:rPr>
          <w:rFonts w:hint="cs"/>
          <w:spacing w:val="-2"/>
          <w:rtl/>
        </w:rPr>
        <w:t xml:space="preserve">اً </w:t>
      </w:r>
      <w:r w:rsidRPr="005C0E11">
        <w:rPr>
          <w:spacing w:val="-2"/>
          <w:rtl/>
        </w:rPr>
        <w:t>متعلقة بالحرية والمساواة</w:t>
      </w:r>
      <w:r w:rsidRPr="005C0E11">
        <w:rPr>
          <w:rFonts w:hint="cs"/>
          <w:spacing w:val="-2"/>
          <w:rtl/>
        </w:rPr>
        <w:t>.</w:t>
      </w:r>
    </w:p>
    <w:p w:rsidR="00944A3C" w:rsidRPr="008D0DB1" w:rsidRDefault="00944A3C" w:rsidP="005C0E11">
      <w:pPr>
        <w:pStyle w:val="SingleTxtGA"/>
        <w:rPr>
          <w:rtl/>
        </w:rPr>
      </w:pPr>
      <w:r w:rsidRPr="008D0DB1">
        <w:rPr>
          <w:rFonts w:hint="cs"/>
          <w:rtl/>
        </w:rPr>
        <w:t>411-</w:t>
      </w:r>
      <w:r w:rsidRPr="008D0DB1">
        <w:rPr>
          <w:rFonts w:hint="cs"/>
          <w:rtl/>
        </w:rPr>
        <w:tab/>
      </w:r>
      <w:r w:rsidRPr="008D0DB1">
        <w:rPr>
          <w:rtl/>
        </w:rPr>
        <w:t>وأخير</w:t>
      </w:r>
      <w:r w:rsidR="0031739C">
        <w:rPr>
          <w:rtl/>
        </w:rPr>
        <w:t>اً،</w:t>
      </w:r>
      <w:r w:rsidRPr="008D0DB1">
        <w:rPr>
          <w:rtl/>
        </w:rPr>
        <w:t xml:space="preserve"> أبرمت اللجنة الوطنية لتكنولوجيا المعلومات والحريات اتفاق شراكة مع وزارة التعليم الوطني لتوعية </w:t>
      </w:r>
      <w:r w:rsidRPr="008D0DB1">
        <w:rPr>
          <w:rFonts w:hint="cs"/>
          <w:rtl/>
        </w:rPr>
        <w:t>ا</w:t>
      </w:r>
      <w:r w:rsidRPr="008D0DB1">
        <w:rPr>
          <w:rtl/>
        </w:rPr>
        <w:t xml:space="preserve">لتلاميذ والطلاب والمدرسين </w:t>
      </w:r>
      <w:r w:rsidRPr="008D0DB1">
        <w:rPr>
          <w:rFonts w:hint="cs"/>
          <w:rtl/>
        </w:rPr>
        <w:t>وتدريبهم فيما يتعلق ب</w:t>
      </w:r>
      <w:r w:rsidRPr="008D0DB1">
        <w:rPr>
          <w:rtl/>
        </w:rPr>
        <w:t>هذه المسائل و</w:t>
      </w:r>
      <w:r w:rsidRPr="008D0DB1">
        <w:rPr>
          <w:rFonts w:hint="cs"/>
          <w:rtl/>
        </w:rPr>
        <w:t>ب</w:t>
      </w:r>
      <w:r w:rsidRPr="008D0DB1">
        <w:rPr>
          <w:rtl/>
        </w:rPr>
        <w:t xml:space="preserve">استخدام التكنولوجيا الرقمية على نحو </w:t>
      </w:r>
      <w:r w:rsidRPr="008D0DB1">
        <w:rPr>
          <w:rFonts w:hint="cs"/>
          <w:rtl/>
        </w:rPr>
        <w:t>متسم بال</w:t>
      </w:r>
      <w:r w:rsidRPr="008D0DB1">
        <w:rPr>
          <w:rtl/>
        </w:rPr>
        <w:t>مسؤول</w:t>
      </w:r>
      <w:r w:rsidRPr="008D0DB1">
        <w:rPr>
          <w:rFonts w:hint="cs"/>
          <w:rtl/>
        </w:rPr>
        <w:t>ية</w:t>
      </w:r>
      <w:r w:rsidRPr="008D0DB1">
        <w:rPr>
          <w:rtl/>
        </w:rPr>
        <w:t xml:space="preserve"> </w:t>
      </w:r>
      <w:r w:rsidRPr="008D0DB1">
        <w:rPr>
          <w:rFonts w:hint="cs"/>
          <w:rtl/>
        </w:rPr>
        <w:t xml:space="preserve">وروح </w:t>
      </w:r>
      <w:r w:rsidRPr="008D0DB1">
        <w:rPr>
          <w:rtl/>
        </w:rPr>
        <w:t>المواطنة، وبخاصة فيما يتعلق بحماية البيانات</w:t>
      </w:r>
      <w:r w:rsidR="005C0E11">
        <w:rPr>
          <w:rFonts w:hint="cs"/>
          <w:rtl/>
        </w:rPr>
        <w:t> </w:t>
      </w:r>
      <w:r w:rsidRPr="008D0DB1">
        <w:rPr>
          <w:rtl/>
        </w:rPr>
        <w:t>الشخصية</w:t>
      </w:r>
      <w:r w:rsidRPr="008D0DB1">
        <w:rPr>
          <w:rFonts w:hint="cs"/>
          <w:rtl/>
        </w:rPr>
        <w:t>.</w:t>
      </w:r>
    </w:p>
    <w:p w:rsidR="00944A3C" w:rsidRPr="008D0DB1" w:rsidRDefault="00944A3C" w:rsidP="005C0E11">
      <w:pPr>
        <w:pStyle w:val="H1GA"/>
        <w:rPr>
          <w:rtl/>
        </w:rPr>
      </w:pPr>
      <w:r w:rsidRPr="008D0DB1">
        <w:rPr>
          <w:rFonts w:hint="cs"/>
          <w:rtl/>
        </w:rPr>
        <w:tab/>
      </w:r>
      <w:bookmarkStart w:id="363" w:name="_Toc508623295"/>
      <w:r w:rsidRPr="008D0DB1">
        <w:rPr>
          <w:rFonts w:hint="cs"/>
          <w:rtl/>
        </w:rPr>
        <w:t>هاء</w:t>
      </w:r>
      <w:r w:rsidRPr="008D0DB1">
        <w:rPr>
          <w:rtl/>
        </w:rPr>
        <w:t>-</w:t>
      </w:r>
      <w:r w:rsidRPr="008D0DB1">
        <w:rPr>
          <w:rtl/>
        </w:rPr>
        <w:tab/>
        <w:t xml:space="preserve">توفير التدريب في مجال حقوق الإنسان للموظفين </w:t>
      </w:r>
      <w:r w:rsidRPr="008D0DB1">
        <w:rPr>
          <w:rFonts w:hint="cs"/>
          <w:rtl/>
        </w:rPr>
        <w:t xml:space="preserve">العامين </w:t>
      </w:r>
      <w:r w:rsidRPr="008D0DB1">
        <w:rPr>
          <w:rtl/>
        </w:rPr>
        <w:t>وغيرهم من المهنيين</w:t>
      </w:r>
      <w:bookmarkEnd w:id="363"/>
    </w:p>
    <w:p w:rsidR="00944A3C" w:rsidRPr="008D0DB1" w:rsidRDefault="00944A3C" w:rsidP="00C8116A">
      <w:pPr>
        <w:pStyle w:val="H23GA"/>
        <w:rPr>
          <w:rtl/>
        </w:rPr>
      </w:pPr>
      <w:r w:rsidRPr="008D0DB1">
        <w:rPr>
          <w:rtl/>
        </w:rPr>
        <w:tab/>
        <w:t>1-</w:t>
      </w:r>
      <w:r w:rsidRPr="008D0DB1">
        <w:rPr>
          <w:rtl/>
        </w:rPr>
        <w:tab/>
        <w:t>تدريب المهنيين القانونيين</w:t>
      </w:r>
    </w:p>
    <w:p w:rsidR="00944A3C" w:rsidRPr="005C0E11" w:rsidRDefault="00944A3C" w:rsidP="008D0DB1">
      <w:pPr>
        <w:pStyle w:val="SingleTxtGA"/>
        <w:rPr>
          <w:spacing w:val="-2"/>
          <w:rtl/>
        </w:rPr>
      </w:pPr>
      <w:r w:rsidRPr="005C0E11">
        <w:rPr>
          <w:rFonts w:hint="cs"/>
          <w:spacing w:val="-2"/>
          <w:rtl/>
        </w:rPr>
        <w:t>412-</w:t>
      </w:r>
      <w:r w:rsidRPr="005C0E11">
        <w:rPr>
          <w:rFonts w:hint="cs"/>
          <w:spacing w:val="-2"/>
          <w:rtl/>
        </w:rPr>
        <w:tab/>
      </w:r>
      <w:r w:rsidRPr="005C0E11">
        <w:rPr>
          <w:spacing w:val="-2"/>
          <w:rtl/>
        </w:rPr>
        <w:t>معهد حقوق الإنسان التابع لنقابة المحامين في باريس جمعيةٌ أنشئت في عام 1979، من قِبل اليونسكو ونقابة المحامين في باريس</w:t>
      </w:r>
      <w:r w:rsidRPr="005C0E11">
        <w:rPr>
          <w:rFonts w:hint="cs"/>
          <w:spacing w:val="-2"/>
          <w:rtl/>
        </w:rPr>
        <w:t xml:space="preserve">. </w:t>
      </w:r>
      <w:r w:rsidRPr="005C0E11">
        <w:rPr>
          <w:spacing w:val="-2"/>
          <w:rtl/>
        </w:rPr>
        <w:t>و</w:t>
      </w:r>
      <w:r w:rsidRPr="005C0E11">
        <w:rPr>
          <w:rFonts w:hint="cs"/>
          <w:spacing w:val="-2"/>
          <w:rtl/>
        </w:rPr>
        <w:t>ت</w:t>
      </w:r>
      <w:r w:rsidRPr="005C0E11">
        <w:rPr>
          <w:spacing w:val="-2"/>
          <w:rtl/>
        </w:rPr>
        <w:t xml:space="preserve">تمثل المهمة الرئيسية لهذا المعهد في توفير التدريب لمزاولي المهن القانونية، ولا سيما المحامون والقضاة، في مجال القانون الدولي لحقوق الإنسان والإجراءات الدولية </w:t>
      </w:r>
      <w:r w:rsidRPr="005C0E11">
        <w:rPr>
          <w:rFonts w:hint="cs"/>
          <w:spacing w:val="-2"/>
          <w:rtl/>
        </w:rPr>
        <w:t>ل</w:t>
      </w:r>
      <w:r w:rsidRPr="005C0E11">
        <w:rPr>
          <w:spacing w:val="-2"/>
          <w:rtl/>
        </w:rPr>
        <w:t>حماية حقوق الإنسان</w:t>
      </w:r>
      <w:r w:rsidRPr="005C0E11">
        <w:rPr>
          <w:rFonts w:hint="cs"/>
          <w:spacing w:val="-2"/>
          <w:rtl/>
        </w:rPr>
        <w:t xml:space="preserve">. </w:t>
      </w:r>
      <w:r w:rsidRPr="005C0E11">
        <w:rPr>
          <w:spacing w:val="-2"/>
          <w:rtl/>
        </w:rPr>
        <w:t>ويقدَّم هذا التدريب في مقار نقابات</w:t>
      </w:r>
      <w:r w:rsidRPr="005C0E11">
        <w:rPr>
          <w:rFonts w:hint="cs"/>
          <w:spacing w:val="-2"/>
          <w:rtl/>
        </w:rPr>
        <w:t xml:space="preserve"> المحامين</w:t>
      </w:r>
      <w:r w:rsidRPr="005C0E11">
        <w:rPr>
          <w:spacing w:val="-2"/>
          <w:rtl/>
        </w:rPr>
        <w:t>، وفي مدارس تدريب المحامين، وفي إطار حلقات</w:t>
      </w:r>
      <w:r w:rsidRPr="005C0E11">
        <w:rPr>
          <w:rFonts w:hint="cs"/>
          <w:spacing w:val="-2"/>
          <w:rtl/>
        </w:rPr>
        <w:t>ٍ</w:t>
      </w:r>
      <w:r w:rsidRPr="005C0E11">
        <w:rPr>
          <w:spacing w:val="-2"/>
          <w:rtl/>
        </w:rPr>
        <w:t xml:space="preserve"> دراسية وندوات</w:t>
      </w:r>
      <w:r w:rsidRPr="005C0E11">
        <w:rPr>
          <w:rFonts w:hint="cs"/>
          <w:spacing w:val="-2"/>
          <w:rtl/>
        </w:rPr>
        <w:t>ٍ</w:t>
      </w:r>
      <w:r w:rsidRPr="005C0E11">
        <w:rPr>
          <w:spacing w:val="-2"/>
          <w:rtl/>
        </w:rPr>
        <w:t xml:space="preserve"> ومؤتمرات في فرنسا </w:t>
      </w:r>
      <w:r w:rsidRPr="005C0E11">
        <w:rPr>
          <w:rFonts w:hint="cs"/>
          <w:spacing w:val="-2"/>
          <w:rtl/>
        </w:rPr>
        <w:t>و</w:t>
      </w:r>
      <w:r w:rsidRPr="005C0E11">
        <w:rPr>
          <w:spacing w:val="-2"/>
          <w:rtl/>
        </w:rPr>
        <w:t>الخارج</w:t>
      </w:r>
      <w:r w:rsidRPr="005C0E11">
        <w:rPr>
          <w:rFonts w:hint="cs"/>
          <w:spacing w:val="-2"/>
          <w:rtl/>
        </w:rPr>
        <w:t xml:space="preserve">. </w:t>
      </w:r>
      <w:r w:rsidRPr="005C0E11">
        <w:rPr>
          <w:spacing w:val="-2"/>
          <w:rtl/>
        </w:rPr>
        <w:t xml:space="preserve">كما ينظم المعهد أنشطة في الجامعات، وفي المدرسة الوطنية للقضاء، ولفائدة نقابات </w:t>
      </w:r>
      <w:r w:rsidRPr="005C0E11">
        <w:rPr>
          <w:rFonts w:hint="cs"/>
          <w:spacing w:val="-2"/>
          <w:rtl/>
        </w:rPr>
        <w:t>أجنبية ل</w:t>
      </w:r>
      <w:r w:rsidRPr="005C0E11">
        <w:rPr>
          <w:spacing w:val="-2"/>
          <w:rtl/>
        </w:rPr>
        <w:t>لمحامين</w:t>
      </w:r>
      <w:r w:rsidRPr="005C0E11">
        <w:rPr>
          <w:rStyle w:val="EndnoteReference"/>
          <w:spacing w:val="-2"/>
          <w:rtl/>
        </w:rPr>
        <w:t>(</w:t>
      </w:r>
      <w:r w:rsidRPr="005C0E11">
        <w:rPr>
          <w:rStyle w:val="EndnoteReference"/>
          <w:spacing w:val="-2"/>
          <w:rtl/>
        </w:rPr>
        <w:endnoteReference w:id="222"/>
      </w:r>
      <w:r w:rsidRPr="005C0E11">
        <w:rPr>
          <w:rStyle w:val="EndnoteReference"/>
          <w:spacing w:val="-2"/>
          <w:rtl/>
        </w:rPr>
        <w:t>)</w:t>
      </w:r>
      <w:r w:rsidRPr="005C0E11">
        <w:rPr>
          <w:rFonts w:hint="cs"/>
          <w:spacing w:val="-2"/>
          <w:rtl/>
        </w:rPr>
        <w:t>.</w:t>
      </w:r>
    </w:p>
    <w:p w:rsidR="00944A3C" w:rsidRPr="008D0DB1" w:rsidRDefault="00944A3C" w:rsidP="008D0DB1">
      <w:pPr>
        <w:pStyle w:val="SingleTxtGA"/>
        <w:rPr>
          <w:rtl/>
        </w:rPr>
      </w:pPr>
      <w:r w:rsidRPr="008D0DB1">
        <w:rPr>
          <w:rFonts w:hint="cs"/>
          <w:rtl/>
        </w:rPr>
        <w:t>413-</w:t>
      </w:r>
      <w:r w:rsidRPr="008D0DB1">
        <w:rPr>
          <w:rFonts w:hint="cs"/>
          <w:rtl/>
        </w:rPr>
        <w:tab/>
      </w:r>
      <w:r w:rsidRPr="008D0DB1">
        <w:rPr>
          <w:rtl/>
        </w:rPr>
        <w:t>وعلاوة على ذلك، ينظم المعهد الدولي لحقوق الإنسان</w:t>
      </w:r>
      <w:r w:rsidRPr="008D0DB1">
        <w:rPr>
          <w:rFonts w:hint="cs"/>
          <w:rtl/>
        </w:rPr>
        <w:t>،</w:t>
      </w:r>
      <w:r w:rsidRPr="008D0DB1">
        <w:rPr>
          <w:rtl/>
        </w:rPr>
        <w:t xml:space="preserve"> بالاشتراك مع </w:t>
      </w:r>
      <w:r w:rsidRPr="008D0DB1">
        <w:rPr>
          <w:rFonts w:hint="cs"/>
          <w:rtl/>
        </w:rPr>
        <w:t xml:space="preserve">مختلف </w:t>
      </w:r>
      <w:r w:rsidRPr="008D0DB1">
        <w:rPr>
          <w:rtl/>
        </w:rPr>
        <w:t>نقابات المحامين ومدارس الإدارة</w:t>
      </w:r>
      <w:r w:rsidRPr="008D0DB1">
        <w:rPr>
          <w:rFonts w:hint="cs"/>
          <w:rtl/>
        </w:rPr>
        <w:t>،</w:t>
      </w:r>
      <w:r w:rsidRPr="008D0DB1">
        <w:rPr>
          <w:rtl/>
        </w:rPr>
        <w:t xml:space="preserve"> دورات</w:t>
      </w:r>
      <w:r w:rsidRPr="008D0DB1">
        <w:rPr>
          <w:rFonts w:hint="cs"/>
          <w:rtl/>
        </w:rPr>
        <w:t>ٍ</w:t>
      </w:r>
      <w:r w:rsidRPr="008D0DB1">
        <w:rPr>
          <w:rtl/>
        </w:rPr>
        <w:t xml:space="preserve"> تدريبية متخصصة في مجال القانون الدولي والأوروبي لحقوق الإنسان</w:t>
      </w:r>
      <w:r w:rsidRPr="008D0DB1">
        <w:rPr>
          <w:rFonts w:hint="cs"/>
          <w:rtl/>
        </w:rPr>
        <w:t xml:space="preserve">. </w:t>
      </w:r>
      <w:r w:rsidRPr="008D0DB1">
        <w:rPr>
          <w:rtl/>
        </w:rPr>
        <w:t>وتندرج هذه الدورات في إطار التدريب المستمر لمزاولي المهن القانونية</w:t>
      </w:r>
      <w:r w:rsidRPr="008D0DB1">
        <w:rPr>
          <w:rStyle w:val="EndnoteReference"/>
          <w:rtl/>
        </w:rPr>
        <w:t>(</w:t>
      </w:r>
      <w:r w:rsidRPr="008D0DB1">
        <w:rPr>
          <w:rStyle w:val="EndnoteReference"/>
          <w:rtl/>
        </w:rPr>
        <w:endnoteReference w:id="223"/>
      </w:r>
      <w:r w:rsidRPr="008D0DB1">
        <w:rPr>
          <w:rStyle w:val="EndnoteReference"/>
          <w:rtl/>
        </w:rPr>
        <w:t>)</w:t>
      </w:r>
      <w:r w:rsidRPr="008D0DB1">
        <w:rPr>
          <w:rFonts w:hint="cs"/>
          <w:rtl/>
        </w:rPr>
        <w:t>.</w:t>
      </w:r>
    </w:p>
    <w:p w:rsidR="00944A3C" w:rsidRPr="008D0DB1" w:rsidRDefault="00944A3C" w:rsidP="00C8116A">
      <w:pPr>
        <w:pStyle w:val="H23GA"/>
        <w:rPr>
          <w:rtl/>
        </w:rPr>
      </w:pPr>
      <w:r w:rsidRPr="008D0DB1">
        <w:rPr>
          <w:rtl/>
        </w:rPr>
        <w:lastRenderedPageBreak/>
        <w:tab/>
        <w:t>2-</w:t>
      </w:r>
      <w:r w:rsidRPr="008D0DB1">
        <w:rPr>
          <w:rtl/>
        </w:rPr>
        <w:tab/>
        <w:t>تدريب الطلاب في مجالي القضاء والإدارة</w:t>
      </w:r>
    </w:p>
    <w:p w:rsidR="00944A3C" w:rsidRPr="008D0DB1" w:rsidRDefault="00944A3C" w:rsidP="008D0DB1">
      <w:pPr>
        <w:pStyle w:val="SingleTxtGA"/>
        <w:rPr>
          <w:rtl/>
        </w:rPr>
      </w:pPr>
      <w:r w:rsidRPr="008D0DB1">
        <w:rPr>
          <w:rFonts w:hint="cs"/>
          <w:rtl/>
        </w:rPr>
        <w:t>414-</w:t>
      </w:r>
      <w:r w:rsidRPr="008D0DB1">
        <w:rPr>
          <w:rFonts w:hint="cs"/>
          <w:rtl/>
        </w:rPr>
        <w:tab/>
      </w:r>
      <w:r w:rsidRPr="008D0DB1">
        <w:rPr>
          <w:rtl/>
        </w:rPr>
        <w:t xml:space="preserve">خلال الفترة الممتدة بين عامي 2009 و2012، تعزز تدريب الموظفين الذين يزاولون وظائف سيادية </w:t>
      </w:r>
      <w:r w:rsidRPr="008D0DB1">
        <w:rPr>
          <w:rFonts w:hint="cs"/>
          <w:rtl/>
        </w:rPr>
        <w:t>و</w:t>
      </w:r>
      <w:r w:rsidRPr="008D0DB1">
        <w:rPr>
          <w:rtl/>
        </w:rPr>
        <w:t>غيرهم من المهنيين المعنيين بحماية حقوق الإنسان</w:t>
      </w:r>
      <w:r w:rsidRPr="008D0DB1">
        <w:rPr>
          <w:rFonts w:hint="cs"/>
          <w:rtl/>
        </w:rPr>
        <w:t xml:space="preserve"> </w:t>
      </w:r>
      <w:r w:rsidRPr="008D0DB1">
        <w:rPr>
          <w:rtl/>
        </w:rPr>
        <w:t>وتعزيز</w:t>
      </w:r>
      <w:r w:rsidRPr="008D0DB1">
        <w:rPr>
          <w:rFonts w:hint="cs"/>
          <w:rtl/>
        </w:rPr>
        <w:t xml:space="preserve">ها. </w:t>
      </w:r>
      <w:r w:rsidRPr="008D0DB1">
        <w:rPr>
          <w:rtl/>
        </w:rPr>
        <w:t xml:space="preserve">وبالتعاون مع اللجنة الوطنية الاستشارية لحقوق الإنسان، طورت المدرسة الوطنية للقضاء والمدرسة الوطنية للإدارة </w:t>
      </w:r>
      <w:r w:rsidRPr="008D0DB1">
        <w:rPr>
          <w:rFonts w:hint="cs"/>
          <w:rtl/>
        </w:rPr>
        <w:t xml:space="preserve">ما تُوفرانه من دورات </w:t>
      </w:r>
      <w:r w:rsidRPr="008D0DB1">
        <w:rPr>
          <w:rtl/>
        </w:rPr>
        <w:t>تدريب</w:t>
      </w:r>
      <w:r w:rsidRPr="008D0DB1">
        <w:rPr>
          <w:rFonts w:hint="cs"/>
          <w:rtl/>
        </w:rPr>
        <w:t>ية</w:t>
      </w:r>
      <w:r w:rsidRPr="008D0DB1">
        <w:rPr>
          <w:rtl/>
        </w:rPr>
        <w:t xml:space="preserve"> في هذا المجال</w:t>
      </w:r>
      <w:r w:rsidRPr="008D0DB1">
        <w:rPr>
          <w:rFonts w:hint="cs"/>
          <w:rtl/>
        </w:rPr>
        <w:t>.</w:t>
      </w:r>
    </w:p>
    <w:p w:rsidR="00944A3C" w:rsidRPr="008D0DB1" w:rsidRDefault="00944A3C" w:rsidP="008D0DB1">
      <w:pPr>
        <w:pStyle w:val="SingleTxtGA"/>
        <w:rPr>
          <w:rtl/>
        </w:rPr>
      </w:pPr>
      <w:r w:rsidRPr="008D0DB1">
        <w:rPr>
          <w:rFonts w:hint="cs"/>
          <w:rtl/>
        </w:rPr>
        <w:t>415-</w:t>
      </w:r>
      <w:r w:rsidRPr="008D0DB1">
        <w:rPr>
          <w:rFonts w:hint="cs"/>
          <w:rtl/>
        </w:rPr>
        <w:tab/>
      </w:r>
      <w:r w:rsidRPr="008D0DB1">
        <w:rPr>
          <w:rtl/>
        </w:rPr>
        <w:t>وهكذا، تنظَّم سنوي</w:t>
      </w:r>
      <w:r w:rsidR="00443A06">
        <w:rPr>
          <w:rtl/>
        </w:rPr>
        <w:t xml:space="preserve">اً </w:t>
      </w:r>
      <w:r w:rsidRPr="008D0DB1">
        <w:rPr>
          <w:rtl/>
        </w:rPr>
        <w:t>حلقة دراسية بشأن العنصرية والتمييز العنصري في المدرسة الوطنية للقضاء</w:t>
      </w:r>
      <w:r w:rsidRPr="008D0DB1">
        <w:rPr>
          <w:rFonts w:hint="cs"/>
          <w:rtl/>
        </w:rPr>
        <w:t xml:space="preserve">. </w:t>
      </w:r>
      <w:r w:rsidRPr="008D0DB1">
        <w:rPr>
          <w:rtl/>
        </w:rPr>
        <w:t xml:space="preserve">ويشارك فيها، بالإضافة إلى قضاة المحاكم وقضاة النيابة العامة وقضاة القرب، موظفون </w:t>
      </w:r>
      <w:r w:rsidRPr="008D0DB1">
        <w:rPr>
          <w:rFonts w:hint="cs"/>
          <w:rtl/>
        </w:rPr>
        <w:t>من</w:t>
      </w:r>
      <w:r w:rsidRPr="008D0DB1">
        <w:rPr>
          <w:rtl/>
        </w:rPr>
        <w:t xml:space="preserve"> إدارة السجون</w:t>
      </w:r>
      <w:r w:rsidRPr="008D0DB1">
        <w:rPr>
          <w:rFonts w:hint="cs"/>
          <w:rtl/>
        </w:rPr>
        <w:t xml:space="preserve">. وتتاح </w:t>
      </w:r>
      <w:r w:rsidRPr="008D0DB1">
        <w:rPr>
          <w:rtl/>
        </w:rPr>
        <w:t>أيض</w:t>
      </w:r>
      <w:r w:rsidR="00443A06">
        <w:rPr>
          <w:rtl/>
        </w:rPr>
        <w:t xml:space="preserve">اً </w:t>
      </w:r>
      <w:r w:rsidRPr="008D0DB1">
        <w:rPr>
          <w:rFonts w:hint="cs"/>
          <w:rtl/>
        </w:rPr>
        <w:t>ل</w:t>
      </w:r>
      <w:r w:rsidRPr="008D0DB1">
        <w:rPr>
          <w:rtl/>
        </w:rPr>
        <w:t xml:space="preserve">لقضاة المتدربين </w:t>
      </w:r>
      <w:r w:rsidRPr="008D0DB1">
        <w:rPr>
          <w:rFonts w:hint="cs"/>
          <w:rtl/>
        </w:rPr>
        <w:t xml:space="preserve">دورات </w:t>
      </w:r>
      <w:r w:rsidRPr="008D0DB1">
        <w:rPr>
          <w:rtl/>
        </w:rPr>
        <w:t>تدريبية في المحكمة الأوروبية لحقوق الإنسان وحلقات دراسية بشأن الاتفاقية الأوروبية لحقوق الإنسان</w:t>
      </w:r>
      <w:r w:rsidRPr="008D0DB1">
        <w:rPr>
          <w:rFonts w:hint="cs"/>
          <w:rtl/>
        </w:rPr>
        <w:t>.</w:t>
      </w:r>
    </w:p>
    <w:p w:rsidR="00944A3C" w:rsidRPr="008D0DB1" w:rsidRDefault="00944A3C" w:rsidP="005C0E11">
      <w:pPr>
        <w:pStyle w:val="H23GA"/>
        <w:rPr>
          <w:rtl/>
        </w:rPr>
      </w:pPr>
      <w:r w:rsidRPr="008D0DB1">
        <w:rPr>
          <w:rtl/>
        </w:rPr>
        <w:tab/>
        <w:t>3-</w:t>
      </w:r>
      <w:r w:rsidRPr="008D0DB1">
        <w:rPr>
          <w:rtl/>
        </w:rPr>
        <w:tab/>
        <w:t>تدريب المدرسين</w:t>
      </w:r>
    </w:p>
    <w:p w:rsidR="00944A3C" w:rsidRPr="008D0DB1" w:rsidRDefault="00944A3C" w:rsidP="008D0DB1">
      <w:pPr>
        <w:pStyle w:val="SingleTxtGA"/>
        <w:rPr>
          <w:rtl/>
        </w:rPr>
      </w:pPr>
      <w:r w:rsidRPr="008D0DB1">
        <w:rPr>
          <w:rFonts w:hint="cs"/>
          <w:rtl/>
        </w:rPr>
        <w:t>416-</w:t>
      </w:r>
      <w:r w:rsidRPr="008D0DB1">
        <w:rPr>
          <w:rFonts w:hint="cs"/>
          <w:rtl/>
        </w:rPr>
        <w:tab/>
        <w:t xml:space="preserve">تعتمد </w:t>
      </w:r>
      <w:r w:rsidRPr="008D0DB1">
        <w:rPr>
          <w:rtl/>
        </w:rPr>
        <w:t>المدارس العليا لتكوين المدرسين والمستشارين التربويين منهاج</w:t>
      </w:r>
      <w:r w:rsidR="00443A06">
        <w:rPr>
          <w:rFonts w:hint="cs"/>
          <w:rtl/>
        </w:rPr>
        <w:t xml:space="preserve">اً </w:t>
      </w:r>
      <w:r w:rsidRPr="008D0DB1">
        <w:rPr>
          <w:rtl/>
        </w:rPr>
        <w:t>مشترك</w:t>
      </w:r>
      <w:r w:rsidR="00443A06">
        <w:rPr>
          <w:rFonts w:hint="cs"/>
          <w:rtl/>
        </w:rPr>
        <w:t xml:space="preserve">اً </w:t>
      </w:r>
      <w:r w:rsidRPr="008D0DB1">
        <w:rPr>
          <w:rtl/>
        </w:rPr>
        <w:t xml:space="preserve">لتدريب مدرسي الغد </w:t>
      </w:r>
      <w:r w:rsidRPr="008D0DB1">
        <w:rPr>
          <w:rFonts w:hint="cs"/>
          <w:rtl/>
        </w:rPr>
        <w:t xml:space="preserve">يشمل </w:t>
      </w:r>
      <w:r w:rsidRPr="008D0DB1">
        <w:rPr>
          <w:rtl/>
        </w:rPr>
        <w:t>موضوع</w:t>
      </w:r>
      <w:r w:rsidR="00443A06">
        <w:rPr>
          <w:rtl/>
        </w:rPr>
        <w:t xml:space="preserve">اً </w:t>
      </w:r>
      <w:r w:rsidRPr="008D0DB1">
        <w:rPr>
          <w:rtl/>
        </w:rPr>
        <w:t>مكرس</w:t>
      </w:r>
      <w:r w:rsidR="00443A06">
        <w:rPr>
          <w:rtl/>
        </w:rPr>
        <w:t xml:space="preserve">اً </w:t>
      </w:r>
      <w:r w:rsidRPr="008D0DB1">
        <w:rPr>
          <w:rtl/>
        </w:rPr>
        <w:t>لقيم الجمهورية، يرمي إلى تلقين كيفية نقل وتبادل مبادئ الحياة الديمقراطية وقيم الجمهورية: الحرية والمساواة والإخاء؛</w:t>
      </w:r>
      <w:r w:rsidRPr="008D0DB1">
        <w:rPr>
          <w:rFonts w:hint="cs"/>
          <w:rtl/>
        </w:rPr>
        <w:t xml:space="preserve"> والعلمانية؛ </w:t>
      </w:r>
      <w:r w:rsidRPr="008D0DB1">
        <w:rPr>
          <w:rtl/>
        </w:rPr>
        <w:t>ورفض جميع أشكال التمييز</w:t>
      </w:r>
      <w:r w:rsidRPr="008D0DB1">
        <w:rPr>
          <w:rStyle w:val="EndnoteReference"/>
          <w:rtl/>
        </w:rPr>
        <w:t>(</w:t>
      </w:r>
      <w:r w:rsidRPr="008D0DB1">
        <w:rPr>
          <w:rStyle w:val="EndnoteReference"/>
          <w:rtl/>
        </w:rPr>
        <w:endnoteReference w:id="224"/>
      </w:r>
      <w:r w:rsidRPr="008D0DB1">
        <w:rPr>
          <w:rStyle w:val="EndnoteReference"/>
          <w:rtl/>
        </w:rPr>
        <w:t>)</w:t>
      </w:r>
      <w:r w:rsidRPr="008D0DB1">
        <w:rPr>
          <w:rFonts w:hint="cs"/>
          <w:rtl/>
        </w:rPr>
        <w:t xml:space="preserve">. </w:t>
      </w:r>
      <w:r w:rsidRPr="008D0DB1">
        <w:rPr>
          <w:rtl/>
        </w:rPr>
        <w:t xml:space="preserve">وعلاوة على ذلك، يستفيد معظم الجمعيات الفرنسية للدفاع عن حقوق الإنسان من ترخيص من وزارة </w:t>
      </w:r>
      <w:r w:rsidRPr="008D0DB1">
        <w:rPr>
          <w:rFonts w:hint="cs"/>
          <w:rtl/>
        </w:rPr>
        <w:t xml:space="preserve">التعليم </w:t>
      </w:r>
      <w:r w:rsidRPr="008D0DB1">
        <w:rPr>
          <w:rtl/>
        </w:rPr>
        <w:t xml:space="preserve">الوطني يتيح لها </w:t>
      </w:r>
      <w:r w:rsidRPr="008D0DB1">
        <w:rPr>
          <w:rFonts w:hint="cs"/>
          <w:rtl/>
        </w:rPr>
        <w:t xml:space="preserve">إمكانية </w:t>
      </w:r>
      <w:r w:rsidRPr="008D0DB1">
        <w:rPr>
          <w:rtl/>
        </w:rPr>
        <w:t>التعا</w:t>
      </w:r>
      <w:r w:rsidR="005C0E11">
        <w:rPr>
          <w:rtl/>
        </w:rPr>
        <w:t xml:space="preserve">ون مع المؤسسات التعليمية أو مع </w:t>
      </w:r>
      <w:r w:rsidRPr="008D0DB1">
        <w:rPr>
          <w:rtl/>
        </w:rPr>
        <w:t>المدارس العليا لتكوين المدرسين والمستشارين التربويين</w:t>
      </w:r>
      <w:r w:rsidRPr="008D0DB1">
        <w:rPr>
          <w:rFonts w:hint="cs"/>
          <w:rtl/>
        </w:rPr>
        <w:t xml:space="preserve">. </w:t>
      </w:r>
      <w:r w:rsidRPr="008D0DB1">
        <w:rPr>
          <w:rtl/>
        </w:rPr>
        <w:t>والجامعات الصيفية أو الخريفية والحلقات الدراسية التدريبية كلها أنشطة للتدريب في مجال حقوق الإنسان</w:t>
      </w:r>
      <w:r w:rsidRPr="008D0DB1">
        <w:rPr>
          <w:rStyle w:val="EndnoteReference"/>
          <w:rtl/>
        </w:rPr>
        <w:t>(</w:t>
      </w:r>
      <w:r w:rsidRPr="008D0DB1">
        <w:rPr>
          <w:rStyle w:val="EndnoteReference"/>
          <w:rtl/>
        </w:rPr>
        <w:endnoteReference w:id="225"/>
      </w:r>
      <w:r w:rsidRPr="008D0DB1">
        <w:rPr>
          <w:rStyle w:val="EndnoteReference"/>
          <w:rtl/>
        </w:rPr>
        <w:t>)</w:t>
      </w:r>
      <w:r w:rsidRPr="008D0DB1">
        <w:rPr>
          <w:rFonts w:hint="cs"/>
          <w:rtl/>
        </w:rPr>
        <w:t>.</w:t>
      </w:r>
    </w:p>
    <w:p w:rsidR="00944A3C" w:rsidRPr="008D0DB1" w:rsidRDefault="00944A3C" w:rsidP="005C0E11">
      <w:pPr>
        <w:pStyle w:val="H23GA"/>
        <w:rPr>
          <w:rtl/>
        </w:rPr>
      </w:pPr>
      <w:r w:rsidRPr="008D0DB1">
        <w:rPr>
          <w:rtl/>
        </w:rPr>
        <w:tab/>
        <w:t>4-</w:t>
      </w:r>
      <w:r w:rsidRPr="008D0DB1">
        <w:rPr>
          <w:rtl/>
        </w:rPr>
        <w:tab/>
        <w:t>تدريب المهنيين العاملين في مجال حقوق الإنسان</w:t>
      </w:r>
    </w:p>
    <w:p w:rsidR="00944A3C" w:rsidRPr="008D0DB1" w:rsidRDefault="00944A3C" w:rsidP="000D393D">
      <w:pPr>
        <w:pStyle w:val="SingleTxtGA"/>
        <w:rPr>
          <w:rtl/>
        </w:rPr>
      </w:pPr>
      <w:r w:rsidRPr="008D0DB1">
        <w:rPr>
          <w:rFonts w:hint="cs"/>
          <w:rtl/>
        </w:rPr>
        <w:t>417-</w:t>
      </w:r>
      <w:r w:rsidRPr="008D0DB1">
        <w:rPr>
          <w:rFonts w:hint="cs"/>
          <w:rtl/>
        </w:rPr>
        <w:tab/>
        <w:t xml:space="preserve">لقد التزمت </w:t>
      </w:r>
      <w:r w:rsidRPr="008D0DB1">
        <w:rPr>
          <w:rtl/>
        </w:rPr>
        <w:t xml:space="preserve">فرنسا </w:t>
      </w:r>
      <w:r w:rsidRPr="008D0DB1">
        <w:rPr>
          <w:rFonts w:hint="cs"/>
          <w:rtl/>
        </w:rPr>
        <w:t>ب</w:t>
      </w:r>
      <w:r w:rsidRPr="008D0DB1">
        <w:rPr>
          <w:rtl/>
        </w:rPr>
        <w:t xml:space="preserve">تعزيز تدريب موظفي هيئات إنفاذ القانون في مجال حقوق الإنسان، تفادياً لوقوع أي انتهاك لحقوق الأشخاص </w:t>
      </w:r>
      <w:r w:rsidRPr="008D0DB1">
        <w:rPr>
          <w:rFonts w:hint="cs"/>
          <w:rtl/>
        </w:rPr>
        <w:t xml:space="preserve">الموقوفين </w:t>
      </w:r>
      <w:r w:rsidRPr="008D0DB1">
        <w:rPr>
          <w:rtl/>
        </w:rPr>
        <w:t>أو المحتجزين</w:t>
      </w:r>
      <w:r w:rsidRPr="008D0DB1">
        <w:rPr>
          <w:rFonts w:hint="cs"/>
          <w:rtl/>
        </w:rPr>
        <w:t>. و</w:t>
      </w:r>
      <w:r w:rsidRPr="008D0DB1">
        <w:rPr>
          <w:rtl/>
        </w:rPr>
        <w:t xml:space="preserve">جميع موظفي الشرطة والدرك، بغض النظر عن </w:t>
      </w:r>
      <w:r w:rsidRPr="008D0DB1">
        <w:rPr>
          <w:rFonts w:hint="cs"/>
          <w:rtl/>
        </w:rPr>
        <w:t xml:space="preserve">هيئاتهم </w:t>
      </w:r>
      <w:r w:rsidRPr="008D0DB1">
        <w:rPr>
          <w:rtl/>
        </w:rPr>
        <w:t>أو رتبتهم</w:t>
      </w:r>
      <w:r w:rsidRPr="008D0DB1">
        <w:rPr>
          <w:rFonts w:hint="cs"/>
          <w:rtl/>
        </w:rPr>
        <w:t>، معنيون بذلك.</w:t>
      </w:r>
    </w:p>
    <w:p w:rsidR="00944A3C" w:rsidRPr="008D0DB1" w:rsidRDefault="00944A3C" w:rsidP="000D393D">
      <w:pPr>
        <w:pStyle w:val="SingleTxtGA"/>
        <w:rPr>
          <w:rtl/>
        </w:rPr>
      </w:pPr>
      <w:r w:rsidRPr="008D0DB1">
        <w:rPr>
          <w:rFonts w:hint="cs"/>
          <w:rtl/>
        </w:rPr>
        <w:t>418-</w:t>
      </w:r>
      <w:r w:rsidRPr="008D0DB1">
        <w:rPr>
          <w:rFonts w:hint="cs"/>
          <w:rtl/>
        </w:rPr>
        <w:tab/>
        <w:t>و</w:t>
      </w:r>
      <w:r w:rsidRPr="008D0DB1">
        <w:rPr>
          <w:rtl/>
        </w:rPr>
        <w:t xml:space="preserve">على سبيل المثال، يتناول التدريب الأولي لطلاب الشرطة من </w:t>
      </w:r>
      <w:r w:rsidRPr="008D0DB1">
        <w:rPr>
          <w:rFonts w:hint="cs"/>
          <w:rtl/>
        </w:rPr>
        <w:t xml:space="preserve">فئة </w:t>
      </w:r>
      <w:r w:rsidRPr="008D0DB1">
        <w:rPr>
          <w:rtl/>
        </w:rPr>
        <w:t>حماة السلام حقوق الإنسان في سياق الدروس المتعلقة بالأخلاقيات والحريات العامة والحقوق الأساسية</w:t>
      </w:r>
      <w:r w:rsidRPr="008D0DB1">
        <w:rPr>
          <w:rFonts w:hint="cs"/>
          <w:rtl/>
        </w:rPr>
        <w:t xml:space="preserve">. </w:t>
      </w:r>
      <w:r w:rsidRPr="008D0DB1">
        <w:rPr>
          <w:rtl/>
        </w:rPr>
        <w:t>وتُركز التمارين التطبيقية المتعلقة باستقبال الجمهور والتحقق من الهوية على سلوك أفراد الشرطة وتصرفات</w:t>
      </w:r>
      <w:r w:rsidRPr="008D0DB1">
        <w:rPr>
          <w:rFonts w:hint="cs"/>
          <w:rtl/>
        </w:rPr>
        <w:t>هم</w:t>
      </w:r>
      <w:r w:rsidRPr="008D0DB1">
        <w:rPr>
          <w:rtl/>
        </w:rPr>
        <w:t xml:space="preserve"> بحسب فئات </w:t>
      </w:r>
      <w:r w:rsidRPr="008D0DB1">
        <w:rPr>
          <w:rFonts w:hint="cs"/>
          <w:rtl/>
        </w:rPr>
        <w:t xml:space="preserve">الأشخاص الذين </w:t>
      </w:r>
      <w:r w:rsidRPr="008D0DB1">
        <w:rPr>
          <w:rtl/>
        </w:rPr>
        <w:t>يتعاملون معه</w:t>
      </w:r>
      <w:r w:rsidRPr="008D0DB1">
        <w:rPr>
          <w:rFonts w:hint="cs"/>
          <w:rtl/>
        </w:rPr>
        <w:t>م</w:t>
      </w:r>
      <w:r w:rsidRPr="008D0DB1">
        <w:rPr>
          <w:rtl/>
        </w:rPr>
        <w:t xml:space="preserve"> (الضحايا، </w:t>
      </w:r>
      <w:r w:rsidRPr="008D0DB1">
        <w:rPr>
          <w:rFonts w:hint="cs"/>
          <w:rtl/>
        </w:rPr>
        <w:t xml:space="preserve">أو </w:t>
      </w:r>
      <w:r w:rsidRPr="008D0DB1">
        <w:rPr>
          <w:rtl/>
        </w:rPr>
        <w:t xml:space="preserve">الشهود، </w:t>
      </w:r>
      <w:r w:rsidRPr="008D0DB1">
        <w:rPr>
          <w:rFonts w:hint="cs"/>
          <w:rtl/>
        </w:rPr>
        <w:t xml:space="preserve">أو </w:t>
      </w:r>
      <w:r w:rsidRPr="008D0DB1">
        <w:rPr>
          <w:rtl/>
        </w:rPr>
        <w:t>الجناة)</w:t>
      </w:r>
      <w:r w:rsidRPr="008D0DB1">
        <w:rPr>
          <w:rFonts w:hint="cs"/>
          <w:rtl/>
        </w:rPr>
        <w:t xml:space="preserve">. </w:t>
      </w:r>
      <w:r w:rsidRPr="008D0DB1">
        <w:rPr>
          <w:rtl/>
        </w:rPr>
        <w:t>ويتابع ملازمو الشرطة وحدتين تعليميتين معنونت</w:t>
      </w:r>
      <w:r w:rsidRPr="008D0DB1">
        <w:rPr>
          <w:rFonts w:hint="cs"/>
          <w:rtl/>
        </w:rPr>
        <w:t>ي</w:t>
      </w:r>
      <w:r w:rsidRPr="008D0DB1">
        <w:rPr>
          <w:rtl/>
        </w:rPr>
        <w:t>ن</w:t>
      </w:r>
      <w:r w:rsidRPr="008D0DB1">
        <w:rPr>
          <w:rFonts w:hint="cs"/>
          <w:rtl/>
        </w:rPr>
        <w:t>،</w:t>
      </w:r>
      <w:r w:rsidRPr="008D0DB1">
        <w:rPr>
          <w:rtl/>
        </w:rPr>
        <w:t xml:space="preserve"> على التوالي</w:t>
      </w:r>
      <w:r w:rsidRPr="008D0DB1">
        <w:rPr>
          <w:rFonts w:hint="cs"/>
          <w:rtl/>
        </w:rPr>
        <w:t>،</w:t>
      </w:r>
      <w:r w:rsidRPr="008D0DB1">
        <w:rPr>
          <w:rtl/>
        </w:rPr>
        <w:t xml:space="preserve"> "قواعد السلوك، والتمييز، والأخلاقيات، وعلم النفس" و"الحريات العامة والحقوق الأساسية". ويشمل تدريب مفوضي الشرطة دراسة الاتفاقية الأوروبية لمنع التعذيب والمعاملة أو العقوبة اللاإنسانية أو المهينة، وكذلك حقوق الإنسان الأساسية</w:t>
      </w:r>
      <w:r w:rsidRPr="008D0DB1">
        <w:rPr>
          <w:rFonts w:hint="cs"/>
          <w:rtl/>
        </w:rPr>
        <w:t xml:space="preserve">. </w:t>
      </w:r>
      <w:r w:rsidRPr="008D0DB1">
        <w:rPr>
          <w:rtl/>
        </w:rPr>
        <w:t>ويتابع جميع أفراد الدرك تدريباً في مجال قواعد السلوك والأخلاقيات، مع التركيز على حماية حقوق الإنسان واحترامها</w:t>
      </w:r>
      <w:r w:rsidRPr="008D0DB1">
        <w:rPr>
          <w:rFonts w:hint="cs"/>
          <w:rtl/>
        </w:rPr>
        <w:t>.</w:t>
      </w:r>
    </w:p>
    <w:p w:rsidR="00944A3C" w:rsidRPr="008D0DB1" w:rsidRDefault="00944A3C" w:rsidP="000D393D">
      <w:pPr>
        <w:pStyle w:val="SingleTxtGA"/>
        <w:rPr>
          <w:rtl/>
        </w:rPr>
      </w:pPr>
      <w:r w:rsidRPr="008D0DB1">
        <w:rPr>
          <w:rFonts w:hint="cs"/>
          <w:rtl/>
        </w:rPr>
        <w:t>419-</w:t>
      </w:r>
      <w:r w:rsidRPr="008D0DB1">
        <w:rPr>
          <w:rFonts w:hint="cs"/>
          <w:rtl/>
        </w:rPr>
        <w:tab/>
      </w:r>
      <w:r w:rsidRPr="008D0DB1">
        <w:rPr>
          <w:rtl/>
        </w:rPr>
        <w:t>و</w:t>
      </w:r>
      <w:r w:rsidRPr="008D0DB1">
        <w:rPr>
          <w:rFonts w:hint="cs"/>
          <w:rtl/>
        </w:rPr>
        <w:t xml:space="preserve">بالإضافة إلى ذلك، </w:t>
      </w:r>
      <w:r w:rsidRPr="008D0DB1">
        <w:rPr>
          <w:rtl/>
        </w:rPr>
        <w:t>يشارك رؤساء مراكز الاحتجاز الإداري في دورة تدريبية مكرسة تحديد</w:t>
      </w:r>
      <w:r w:rsidR="00443A06">
        <w:rPr>
          <w:rtl/>
        </w:rPr>
        <w:t xml:space="preserve">اً </w:t>
      </w:r>
      <w:r w:rsidRPr="008D0DB1">
        <w:rPr>
          <w:rtl/>
        </w:rPr>
        <w:t>للوائح التنظيمية المتعلقة باعتقال الأجانب الذين هم في وضعية غير نظامية وللإجراءات القضائية والإدارية المتصلة بها، فضلاً عن احترام الحقوق الأساسية للأشخاص المحتجزين</w:t>
      </w:r>
      <w:r w:rsidRPr="008D0DB1">
        <w:rPr>
          <w:rFonts w:hint="cs"/>
          <w:rtl/>
        </w:rPr>
        <w:t>.</w:t>
      </w:r>
    </w:p>
    <w:p w:rsidR="00944A3C" w:rsidRPr="008D0DB1" w:rsidRDefault="00944A3C" w:rsidP="000D393D">
      <w:pPr>
        <w:pStyle w:val="SingleTxtGA"/>
        <w:rPr>
          <w:rtl/>
        </w:rPr>
      </w:pPr>
      <w:r w:rsidRPr="008D0DB1">
        <w:rPr>
          <w:rFonts w:hint="cs"/>
          <w:rtl/>
        </w:rPr>
        <w:lastRenderedPageBreak/>
        <w:t>420-</w:t>
      </w:r>
      <w:r w:rsidRPr="008D0DB1">
        <w:rPr>
          <w:rFonts w:hint="cs"/>
          <w:rtl/>
        </w:rPr>
        <w:tab/>
      </w:r>
      <w:r w:rsidRPr="008D0DB1">
        <w:rPr>
          <w:rtl/>
        </w:rPr>
        <w:t xml:space="preserve">وعلاوة على ذلك، </w:t>
      </w:r>
      <w:r w:rsidRPr="008D0DB1">
        <w:rPr>
          <w:rFonts w:hint="cs"/>
          <w:rtl/>
        </w:rPr>
        <w:t xml:space="preserve">يساهم </w:t>
      </w:r>
      <w:r w:rsidRPr="008D0DB1">
        <w:rPr>
          <w:rtl/>
        </w:rPr>
        <w:t xml:space="preserve">المراقب العام لأماكن الاحتجاز في التدريب المهني </w:t>
      </w:r>
      <w:r w:rsidRPr="008D0DB1">
        <w:rPr>
          <w:rFonts w:hint="cs"/>
          <w:rtl/>
        </w:rPr>
        <w:t>المتعلق ب</w:t>
      </w:r>
      <w:r w:rsidRPr="008D0DB1">
        <w:rPr>
          <w:rtl/>
        </w:rPr>
        <w:t xml:space="preserve">الحقوق الأساسية للأشخاص سليبي الحرية، وذلك من خلال دورات </w:t>
      </w:r>
      <w:r w:rsidRPr="008D0DB1">
        <w:rPr>
          <w:rFonts w:hint="cs"/>
          <w:rtl/>
        </w:rPr>
        <w:t xml:space="preserve">تدريبية </w:t>
      </w:r>
      <w:r w:rsidRPr="008D0DB1">
        <w:rPr>
          <w:rtl/>
        </w:rPr>
        <w:t xml:space="preserve">ينظمها كل سنة في مدارس تدريب الموظفين </w:t>
      </w:r>
      <w:r w:rsidRPr="008D0DB1">
        <w:rPr>
          <w:rFonts w:hint="cs"/>
          <w:rtl/>
        </w:rPr>
        <w:t xml:space="preserve">العامين </w:t>
      </w:r>
      <w:r w:rsidRPr="008D0DB1">
        <w:rPr>
          <w:rtl/>
        </w:rPr>
        <w:t>(المدرسة الوطنية لإدارة السجون، والمدرسة الوطنية للإدارة، والمدرسة الوطنية للقضاء، والمدرسة الوطنية العليا للشرطة، ومدرسة ضباط الدرك الوطني)</w:t>
      </w:r>
      <w:r w:rsidRPr="008D0DB1">
        <w:rPr>
          <w:rFonts w:hint="cs"/>
          <w:rtl/>
        </w:rPr>
        <w:t xml:space="preserve">. </w:t>
      </w:r>
      <w:r w:rsidRPr="008D0DB1">
        <w:rPr>
          <w:rtl/>
        </w:rPr>
        <w:t xml:space="preserve">وبالإضافة إلى ذلك، يجري إعداد آلية للتدريب بالتعاون مع المدافع عن الحقوق الذي دُعي أصلاً إلى </w:t>
      </w:r>
      <w:r w:rsidRPr="008D0DB1">
        <w:rPr>
          <w:rFonts w:hint="cs"/>
          <w:rtl/>
        </w:rPr>
        <w:t xml:space="preserve">تنظيم دورات </w:t>
      </w:r>
      <w:r w:rsidRPr="008D0DB1">
        <w:rPr>
          <w:rtl/>
        </w:rPr>
        <w:t>في إطار برامج التدريب الأولي لأُطر الشرطة الفرنسية</w:t>
      </w:r>
      <w:r w:rsidRPr="008D0DB1">
        <w:rPr>
          <w:rFonts w:hint="cs"/>
          <w:rtl/>
        </w:rPr>
        <w:t>.</w:t>
      </w:r>
    </w:p>
    <w:p w:rsidR="00944A3C" w:rsidRPr="00443A06" w:rsidRDefault="00944A3C" w:rsidP="00443A06">
      <w:pPr>
        <w:pStyle w:val="SingleTxtGA"/>
        <w:rPr>
          <w:rtl/>
        </w:rPr>
      </w:pPr>
      <w:r w:rsidRPr="005C0E11">
        <w:rPr>
          <w:rFonts w:hint="cs"/>
          <w:spacing w:val="-4"/>
          <w:rtl/>
        </w:rPr>
        <w:t>421</w:t>
      </w:r>
      <w:r w:rsidRPr="00443A06">
        <w:rPr>
          <w:rFonts w:hint="cs"/>
          <w:spacing w:val="-4"/>
          <w:rtl/>
        </w:rPr>
        <w:t>-</w:t>
      </w:r>
      <w:r w:rsidRPr="00443A06">
        <w:rPr>
          <w:rFonts w:hint="cs"/>
          <w:spacing w:val="-4"/>
          <w:rtl/>
        </w:rPr>
        <w:tab/>
      </w:r>
      <w:r w:rsidRPr="00443A06">
        <w:rPr>
          <w:spacing w:val="-4"/>
          <w:rtl/>
        </w:rPr>
        <w:t xml:space="preserve">وفي مجال مكافحة الاتجار بالأشخاص، </w:t>
      </w:r>
      <w:r w:rsidRPr="00443A06">
        <w:rPr>
          <w:rFonts w:hint="cs"/>
          <w:spacing w:val="-4"/>
          <w:rtl/>
        </w:rPr>
        <w:t xml:space="preserve">توفر </w:t>
      </w:r>
      <w:r w:rsidRPr="00443A06">
        <w:rPr>
          <w:spacing w:val="-4"/>
          <w:rtl/>
        </w:rPr>
        <w:t>جمعية "</w:t>
      </w:r>
      <w:r w:rsidRPr="00443A06">
        <w:rPr>
          <w:spacing w:val="-4"/>
          <w:szCs w:val="32"/>
        </w:rPr>
        <w:t>Forum Réfugiés-Cosi and Ulysse</w:t>
      </w:r>
      <w:r w:rsidRPr="00443A06">
        <w:rPr>
          <w:spacing w:val="-4"/>
          <w:rtl/>
        </w:rPr>
        <w:t>"</w:t>
      </w:r>
      <w:r w:rsidRPr="00443A06">
        <w:rPr>
          <w:rFonts w:hint="cs"/>
          <w:spacing w:val="-4"/>
          <w:rtl/>
        </w:rPr>
        <w:t>،</w:t>
      </w:r>
      <w:r w:rsidRPr="00443A06">
        <w:rPr>
          <w:spacing w:val="-4"/>
          <w:rtl/>
        </w:rPr>
        <w:t xml:space="preserve"> </w:t>
      </w:r>
      <w:r w:rsidRPr="00443A06">
        <w:rPr>
          <w:rtl/>
        </w:rPr>
        <w:t>منذ أواخر عام 2013</w:t>
      </w:r>
      <w:r w:rsidRPr="00443A06">
        <w:rPr>
          <w:rFonts w:hint="cs"/>
          <w:rtl/>
        </w:rPr>
        <w:t xml:space="preserve">، </w:t>
      </w:r>
      <w:r w:rsidRPr="00443A06">
        <w:rPr>
          <w:rtl/>
        </w:rPr>
        <w:t xml:space="preserve">لموظفي شؤون الحماية في المكتب الفرنسي لحماية اللاجئين وعديمي الجنسية دورة تدريبية خاصة بشأن </w:t>
      </w:r>
      <w:r w:rsidRPr="00443A06">
        <w:rPr>
          <w:rFonts w:hint="cs"/>
          <w:rtl/>
        </w:rPr>
        <w:t>قصص</w:t>
      </w:r>
      <w:r w:rsidRPr="00443A06">
        <w:rPr>
          <w:rtl/>
        </w:rPr>
        <w:t xml:space="preserve"> المعاناة</w:t>
      </w:r>
      <w:r w:rsidRPr="00443A06">
        <w:rPr>
          <w:rFonts w:hint="cs"/>
          <w:rtl/>
        </w:rPr>
        <w:t xml:space="preserve">. </w:t>
      </w:r>
      <w:r w:rsidRPr="00443A06">
        <w:rPr>
          <w:rtl/>
        </w:rPr>
        <w:t xml:space="preserve">كما </w:t>
      </w:r>
      <w:r w:rsidRPr="00443A06">
        <w:rPr>
          <w:rFonts w:hint="cs"/>
          <w:rtl/>
        </w:rPr>
        <w:t>تتاح ل</w:t>
      </w:r>
      <w:r w:rsidRPr="00443A06">
        <w:rPr>
          <w:rtl/>
        </w:rPr>
        <w:t>موظفي إنفاذ القانون دورات تدريبية بالاحتكاك المباشر في مكاتب متخصصة مثل المكتب المركزي لقمع الاتجار بالأشخاص</w:t>
      </w:r>
      <w:r w:rsidRPr="00443A06">
        <w:rPr>
          <w:rFonts w:hint="cs"/>
          <w:rtl/>
        </w:rPr>
        <w:t xml:space="preserve">. </w:t>
      </w:r>
      <w:r w:rsidRPr="00443A06">
        <w:rPr>
          <w:rtl/>
        </w:rPr>
        <w:t xml:space="preserve">ومنذ عام 2006، تنظم </w:t>
      </w:r>
      <w:r w:rsidRPr="00443A06">
        <w:rPr>
          <w:rFonts w:hint="cs"/>
          <w:rtl/>
        </w:rPr>
        <w:t xml:space="preserve">هيئة </w:t>
      </w:r>
      <w:r w:rsidRPr="00443A06">
        <w:rPr>
          <w:rtl/>
        </w:rPr>
        <w:t>تنسق الآلية الوطنية للجهات الفاعلة في مجال التضامن "</w:t>
      </w:r>
      <w:r w:rsidRPr="00443A06">
        <w:rPr>
          <w:szCs w:val="32"/>
          <w:lang w:val="fr-FR"/>
        </w:rPr>
        <w:t>Dispositif</w:t>
      </w:r>
      <w:r w:rsidR="00443A06">
        <w:rPr>
          <w:szCs w:val="32"/>
          <w:lang w:val="fr-FR"/>
        </w:rPr>
        <w:t> </w:t>
      </w:r>
      <w:r w:rsidRPr="00443A06">
        <w:rPr>
          <w:szCs w:val="32"/>
          <w:lang w:val="fr-FR"/>
        </w:rPr>
        <w:t>National Ac.Sé</w:t>
      </w:r>
      <w:r w:rsidRPr="00443A06">
        <w:rPr>
          <w:rtl/>
        </w:rPr>
        <w:t xml:space="preserve">" دورات تدريبية في </w:t>
      </w:r>
      <w:r w:rsidRPr="00443A06">
        <w:rPr>
          <w:rFonts w:hint="cs"/>
          <w:rtl/>
        </w:rPr>
        <w:t xml:space="preserve">مختلف </w:t>
      </w:r>
      <w:r w:rsidRPr="00443A06">
        <w:rPr>
          <w:rtl/>
        </w:rPr>
        <w:t>مناطق فرنسا</w:t>
      </w:r>
      <w:r w:rsidRPr="00443A06">
        <w:rPr>
          <w:rFonts w:hint="cs"/>
          <w:rtl/>
        </w:rPr>
        <w:t xml:space="preserve">. </w:t>
      </w:r>
      <w:r w:rsidRPr="00443A06">
        <w:rPr>
          <w:rtl/>
        </w:rPr>
        <w:t xml:space="preserve">وقد أتاح ذلك تدريب </w:t>
      </w:r>
      <w:r w:rsidRPr="00443A06">
        <w:rPr>
          <w:rFonts w:hint="cs"/>
          <w:rtl/>
        </w:rPr>
        <w:t xml:space="preserve">زهاء </w:t>
      </w:r>
      <w:r w:rsidRPr="00443A06">
        <w:rPr>
          <w:rtl/>
        </w:rPr>
        <w:t>050 1 مهني</w:t>
      </w:r>
      <w:r w:rsidR="00443A06">
        <w:rPr>
          <w:rtl/>
        </w:rPr>
        <w:t xml:space="preserve">اً </w:t>
      </w:r>
      <w:r w:rsidRPr="00443A06">
        <w:rPr>
          <w:rtl/>
        </w:rPr>
        <w:t>من القطاع الطبي</w:t>
      </w:r>
      <w:r w:rsidR="00D575E7">
        <w:rPr>
          <w:rFonts w:hint="cs"/>
          <w:rtl/>
        </w:rPr>
        <w:t xml:space="preserve"> </w:t>
      </w:r>
      <w:r w:rsidRPr="00443A06">
        <w:rPr>
          <w:rtl/>
        </w:rPr>
        <w:t>-</w:t>
      </w:r>
      <w:r w:rsidR="00D575E7">
        <w:rPr>
          <w:rFonts w:hint="cs"/>
          <w:rtl/>
        </w:rPr>
        <w:t xml:space="preserve"> </w:t>
      </w:r>
      <w:r w:rsidRPr="00443A06">
        <w:rPr>
          <w:rtl/>
        </w:rPr>
        <w:t>الاجتماعي ومن هيئات إنفاذ القانون</w:t>
      </w:r>
      <w:r w:rsidRPr="00443A06">
        <w:rPr>
          <w:rFonts w:hint="cs"/>
          <w:rtl/>
        </w:rPr>
        <w:t xml:space="preserve">. </w:t>
      </w:r>
      <w:r w:rsidRPr="00443A06">
        <w:rPr>
          <w:rtl/>
        </w:rPr>
        <w:t>وتهدف هذه الدورات التدريبية إلى تحسين المعارف في مجال تحديد ضحايا الاتجار بالأشخاص وحمايتهم</w:t>
      </w:r>
      <w:r w:rsidRPr="00443A06">
        <w:rPr>
          <w:rStyle w:val="EndnoteReference"/>
          <w:rtl/>
        </w:rPr>
        <w:t>(</w:t>
      </w:r>
      <w:r w:rsidRPr="00443A06">
        <w:rPr>
          <w:rStyle w:val="EndnoteReference"/>
          <w:rtl/>
        </w:rPr>
        <w:endnoteReference w:id="226"/>
      </w:r>
      <w:r w:rsidRPr="00443A06">
        <w:rPr>
          <w:rStyle w:val="EndnoteReference"/>
          <w:rtl/>
        </w:rPr>
        <w:t>)</w:t>
      </w:r>
      <w:r w:rsidRPr="00443A06">
        <w:rPr>
          <w:rFonts w:hint="cs"/>
          <w:rtl/>
        </w:rPr>
        <w:t>.</w:t>
      </w:r>
    </w:p>
    <w:p w:rsidR="00944A3C" w:rsidRPr="005C0E11" w:rsidRDefault="00944A3C" w:rsidP="00234EE6">
      <w:pPr>
        <w:pStyle w:val="SingleTxtGA"/>
        <w:spacing w:after="360"/>
        <w:rPr>
          <w:spacing w:val="-4"/>
          <w:lang w:bidi="ar-DZ"/>
        </w:rPr>
      </w:pPr>
      <w:r w:rsidRPr="005C0E11">
        <w:rPr>
          <w:rFonts w:hint="cs"/>
          <w:spacing w:val="-4"/>
          <w:rtl/>
        </w:rPr>
        <w:t>422-</w:t>
      </w:r>
      <w:r w:rsidRPr="005C0E11">
        <w:rPr>
          <w:rFonts w:hint="cs"/>
          <w:spacing w:val="-4"/>
          <w:rtl/>
        </w:rPr>
        <w:tab/>
      </w:r>
      <w:r w:rsidRPr="005C0E11">
        <w:rPr>
          <w:spacing w:val="-4"/>
          <w:rtl/>
        </w:rPr>
        <w:t xml:space="preserve">ويوفر مركز بريمو ليفي دورات تدريبية </w:t>
      </w:r>
      <w:r w:rsidRPr="005C0E11">
        <w:rPr>
          <w:rFonts w:hint="cs"/>
          <w:spacing w:val="-4"/>
          <w:rtl/>
        </w:rPr>
        <w:t>ل</w:t>
      </w:r>
      <w:r w:rsidRPr="005C0E11">
        <w:rPr>
          <w:spacing w:val="-4"/>
          <w:rtl/>
        </w:rPr>
        <w:t xml:space="preserve">لعاملين في المؤسسات التي </w:t>
      </w:r>
      <w:r w:rsidRPr="005C0E11">
        <w:rPr>
          <w:rFonts w:hint="cs"/>
          <w:spacing w:val="-4"/>
          <w:rtl/>
        </w:rPr>
        <w:t xml:space="preserve">يرتبط عملها </w:t>
      </w:r>
      <w:r w:rsidRPr="005C0E11">
        <w:rPr>
          <w:spacing w:val="-4"/>
          <w:rtl/>
        </w:rPr>
        <w:t>بالأشخاص الذين تعرضوا للتعذيب</w:t>
      </w:r>
      <w:r w:rsidRPr="005C0E11">
        <w:rPr>
          <w:rFonts w:hint="cs"/>
          <w:spacing w:val="-4"/>
          <w:rtl/>
        </w:rPr>
        <w:t xml:space="preserve">. </w:t>
      </w:r>
      <w:r w:rsidRPr="005C0E11">
        <w:rPr>
          <w:spacing w:val="-4"/>
          <w:rtl/>
        </w:rPr>
        <w:t>و</w:t>
      </w:r>
      <w:r w:rsidRPr="005C0E11">
        <w:rPr>
          <w:rFonts w:hint="cs"/>
          <w:spacing w:val="-4"/>
          <w:rtl/>
        </w:rPr>
        <w:t xml:space="preserve">في هذا الصدد، </w:t>
      </w:r>
      <w:r w:rsidRPr="005C0E11">
        <w:rPr>
          <w:spacing w:val="-4"/>
          <w:rtl/>
        </w:rPr>
        <w:t xml:space="preserve">يقدم أعضاء هذه الجمعية خدمات في مراكز </w:t>
      </w:r>
      <w:r w:rsidRPr="005C0E11">
        <w:rPr>
          <w:rFonts w:hint="cs"/>
          <w:spacing w:val="-4"/>
          <w:rtl/>
        </w:rPr>
        <w:t xml:space="preserve">إيواء </w:t>
      </w:r>
      <w:r w:rsidRPr="005C0E11">
        <w:rPr>
          <w:spacing w:val="-4"/>
          <w:rtl/>
        </w:rPr>
        <w:t>ملتمسي اللجوء، ومراكز الرعاية الطبية</w:t>
      </w:r>
      <w:r w:rsidR="005C0E11" w:rsidRPr="005C0E11">
        <w:rPr>
          <w:rFonts w:hint="cs"/>
          <w:spacing w:val="-4"/>
          <w:rtl/>
        </w:rPr>
        <w:t xml:space="preserve"> </w:t>
      </w:r>
      <w:r w:rsidRPr="005C0E11">
        <w:rPr>
          <w:spacing w:val="-4"/>
          <w:rtl/>
        </w:rPr>
        <w:t>-</w:t>
      </w:r>
      <w:r w:rsidR="005C0E11" w:rsidRPr="005C0E11">
        <w:rPr>
          <w:rFonts w:hint="cs"/>
          <w:spacing w:val="-4"/>
          <w:rtl/>
        </w:rPr>
        <w:t xml:space="preserve"> </w:t>
      </w:r>
      <w:r w:rsidRPr="005C0E11">
        <w:rPr>
          <w:spacing w:val="-4"/>
          <w:rtl/>
        </w:rPr>
        <w:t>النفسية، ومراكز الرعاية الطبية</w:t>
      </w:r>
      <w:r w:rsidR="005C0E11" w:rsidRPr="005C0E11">
        <w:rPr>
          <w:rFonts w:hint="cs"/>
          <w:spacing w:val="-4"/>
          <w:rtl/>
        </w:rPr>
        <w:t xml:space="preserve"> </w:t>
      </w:r>
      <w:r w:rsidRPr="005C0E11">
        <w:rPr>
          <w:spacing w:val="-4"/>
          <w:rtl/>
        </w:rPr>
        <w:t>-</w:t>
      </w:r>
      <w:r w:rsidR="005C0E11" w:rsidRPr="005C0E11">
        <w:rPr>
          <w:rFonts w:hint="cs"/>
          <w:spacing w:val="-4"/>
          <w:rtl/>
        </w:rPr>
        <w:t xml:space="preserve"> </w:t>
      </w:r>
      <w:r w:rsidRPr="005C0E11">
        <w:rPr>
          <w:spacing w:val="-4"/>
          <w:rtl/>
        </w:rPr>
        <w:t>النفسية</w:t>
      </w:r>
      <w:r w:rsidR="005C0E11" w:rsidRPr="005C0E11">
        <w:rPr>
          <w:rFonts w:hint="cs"/>
          <w:spacing w:val="-4"/>
          <w:rtl/>
        </w:rPr>
        <w:t xml:space="preserve"> </w:t>
      </w:r>
      <w:r w:rsidRPr="005C0E11">
        <w:rPr>
          <w:spacing w:val="-4"/>
          <w:rtl/>
        </w:rPr>
        <w:t>-</w:t>
      </w:r>
      <w:r w:rsidR="005C0E11" w:rsidRPr="005C0E11">
        <w:rPr>
          <w:rFonts w:hint="cs"/>
          <w:spacing w:val="-4"/>
          <w:rtl/>
        </w:rPr>
        <w:t xml:space="preserve"> </w:t>
      </w:r>
      <w:r w:rsidRPr="005C0E11">
        <w:rPr>
          <w:spacing w:val="-4"/>
          <w:rtl/>
        </w:rPr>
        <w:t>التربوية، ل</w:t>
      </w:r>
      <w:r w:rsidRPr="005C0E11">
        <w:rPr>
          <w:rFonts w:hint="cs"/>
          <w:spacing w:val="-4"/>
          <w:rtl/>
        </w:rPr>
        <w:t>فائدة ا</w:t>
      </w:r>
      <w:r w:rsidRPr="005C0E11">
        <w:rPr>
          <w:spacing w:val="-4"/>
          <w:rtl/>
        </w:rPr>
        <w:t xml:space="preserve">لأطباء النفسانيين، والأخصائيين الاجتماعيين، ومسؤولي مراكز </w:t>
      </w:r>
      <w:r w:rsidRPr="005C0E11">
        <w:rPr>
          <w:rFonts w:hint="cs"/>
          <w:spacing w:val="-4"/>
          <w:rtl/>
        </w:rPr>
        <w:t xml:space="preserve">الإيواء </w:t>
      </w:r>
      <w:r w:rsidRPr="005C0E11">
        <w:rPr>
          <w:spacing w:val="-4"/>
          <w:rtl/>
        </w:rPr>
        <w:t>والأطباء</w:t>
      </w:r>
      <w:r w:rsidRPr="005C0E11">
        <w:rPr>
          <w:rStyle w:val="EndnoteReference"/>
          <w:spacing w:val="-4"/>
          <w:rtl/>
        </w:rPr>
        <w:t>(</w:t>
      </w:r>
      <w:r w:rsidRPr="005C0E11">
        <w:rPr>
          <w:rStyle w:val="EndnoteReference"/>
          <w:spacing w:val="-4"/>
          <w:rtl/>
        </w:rPr>
        <w:endnoteReference w:id="227"/>
      </w:r>
      <w:r w:rsidRPr="005C0E11">
        <w:rPr>
          <w:rStyle w:val="EndnoteReference"/>
          <w:spacing w:val="-4"/>
          <w:rtl/>
        </w:rPr>
        <w:t>)</w:t>
      </w:r>
      <w:r w:rsidRPr="005C0E11">
        <w:rPr>
          <w:rFonts w:hint="cs"/>
          <w:spacing w:val="-4"/>
          <w:rtl/>
        </w:rPr>
        <w:t>.</w:t>
      </w:r>
    </w:p>
    <w:sectPr w:rsidR="00944A3C" w:rsidRPr="005C0E11" w:rsidSect="004C2FE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42" w:rsidRPr="002901D9" w:rsidRDefault="008F7F42" w:rsidP="00234EE6">
      <w:pPr>
        <w:spacing w:after="60" w:line="240" w:lineRule="auto"/>
        <w:ind w:left="57"/>
        <w:rPr>
          <w:i/>
          <w:iCs/>
        </w:rPr>
      </w:pPr>
      <w:r>
        <w:rPr>
          <w:rFonts w:hint="cs"/>
          <w:i/>
          <w:iCs/>
          <w:rtl/>
        </w:rPr>
        <w:t>الحواشي</w:t>
      </w:r>
    </w:p>
  </w:endnote>
  <w:endnote w:type="continuationSeparator" w:id="0">
    <w:p w:rsidR="008F7F42" w:rsidRPr="00A1269F" w:rsidRDefault="008F7F42" w:rsidP="00A1269F">
      <w:pPr>
        <w:pStyle w:val="Footer"/>
      </w:pPr>
    </w:p>
  </w:endnote>
  <w:endnote w:type="continuationNotice" w:id="1">
    <w:p w:rsidR="00A1269F" w:rsidRPr="00A1269F" w:rsidRDefault="00A1269F" w:rsidP="00A1269F">
      <w:pPr>
        <w:pStyle w:val="Footer"/>
      </w:pPr>
    </w:p>
  </w:endnote>
  <w:endnote w:id="2">
    <w:p w:rsidR="008F7F42" w:rsidRPr="00A1269F" w:rsidRDefault="008F7F42" w:rsidP="002E7A2D">
      <w:pPr>
        <w:pStyle w:val="EndnoteText"/>
        <w:tabs>
          <w:tab w:val="clear" w:pos="1021"/>
        </w:tabs>
        <w:spacing w:after="60"/>
        <w:ind w:hanging="567"/>
        <w:rPr>
          <w:spacing w:val="-4"/>
        </w:rPr>
      </w:pPr>
      <w:r w:rsidRPr="00A1269F">
        <w:rPr>
          <w:rStyle w:val="EndnoteReference"/>
          <w:spacing w:val="-4"/>
          <w:vertAlign w:val="baseline"/>
          <w:rtl/>
        </w:rPr>
        <w:t>(</w:t>
      </w:r>
      <w:r w:rsidRPr="00A1269F">
        <w:rPr>
          <w:rStyle w:val="EndnoteReference"/>
          <w:spacing w:val="-4"/>
          <w:vertAlign w:val="baseline"/>
          <w:rtl/>
        </w:rPr>
        <w:endnoteRef/>
      </w:r>
      <w:r w:rsidRPr="00A1269F">
        <w:rPr>
          <w:rStyle w:val="EndnoteReference"/>
          <w:spacing w:val="-4"/>
          <w:vertAlign w:val="baseline"/>
          <w:rtl/>
        </w:rPr>
        <w:t>)</w:t>
      </w:r>
      <w:r w:rsidRPr="00A1269F">
        <w:rPr>
          <w:rStyle w:val="EndnoteReference"/>
          <w:spacing w:val="-4"/>
          <w:vertAlign w:val="baseline"/>
          <w:rtl/>
        </w:rPr>
        <w:tab/>
      </w:r>
      <w:r w:rsidRPr="00A1269F">
        <w:rPr>
          <w:spacing w:val="-4"/>
          <w:rtl/>
        </w:rPr>
        <w:t>قلص القانون رقم 2015-29 المؤرخ 16 كانون الثاني/يناير 2015، المتعلق ب</w:t>
      </w:r>
      <w:r w:rsidRPr="00A1269F">
        <w:rPr>
          <w:rFonts w:hint="cs"/>
          <w:spacing w:val="-4"/>
          <w:rtl/>
        </w:rPr>
        <w:t>ت</w:t>
      </w:r>
      <w:r w:rsidRPr="00A1269F">
        <w:rPr>
          <w:spacing w:val="-4"/>
          <w:rtl/>
        </w:rPr>
        <w:t>رس</w:t>
      </w:r>
      <w:r w:rsidRPr="00A1269F">
        <w:rPr>
          <w:rFonts w:hint="cs"/>
          <w:spacing w:val="-4"/>
          <w:rtl/>
        </w:rPr>
        <w:t>ي</w:t>
      </w:r>
      <w:r w:rsidRPr="00A1269F">
        <w:rPr>
          <w:spacing w:val="-4"/>
          <w:rtl/>
        </w:rPr>
        <w:t>م حدود المناطق وبالانتخابات التي تُجرى على صعيد المناطق والمقاطعات والمعد</w:t>
      </w:r>
      <w:r w:rsidRPr="00A1269F">
        <w:rPr>
          <w:rFonts w:hint="cs"/>
          <w:spacing w:val="-4"/>
          <w:rtl/>
        </w:rPr>
        <w:t>ِّ</w:t>
      </w:r>
      <w:r w:rsidRPr="00A1269F">
        <w:rPr>
          <w:spacing w:val="-4"/>
          <w:rtl/>
        </w:rPr>
        <w:t>ل للجدول الزمني للانتخابات، عدد المناطق في فرنسا المتروبولية من</w:t>
      </w:r>
      <w:r w:rsidRPr="00A1269F">
        <w:rPr>
          <w:rFonts w:hint="cs"/>
          <w:spacing w:val="-4"/>
          <w:rtl/>
        </w:rPr>
        <w:t> </w:t>
      </w:r>
      <w:r w:rsidRPr="00A1269F">
        <w:rPr>
          <w:spacing w:val="-4"/>
          <w:rtl/>
        </w:rPr>
        <w:t>22 إلى 13 منطقة. وبدأ سريان هذا التقسيم الجديد للمناطق في 1 كانون الثاني/يناير 2016.</w:t>
      </w:r>
    </w:p>
  </w:endnote>
  <w:endnote w:id="3">
    <w:p w:rsidR="008F7F42" w:rsidRPr="00A1269F" w:rsidRDefault="008F7F42" w:rsidP="002E7A2D">
      <w:pPr>
        <w:pStyle w:val="EndnoteText"/>
        <w:tabs>
          <w:tab w:val="clear" w:pos="1021"/>
        </w:tabs>
        <w:spacing w:after="60"/>
        <w:ind w:hanging="567"/>
        <w:rPr>
          <w:rStyle w:val="EndnoteReference"/>
          <w:vertAlign w:val="baseline"/>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tl/>
        </w:rPr>
        <w:tab/>
        <w:t xml:space="preserve">الأرقام الرئيسية </w:t>
      </w:r>
      <w:r w:rsidRPr="00A1269F">
        <w:rPr>
          <w:rFonts w:hint="cs"/>
          <w:rtl/>
        </w:rPr>
        <w:t>ل</w:t>
      </w:r>
      <w:r w:rsidRPr="00A1269F">
        <w:rPr>
          <w:rtl/>
        </w:rPr>
        <w:t>لرمز الجغرافي الرسمي (</w:t>
      </w:r>
      <w:r w:rsidRPr="00A1269F">
        <w:t>code officiel géographique</w:t>
      </w:r>
      <w:r w:rsidRPr="00A1269F">
        <w:rPr>
          <w:rFonts w:hint="cs"/>
          <w:rtl/>
        </w:rPr>
        <w:t>)</w:t>
      </w:r>
      <w:r w:rsidRPr="00A1269F">
        <w:rPr>
          <w:rtl/>
        </w:rPr>
        <w:t>، حتى 1 كانون الثاني/يناير 2015</w:t>
      </w:r>
      <w:r w:rsidRPr="00A1269F">
        <w:rPr>
          <w:rFonts w:hint="cs"/>
          <w:rtl/>
        </w:rPr>
        <w:t>.</w:t>
      </w:r>
      <w:r w:rsidRPr="00A1269F">
        <w:rPr>
          <w:rtl/>
        </w:rPr>
        <w:br/>
      </w:r>
      <w:hyperlink r:id="rId1" w:history="1">
        <w:r w:rsidRPr="00A1269F">
          <w:rPr>
            <w:rStyle w:val="Hyperlink"/>
            <w:rFonts w:eastAsiaTheme="majorEastAsia"/>
            <w:color w:val="auto"/>
            <w:u w:val="none"/>
          </w:rPr>
          <w:t>http://www.insee.fr/fr/methodes/nomenclatures/cog/documentation.asp?page=documentation.htm</w:t>
        </w:r>
      </w:hyperlink>
      <w:r w:rsidRPr="00A1269F">
        <w:rPr>
          <w:rStyle w:val="Hyperlink"/>
          <w:rFonts w:eastAsiaTheme="majorEastAsia" w:hint="cs"/>
          <w:color w:val="auto"/>
          <w:u w:val="none"/>
          <w:rtl/>
        </w:rPr>
        <w:t>.</w:t>
      </w:r>
    </w:p>
  </w:endnote>
  <w:endnote w:id="4">
    <w:p w:rsidR="008F7F42" w:rsidRPr="00A1269F" w:rsidRDefault="008F7F42" w:rsidP="002E7A2D">
      <w:pPr>
        <w:pStyle w:val="EndnoteText"/>
        <w:tabs>
          <w:tab w:val="clear" w:pos="1021"/>
        </w:tabs>
        <w:spacing w:after="60"/>
        <w:ind w:hanging="567"/>
        <w:rPr>
          <w:spacing w:val="-2"/>
          <w:rtl/>
          <w:lang w:val="fr-CH" w:bidi="ar-DZ"/>
        </w:rPr>
      </w:pPr>
      <w:r w:rsidRPr="00A1269F">
        <w:rPr>
          <w:rStyle w:val="EndnoteReference"/>
          <w:spacing w:val="-2"/>
          <w:vertAlign w:val="baseline"/>
          <w:rtl/>
        </w:rPr>
        <w:t>(</w:t>
      </w:r>
      <w:r w:rsidRPr="00A1269F">
        <w:rPr>
          <w:rStyle w:val="EndnoteReference"/>
          <w:spacing w:val="-2"/>
          <w:vertAlign w:val="baseline"/>
          <w:rtl/>
        </w:rPr>
        <w:endnoteRef/>
      </w:r>
      <w:r w:rsidRPr="00A1269F">
        <w:rPr>
          <w:rStyle w:val="EndnoteReference"/>
          <w:spacing w:val="-2"/>
          <w:vertAlign w:val="baseline"/>
          <w:rtl/>
        </w:rPr>
        <w:t>)</w:t>
      </w:r>
      <w:r w:rsidRPr="00A1269F">
        <w:rPr>
          <w:rStyle w:val="EndnoteReference"/>
          <w:spacing w:val="-2"/>
          <w:vertAlign w:val="baseline"/>
          <w:rtl/>
        </w:rPr>
        <w:tab/>
        <w:t>المعهد الوطني للإحصاء والبحوث الاقتصادية</w:t>
      </w:r>
      <w:r w:rsidRPr="00A1269F">
        <w:rPr>
          <w:rStyle w:val="EndnoteReference"/>
          <w:rFonts w:hint="cs"/>
          <w:spacing w:val="-2"/>
          <w:vertAlign w:val="baseline"/>
          <w:rtl/>
        </w:rPr>
        <w:t xml:space="preserve">، النمو السكاني، جدول: </w:t>
      </w:r>
      <w:r w:rsidRPr="00A1269F">
        <w:rPr>
          <w:spacing w:val="-2"/>
          <w:lang w:val="fr-CH"/>
        </w:rPr>
        <w:t xml:space="preserve">« Composante de la croissance démographique, France » et « Composante de la croissance démographique, France métropolitaine ». </w:t>
      </w:r>
      <w:hyperlink r:id="rId2" w:history="1">
        <w:r w:rsidRPr="00A1269F">
          <w:rPr>
            <w:rStyle w:val="Hyperlink"/>
            <w:color w:val="auto"/>
            <w:u w:val="none"/>
          </w:rPr>
          <w:t>http://www.insee.fr/fr/themes/detail.asp?ref_id=bilan-demo&amp;page=donnees-detaillees/bilan-demo/</w:t>
        </w:r>
        <w:r w:rsidRPr="00A1269F">
          <w:rPr>
            <w:rStyle w:val="Hyperlink"/>
            <w:color w:val="auto"/>
            <w:u w:val="none"/>
          </w:rPr>
          <w:br/>
          <w:t>pop_age3.htm</w:t>
        </w:r>
      </w:hyperlink>
      <w:r w:rsidRPr="00A1269F">
        <w:rPr>
          <w:rStyle w:val="Hyperlink"/>
          <w:rFonts w:hint="cs"/>
          <w:color w:val="auto"/>
          <w:u w:val="none"/>
          <w:rtl/>
        </w:rPr>
        <w:t>.</w:t>
      </w:r>
    </w:p>
  </w:endnote>
  <w:endnote w:id="5">
    <w:p w:rsidR="008F7F42" w:rsidRPr="00A1269F" w:rsidRDefault="008F7F42" w:rsidP="002E7A2D">
      <w:pPr>
        <w:pStyle w:val="EndnoteText"/>
        <w:tabs>
          <w:tab w:val="clear" w:pos="1021"/>
        </w:tabs>
        <w:spacing w:after="60"/>
        <w:ind w:hanging="567"/>
        <w:rPr>
          <w:spacing w:val="-4"/>
        </w:rPr>
      </w:pPr>
      <w:r w:rsidRPr="00A1269F">
        <w:rPr>
          <w:rStyle w:val="EndnoteReference"/>
          <w:spacing w:val="-4"/>
          <w:vertAlign w:val="baseline"/>
          <w:rtl/>
        </w:rPr>
        <w:t>(</w:t>
      </w:r>
      <w:r w:rsidRPr="00A1269F">
        <w:rPr>
          <w:rStyle w:val="EndnoteReference"/>
          <w:spacing w:val="-4"/>
          <w:vertAlign w:val="baseline"/>
          <w:rtl/>
        </w:rPr>
        <w:endnoteRef/>
      </w:r>
      <w:r w:rsidRPr="00A1269F">
        <w:rPr>
          <w:rStyle w:val="EndnoteReference"/>
          <w:spacing w:val="-4"/>
          <w:vertAlign w:val="baseline"/>
          <w:rtl/>
        </w:rPr>
        <w:t>)</w:t>
      </w:r>
      <w:r w:rsidRPr="00A1269F">
        <w:rPr>
          <w:rStyle w:val="EndnoteReference"/>
          <w:spacing w:val="-4"/>
          <w:vertAlign w:val="baseline"/>
          <w:rtl/>
        </w:rPr>
        <w:tab/>
        <w:t>المعهد الوطني للإحصاء والبحوث الاقتصادية</w:t>
      </w:r>
      <w:r w:rsidRPr="00A1269F">
        <w:rPr>
          <w:rStyle w:val="EndnoteReference"/>
          <w:rFonts w:hint="cs"/>
          <w:spacing w:val="-4"/>
          <w:vertAlign w:val="baseline"/>
          <w:rtl/>
        </w:rPr>
        <w:t xml:space="preserve">، جدول </w:t>
      </w:r>
      <w:r w:rsidRPr="00A1269F">
        <w:rPr>
          <w:spacing w:val="-4"/>
          <w:lang w:val="fr-CH"/>
        </w:rPr>
        <w:t>«Population totale par sexe et âge au 1</w:t>
      </w:r>
      <w:r w:rsidRPr="00A1269F">
        <w:rPr>
          <w:spacing w:val="-4"/>
          <w:vertAlign w:val="superscript"/>
          <w:lang w:val="fr-CH"/>
        </w:rPr>
        <w:t>er</w:t>
      </w:r>
      <w:r w:rsidRPr="00A1269F">
        <w:rPr>
          <w:spacing w:val="-4"/>
          <w:lang w:val="fr-CH"/>
        </w:rPr>
        <w:t xml:space="preserve"> janvier 2016»</w:t>
      </w:r>
      <w:r w:rsidRPr="00A1269F">
        <w:rPr>
          <w:rFonts w:hint="cs"/>
          <w:spacing w:val="-4"/>
          <w:rtl/>
          <w:lang w:val="fr-CH"/>
        </w:rPr>
        <w:t xml:space="preserve">. </w:t>
      </w:r>
      <w:hyperlink r:id="rId3" w:history="1">
        <w:r w:rsidRPr="00A1269F">
          <w:rPr>
            <w:rStyle w:val="Hyperlink"/>
            <w:color w:val="auto"/>
            <w:u w:val="none"/>
          </w:rPr>
          <w:t>http://www.insee.fr/fr/themes/detail.asp?ref_id=bilan-demo&amp;page=donnees-detaillees/bilan-demo/</w:t>
        </w:r>
        <w:r w:rsidRPr="00A1269F">
          <w:rPr>
            <w:rStyle w:val="Hyperlink"/>
            <w:color w:val="auto"/>
            <w:u w:val="none"/>
          </w:rPr>
          <w:br/>
          <w:t>pop_age2b.htm</w:t>
        </w:r>
      </w:hyperlink>
      <w:r w:rsidRPr="00A1269F">
        <w:rPr>
          <w:rStyle w:val="Hyperlink"/>
          <w:rFonts w:hint="cs"/>
          <w:color w:val="auto"/>
          <w:u w:val="none"/>
          <w:rtl/>
        </w:rPr>
        <w:t>.</w:t>
      </w:r>
    </w:p>
  </w:endnote>
  <w:endnote w:id="6">
    <w:p w:rsidR="008F7F42" w:rsidRPr="00A1269F" w:rsidRDefault="008F7F42" w:rsidP="00E1547E">
      <w:pPr>
        <w:pStyle w:val="EndnoteText"/>
        <w:tabs>
          <w:tab w:val="clear" w:pos="1021"/>
        </w:tabs>
        <w:spacing w:after="0"/>
        <w:ind w:hanging="567"/>
        <w:rPr>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Style w:val="EndnoteReference"/>
          <w:rFonts w:hint="cs"/>
          <w:vertAlign w:val="baseline"/>
          <w:rtl/>
        </w:rPr>
        <w:t>، جدول</w:t>
      </w:r>
      <w:r w:rsidRPr="00A1269F">
        <w:rPr>
          <w:rFonts w:hint="cs"/>
          <w:rtl/>
        </w:rPr>
        <w:t xml:space="preserve"> </w:t>
      </w:r>
      <w:r w:rsidRPr="00A1269F">
        <w:rPr>
          <w:lang w:val="fr-CH"/>
        </w:rPr>
        <w:t>«Population totale par sexe et âge au 1</w:t>
      </w:r>
      <w:r w:rsidRPr="00A1269F">
        <w:rPr>
          <w:vertAlign w:val="superscript"/>
          <w:lang w:val="fr-CH"/>
        </w:rPr>
        <w:t>er</w:t>
      </w:r>
      <w:r w:rsidRPr="00A1269F">
        <w:rPr>
          <w:lang w:val="fr-CH"/>
        </w:rPr>
        <w:t xml:space="preserve"> janvier 2016, France métropolitaine» </w:t>
      </w:r>
      <w:hyperlink r:id="rId4" w:history="1">
        <w:r w:rsidRPr="00A1269F">
          <w:rPr>
            <w:rStyle w:val="Hyperlink"/>
            <w:color w:val="auto"/>
            <w:u w:val="none"/>
            <w:lang w:val="fr-CH"/>
          </w:rPr>
          <w:t>http://www.insee.fr/fr/themes/detail.asp?ref_id=bilan-demo&amp;page=</w:t>
        </w:r>
        <w:r w:rsidRPr="00A1269F">
          <w:rPr>
            <w:rStyle w:val="Hyperlink"/>
            <w:color w:val="auto"/>
            <w:u w:val="none"/>
            <w:lang w:val="fr-CH"/>
          </w:rPr>
          <w:br/>
          <w:t>donnees-detaillees/bilan-demo/pop_age2.htm</w:t>
        </w:r>
      </w:hyperlink>
      <w:r w:rsidRPr="00A1269F">
        <w:rPr>
          <w:rFonts w:hint="cs"/>
          <w:rtl/>
        </w:rPr>
        <w:t>.</w:t>
      </w:r>
    </w:p>
  </w:endnote>
  <w:endnote w:id="7">
    <w:p w:rsidR="008F7F42" w:rsidRPr="00A1269F" w:rsidRDefault="008F7F42" w:rsidP="00B8115D">
      <w:pPr>
        <w:pStyle w:val="EndnoteText"/>
        <w:tabs>
          <w:tab w:val="clear" w:pos="1021"/>
        </w:tabs>
        <w:spacing w:after="60"/>
        <w:ind w:hanging="567"/>
        <w:rPr>
          <w:rtl/>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Style w:val="EndnoteReference"/>
          <w:rFonts w:hint="cs"/>
          <w:vertAlign w:val="baseline"/>
          <w:rtl/>
        </w:rPr>
        <w:t xml:space="preserve">، جدول </w:t>
      </w:r>
      <w:r w:rsidRPr="00A1269F">
        <w:rPr>
          <w:lang w:val="fr-CH"/>
        </w:rPr>
        <w:t>«Population, superficie et densité des principaux pays du monde en 2015»</w:t>
      </w:r>
      <w:r w:rsidRPr="00A1269F">
        <w:rPr>
          <w:rtl/>
        </w:rPr>
        <w:tab/>
      </w:r>
      <w:r w:rsidRPr="00A1269F">
        <w:rPr>
          <w:rtl/>
        </w:rPr>
        <w:br/>
      </w:r>
      <w:hyperlink r:id="rId5" w:history="1">
        <w:r w:rsidRPr="00A1269F">
          <w:rPr>
            <w:rStyle w:val="Hyperlink"/>
            <w:rFonts w:eastAsiaTheme="majorEastAsia"/>
            <w:color w:val="auto"/>
            <w:u w:val="none"/>
            <w:lang w:val="fr-CH"/>
          </w:rPr>
          <w:t>http://www.insee.fr/fr/themes/tableau.asp?reg_id=98&amp;ref_id=CMPTEF01105</w:t>
        </w:r>
      </w:hyperlink>
      <w:r w:rsidRPr="00A1269F">
        <w:rPr>
          <w:rStyle w:val="Hyperlink"/>
          <w:rFonts w:eastAsiaTheme="majorEastAsia" w:hint="cs"/>
          <w:color w:val="auto"/>
          <w:u w:val="none"/>
          <w:rtl/>
          <w:lang w:val="fr-CH"/>
        </w:rPr>
        <w:t>.</w:t>
      </w:r>
    </w:p>
  </w:endnote>
  <w:endnote w:id="8">
    <w:p w:rsidR="008F7F42" w:rsidRPr="00A1269F" w:rsidRDefault="008F7F42" w:rsidP="00B8115D">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V. BELLAMY et C. BEAUMEL, « Bilan démographique 2015 : le nombre de décès au plus haut</w:t>
      </w:r>
      <w:r w:rsidRPr="00A1269F">
        <w:rPr>
          <w:lang w:val="fr-CH"/>
        </w:rPr>
        <w:br/>
        <w:t>depuis l’après-guerre », Insee Première</w:t>
      </w:r>
      <w:r w:rsidRPr="00A1269F">
        <w:rPr>
          <w:rtl/>
        </w:rPr>
        <w:t xml:space="preserve">، </w:t>
      </w:r>
      <w:r w:rsidRPr="00A1269F">
        <w:rPr>
          <w:rFonts w:hint="cs"/>
          <w:rtl/>
        </w:rPr>
        <w:t xml:space="preserve">العدد </w:t>
      </w:r>
      <w:r w:rsidRPr="00A1269F">
        <w:rPr>
          <w:rtl/>
        </w:rPr>
        <w:t>1581، كانون الثاني/يناير 2016، الصفحة 2.</w:t>
      </w:r>
      <w:r w:rsidRPr="00A1269F">
        <w:rPr>
          <w:rtl/>
        </w:rPr>
        <w:tab/>
      </w:r>
      <w:r w:rsidRPr="00A1269F">
        <w:rPr>
          <w:rtl/>
        </w:rPr>
        <w:br/>
      </w:r>
      <w:r w:rsidRPr="00A1269F">
        <w:t>http://www.insee.fr/fr/ffc/ipweb/ip1581/ip1581.pdf</w:t>
      </w:r>
      <w:r w:rsidRPr="00A1269F">
        <w:rPr>
          <w:rFonts w:hint="cs"/>
          <w:rtl/>
        </w:rPr>
        <w:t>.</w:t>
      </w:r>
    </w:p>
  </w:endnote>
  <w:endnote w:id="9">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أُنشئت بموجب التعديل المنصوص عليه في القانون المؤرخ 16 كانون الثاني/يناير 2016، الذي دخل حيز النفاذ في 1 كانون الثاني/يناير 2016. انظر حاشية نهاية الوثيقة رقم 1.</w:t>
      </w:r>
    </w:p>
  </w:endnote>
  <w:endnote w:id="10">
    <w:p w:rsidR="008F7F42" w:rsidRPr="00A1269F" w:rsidRDefault="008F7F42" w:rsidP="00E1547E">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INSEE, TEF</w:t>
      </w:r>
      <w:r w:rsidRPr="00A1269F">
        <w:rPr>
          <w:rFonts w:hint="cs"/>
          <w:rtl/>
        </w:rPr>
        <w:t xml:space="preserve">، طبعة 2016، الصفحة 14 </w:t>
      </w:r>
      <w:r w:rsidRPr="00A1269F">
        <w:t>http://www.insee.fr/fr/ffc/docs_ffc/tef2016.pdf</w:t>
      </w:r>
      <w:r w:rsidRPr="00A1269F">
        <w:rPr>
          <w:rFonts w:hint="cs"/>
          <w:rtl/>
        </w:rPr>
        <w:t>.</w:t>
      </w:r>
    </w:p>
  </w:endnote>
  <w:endnote w:id="11">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shd w:val="clear" w:color="auto" w:fill="FFFFFF"/>
          <w:rtl/>
        </w:rPr>
        <w:t xml:space="preserve">المنطقة الحضرية: مجموعة بلديات تتألف من مركز حضري (وحدة حضرية) يوفر أكثر من 500 1 فرصة عمل، ومن بلديات ريفية أو وحدات حضرية (مجتمعات محلية شبه حضرية) </w:t>
      </w:r>
      <w:r w:rsidRPr="00A1269F">
        <w:rPr>
          <w:rFonts w:hint="cs"/>
          <w:shd w:val="clear" w:color="auto" w:fill="FFFFFF"/>
          <w:rtl/>
        </w:rPr>
        <w:t xml:space="preserve">يعمل </w:t>
      </w:r>
      <w:r w:rsidRPr="00A1269F">
        <w:rPr>
          <w:shd w:val="clear" w:color="auto" w:fill="FFFFFF"/>
          <w:rtl/>
        </w:rPr>
        <w:t>40 في المائة على الأقل من السكان العاملين المقيمين بها في المركز الحضري أو في البلديات المحيطة به</w:t>
      </w:r>
      <w:r w:rsidRPr="00A1269F">
        <w:rPr>
          <w:rFonts w:hint="cs"/>
          <w:shd w:val="clear" w:color="auto" w:fill="FFFFFF"/>
          <w:rtl/>
        </w:rPr>
        <w:t xml:space="preserve">. </w:t>
      </w:r>
      <w:r w:rsidRPr="00A1269F">
        <w:rPr>
          <w:shd w:val="clear" w:color="auto" w:fill="FFFFFF"/>
          <w:rtl/>
        </w:rPr>
        <w:t>ويميَّز بين "المناطق الحضرية الكبرى" المحيطة بالمركز التي توفر أكثر من 000 10 فرصة عمل و"المناطق المتوسطة والصغيرة" التي توفر من 500 1 إلى 000 10 فرصة عمل</w:t>
      </w:r>
      <w:r w:rsidRPr="00A1269F">
        <w:rPr>
          <w:rFonts w:hint="cs"/>
          <w:shd w:val="clear" w:color="auto" w:fill="FFFFFF"/>
          <w:rtl/>
        </w:rPr>
        <w:t>. (</w:t>
      </w:r>
      <w:r w:rsidRPr="00A1269F">
        <w:t>INSEE, TEF</w:t>
      </w:r>
      <w:r w:rsidRPr="00A1269F">
        <w:rPr>
          <w:rFonts w:hint="cs"/>
          <w:rtl/>
        </w:rPr>
        <w:t>، طبعة 2015، الصفحة 18</w:t>
      </w:r>
      <w:r w:rsidRPr="00A1269F">
        <w:rPr>
          <w:rFonts w:hint="cs"/>
          <w:shd w:val="clear" w:color="auto" w:fill="FFFFFF"/>
          <w:rtl/>
        </w:rPr>
        <w:t>).</w:t>
      </w:r>
    </w:p>
  </w:endnote>
  <w:endnote w:id="12">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iCs/>
        </w:rPr>
        <w:t>TEF</w:t>
      </w:r>
      <w:r w:rsidRPr="00A1269F">
        <w:rPr>
          <w:rFonts w:hint="cs"/>
          <w:rtl/>
        </w:rPr>
        <w:t>، طبعة 2015، الصفحة 18.</w:t>
      </w:r>
    </w:p>
  </w:endnote>
  <w:endnote w:id="13">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iCs/>
        </w:rPr>
        <w:t>TEF</w:t>
      </w:r>
      <w:r w:rsidRPr="00A1269F">
        <w:rPr>
          <w:rFonts w:hint="cs"/>
          <w:rtl/>
        </w:rPr>
        <w:t>، طبعة 2013، الصفحة 16.</w:t>
      </w:r>
    </w:p>
  </w:endnote>
  <w:endnote w:id="14">
    <w:p w:rsidR="008F7F42" w:rsidRPr="00A1269F" w:rsidRDefault="008F7F42" w:rsidP="00A1269F">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iCs/>
        </w:rPr>
        <w:t>TEF</w:t>
      </w:r>
      <w:r w:rsidRPr="00A1269F">
        <w:rPr>
          <w:rFonts w:hint="cs"/>
          <w:rtl/>
        </w:rPr>
        <w:t>، طبعة 2011، الصفحة 16</w:t>
      </w:r>
      <w:r w:rsidR="00A1269F">
        <w:rPr>
          <w:rtl/>
        </w:rPr>
        <w:tab/>
      </w:r>
      <w:r w:rsidR="00A1269F">
        <w:rPr>
          <w:rtl/>
        </w:rPr>
        <w:br/>
      </w:r>
      <w:r w:rsidRPr="00A1269F">
        <w:rPr>
          <w:rFonts w:hint="cs"/>
          <w:rtl/>
        </w:rPr>
        <w:t xml:space="preserve"> </w:t>
      </w:r>
      <w:hyperlink r:id="rId6" w:history="1">
        <w:r w:rsidRPr="00A1269F">
          <w:rPr>
            <w:rStyle w:val="Hyperlink"/>
            <w:rFonts w:eastAsiaTheme="majorEastAsia"/>
            <w:color w:val="auto"/>
            <w:u w:val="none"/>
          </w:rPr>
          <w:t>http://www.insee.fr/fr/ffc/tef/tef2011/tef2011.pdf</w:t>
        </w:r>
      </w:hyperlink>
      <w:r w:rsidRPr="00A1269F">
        <w:rPr>
          <w:rFonts w:hint="cs"/>
          <w:rtl/>
        </w:rPr>
        <w:t>.</w:t>
      </w:r>
    </w:p>
  </w:endnote>
  <w:endnote w:id="15">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iCs/>
        </w:rPr>
        <w:t>TEF</w:t>
      </w:r>
      <w:r w:rsidRPr="00A1269F">
        <w:rPr>
          <w:rFonts w:hint="cs"/>
          <w:rtl/>
        </w:rPr>
        <w:t>، طبعة 2013، الصفحة 17.</w:t>
      </w:r>
    </w:p>
  </w:endnote>
  <w:endnote w:id="16">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iCs/>
        </w:rPr>
        <w:t>TEF</w:t>
      </w:r>
      <w:r w:rsidRPr="00A1269F">
        <w:rPr>
          <w:rFonts w:hint="cs"/>
          <w:rtl/>
        </w:rPr>
        <w:t>، طبعة 2011، الصفحة 16.</w:t>
      </w:r>
    </w:p>
  </w:endnote>
  <w:endnote w:id="17">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tl/>
        </w:rPr>
        <w:t xml:space="preserve">القانون رقم 78-17 المؤرخ 6 كانون الثاني/يناير 1978 المتعلق </w:t>
      </w:r>
      <w:r w:rsidRPr="00A1269F">
        <w:rPr>
          <w:rFonts w:hint="cs"/>
          <w:rtl/>
        </w:rPr>
        <w:t xml:space="preserve">بتكنولوجيا المعلومات </w:t>
      </w:r>
      <w:r w:rsidRPr="00A1269F">
        <w:rPr>
          <w:rtl/>
        </w:rPr>
        <w:t>والملفات والحريات، الفصل الثاني، المادة 8</w:t>
      </w:r>
      <w:r w:rsidRPr="00A1269F">
        <w:rPr>
          <w:rFonts w:hint="cs"/>
          <w:rtl/>
        </w:rPr>
        <w:t>، الفقرة أولاً.</w:t>
      </w:r>
    </w:p>
  </w:endnote>
  <w:endnote w:id="18">
    <w:p w:rsidR="008F7F42" w:rsidRPr="00A1269F" w:rsidRDefault="008F7F42" w:rsidP="002F2536">
      <w:pPr>
        <w:pStyle w:val="EndnoteText"/>
        <w:tabs>
          <w:tab w:val="clear" w:pos="1021"/>
          <w:tab w:val="right" w:pos="-852"/>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INSEE, TEF</w:t>
      </w:r>
      <w:r w:rsidRPr="00A1269F">
        <w:rPr>
          <w:rFonts w:hint="cs"/>
          <w:rtl/>
        </w:rPr>
        <w:t>، طبعة 2016، الصفحة 32.</w:t>
      </w:r>
    </w:p>
  </w:endnote>
  <w:endnote w:id="19">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INSEE, TEF</w:t>
      </w:r>
      <w:r w:rsidRPr="00A1269F">
        <w:rPr>
          <w:rFonts w:hint="cs"/>
          <w:rtl/>
        </w:rPr>
        <w:t>، طبعة 2016، الصفحتان 32 و33.</w:t>
      </w:r>
    </w:p>
  </w:endnote>
  <w:endnote w:id="20">
    <w:p w:rsidR="008F7F42" w:rsidRPr="00A1269F" w:rsidRDefault="008F7F42" w:rsidP="00D22A9B">
      <w:pPr>
        <w:pStyle w:val="EndnoteText"/>
        <w:spacing w:after="60"/>
        <w:ind w:hanging="567"/>
      </w:pPr>
      <w:r w:rsidRPr="00A1269F">
        <w:rPr>
          <w:rStyle w:val="EndnoteReference"/>
          <w:spacing w:val="-4"/>
          <w:vertAlign w:val="baseline"/>
          <w:rtl/>
        </w:rPr>
        <w:t>(</w:t>
      </w:r>
      <w:r w:rsidRPr="00A1269F">
        <w:rPr>
          <w:rStyle w:val="EndnoteReference"/>
          <w:spacing w:val="-4"/>
          <w:vertAlign w:val="baseline"/>
          <w:rtl/>
        </w:rPr>
        <w:endnoteRef/>
      </w:r>
      <w:r w:rsidRPr="00A1269F">
        <w:rPr>
          <w:rStyle w:val="EndnoteReference"/>
          <w:spacing w:val="-4"/>
          <w:vertAlign w:val="baseline"/>
          <w:rtl/>
        </w:rPr>
        <w:t>)</w:t>
      </w:r>
      <w:r w:rsidRPr="00A1269F">
        <w:rPr>
          <w:rStyle w:val="EndnoteReference"/>
          <w:vertAlign w:val="baseline"/>
          <w:rtl/>
        </w:rPr>
        <w:tab/>
      </w:r>
      <w:r w:rsidRPr="00A1269F">
        <w:t>Emma Davie, «Un premier enfant à 28 ans», INSEE Premières</w:t>
      </w:r>
      <w:r w:rsidRPr="00A1269F">
        <w:rPr>
          <w:rFonts w:hint="cs"/>
          <w:rtl/>
        </w:rPr>
        <w:t>، العدد 1419، تشرين الأول/ أكتوبر</w:t>
      </w:r>
      <w:r w:rsidRPr="00A1269F">
        <w:rPr>
          <w:rFonts w:hint="eastAsia"/>
          <w:rtl/>
        </w:rPr>
        <w:t> </w:t>
      </w:r>
      <w:r w:rsidRPr="00A1269F">
        <w:rPr>
          <w:rFonts w:hint="cs"/>
          <w:rtl/>
        </w:rPr>
        <w:t xml:space="preserve">2012، </w:t>
      </w:r>
      <w:r w:rsidRPr="00A1269F">
        <w:t>http://www.insee.fr/fr/ffc/ipweb/ip1419/ip1419.pdf</w:t>
      </w:r>
      <w:r w:rsidRPr="00A1269F">
        <w:rPr>
          <w:rFonts w:hint="cs"/>
          <w:rtl/>
        </w:rPr>
        <w:t>.</w:t>
      </w:r>
    </w:p>
  </w:endnote>
  <w:endnote w:id="21">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iCs/>
        </w:rPr>
        <w:t>TEF</w:t>
      </w:r>
      <w:r w:rsidRPr="00A1269F">
        <w:rPr>
          <w:rFonts w:hint="cs"/>
          <w:rtl/>
        </w:rPr>
        <w:t>، طبعة 2016، الصفحتان 34 و35.</w:t>
      </w:r>
    </w:p>
  </w:endnote>
  <w:endnote w:id="22">
    <w:p w:rsidR="008F7F42" w:rsidRPr="00A1269F" w:rsidRDefault="008F7F42" w:rsidP="00C8116A">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iCs/>
        </w:rPr>
        <w:t>TEF</w:t>
      </w:r>
      <w:r w:rsidRPr="00A1269F">
        <w:rPr>
          <w:rFonts w:hint="cs"/>
          <w:rtl/>
        </w:rPr>
        <w:t>، طبعة 2013، الصفحة 34.</w:t>
      </w:r>
    </w:p>
  </w:endnote>
  <w:endnote w:id="23">
    <w:p w:rsidR="008F7F42" w:rsidRPr="00A1269F" w:rsidRDefault="008F7F42" w:rsidP="00B20B0D">
      <w:pPr>
        <w:pStyle w:val="EndnoteText"/>
        <w:tabs>
          <w:tab w:val="clear" w:pos="1021"/>
          <w:tab w:val="right" w:pos="-1277"/>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spacing w:val="-2"/>
          <w:rtl/>
        </w:rPr>
        <w:t xml:space="preserve">معهد </w:t>
      </w:r>
      <w:r w:rsidRPr="00A1269F">
        <w:rPr>
          <w:rFonts w:hint="cs"/>
          <w:spacing w:val="-2"/>
          <w:rtl/>
        </w:rPr>
        <w:t>الرصد</w:t>
      </w:r>
      <w:r w:rsidRPr="00A1269F">
        <w:rPr>
          <w:spacing w:val="-2"/>
          <w:rtl/>
        </w:rPr>
        <w:t xml:space="preserve"> الصحي، </w:t>
      </w:r>
      <w:r w:rsidRPr="00A1269F">
        <w:rPr>
          <w:spacing w:val="-2"/>
        </w:rPr>
        <w:t>Bulletin épidémiologique hebdomadaire</w:t>
      </w:r>
      <w:r w:rsidRPr="00A1269F">
        <w:rPr>
          <w:spacing w:val="-2"/>
          <w:szCs w:val="18"/>
          <w:rtl/>
        </w:rPr>
        <w:t xml:space="preserve"> </w:t>
      </w:r>
      <w:r w:rsidRPr="00A1269F">
        <w:rPr>
          <w:spacing w:val="-2"/>
          <w:rtl/>
        </w:rPr>
        <w:t>، كانون الثاني/يناير 2010، الصفحة</w:t>
      </w:r>
      <w:r w:rsidRPr="00A1269F">
        <w:rPr>
          <w:rFonts w:hint="cs"/>
          <w:spacing w:val="-2"/>
          <w:rtl/>
        </w:rPr>
        <w:t> </w:t>
      </w:r>
      <w:r w:rsidRPr="00A1269F">
        <w:rPr>
          <w:spacing w:val="-2"/>
          <w:rtl/>
        </w:rPr>
        <w:t>10</w:t>
      </w:r>
      <w:r w:rsidRPr="00A1269F">
        <w:rPr>
          <w:rFonts w:hint="cs"/>
          <w:spacing w:val="-2"/>
          <w:rtl/>
        </w:rPr>
        <w:t>،</w:t>
      </w:r>
      <w:r w:rsidRPr="00A1269F">
        <w:rPr>
          <w:rFonts w:hint="cs"/>
          <w:rtl/>
        </w:rPr>
        <w:t xml:space="preserve"> </w:t>
      </w:r>
      <w:hyperlink r:id="rId7" w:history="1">
        <w:r w:rsidRPr="00A1269F">
          <w:rPr>
            <w:rStyle w:val="Hyperlink"/>
            <w:rFonts w:eastAsiaTheme="majorEastAsia"/>
            <w:color w:val="auto"/>
            <w:u w:val="none"/>
          </w:rPr>
          <w:t>http://www.invs.sante.fr/beh/2010/02_03/beh_02_03_2010.pdf</w:t>
        </w:r>
      </w:hyperlink>
      <w:r w:rsidRPr="00A1269F">
        <w:rPr>
          <w:rStyle w:val="Hyperlink"/>
          <w:rFonts w:eastAsiaTheme="majorEastAsia" w:hint="cs"/>
          <w:color w:val="auto"/>
          <w:u w:val="none"/>
          <w:rtl/>
        </w:rPr>
        <w:t>.</w:t>
      </w:r>
    </w:p>
  </w:endnote>
  <w:endnote w:id="24">
    <w:p w:rsidR="008F7F42" w:rsidRPr="00A1269F" w:rsidRDefault="008F7F42" w:rsidP="00B903D6">
      <w:pPr>
        <w:pStyle w:val="EndnoteText"/>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4"/>
          <w:rtl/>
        </w:rPr>
        <w:t>المؤسسة الوطنية للصحة والبحوث الطبية</w:t>
      </w:r>
      <w:r w:rsidRPr="00A1269F">
        <w:rPr>
          <w:rFonts w:hint="cs"/>
          <w:spacing w:val="-4"/>
          <w:rtl/>
          <w:lang w:val="fr-CH"/>
        </w:rPr>
        <w:t>. (تقرير اللجنة الوطنية للخبراء بشأن وفيات الأمهات، 2007-2009)</w:t>
      </w:r>
      <w:r w:rsidRPr="00A1269F">
        <w:rPr>
          <w:rFonts w:hint="cs"/>
          <w:rtl/>
          <w:lang w:val="fr-CH"/>
        </w:rPr>
        <w:t xml:space="preserve"> </w:t>
      </w:r>
      <w:r w:rsidRPr="00A1269F">
        <w:t>Rapport du Comité national d’experts sur la mortalité maternelle, 2007-2009</w:t>
      </w:r>
      <w:r w:rsidRPr="00A1269F">
        <w:rPr>
          <w:rFonts w:hint="cs"/>
          <w:rtl/>
        </w:rPr>
        <w:t>، الصفحة 9، تشرين الأول/أكتوبر 2013،</w:t>
      </w:r>
      <w:r w:rsidRPr="00A1269F">
        <w:rPr>
          <w:rtl/>
        </w:rPr>
        <w:tab/>
      </w:r>
      <w:r w:rsidRPr="00A1269F">
        <w:rPr>
          <w:rtl/>
        </w:rPr>
        <w:br/>
      </w:r>
      <w:hyperlink r:id="rId8" w:history="1">
        <w:r w:rsidRPr="00A1269F">
          <w:rPr>
            <w:rStyle w:val="Hyperlink"/>
            <w:rFonts w:eastAsiaTheme="majorEastAsia"/>
            <w:color w:val="auto"/>
            <w:u w:val="none"/>
          </w:rPr>
          <w:t>http://presse.inserm.fr/wp-content/uploads/2013/11/Les-morts-maternelles-en-France-2007-2009-Rapport-du-CNEMM.pdf</w:t>
        </w:r>
      </w:hyperlink>
      <w:r w:rsidRPr="00A1269F">
        <w:rPr>
          <w:rtl/>
        </w:rPr>
        <w:t xml:space="preserve"> (</w:t>
      </w:r>
      <w:r w:rsidRPr="00A1269F">
        <w:rPr>
          <w:rFonts w:hint="cs"/>
          <w:rtl/>
        </w:rPr>
        <w:t>اطلع عليه في 4 آذار/مارس 2016</w:t>
      </w:r>
      <w:r w:rsidRPr="00A1269F">
        <w:rPr>
          <w:rtl/>
        </w:rPr>
        <w:t>)</w:t>
      </w:r>
      <w:r w:rsidRPr="00A1269F">
        <w:rPr>
          <w:rFonts w:hint="cs"/>
          <w:rtl/>
        </w:rPr>
        <w:t>.</w:t>
      </w:r>
    </w:p>
  </w:endnote>
  <w:endnote w:id="25">
    <w:p w:rsidR="008F7F42" w:rsidRPr="00A1269F" w:rsidRDefault="008F7F42" w:rsidP="00B8115D">
      <w:pPr>
        <w:pStyle w:val="EndnoteText"/>
        <w:tabs>
          <w:tab w:val="clear" w:pos="1021"/>
        </w:tabs>
        <w:spacing w:after="60"/>
        <w:ind w:hanging="567"/>
      </w:pPr>
      <w:r w:rsidRPr="00A1269F">
        <w:rPr>
          <w:rStyle w:val="EndnoteReference"/>
          <w:spacing w:val="-4"/>
          <w:vertAlign w:val="baseline"/>
          <w:rtl/>
        </w:rPr>
        <w:t>(</w:t>
      </w:r>
      <w:r w:rsidRPr="00A1269F">
        <w:rPr>
          <w:rStyle w:val="EndnoteReference"/>
          <w:spacing w:val="-4"/>
          <w:vertAlign w:val="baseline"/>
          <w:rtl/>
        </w:rPr>
        <w:endnoteRef/>
      </w:r>
      <w:r w:rsidRPr="00A1269F">
        <w:rPr>
          <w:rStyle w:val="EndnoteReference"/>
          <w:spacing w:val="-4"/>
          <w:vertAlign w:val="baseline"/>
          <w:rtl/>
        </w:rPr>
        <w:t>)</w:t>
      </w:r>
      <w:r w:rsidRPr="00A1269F">
        <w:rPr>
          <w:rStyle w:val="EndnoteReference"/>
          <w:spacing w:val="-4"/>
          <w:vertAlign w:val="baseline"/>
          <w:rtl/>
        </w:rPr>
        <w:tab/>
      </w:r>
      <w:r w:rsidRPr="00A1269F">
        <w:rPr>
          <w:spacing w:val="-4"/>
          <w:rtl/>
        </w:rPr>
        <w:t>المعهد الوطني للإحصاء والبحوث الاقتصادية، السكان بحسب السن</w:t>
      </w:r>
      <w:r w:rsidRPr="00A1269F">
        <w:rPr>
          <w:rFonts w:hint="cs"/>
          <w:spacing w:val="-4"/>
          <w:rtl/>
        </w:rPr>
        <w:t xml:space="preserve">. جدول </w:t>
      </w:r>
      <w:r w:rsidRPr="00A1269F">
        <w:rPr>
          <w:spacing w:val="-4"/>
        </w:rPr>
        <w:t>«population par groupe d’âge»</w:t>
      </w:r>
      <w:r w:rsidRPr="00A1269F">
        <w:rPr>
          <w:rFonts w:hint="cs"/>
          <w:spacing w:val="-4"/>
          <w:rtl/>
        </w:rPr>
        <w:t>.</w:t>
      </w:r>
      <w:r w:rsidRPr="00A1269F">
        <w:rPr>
          <w:rtl/>
        </w:rPr>
        <w:br/>
      </w:r>
      <w:hyperlink r:id="rId9" w:history="1">
        <w:r w:rsidRPr="00A1269F">
          <w:rPr>
            <w:rStyle w:val="Hyperlink"/>
            <w:rFonts w:eastAsiaTheme="majorEastAsia"/>
            <w:color w:val="auto"/>
            <w:u w:val="none"/>
          </w:rPr>
          <w:t>http://www.insee.fr/fr/themes/document.asp?reg_id=0&amp;ref_id=T16F032</w:t>
        </w:r>
      </w:hyperlink>
      <w:hyperlink r:id="rId10" w:history="1">
        <w:r w:rsidRPr="00A1269F">
          <w:rPr>
            <w:rStyle w:val="Hyperlink"/>
            <w:rFonts w:eastAsiaTheme="majorEastAsia"/>
            <w:color w:val="auto"/>
            <w:u w:val="none"/>
          </w:rPr>
          <w:t>http://www.insee.fr/fr/themes/tableau.asp?reg_id=0&amp;ref_id=NATnon02150</w:t>
        </w:r>
      </w:hyperlink>
      <w:r w:rsidRPr="00A1269F">
        <w:rPr>
          <w:rFonts w:hint="cs"/>
          <w:rtl/>
        </w:rPr>
        <w:t>.</w:t>
      </w:r>
    </w:p>
  </w:endnote>
  <w:endnote w:id="26">
    <w:p w:rsidR="008F7F42" w:rsidRPr="00A1269F" w:rsidRDefault="008F7F42" w:rsidP="00B8115D">
      <w:pPr>
        <w:pStyle w:val="EndnoteText"/>
        <w:tabs>
          <w:tab w:val="clear" w:pos="1021"/>
        </w:tabs>
        <w:spacing w:after="60"/>
        <w:ind w:hanging="567"/>
        <w:rPr>
          <w:spacing w:val="-2"/>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tl/>
        </w:rPr>
        <w:t>المعهد الوطني للإحصاء والبحوث الاقتصادية</w:t>
      </w:r>
      <w:r w:rsidRPr="00A1269F">
        <w:rPr>
          <w:rFonts w:hint="cs"/>
          <w:rtl/>
        </w:rPr>
        <w:t>. التقديرات السكانية. هرم أعمار السكان: 2015.</w:t>
      </w:r>
      <w:r w:rsidRPr="00A1269F">
        <w:rPr>
          <w:rtl/>
        </w:rPr>
        <w:br/>
      </w:r>
      <w:hyperlink r:id="rId11" w:history="1">
        <w:r w:rsidRPr="00A1269F">
          <w:rPr>
            <w:rStyle w:val="Hyperlink"/>
            <w:rFonts w:eastAsiaTheme="majorEastAsia"/>
            <w:color w:val="auto"/>
            <w:spacing w:val="-2"/>
            <w:u w:val="none"/>
          </w:rPr>
          <w:t>http://www.insee.fr/fr/ppp/bases-de-donnees/donnees-detaillees/estim-pop/pyramide/pyramide.htm</w:t>
        </w:r>
      </w:hyperlink>
      <w:r w:rsidRPr="00A1269F">
        <w:rPr>
          <w:rStyle w:val="Hyperlink"/>
          <w:rFonts w:eastAsiaTheme="majorEastAsia" w:hint="cs"/>
          <w:color w:val="auto"/>
          <w:spacing w:val="-2"/>
          <w:u w:val="none"/>
          <w:rtl/>
        </w:rPr>
        <w:t>.</w:t>
      </w:r>
    </w:p>
  </w:endnote>
  <w:endnote w:id="27">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iCs/>
        </w:rPr>
        <w:t>TEF</w:t>
      </w:r>
      <w:r w:rsidRPr="00A1269F">
        <w:rPr>
          <w:rFonts w:hint="cs"/>
          <w:rtl/>
        </w:rPr>
        <w:t>، طبعة 2013، الصفحة 34.</w:t>
      </w:r>
    </w:p>
  </w:endnote>
  <w:endnote w:id="28">
    <w:p w:rsidR="008F7F42" w:rsidRPr="00A1269F" w:rsidRDefault="008F7F42" w:rsidP="00B8115D">
      <w:pPr>
        <w:pStyle w:val="EndnoteText"/>
        <w:tabs>
          <w:tab w:val="clear" w:pos="1021"/>
        </w:tabs>
        <w:spacing w:after="60"/>
        <w:ind w:hanging="567"/>
        <w:rPr>
          <w:spacing w:val="-2"/>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Style w:val="EndnoteReference"/>
          <w:rFonts w:hint="cs"/>
          <w:vertAlign w:val="baseline"/>
          <w:rtl/>
        </w:rPr>
        <w:t>ا</w:t>
      </w:r>
      <w:r w:rsidRPr="00A1269F">
        <w:rPr>
          <w:rFonts w:hint="cs"/>
          <w:rtl/>
        </w:rPr>
        <w:t>ل</w:t>
      </w:r>
      <w:r w:rsidRPr="00A1269F">
        <w:rPr>
          <w:rStyle w:val="EndnoteReference"/>
          <w:vertAlign w:val="baseline"/>
          <w:rtl/>
        </w:rPr>
        <w:t>معهد الوطني للإحصاء والبحوث الاقتصادي</w:t>
      </w:r>
      <w:r w:rsidRPr="00A1269F">
        <w:rPr>
          <w:rStyle w:val="EndnoteReference"/>
          <w:rFonts w:hint="cs"/>
          <w:vertAlign w:val="baseline"/>
          <w:rtl/>
        </w:rPr>
        <w:t>ة</w:t>
      </w:r>
      <w:r w:rsidRPr="00A1269F">
        <w:rPr>
          <w:rFonts w:hint="cs"/>
          <w:rtl/>
        </w:rPr>
        <w:t xml:space="preserve">، </w:t>
      </w:r>
      <w:r w:rsidRPr="00A1269F">
        <w:rPr>
          <w:shd w:val="clear" w:color="auto" w:fill="FFFFFF"/>
          <w:rtl/>
        </w:rPr>
        <w:t>نسبة الإعالة، محدَّثة في تشرين الأول/أكتوبر 2012</w:t>
      </w:r>
      <w:r w:rsidRPr="00A1269F">
        <w:rPr>
          <w:rFonts w:hint="cs"/>
          <w:shd w:val="clear" w:color="auto" w:fill="FFFFFF"/>
          <w:rtl/>
        </w:rPr>
        <w:t>.</w:t>
      </w:r>
      <w:r w:rsidRPr="00A1269F">
        <w:rPr>
          <w:shd w:val="clear" w:color="auto" w:fill="FFFFFF"/>
          <w:rtl/>
        </w:rPr>
        <w:br/>
      </w:r>
      <w:hyperlink r:id="rId12" w:history="1">
        <w:r w:rsidRPr="00A1269F">
          <w:rPr>
            <w:rStyle w:val="Hyperlink"/>
            <w:rFonts w:eastAsiaTheme="majorEastAsia"/>
            <w:color w:val="auto"/>
            <w:spacing w:val="-2"/>
            <w:u w:val="none"/>
          </w:rPr>
          <w:t>http://www.insee.fr/fr/themes/detail.asp?reg_id=0&amp;ref_id=atlas-zone-emploi-2010&amp;page=donnees-</w:t>
        </w:r>
        <w:r w:rsidRPr="00A1269F">
          <w:rPr>
            <w:rStyle w:val="Hyperlink"/>
            <w:rFonts w:eastAsiaTheme="majorEastAsia"/>
            <w:color w:val="auto"/>
            <w:spacing w:val="-2"/>
            <w:u w:val="none"/>
          </w:rPr>
          <w:br/>
          <w:t>detaillees/atlas-zone-emploi-2010/fiches/tx-dependance-eco.htm</w:t>
        </w:r>
      </w:hyperlink>
      <w:r w:rsidRPr="00A1269F">
        <w:rPr>
          <w:rStyle w:val="Hyperlink"/>
          <w:rFonts w:eastAsiaTheme="majorEastAsia" w:hint="cs"/>
          <w:color w:val="auto"/>
          <w:spacing w:val="-2"/>
          <w:u w:val="none"/>
          <w:rtl/>
        </w:rPr>
        <w:t>.</w:t>
      </w:r>
    </w:p>
  </w:endnote>
  <w:endnote w:id="29">
    <w:p w:rsidR="008F7F42" w:rsidRPr="00A1269F" w:rsidRDefault="008F7F42" w:rsidP="002F2536">
      <w:pPr>
        <w:pStyle w:val="EndnoteText"/>
        <w:tabs>
          <w:tab w:val="clear" w:pos="1021"/>
          <w:tab w:val="right" w:pos="-1277"/>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INSEE, TEF</w:t>
      </w:r>
      <w:r w:rsidRPr="00A1269F">
        <w:rPr>
          <w:rFonts w:hint="cs"/>
          <w:rtl/>
        </w:rPr>
        <w:t>، طبعة 2016، الصفحتان 36 و37.</w:t>
      </w:r>
    </w:p>
  </w:endnote>
  <w:endnote w:id="30">
    <w:p w:rsidR="008F7F42" w:rsidRPr="00A1269F" w:rsidRDefault="008F7F42" w:rsidP="00CE2E50">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tl/>
        </w:rPr>
        <w:t>المادة 21-7 من القانون المدني المستمدة من المادة 2 من القانون رقم 98-170 المؤرخ 16 آذار/</w:t>
      </w:r>
      <w:r w:rsidRPr="00A1269F">
        <w:rPr>
          <w:rFonts w:hint="cs"/>
          <w:rtl/>
        </w:rPr>
        <w:t xml:space="preserve"> </w:t>
      </w:r>
      <w:r w:rsidRPr="00A1269F">
        <w:rPr>
          <w:rtl/>
        </w:rPr>
        <w:t>مارس</w:t>
      </w:r>
      <w:r w:rsidRPr="00A1269F">
        <w:rPr>
          <w:rFonts w:hint="cs"/>
          <w:rtl/>
        </w:rPr>
        <w:t> </w:t>
      </w:r>
      <w:r w:rsidRPr="00A1269F">
        <w:rPr>
          <w:rtl/>
        </w:rPr>
        <w:t>1998 المتعلق بالجنسية</w:t>
      </w:r>
      <w:r w:rsidRPr="00A1269F">
        <w:rPr>
          <w:rFonts w:hint="cs"/>
          <w:rtl/>
        </w:rPr>
        <w:t>.</w:t>
      </w:r>
    </w:p>
  </w:endnote>
  <w:endnote w:id="31">
    <w:p w:rsidR="008F7F42" w:rsidRPr="00A1269F" w:rsidRDefault="008F7F42" w:rsidP="002F2536">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INSEE, TEF</w:t>
      </w:r>
      <w:r w:rsidRPr="00A1269F">
        <w:rPr>
          <w:rFonts w:hint="cs"/>
          <w:rtl/>
        </w:rPr>
        <w:t>، طبعة 2016، الصفحتان 36 و37.</w:t>
      </w:r>
    </w:p>
  </w:endnote>
  <w:endnote w:id="32">
    <w:p w:rsidR="008F7F42" w:rsidRPr="00A1269F" w:rsidRDefault="008F7F42" w:rsidP="00D92A2B">
      <w:pPr>
        <w:pStyle w:val="EndnoteText"/>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iCs/>
        </w:rPr>
        <w:t>TEF</w:t>
      </w:r>
      <w:r w:rsidRPr="00A1269F">
        <w:rPr>
          <w:rFonts w:hint="cs"/>
          <w:rtl/>
        </w:rPr>
        <w:t>، طبعة 2016، الصفحة 37.</w:t>
      </w:r>
      <w:r w:rsidRPr="00A1269F">
        <w:rPr>
          <w:rtl/>
        </w:rPr>
        <w:tab/>
      </w:r>
      <w:r w:rsidRPr="00A1269F">
        <w:rPr>
          <w:rtl/>
        </w:rPr>
        <w:br/>
      </w:r>
      <w:hyperlink r:id="rId13" w:history="1">
        <w:r w:rsidRPr="00A1269F">
          <w:rPr>
            <w:rStyle w:val="Hyperlink"/>
            <w:rFonts w:eastAsiaTheme="majorEastAsia"/>
            <w:color w:val="auto"/>
            <w:u w:val="none"/>
          </w:rPr>
          <w:t>http://www.insee.fr/fr/ffc/docs_ffc/FPORSOC13.pdf?bcsi_scan_96404f7f6439614d=0&amp;bcsi_scan_filename=FPORSOC13.pdf</w:t>
        </w:r>
      </w:hyperlink>
      <w:r w:rsidRPr="00A1269F">
        <w:rPr>
          <w:rFonts w:hint="cs"/>
          <w:rtl/>
        </w:rPr>
        <w:t>.</w:t>
      </w:r>
    </w:p>
  </w:endnote>
  <w:endnote w:id="33">
    <w:p w:rsidR="008F7F42" w:rsidRPr="00A1269F" w:rsidRDefault="008F7F42" w:rsidP="00CE2E50">
      <w:pPr>
        <w:pStyle w:val="EndnoteText"/>
        <w:tabs>
          <w:tab w:val="clear" w:pos="1021"/>
        </w:tabs>
        <w:spacing w:after="60"/>
        <w:ind w:hanging="567"/>
      </w:pPr>
      <w:r w:rsidRPr="00A1269F">
        <w:rPr>
          <w:rStyle w:val="EndnoteReference"/>
          <w:spacing w:val="-4"/>
          <w:vertAlign w:val="baseline"/>
          <w:rtl/>
        </w:rPr>
        <w:t>(</w:t>
      </w:r>
      <w:r w:rsidRPr="00A1269F">
        <w:rPr>
          <w:rStyle w:val="EndnoteReference"/>
          <w:spacing w:val="-4"/>
          <w:vertAlign w:val="baseline"/>
          <w:rtl/>
        </w:rPr>
        <w:endnoteRef/>
      </w:r>
      <w:r w:rsidRPr="00A1269F">
        <w:rPr>
          <w:rStyle w:val="EndnoteReference"/>
          <w:spacing w:val="-4"/>
          <w:vertAlign w:val="baseline"/>
          <w:rtl/>
        </w:rPr>
        <w:t>)</w:t>
      </w:r>
      <w:r w:rsidRPr="00A1269F">
        <w:rPr>
          <w:rStyle w:val="EndnoteReference"/>
          <w:spacing w:val="-4"/>
          <w:vertAlign w:val="baseline"/>
          <w:rtl/>
        </w:rPr>
        <w:tab/>
      </w:r>
      <w:r w:rsidRPr="00A1269F">
        <w:rPr>
          <w:rFonts w:hint="cs"/>
          <w:spacing w:val="-4"/>
          <w:rtl/>
        </w:rPr>
        <w:t xml:space="preserve">مؤسسة </w:t>
      </w:r>
      <w:r w:rsidRPr="00A1269F">
        <w:t xml:space="preserve">Campus France, </w:t>
      </w:r>
      <w:r w:rsidRPr="00A1269F">
        <w:rPr>
          <w:i/>
        </w:rPr>
        <w:t>L’essentiel des chiffres clés</w:t>
      </w:r>
      <w:r w:rsidRPr="00A1269F">
        <w:rPr>
          <w:rFonts w:hint="cs"/>
          <w:spacing w:val="-4"/>
          <w:rtl/>
        </w:rPr>
        <w:t xml:space="preserve">، </w:t>
      </w:r>
      <w:r w:rsidRPr="00A1269F">
        <w:rPr>
          <w:rFonts w:hint="cs"/>
          <w:i/>
          <w:iCs/>
          <w:spacing w:val="-4"/>
          <w:rtl/>
        </w:rPr>
        <w:t>العدد 10، كانون الثاني/يناير 2016</w:t>
      </w:r>
      <w:r w:rsidRPr="00A1269F">
        <w:rPr>
          <w:rFonts w:hint="cs"/>
          <w:spacing w:val="-4"/>
          <w:rtl/>
        </w:rPr>
        <w:t>، الصفحة 2.</w:t>
      </w:r>
      <w:r w:rsidRPr="00A1269F">
        <w:rPr>
          <w:spacing w:val="-4"/>
          <w:rtl/>
        </w:rPr>
        <w:br/>
      </w:r>
      <w:hyperlink r:id="rId14" w:history="1">
        <w:r w:rsidRPr="00A1269F">
          <w:rPr>
            <w:rStyle w:val="Hyperlink"/>
            <w:rFonts w:eastAsiaTheme="majorEastAsia"/>
            <w:color w:val="auto"/>
            <w:u w:val="none"/>
          </w:rPr>
          <w:t>http://ressources.campusfrance.org/publi_institu/etude_prospect/chiffres_cles/fr/chiffres_cles_n10_essentiel.pdf</w:t>
        </w:r>
      </w:hyperlink>
      <w:r w:rsidRPr="00A1269F">
        <w:rPr>
          <w:rFonts w:hint="cs"/>
          <w:rtl/>
        </w:rPr>
        <w:t>.</w:t>
      </w:r>
    </w:p>
  </w:endnote>
  <w:endnote w:id="34">
    <w:p w:rsidR="008F7F42" w:rsidRPr="00A1269F" w:rsidRDefault="008F7F42" w:rsidP="00D92A2B">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مؤسسة </w:t>
      </w:r>
      <w:r w:rsidRPr="00A1269F">
        <w:t>Campus France</w:t>
      </w:r>
      <w:r w:rsidRPr="00A1269F">
        <w:rPr>
          <w:rtl/>
        </w:rPr>
        <w:t>،</w:t>
      </w:r>
      <w:r w:rsidRPr="00A1269F">
        <w:rPr>
          <w:rFonts w:hint="cs"/>
          <w:rtl/>
        </w:rPr>
        <w:t xml:space="preserve"> </w:t>
      </w:r>
      <w:r w:rsidRPr="00A1269F">
        <w:rPr>
          <w:i/>
        </w:rPr>
        <w:t>L’essentiel des chiffres clés</w:t>
      </w:r>
      <w:r w:rsidRPr="00A1269F">
        <w:rPr>
          <w:rFonts w:hint="cs"/>
          <w:rtl/>
        </w:rPr>
        <w:t xml:space="preserve">، </w:t>
      </w:r>
      <w:r w:rsidRPr="00A1269F">
        <w:rPr>
          <w:rFonts w:hint="cs"/>
          <w:i/>
          <w:iCs/>
          <w:rtl/>
        </w:rPr>
        <w:t>العدد 9، أيلول/سبتمبر 2014</w:t>
      </w:r>
      <w:r w:rsidRPr="00A1269F">
        <w:rPr>
          <w:rFonts w:hint="cs"/>
          <w:rtl/>
        </w:rPr>
        <w:t>، الصفحة 2.</w:t>
      </w:r>
      <w:r w:rsidRPr="00A1269F">
        <w:rPr>
          <w:rtl/>
        </w:rPr>
        <w:br/>
      </w:r>
      <w:r w:rsidRPr="00A1269F">
        <w:t>http://ressources.campusfrance.org/publi_institu/etude_prospect/chiffres_cles/fr/chiffres_cles_n9_essentiel.pdf</w:t>
      </w:r>
      <w:r w:rsidRPr="00A1269F">
        <w:rPr>
          <w:rFonts w:hint="cs"/>
          <w:rtl/>
        </w:rPr>
        <w:t>.</w:t>
      </w:r>
    </w:p>
  </w:endnote>
  <w:endnote w:id="35">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w:t>
      </w:r>
      <w:r w:rsidRPr="00A1269F">
        <w:rPr>
          <w:rStyle w:val="EndnoteReference"/>
          <w:rFonts w:hint="cs"/>
          <w:vertAlign w:val="baseline"/>
          <w:rtl/>
        </w:rPr>
        <w:t>ة</w:t>
      </w:r>
      <w:r w:rsidRPr="00A1269F">
        <w:rPr>
          <w:rtl/>
        </w:rPr>
        <w:t>،</w:t>
      </w:r>
      <w:r w:rsidRPr="00A1269F">
        <w:rPr>
          <w:rFonts w:hint="cs"/>
          <w:rtl/>
        </w:rPr>
        <w:t xml:space="preserve"> </w:t>
      </w:r>
      <w:r w:rsidRPr="00A1269F">
        <w:rPr>
          <w:i/>
        </w:rPr>
        <w:t>Données sociales – la société française</w:t>
      </w:r>
      <w:r w:rsidRPr="00A1269F">
        <w:rPr>
          <w:rFonts w:hint="cs"/>
          <w:rtl/>
        </w:rPr>
        <w:t xml:space="preserve">، طبعة 2006، الصفحة 111، </w:t>
      </w:r>
      <w:hyperlink r:id="rId15" w:history="1">
        <w:r w:rsidRPr="00A1269F">
          <w:rPr>
            <w:rStyle w:val="Hyperlink"/>
            <w:rFonts w:eastAsiaTheme="majorEastAsia"/>
            <w:color w:val="auto"/>
            <w:u w:val="none"/>
          </w:rPr>
          <w:t>http://www.insee.fr/fr/ffc/docs_ffc/donsoc06l.pdf</w:t>
        </w:r>
      </w:hyperlink>
      <w:r w:rsidRPr="00A1269F">
        <w:rPr>
          <w:rFonts w:hint="cs"/>
          <w:rtl/>
        </w:rPr>
        <w:t>.</w:t>
      </w:r>
    </w:p>
  </w:endnote>
  <w:endnote w:id="36">
    <w:p w:rsidR="008F7F42" w:rsidRPr="00A1269F" w:rsidRDefault="008F7F42" w:rsidP="00D92A2B">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spacing w:val="-6"/>
          <w:rtl/>
        </w:rPr>
        <w:t xml:space="preserve">البيانات الحكومية. </w:t>
      </w:r>
      <w:r w:rsidRPr="00A1269F">
        <w:rPr>
          <w:spacing w:val="-6"/>
        </w:rPr>
        <w:t>Nombre de bénéficiaires de l’aide médicale d’état</w:t>
      </w:r>
      <w:r w:rsidRPr="00A1269F">
        <w:rPr>
          <w:spacing w:val="-6"/>
          <w:rtl/>
        </w:rPr>
        <w:t>، جدول محدَّث في آب/أغسطس 2015</w:t>
      </w:r>
      <w:r w:rsidRPr="00A1269F">
        <w:rPr>
          <w:rFonts w:hint="cs"/>
          <w:spacing w:val="-6"/>
          <w:rtl/>
        </w:rPr>
        <w:t>.</w:t>
      </w:r>
      <w:r w:rsidRPr="00A1269F">
        <w:rPr>
          <w:rtl/>
        </w:rPr>
        <w:br/>
      </w:r>
      <w:hyperlink r:id="rId16" w:history="1">
        <w:r w:rsidRPr="00A1269F">
          <w:rPr>
            <w:rStyle w:val="Hyperlink"/>
            <w:rFonts w:eastAsiaTheme="majorEastAsia"/>
            <w:color w:val="auto"/>
            <w:u w:val="none"/>
          </w:rPr>
          <w:t>https://www.data.gouv.fr/s/resources/15062-nombre-de-beneficiaires-de-laide-medicale-detat/</w:t>
        </w:r>
        <w:r w:rsidRPr="00A1269F">
          <w:rPr>
            <w:rStyle w:val="Hyperlink"/>
            <w:rFonts w:eastAsiaTheme="majorEastAsia"/>
            <w:color w:val="auto"/>
            <w:u w:val="none"/>
          </w:rPr>
          <w:br/>
          <w:t>20150818-172753/15062_Nombre-beneficiaires-aide-medicale-d_État.xls</w:t>
        </w:r>
      </w:hyperlink>
      <w:r w:rsidRPr="00A1269F">
        <w:rPr>
          <w:rFonts w:hint="cs"/>
          <w:rtl/>
        </w:rPr>
        <w:t>.</w:t>
      </w:r>
    </w:p>
  </w:endnote>
  <w:endnote w:id="37">
    <w:p w:rsidR="008F7F42" w:rsidRPr="00A1269F" w:rsidRDefault="008F7F42" w:rsidP="00571B1B">
      <w:pPr>
        <w:pStyle w:val="EndnoteText"/>
        <w:tabs>
          <w:tab w:val="clear" w:pos="1021"/>
        </w:tabs>
        <w:spacing w:after="60"/>
        <w:ind w:hanging="567"/>
        <w:rPr>
          <w:szCs w:val="18"/>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spacing w:val="-8"/>
          <w:rtl/>
        </w:rPr>
        <w:t>حدد قانون المالية لعام 2011، رقم 2010-1657 المؤرخ 29 كانون الأول/ديسمبر 2010، خصماً قدره 30 يورو</w:t>
      </w:r>
      <w:r w:rsidRPr="00A1269F">
        <w:rPr>
          <w:rFonts w:hint="cs"/>
          <w:spacing w:val="-8"/>
          <w:rtl/>
        </w:rPr>
        <w:t>.</w:t>
      </w:r>
      <w:r w:rsidRPr="00A1269F">
        <w:rPr>
          <w:rFonts w:hint="cs"/>
          <w:rtl/>
        </w:rPr>
        <w:t xml:space="preserve"> </w:t>
      </w:r>
      <w:hyperlink r:id="rId17" w:history="1">
        <w:r w:rsidRPr="00A1269F">
          <w:rPr>
            <w:rStyle w:val="Hyperlink"/>
            <w:color w:val="auto"/>
            <w:spacing w:val="-5"/>
            <w:szCs w:val="18"/>
            <w:u w:val="none"/>
          </w:rPr>
          <w:t>https://www.legifrance.gouv.fr/affichTexte.do?cidTexte=JORFTEXT000023314376&amp;categorieLien=id</w:t>
        </w:r>
      </w:hyperlink>
      <w:r w:rsidRPr="00A1269F">
        <w:rPr>
          <w:rFonts w:hint="cs"/>
          <w:spacing w:val="-5"/>
          <w:sz w:val="26"/>
          <w:rtl/>
        </w:rPr>
        <w:t>.</w:t>
      </w:r>
      <w:r w:rsidRPr="00A1269F">
        <w:rPr>
          <w:rFonts w:hint="cs"/>
          <w:szCs w:val="18"/>
          <w:rtl/>
        </w:rPr>
        <w:t xml:space="preserve"> </w:t>
      </w:r>
      <w:r w:rsidRPr="00A1269F">
        <w:rPr>
          <w:rtl/>
        </w:rPr>
        <w:t xml:space="preserve">وأُلغي </w:t>
      </w:r>
      <w:r w:rsidRPr="00A1269F">
        <w:rPr>
          <w:rFonts w:hint="cs"/>
          <w:rtl/>
        </w:rPr>
        <w:t xml:space="preserve">هذا الخصم </w:t>
      </w:r>
      <w:r w:rsidRPr="00A1269F">
        <w:rPr>
          <w:rtl/>
        </w:rPr>
        <w:t>بموجب القانون رقم 2012-958 المؤرخ 16 آب/أغسطس 2012 المعدل لقانون المالية لعام 2012</w:t>
      </w:r>
      <w:r w:rsidRPr="00A1269F">
        <w:rPr>
          <w:rFonts w:hint="cs"/>
          <w:rtl/>
        </w:rPr>
        <w:t xml:space="preserve">. </w:t>
      </w:r>
      <w:hyperlink r:id="rId18" w:history="1">
        <w:r w:rsidRPr="00A1269F">
          <w:rPr>
            <w:rStyle w:val="Hyperlink"/>
            <w:rFonts w:eastAsiaTheme="majorEastAsia"/>
            <w:color w:val="auto"/>
            <w:spacing w:val="-2"/>
            <w:u w:val="none"/>
          </w:rPr>
          <w:t>https://www.legifrance.gouv.fr/affichTexte.do?cidTexte=JORFTEXT000026288927&amp;</w:t>
        </w:r>
        <w:r w:rsidRPr="00A1269F">
          <w:rPr>
            <w:rStyle w:val="Hyperlink"/>
            <w:rFonts w:eastAsiaTheme="majorEastAsia"/>
            <w:color w:val="auto"/>
            <w:spacing w:val="-2"/>
            <w:u w:val="none"/>
          </w:rPr>
          <w:br/>
          <w:t>categorieLien=id</w:t>
        </w:r>
      </w:hyperlink>
      <w:r w:rsidRPr="00A1269F">
        <w:rPr>
          <w:rFonts w:hint="cs"/>
          <w:spacing w:val="-2"/>
          <w:rtl/>
        </w:rPr>
        <w:t xml:space="preserve">. </w:t>
      </w:r>
      <w:r w:rsidRPr="00A1269F">
        <w:rPr>
          <w:rtl/>
        </w:rPr>
        <w:t>الإدارة العامة. المساعدة الطبية للدولة، 17 تموز/يوليه 2015.</w:t>
      </w:r>
      <w:r w:rsidRPr="00A1269F">
        <w:rPr>
          <w:rtl/>
        </w:rPr>
        <w:tab/>
      </w:r>
      <w:r w:rsidRPr="00A1269F">
        <w:rPr>
          <w:rtl/>
        </w:rPr>
        <w:br/>
      </w:r>
      <w:hyperlink r:id="rId19" w:history="1">
        <w:r w:rsidRPr="00A1269F">
          <w:rPr>
            <w:rStyle w:val="Hyperlink"/>
            <w:rFonts w:eastAsiaTheme="majorEastAsia"/>
            <w:color w:val="auto"/>
            <w:u w:val="none"/>
          </w:rPr>
          <w:t>https://www.service-public.fr/particuliers/vosdroits/F3079</w:t>
        </w:r>
      </w:hyperlink>
      <w:r w:rsidRPr="00A1269F">
        <w:rPr>
          <w:rtl/>
        </w:rPr>
        <w:t>.</w:t>
      </w:r>
    </w:p>
  </w:endnote>
  <w:endnote w:id="38">
    <w:p w:rsidR="008F7F42" w:rsidRPr="00A1269F" w:rsidRDefault="008F7F42" w:rsidP="002F2536">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tl/>
        </w:rPr>
        <w:t xml:space="preserve">الطلبات الأولى </w:t>
      </w:r>
      <w:r w:rsidRPr="00A1269F">
        <w:rPr>
          <w:rFonts w:hint="cs"/>
          <w:rtl/>
        </w:rPr>
        <w:t xml:space="preserve">بغض النظر عن </w:t>
      </w:r>
      <w:r w:rsidRPr="00A1269F">
        <w:rPr>
          <w:rtl/>
        </w:rPr>
        <w:t>القاصرين المصاحِبين والطلبات التي أُعيد فيها النظر</w:t>
      </w:r>
      <w:r w:rsidRPr="00A1269F">
        <w:rPr>
          <w:rFonts w:hint="cs"/>
          <w:rtl/>
        </w:rPr>
        <w:t xml:space="preserve">. الموقع الشبكي لوزارة الداخلية. طلبات اللجوء. </w:t>
      </w:r>
      <w:r w:rsidRPr="00A1269F">
        <w:rPr>
          <w:rtl/>
        </w:rPr>
        <w:tab/>
      </w:r>
      <w:r w:rsidRPr="00A1269F">
        <w:rPr>
          <w:rtl/>
        </w:rPr>
        <w:br/>
      </w:r>
      <w:hyperlink r:id="rId20" w:history="1">
        <w:r w:rsidRPr="00A1269F">
          <w:rPr>
            <w:rStyle w:val="Hyperlink"/>
            <w:rFonts w:eastAsiaTheme="majorEastAsia"/>
            <w:color w:val="auto"/>
            <w:u w:val="none"/>
          </w:rPr>
          <w:t>http://www.immigration.interieur.gouv.fr/content/download/91452/712066/file/L_asile-2015_</w:t>
        </w:r>
        <w:r w:rsidRPr="00A1269F">
          <w:rPr>
            <w:rStyle w:val="Hyperlink"/>
            <w:rFonts w:eastAsiaTheme="majorEastAsia"/>
            <w:color w:val="auto"/>
            <w:u w:val="none"/>
          </w:rPr>
          <w:br/>
          <w:t>pour-publication-du-15-janvier-2016.pdf</w:t>
        </w:r>
      </w:hyperlink>
      <w:r w:rsidRPr="00A1269F">
        <w:rPr>
          <w:rStyle w:val="Hyperlink"/>
          <w:rFonts w:eastAsiaTheme="majorEastAsia" w:hint="cs"/>
          <w:color w:val="auto"/>
          <w:u w:val="none"/>
          <w:rtl/>
        </w:rPr>
        <w:t>.</w:t>
      </w:r>
    </w:p>
  </w:endnote>
  <w:endnote w:id="39">
    <w:p w:rsidR="008F7F42" w:rsidRPr="00A1269F" w:rsidRDefault="008F7F42" w:rsidP="00082E34">
      <w:pPr>
        <w:pStyle w:val="EndnoteText"/>
        <w:tabs>
          <w:tab w:val="clear" w:pos="1021"/>
          <w:tab w:val="right" w:pos="-994"/>
        </w:tabs>
        <w:spacing w:after="60" w:line="260" w:lineRule="exact"/>
        <w:ind w:hanging="567"/>
        <w:rPr>
          <w:spacing w:val="-2"/>
        </w:rPr>
      </w:pPr>
      <w:r w:rsidRPr="00A1269F">
        <w:rPr>
          <w:rStyle w:val="EndnoteReference"/>
          <w:spacing w:val="-2"/>
          <w:vertAlign w:val="baseline"/>
          <w:rtl/>
        </w:rPr>
        <w:t>(</w:t>
      </w:r>
      <w:r w:rsidRPr="00A1269F">
        <w:rPr>
          <w:rStyle w:val="EndnoteReference"/>
          <w:spacing w:val="-2"/>
          <w:vertAlign w:val="baseline"/>
          <w:rtl/>
        </w:rPr>
        <w:endnoteRef/>
      </w:r>
      <w:r w:rsidRPr="00A1269F">
        <w:rPr>
          <w:rStyle w:val="EndnoteReference"/>
          <w:spacing w:val="-2"/>
          <w:vertAlign w:val="baseline"/>
          <w:rtl/>
        </w:rPr>
        <w:t>)</w:t>
      </w:r>
      <w:r w:rsidRPr="00A1269F">
        <w:rPr>
          <w:rStyle w:val="EndnoteReference"/>
          <w:spacing w:val="-2"/>
          <w:vertAlign w:val="baseline"/>
          <w:rtl/>
        </w:rPr>
        <w:tab/>
      </w:r>
      <w:r w:rsidRPr="00A1269F">
        <w:rPr>
          <w:spacing w:val="-2"/>
          <w:rtl/>
        </w:rPr>
        <w:t>وزارة الداخلية، الهجرة واللجوء والاستقبال ودعم الأجانب في فرنسا</w:t>
      </w:r>
      <w:r w:rsidRPr="00A1269F">
        <w:rPr>
          <w:rFonts w:hint="cs"/>
          <w:spacing w:val="-2"/>
          <w:rtl/>
        </w:rPr>
        <w:t xml:space="preserve">. </w:t>
      </w:r>
      <w:r w:rsidRPr="00A1269F">
        <w:rPr>
          <w:spacing w:val="-2"/>
          <w:rtl/>
        </w:rPr>
        <w:t>القانون رقم 2015-925 المؤرخ 29 تموز/يوليه 2015 المتعلق بإصلاح قانون اللجوء</w:t>
      </w:r>
      <w:r w:rsidRPr="00A1269F">
        <w:rPr>
          <w:rFonts w:hint="cs"/>
          <w:spacing w:val="-2"/>
          <w:rtl/>
        </w:rPr>
        <w:t>.</w:t>
      </w:r>
      <w:r w:rsidRPr="00A1269F">
        <w:rPr>
          <w:spacing w:val="-2"/>
          <w:rtl/>
        </w:rPr>
        <w:tab/>
      </w:r>
      <w:r w:rsidRPr="00A1269F">
        <w:rPr>
          <w:spacing w:val="-2"/>
          <w:rtl/>
        </w:rPr>
        <w:br/>
      </w:r>
      <w:r w:rsidRPr="00A1269F">
        <w:rPr>
          <w:spacing w:val="-2"/>
        </w:rPr>
        <w:t>http://www.immigration.interieur.gouv.fr/Info-ressources/Documentation/Textes-officiels/Les-textes-portant-sur-l-immigration-a-l-asile-a-l-accueil-et-a-l-accompagnement-des-etrangers-Annee-2015/Juillet-2015/Loi-n-2015-925-du-29-juillet-2015-relative-a-la-reforme-du-droit-d-asile</w:t>
      </w:r>
      <w:r w:rsidRPr="00A1269F">
        <w:rPr>
          <w:rFonts w:hint="cs"/>
          <w:spacing w:val="-2"/>
          <w:rtl/>
        </w:rPr>
        <w:t>.</w:t>
      </w:r>
    </w:p>
  </w:endnote>
  <w:endnote w:id="40">
    <w:p w:rsidR="008F7F42" w:rsidRPr="00A1269F" w:rsidRDefault="008F7F42" w:rsidP="00082E34">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Fonts w:hint="cs"/>
          <w:rtl/>
        </w:rPr>
        <w:t xml:space="preserve">، </w:t>
      </w:r>
      <w:r w:rsidRPr="00A1269F">
        <w:t>Ménages – Familles.</w:t>
      </w:r>
      <w:r w:rsidRPr="00A1269F">
        <w:rPr>
          <w:rFonts w:hint="cs"/>
          <w:rtl/>
        </w:rPr>
        <w:t xml:space="preserve">. رسم بياني: </w:t>
      </w:r>
      <w:r w:rsidRPr="00A1269F">
        <w:t>Evolution de la taille des ménages</w:t>
      </w:r>
      <w:r w:rsidRPr="00A1269F">
        <w:rPr>
          <w:rFonts w:hint="cs"/>
          <w:rtl/>
        </w:rPr>
        <w:t xml:space="preserve">. </w:t>
      </w:r>
      <w:hyperlink r:id="rId21" w:anchor="inter2" w:history="1">
        <w:r w:rsidRPr="00A1269F">
          <w:rPr>
            <w:rStyle w:val="Hyperlink"/>
            <w:rFonts w:eastAsiaTheme="majorEastAsia"/>
            <w:color w:val="auto"/>
            <w:u w:val="none"/>
          </w:rPr>
          <w:t>http://www.insee.fr/fr/themes/document.asp?reg_id=0&amp;ref_id=T16F034#inter2</w:t>
        </w:r>
      </w:hyperlink>
      <w:r w:rsidRPr="00A1269F">
        <w:rPr>
          <w:rFonts w:hint="cs"/>
          <w:rtl/>
        </w:rPr>
        <w:t>.</w:t>
      </w:r>
    </w:p>
  </w:endnote>
  <w:endnote w:id="41">
    <w:p w:rsidR="008F7F42" w:rsidRPr="00A1269F" w:rsidRDefault="008F7F42" w:rsidP="00D92A2B">
      <w:pPr>
        <w:pStyle w:val="EndnoteText"/>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Fonts w:hint="cs"/>
          <w:rtl/>
        </w:rPr>
        <w:t xml:space="preserve">. </w:t>
      </w:r>
      <w:r w:rsidRPr="00A1269F">
        <w:rPr>
          <w:lang w:val="fr-CH"/>
        </w:rPr>
        <w:t>Ménages – Familles. Présentation</w:t>
      </w:r>
      <w:r w:rsidRPr="00A1269F">
        <w:rPr>
          <w:rFonts w:hint="cs"/>
          <w:rtl/>
        </w:rPr>
        <w:t xml:space="preserve">. </w:t>
      </w:r>
      <w:r w:rsidRPr="00A1269F">
        <w:rPr>
          <w:rtl/>
        </w:rPr>
        <w:tab/>
      </w:r>
      <w:r w:rsidRPr="00A1269F">
        <w:rPr>
          <w:rtl/>
        </w:rPr>
        <w:br/>
      </w:r>
      <w:hyperlink r:id="rId22" w:anchor="inter2" w:history="1">
        <w:r w:rsidRPr="00A1269F">
          <w:rPr>
            <w:rStyle w:val="Hyperlink"/>
            <w:rFonts w:eastAsiaTheme="majorEastAsia"/>
            <w:color w:val="auto"/>
            <w:u w:val="none"/>
            <w:lang w:val="fr-CH"/>
          </w:rPr>
          <w:t>http://www.insee.fr/fr/themes/document.asp?reg_id=0&amp;ref_id=T16F034#inter2</w:t>
        </w:r>
      </w:hyperlink>
      <w:r w:rsidRPr="00A1269F">
        <w:rPr>
          <w:rFonts w:hint="cs"/>
          <w:rtl/>
        </w:rPr>
        <w:t>.</w:t>
      </w:r>
    </w:p>
  </w:endnote>
  <w:endnote w:id="42">
    <w:p w:rsidR="008F7F42" w:rsidRPr="00A1269F" w:rsidRDefault="008F7F42" w:rsidP="00082E34">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Fonts w:hint="cs"/>
          <w:rtl/>
        </w:rPr>
        <w:t xml:space="preserve">، </w:t>
      </w:r>
      <w:r w:rsidRPr="00A1269F">
        <w:rPr>
          <w:lang w:val="fr-CH"/>
        </w:rPr>
        <w:t>Ménages – Familles.</w:t>
      </w:r>
      <w:r w:rsidRPr="00A1269F">
        <w:rPr>
          <w:rFonts w:hint="cs"/>
          <w:rtl/>
        </w:rPr>
        <w:t xml:space="preserve">. رسم بياني: </w:t>
      </w:r>
      <w:r w:rsidRPr="00A1269F">
        <w:rPr>
          <w:lang w:val="fr-CH"/>
        </w:rPr>
        <w:t>Evolution de la taille des ménages</w:t>
      </w:r>
      <w:r w:rsidRPr="00A1269F">
        <w:rPr>
          <w:rFonts w:hint="cs"/>
          <w:rtl/>
        </w:rPr>
        <w:t>.</w:t>
      </w:r>
      <w:hyperlink r:id="rId23" w:anchor="inter2" w:history="1">
        <w:r w:rsidRPr="00A1269F">
          <w:rPr>
            <w:rStyle w:val="Hyperlink"/>
            <w:rFonts w:eastAsiaTheme="majorEastAsia"/>
            <w:color w:val="auto"/>
            <w:u w:val="none"/>
          </w:rPr>
          <w:t>http://www.insee.fr/fr/themes/document.asp?reg_id=0&amp;ref_id=T16F034#inter2</w:t>
        </w:r>
      </w:hyperlink>
      <w:r w:rsidRPr="00A1269F">
        <w:rPr>
          <w:rStyle w:val="Hyperlink"/>
          <w:rFonts w:eastAsiaTheme="majorEastAsia"/>
          <w:color w:val="auto"/>
          <w:u w:val="none"/>
        </w:rPr>
        <w:t xml:space="preserve"> </w:t>
      </w:r>
      <w:r w:rsidRPr="00A1269F">
        <w:rPr>
          <w:rFonts w:hint="cs"/>
          <w:rtl/>
        </w:rPr>
        <w:t>.</w:t>
      </w:r>
    </w:p>
  </w:endnote>
  <w:endnote w:id="43">
    <w:p w:rsidR="008F7F42" w:rsidRPr="00A1269F" w:rsidRDefault="008F7F42" w:rsidP="005F7CA8">
      <w:pPr>
        <w:pStyle w:val="EndnoteText"/>
        <w:tabs>
          <w:tab w:val="clear" w:pos="1021"/>
        </w:tabs>
        <w:spacing w:after="60"/>
        <w:ind w:left="1250" w:hanging="570"/>
        <w:rPr>
          <w:rtl/>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Style w:val="Hyperlink"/>
          <w:rFonts w:eastAsiaTheme="majorEastAsia" w:hint="cs"/>
          <w:color w:val="auto"/>
          <w:u w:val="none"/>
          <w:rtl/>
          <w:lang w:val="fr-CH"/>
        </w:rPr>
        <w:t xml:space="preserve"> </w:t>
      </w:r>
      <w:r w:rsidRPr="00A1269F">
        <w:t>Ménages par taille du ménage, sexe et âge de la personne de référence</w:t>
      </w:r>
      <w:r w:rsidRPr="00A1269F">
        <w:rPr>
          <w:rStyle w:val="Hyperlink"/>
          <w:rFonts w:eastAsiaTheme="majorEastAsia" w:hint="cs"/>
          <w:color w:val="auto"/>
          <w:u w:val="none"/>
          <w:rtl/>
          <w:lang w:val="fr-CH"/>
        </w:rPr>
        <w:t>،</w:t>
      </w:r>
      <w:r w:rsidRPr="00A1269F">
        <w:rPr>
          <w:rFonts w:hint="cs"/>
          <w:rtl/>
        </w:rPr>
        <w:t xml:space="preserve"> </w:t>
      </w:r>
      <w:r w:rsidRPr="00A1269F">
        <w:rPr>
          <w:rtl/>
        </w:rPr>
        <w:tab/>
      </w:r>
      <w:r w:rsidRPr="00A1269F">
        <w:rPr>
          <w:rtl/>
        </w:rPr>
        <w:br/>
      </w:r>
      <w:hyperlink r:id="rId24" w:history="1">
        <w:r w:rsidRPr="00A1269F">
          <w:rPr>
            <w:rStyle w:val="Hyperlink"/>
            <w:color w:val="auto"/>
            <w:u w:val="none"/>
          </w:rPr>
          <w:t>http://www.insee.fr/fr/themes/tableau_local.asp?ref_id=MEN4&amp;millesime=2010&amp;niveau=1&amp;nivgeo=METRODOM&amp;codgeo=1</w:t>
        </w:r>
      </w:hyperlink>
      <w:r w:rsidRPr="00A1269F">
        <w:rPr>
          <w:rStyle w:val="Hyperlink"/>
          <w:rFonts w:eastAsiaTheme="majorEastAsia" w:hint="cs"/>
          <w:color w:val="auto"/>
          <w:u w:val="none"/>
          <w:rtl/>
          <w:lang w:val="fr-CH"/>
        </w:rPr>
        <w:t>.</w:t>
      </w:r>
    </w:p>
  </w:endnote>
  <w:endnote w:id="44">
    <w:p w:rsidR="008F7F42" w:rsidRPr="00A1269F" w:rsidRDefault="008F7F42" w:rsidP="00DF6F09">
      <w:pPr>
        <w:pStyle w:val="EndnoteText"/>
        <w:tabs>
          <w:tab w:val="clear" w:pos="1021"/>
        </w:tabs>
        <w:spacing w:after="60"/>
        <w:ind w:hanging="567"/>
        <w:rPr>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Fonts w:hint="cs"/>
          <w:rtl/>
        </w:rPr>
        <w:t xml:space="preserve">. </w:t>
      </w:r>
      <w:r w:rsidRPr="00A1269F">
        <w:rPr>
          <w:lang w:val="fr-CH"/>
        </w:rPr>
        <w:t>Ménage – Familles. Structure des familles avec enfants de moins de 18 ans. http://www.insee.fr/fr/themes/tableau.asp?reg_id=0&amp;ref_id=AMFd2</w:t>
      </w:r>
      <w:r w:rsidRPr="00A1269F">
        <w:rPr>
          <w:rFonts w:hint="cs"/>
          <w:rtl/>
          <w:lang w:val="fr-CH"/>
        </w:rPr>
        <w:t>.</w:t>
      </w:r>
    </w:p>
  </w:endnote>
  <w:endnote w:id="45">
    <w:p w:rsidR="008F7F42" w:rsidRPr="00A1269F" w:rsidRDefault="008F7F42" w:rsidP="002F2536">
      <w:pPr>
        <w:pStyle w:val="EndnoteText"/>
        <w:tabs>
          <w:tab w:val="clear" w:pos="1021"/>
        </w:tabs>
        <w:spacing w:after="60"/>
        <w:ind w:hanging="567"/>
        <w:rPr>
          <w:rtl/>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TEF 2016. 3.3 Mariages – Pacs – Divorces, p. 28</w:t>
      </w:r>
      <w:r w:rsidRPr="00A1269F">
        <w:rPr>
          <w:rFonts w:hint="cs"/>
          <w:rtl/>
          <w:lang w:val="fr-CH"/>
        </w:rPr>
        <w:t>.</w:t>
      </w:r>
    </w:p>
  </w:endnote>
  <w:endnote w:id="46">
    <w:p w:rsidR="008F7F42" w:rsidRPr="00A1269F" w:rsidRDefault="008F7F42" w:rsidP="002F2536">
      <w:pPr>
        <w:pStyle w:val="EndnoteText"/>
        <w:tabs>
          <w:tab w:val="clear" w:pos="1021"/>
        </w:tabs>
        <w:spacing w:after="60"/>
        <w:ind w:hanging="567"/>
        <w:rPr>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 xml:space="preserve">INSEE, </w:t>
      </w:r>
      <w:r w:rsidRPr="00A1269F">
        <w:rPr>
          <w:i/>
          <w:iCs/>
          <w:lang w:val="fr-CH"/>
        </w:rPr>
        <w:t>TEF</w:t>
      </w:r>
      <w:r w:rsidRPr="00A1269F">
        <w:rPr>
          <w:rFonts w:hint="cs"/>
          <w:rtl/>
        </w:rPr>
        <w:t>، طبعة 2016، الصفحة 29.</w:t>
      </w:r>
    </w:p>
  </w:endnote>
  <w:endnote w:id="47">
    <w:p w:rsidR="008F7F42" w:rsidRPr="00A1269F" w:rsidRDefault="008F7F42" w:rsidP="002F2536">
      <w:pPr>
        <w:pStyle w:val="EndnoteText"/>
        <w:tabs>
          <w:tab w:val="clear" w:pos="1021"/>
        </w:tabs>
        <w:spacing w:after="60"/>
        <w:ind w:hanging="567"/>
        <w:rPr>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TEF 2016, Mariage – Pacs – Divorces.</w:t>
      </w:r>
      <w:r w:rsidRPr="00A1269F">
        <w:rPr>
          <w:rtl/>
        </w:rPr>
        <w:t xml:space="preserve">، </w:t>
      </w:r>
      <w:r w:rsidRPr="00A1269F">
        <w:rPr>
          <w:rFonts w:hint="cs"/>
          <w:rtl/>
        </w:rPr>
        <w:t>الصفحة 28.</w:t>
      </w:r>
    </w:p>
  </w:endnote>
  <w:endnote w:id="48">
    <w:p w:rsidR="008F7F42" w:rsidRPr="00A1269F" w:rsidRDefault="008F7F42" w:rsidP="002F2536">
      <w:pPr>
        <w:pStyle w:val="EndnoteText"/>
        <w:tabs>
          <w:tab w:val="clear" w:pos="1021"/>
        </w:tabs>
        <w:spacing w:after="60"/>
        <w:ind w:hanging="567"/>
        <w:rPr>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 xml:space="preserve">V. BELLAMY et C. BEAUMEL, « Bilan démographique 2012 – La population croît, mais plus modérément », </w:t>
      </w:r>
      <w:r w:rsidRPr="00A1269F">
        <w:rPr>
          <w:i/>
          <w:lang w:val="fr-CH"/>
        </w:rPr>
        <w:t>Insee Première</w:t>
      </w:r>
      <w:r w:rsidRPr="00A1269F">
        <w:rPr>
          <w:i/>
          <w:rtl/>
        </w:rPr>
        <w:t xml:space="preserve">، </w:t>
      </w:r>
      <w:r w:rsidRPr="00A1269F">
        <w:rPr>
          <w:rFonts w:hint="cs"/>
          <w:i/>
          <w:rtl/>
        </w:rPr>
        <w:t>العدد 1429، كانون الثاني/يناير 2013، الصفحة 3.</w:t>
      </w:r>
    </w:p>
  </w:endnote>
  <w:endnote w:id="49">
    <w:p w:rsidR="008F7F42" w:rsidRPr="00A1269F" w:rsidRDefault="008F7F42" w:rsidP="00DF6F09">
      <w:pPr>
        <w:pStyle w:val="EndnoteText"/>
        <w:tabs>
          <w:tab w:val="clear" w:pos="1021"/>
        </w:tabs>
        <w:spacing w:after="60"/>
        <w:ind w:hanging="567"/>
        <w:rPr>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Fonts w:hint="cs"/>
          <w:rtl/>
        </w:rPr>
        <w:t xml:space="preserve">، </w:t>
      </w:r>
      <w:r w:rsidRPr="00A1269F">
        <w:rPr>
          <w:lang w:val="fr-CH"/>
        </w:rPr>
        <w:t xml:space="preserve">Evolution des naissances, de la natalité et de la part des naissances hors mariages jusqu’en 2015. </w:t>
      </w:r>
      <w:r w:rsidRPr="00A1269F">
        <w:rPr>
          <w:rtl/>
          <w:lang w:val="fr-CH"/>
        </w:rPr>
        <w:tab/>
      </w:r>
      <w:r w:rsidRPr="00A1269F">
        <w:rPr>
          <w:rtl/>
          <w:lang w:val="fr-CH"/>
        </w:rPr>
        <w:br/>
      </w:r>
      <w:r w:rsidRPr="00A1269F">
        <w:rPr>
          <w:lang w:val="fr-CH"/>
        </w:rPr>
        <w:t>http://www.insee.fr/fr/themes/tableau.asp?reg_id=0&amp;ref_id=NATnon02231</w:t>
      </w:r>
      <w:r w:rsidRPr="00A1269F">
        <w:rPr>
          <w:rFonts w:hint="cs"/>
          <w:rtl/>
          <w:lang w:val="fr-CH"/>
        </w:rPr>
        <w:t>.</w:t>
      </w:r>
    </w:p>
  </w:endnote>
  <w:endnote w:id="50">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المرجع السابق، الصفحة 3.</w:t>
      </w:r>
    </w:p>
  </w:endnote>
  <w:endnote w:id="51">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rPr>
        <w:t>France portrait social</w:t>
      </w:r>
      <w:r w:rsidRPr="00A1269F">
        <w:rPr>
          <w:rFonts w:hint="cs"/>
          <w:rtl/>
        </w:rPr>
        <w:t>، طبعة 2013، الصفحة 84.</w:t>
      </w:r>
    </w:p>
  </w:endnote>
  <w:endnote w:id="52">
    <w:p w:rsidR="008F7F42" w:rsidRPr="00A1269F" w:rsidRDefault="008F7F42" w:rsidP="0025779A">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DREES,</w:t>
      </w:r>
      <w:r w:rsidRPr="00A1269F">
        <w:rPr>
          <w:i/>
          <w:lang w:val="fr-CH"/>
        </w:rPr>
        <w:t xml:space="preserve"> L’état de santé de la population en France. </w:t>
      </w:r>
      <w:r w:rsidRPr="00A1269F">
        <w:rPr>
          <w:i/>
        </w:rPr>
        <w:t xml:space="preserve">Suivi des objectifs annexés à la </w:t>
      </w:r>
      <w:r w:rsidRPr="00A1269F">
        <w:rPr>
          <w:i/>
          <w:iCs/>
        </w:rPr>
        <w:t>loi</w:t>
      </w:r>
      <w:r w:rsidRPr="00A1269F">
        <w:rPr>
          <w:rFonts w:hint="cs"/>
          <w:rtl/>
        </w:rPr>
        <w:t>، تقرير عام</w:t>
      </w:r>
      <w:r w:rsidRPr="00A1269F">
        <w:rPr>
          <w:rFonts w:hint="eastAsia"/>
          <w:rtl/>
        </w:rPr>
        <w:t> </w:t>
      </w:r>
      <w:r w:rsidRPr="00A1269F">
        <w:rPr>
          <w:rFonts w:hint="cs"/>
          <w:rtl/>
        </w:rPr>
        <w:t xml:space="preserve">2011، الصفحتان 330 و331، متاح على الموقع الشبكي للمركز الإقليمي للإعلام والوقاية من الإيدز، </w:t>
      </w:r>
      <w:hyperlink r:id="rId25" w:anchor="part1" w:history="1">
        <w:r w:rsidRPr="00A1269F">
          <w:rPr>
            <w:rStyle w:val="Hyperlink"/>
            <w:rFonts w:eastAsiaTheme="majorEastAsia"/>
            <w:color w:val="auto"/>
            <w:u w:val="none"/>
          </w:rPr>
          <w:t>http://paca.lecrips.net/spip.php?article355#part1</w:t>
        </w:r>
      </w:hyperlink>
      <w:r w:rsidRPr="00A1269F">
        <w:rPr>
          <w:rFonts w:hint="cs"/>
          <w:rtl/>
        </w:rPr>
        <w:t>.</w:t>
      </w:r>
    </w:p>
  </w:endnote>
  <w:endnote w:id="53">
    <w:p w:rsidR="008F7F42" w:rsidRPr="00A1269F" w:rsidRDefault="008F7F42" w:rsidP="000275C5">
      <w:pPr>
        <w:pStyle w:val="EndnoteText"/>
        <w:tabs>
          <w:tab w:val="clear" w:pos="1021"/>
        </w:tabs>
        <w:spacing w:after="60"/>
        <w:ind w:hanging="567"/>
        <w:rPr>
          <w:spacing w:val="-6"/>
          <w:rtl/>
          <w:lang w:val="fr-CH"/>
        </w:rPr>
      </w:pPr>
      <w:r w:rsidRPr="00A1269F">
        <w:rPr>
          <w:rStyle w:val="EndnoteReference"/>
          <w:spacing w:val="-6"/>
          <w:vertAlign w:val="baseline"/>
          <w:rtl/>
        </w:rPr>
        <w:t>(</w:t>
      </w:r>
      <w:r w:rsidRPr="00A1269F">
        <w:rPr>
          <w:rStyle w:val="EndnoteReference"/>
          <w:spacing w:val="-6"/>
          <w:vertAlign w:val="baseline"/>
          <w:rtl/>
        </w:rPr>
        <w:endnoteRef/>
      </w:r>
      <w:r w:rsidRPr="00A1269F">
        <w:rPr>
          <w:rStyle w:val="EndnoteReference"/>
          <w:spacing w:val="-6"/>
          <w:vertAlign w:val="baseline"/>
          <w:rtl/>
        </w:rPr>
        <w:t>)</w:t>
      </w:r>
      <w:r w:rsidRPr="00A1269F">
        <w:rPr>
          <w:rStyle w:val="EndnoteReference"/>
          <w:spacing w:val="-6"/>
          <w:vertAlign w:val="baseline"/>
          <w:rtl/>
        </w:rPr>
        <w:tab/>
      </w:r>
      <w:r w:rsidRPr="00A1269F">
        <w:rPr>
          <w:spacing w:val="-6"/>
          <w:lang w:val="fr-CH"/>
        </w:rPr>
        <w:t xml:space="preserve">N. BAJOS, C. MOREAU, H. LERIDON, M. FERRAND, « Pourquoi le nombre d’avortements n’a-t-il pas baissé en France depuis 30 ans ? » </w:t>
      </w:r>
      <w:r w:rsidRPr="00A1269F">
        <w:rPr>
          <w:i/>
          <w:spacing w:val="-6"/>
          <w:lang w:val="fr-CH"/>
        </w:rPr>
        <w:t>INED</w:t>
      </w:r>
      <w:r w:rsidRPr="00A1269F">
        <w:rPr>
          <w:spacing w:val="-6"/>
          <w:lang w:val="fr-CH"/>
        </w:rPr>
        <w:t>, Population et sociétés</w:t>
      </w:r>
      <w:r w:rsidRPr="00A1269F">
        <w:rPr>
          <w:rFonts w:hint="cs"/>
          <w:spacing w:val="-6"/>
          <w:rtl/>
        </w:rPr>
        <w:t xml:space="preserve">، العدد 407، كانون الأول/ديسمبر 2004، </w:t>
      </w:r>
      <w:hyperlink r:id="rId26" w:history="1">
        <w:r w:rsidRPr="00A1269F">
          <w:rPr>
            <w:rStyle w:val="Hyperlink"/>
            <w:rFonts w:eastAsiaTheme="majorEastAsia"/>
            <w:color w:val="auto"/>
            <w:spacing w:val="-6"/>
            <w:u w:val="none"/>
            <w:lang w:val="fr-CH"/>
          </w:rPr>
          <w:t>http://www.ined.fr/fichier/t_telechargement/36878/telechargement_fichier_fr_pop.et.soc.francais.407.pdf</w:t>
        </w:r>
      </w:hyperlink>
      <w:r w:rsidRPr="00A1269F">
        <w:rPr>
          <w:rFonts w:hint="cs"/>
          <w:spacing w:val="-6"/>
          <w:rtl/>
          <w:lang w:val="fr-CH"/>
        </w:rPr>
        <w:t>.</w:t>
      </w:r>
    </w:p>
  </w:endnote>
  <w:endnote w:id="54">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الموقع الحكومي للمعلومات بشأن الإجهاض الطوعي: </w:t>
      </w:r>
      <w:hyperlink r:id="rId27" w:history="1">
        <w:r w:rsidRPr="00A1269F">
          <w:rPr>
            <w:rStyle w:val="Hyperlink"/>
            <w:rFonts w:eastAsiaTheme="majorEastAsia"/>
            <w:color w:val="auto"/>
            <w:u w:val="none"/>
          </w:rPr>
          <w:t>http://www.sante.gouv.fr/ivg</w:t>
        </w:r>
      </w:hyperlink>
      <w:r w:rsidRPr="00A1269F">
        <w:rPr>
          <w:rStyle w:val="Hyperlink"/>
          <w:rFonts w:eastAsiaTheme="majorEastAsia" w:hint="cs"/>
          <w:color w:val="auto"/>
          <w:u w:val="none"/>
          <w:rtl/>
        </w:rPr>
        <w:t>.</w:t>
      </w:r>
    </w:p>
  </w:endnote>
  <w:endnote w:id="55">
    <w:p w:rsidR="008F7F42" w:rsidRPr="00A1269F" w:rsidRDefault="008F7F42" w:rsidP="000275C5">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rPr>
        <w:t>Insee Références, Regards sur la parité</w:t>
      </w:r>
      <w:r w:rsidRPr="00A1269F">
        <w:rPr>
          <w:rFonts w:hint="cs"/>
          <w:rtl/>
        </w:rPr>
        <w:t xml:space="preserve">، طبعة 2010، الصفحة 92. </w:t>
      </w:r>
      <w:hyperlink r:id="rId28" w:history="1">
        <w:r w:rsidRPr="00A1269F">
          <w:rPr>
            <w:rStyle w:val="Hyperlink"/>
            <w:rFonts w:eastAsiaTheme="majorEastAsia"/>
            <w:color w:val="auto"/>
            <w:u w:val="none"/>
          </w:rPr>
          <w:t>http://www.insee.fr/</w:t>
        </w:r>
        <w:r w:rsidRPr="00A1269F">
          <w:rPr>
            <w:rStyle w:val="Hyperlink"/>
            <w:rFonts w:eastAsiaTheme="majorEastAsia"/>
            <w:color w:val="auto"/>
            <w:u w:val="none"/>
          </w:rPr>
          <w:br/>
          <w:t>fr/ffc/docs_ffc/ref/FHPARIT12h_F1pop.pdf</w:t>
        </w:r>
      </w:hyperlink>
      <w:r w:rsidRPr="00A1269F">
        <w:rPr>
          <w:rStyle w:val="Hyperlink"/>
          <w:rFonts w:eastAsiaTheme="majorEastAsia" w:hint="cs"/>
          <w:color w:val="auto"/>
          <w:u w:val="none"/>
          <w:rtl/>
        </w:rPr>
        <w:t>.</w:t>
      </w:r>
    </w:p>
  </w:endnote>
  <w:endnote w:id="56">
    <w:p w:rsidR="008F7F42" w:rsidRPr="00A1269F" w:rsidRDefault="008F7F42" w:rsidP="002F2536">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الموقع الحكومي للمعلومات بشأن الإجهاض الطوعي: </w:t>
      </w:r>
      <w:hyperlink r:id="rId29" w:history="1">
        <w:r w:rsidRPr="00A1269F">
          <w:rPr>
            <w:rStyle w:val="Hyperlink"/>
            <w:rFonts w:eastAsiaTheme="majorEastAsia"/>
            <w:color w:val="auto"/>
            <w:u w:val="none"/>
          </w:rPr>
          <w:t>http://www.sante.gouv.fr/droit-pour-toutes-les-femmes.html</w:t>
        </w:r>
      </w:hyperlink>
      <w:r w:rsidRPr="00A1269F">
        <w:rPr>
          <w:rFonts w:hint="cs"/>
          <w:rtl/>
        </w:rPr>
        <w:t>.</w:t>
      </w:r>
    </w:p>
  </w:endnote>
  <w:endnote w:id="57">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Fonts w:hint="cs"/>
          <w:rtl/>
        </w:rPr>
        <w:t xml:space="preserve">، جدول: </w:t>
      </w:r>
      <w:r w:rsidRPr="00A1269F">
        <w:t>Principales cause de décès en 2013</w:t>
      </w:r>
      <w:r w:rsidRPr="00A1269F">
        <w:rPr>
          <w:rtl/>
        </w:rPr>
        <w:t>،</w:t>
      </w:r>
      <w:r w:rsidRPr="00A1269F">
        <w:rPr>
          <w:rFonts w:hint="cs"/>
          <w:rtl/>
        </w:rPr>
        <w:t xml:space="preserve"> حُدث في آذار/مارس 2016. </w:t>
      </w:r>
      <w:r w:rsidRPr="00A1269F">
        <w:t>http://www.insee.fr/fr/themes/tableau.asp?reg_id=0&amp;ref_id=NATFPS06205</w:t>
      </w:r>
      <w:r w:rsidRPr="00A1269F">
        <w:rPr>
          <w:rFonts w:hint="cs"/>
          <w:rtl/>
        </w:rPr>
        <w:t>.</w:t>
      </w:r>
    </w:p>
  </w:endnote>
  <w:endnote w:id="58">
    <w:p w:rsidR="008F7F42" w:rsidRPr="00A1269F" w:rsidRDefault="008F7F42" w:rsidP="00C11CCF">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Fonts w:hint="cs"/>
          <w:rtl/>
        </w:rPr>
        <w:t xml:space="preserve">، جدول: </w:t>
      </w:r>
      <w:r w:rsidRPr="00A1269F">
        <w:t>principales causes de décès des jeunes et des enfants en 2012. France métropolitaine.</w:t>
      </w:r>
      <w:r w:rsidRPr="00A1269F">
        <w:rPr>
          <w:rFonts w:hint="cs"/>
          <w:rtl/>
        </w:rPr>
        <w:t xml:space="preserve"> </w:t>
      </w:r>
      <w:r w:rsidRPr="00A1269F">
        <w:rPr>
          <w:rtl/>
        </w:rPr>
        <w:tab/>
      </w:r>
      <w:r w:rsidRPr="00A1269F">
        <w:rPr>
          <w:rtl/>
        </w:rPr>
        <w:br/>
      </w:r>
      <w:r w:rsidRPr="00A1269F">
        <w:t>http://www.insee.fr/fr/themes/tableau.asp?reg_id=0&amp;ref_id=NATCCJ06206</w:t>
      </w:r>
      <w:r w:rsidRPr="00A1269F">
        <w:rPr>
          <w:rFonts w:hint="cs"/>
          <w:rtl/>
          <w:lang w:val="fr-CH"/>
        </w:rPr>
        <w:t>.</w:t>
      </w:r>
    </w:p>
  </w:endnote>
  <w:endnote w:id="59">
    <w:p w:rsidR="008F7F42" w:rsidRPr="00A1269F" w:rsidRDefault="008F7F42" w:rsidP="00C11CCF">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الصحة، </w:t>
      </w:r>
      <w:r w:rsidRPr="00A1269F">
        <w:rPr>
          <w:i/>
        </w:rPr>
        <w:t>Plan 2007-2011 pour l’amélioration de la qualité de vie des personnes atteintes de maladies chroniques</w:t>
      </w:r>
      <w:r w:rsidRPr="00A1269F">
        <w:t>,</w:t>
      </w:r>
      <w:r w:rsidRPr="00A1269F">
        <w:rPr>
          <w:rtl/>
        </w:rPr>
        <w:t xml:space="preserve">، </w:t>
      </w:r>
      <w:r w:rsidRPr="00A1269F">
        <w:rPr>
          <w:rFonts w:hint="cs"/>
          <w:rtl/>
        </w:rPr>
        <w:t xml:space="preserve">الصفحة 5، </w:t>
      </w:r>
      <w:hyperlink r:id="rId30" w:history="1">
        <w:r w:rsidRPr="00A1269F">
          <w:rPr>
            <w:rStyle w:val="Hyperlink"/>
            <w:rFonts w:eastAsiaTheme="majorEastAsia"/>
            <w:bCs/>
            <w:color w:val="auto"/>
            <w:u w:val="none"/>
          </w:rPr>
          <w:t>http://www.sante.gouv.fr/IMG/pdf/plan2007_2011.pdf</w:t>
        </w:r>
      </w:hyperlink>
      <w:r w:rsidRPr="00A1269F">
        <w:rPr>
          <w:rStyle w:val="Hyperlink"/>
          <w:rFonts w:eastAsiaTheme="majorEastAsia" w:hint="cs"/>
          <w:bCs/>
          <w:color w:val="auto"/>
          <w:u w:val="none"/>
          <w:rtl/>
        </w:rPr>
        <w:t>.</w:t>
      </w:r>
    </w:p>
  </w:endnote>
  <w:endnote w:id="60">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معهد الرصد الصحي، </w:t>
      </w:r>
      <w:r w:rsidRPr="00A1269F">
        <w:t>Maladies chroniques et traumatismes</w:t>
      </w:r>
      <w:r w:rsidRPr="00A1269F">
        <w:rPr>
          <w:rtl/>
        </w:rPr>
        <w:t xml:space="preserve">، </w:t>
      </w:r>
      <w:r w:rsidRPr="00A1269F">
        <w:rPr>
          <w:rFonts w:hint="cs"/>
          <w:rtl/>
        </w:rPr>
        <w:t xml:space="preserve">نُشر في عام 2010، آخر تحديث في 28 </w:t>
      </w:r>
      <w:r w:rsidRPr="00A1269F">
        <w:rPr>
          <w:rFonts w:hint="cs"/>
          <w:spacing w:val="-6"/>
          <w:rtl/>
        </w:rPr>
        <w:t xml:space="preserve">شباط/فبراير 2014. </w:t>
      </w:r>
      <w:hyperlink r:id="rId31" w:history="1">
        <w:r w:rsidRPr="00A1269F">
          <w:rPr>
            <w:rStyle w:val="Hyperlink"/>
            <w:rFonts w:eastAsiaTheme="majorEastAsia"/>
            <w:color w:val="auto"/>
            <w:spacing w:val="-6"/>
            <w:u w:val="none"/>
          </w:rPr>
          <w:t>http://www.invs.sante.fr/Dossiers-thematiques/Maladies-chroniques-et-traumatismes</w:t>
        </w:r>
      </w:hyperlink>
      <w:r w:rsidRPr="00A1269F">
        <w:rPr>
          <w:rFonts w:hint="cs"/>
          <w:spacing w:val="-6"/>
          <w:rtl/>
        </w:rPr>
        <w:t>.</w:t>
      </w:r>
    </w:p>
  </w:endnote>
  <w:endnote w:id="61">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Sida Info service, </w:t>
      </w:r>
      <w:hyperlink r:id="rId32" w:history="1">
        <w:r w:rsidRPr="00A1269F">
          <w:rPr>
            <w:rStyle w:val="Hyperlink"/>
            <w:rFonts w:eastAsiaTheme="majorEastAsia"/>
            <w:color w:val="auto"/>
            <w:u w:val="none"/>
          </w:rPr>
          <w:t>http://www.sida-info-service.org/?Quelques-chiffres-sur-le-VIH-sida</w:t>
        </w:r>
      </w:hyperlink>
      <w:r w:rsidRPr="00A1269F">
        <w:rPr>
          <w:rFonts w:hint="cs"/>
          <w:rtl/>
        </w:rPr>
        <w:t>.</w:t>
      </w:r>
    </w:p>
  </w:endnote>
  <w:endnote w:id="62">
    <w:p w:rsidR="008F7F42" w:rsidRPr="00A1269F" w:rsidRDefault="008F7F42" w:rsidP="00E658B4">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2"/>
          <w:rtl/>
        </w:rPr>
        <w:t xml:space="preserve">معهد الرصد الصحي، </w:t>
      </w:r>
      <w:r w:rsidRPr="00A1269F">
        <w:rPr>
          <w:bCs/>
          <w:spacing w:val="-2"/>
        </w:rPr>
        <w:t>Données épidémiologiques sur l’infection à VIH et les IST</w:t>
      </w:r>
      <w:r w:rsidRPr="00A1269F">
        <w:rPr>
          <w:rFonts w:hint="cs"/>
          <w:spacing w:val="-2"/>
          <w:rtl/>
        </w:rPr>
        <w:t xml:space="preserve">، نُشر في عام 2012، </w:t>
      </w:r>
      <w:hyperlink r:id="rId33" w:history="1">
        <w:r w:rsidRPr="00A1269F">
          <w:rPr>
            <w:rStyle w:val="Hyperlink"/>
            <w:rFonts w:eastAsiaTheme="majorEastAsia"/>
            <w:color w:val="auto"/>
            <w:u w:val="none"/>
          </w:rPr>
          <w:t>http://www.invs.sante.fr/Dossiers-thematiques/Maladies-infectieuses/VIH-sida-IST/Infection-a-VIH-et-sida/Donnees/Donnees-epidemiologiques-sur-l-infection-a-VIH-et-les-IST</w:t>
        </w:r>
      </w:hyperlink>
      <w:r w:rsidRPr="00A1269F">
        <w:rPr>
          <w:rFonts w:hint="cs"/>
          <w:rtl/>
        </w:rPr>
        <w:t>.</w:t>
      </w:r>
    </w:p>
  </w:endnote>
  <w:endnote w:id="63">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TEF– Insee Références</w:t>
      </w:r>
      <w:r w:rsidRPr="00A1269F">
        <w:rPr>
          <w:rFonts w:hint="cs"/>
          <w:rtl/>
        </w:rPr>
        <w:t>، طبعة 2016، الصفحة 98.</w:t>
      </w:r>
    </w:p>
  </w:endnote>
  <w:endnote w:id="64">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المرجع السابق، جدول: </w:t>
      </w:r>
      <w:r w:rsidRPr="00A1269F">
        <w:t xml:space="preserve">Scolarisation par âge, p. 103 ; INSEE, </w:t>
      </w:r>
      <w:r w:rsidRPr="00A1269F">
        <w:rPr>
          <w:i/>
        </w:rPr>
        <w:t>France portrait social</w:t>
      </w:r>
      <w:r w:rsidRPr="00A1269F">
        <w:rPr>
          <w:rFonts w:hint="cs"/>
          <w:rtl/>
        </w:rPr>
        <w:t>، طبعة 2015، الصفحة 154.</w:t>
      </w:r>
    </w:p>
  </w:endnote>
  <w:endnote w:id="65">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rPr>
        <w:t>TEF</w:t>
      </w:r>
      <w:r w:rsidRPr="00A1269F">
        <w:rPr>
          <w:rFonts w:hint="cs"/>
          <w:rtl/>
        </w:rPr>
        <w:t>، طبعة 2016، الصفحة 99.</w:t>
      </w:r>
    </w:p>
  </w:endnote>
  <w:endnote w:id="66">
    <w:p w:rsidR="008F7F42" w:rsidRPr="00A1269F" w:rsidRDefault="008F7F42" w:rsidP="002F2536">
      <w:pPr>
        <w:pStyle w:val="EndnoteText"/>
        <w:tabs>
          <w:tab w:val="clear" w:pos="1021"/>
        </w:tabs>
        <w:spacing w:after="60"/>
        <w:ind w:hanging="567"/>
        <w:rPr>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 xml:space="preserve">ANLCI, Les chiffres &lt; niveau national, </w:t>
      </w:r>
      <w:hyperlink r:id="rId34" w:history="1">
        <w:r w:rsidRPr="00A1269F">
          <w:rPr>
            <w:rStyle w:val="Hyperlink"/>
            <w:rFonts w:eastAsiaTheme="majorEastAsia"/>
            <w:color w:val="auto"/>
            <w:u w:val="none"/>
            <w:lang w:val="fr-CH"/>
          </w:rPr>
          <w:t>http://www.anlci.gouv.fr/content/download/1372/29017/</w:t>
        </w:r>
        <w:r w:rsidRPr="00A1269F">
          <w:rPr>
            <w:rStyle w:val="Hyperlink"/>
            <w:rFonts w:eastAsiaTheme="majorEastAsia"/>
            <w:color w:val="auto"/>
            <w:u w:val="none"/>
            <w:lang w:val="fr-CH"/>
          </w:rPr>
          <w:br/>
          <w:t>version/1/file/PLAQUETTE_CHIFFRES_JANVIER+2013.pdf</w:t>
        </w:r>
      </w:hyperlink>
      <w:r w:rsidRPr="00A1269F">
        <w:rPr>
          <w:rFonts w:hint="cs"/>
          <w:rtl/>
          <w:lang w:val="fr-CH"/>
        </w:rPr>
        <w:t>.</w:t>
      </w:r>
    </w:p>
  </w:endnote>
  <w:endnote w:id="67">
    <w:p w:rsidR="008F7F42" w:rsidRPr="00A1269F" w:rsidRDefault="008F7F42" w:rsidP="005835C3">
      <w:pPr>
        <w:pStyle w:val="EndnoteText"/>
        <w:tabs>
          <w:tab w:val="clear" w:pos="1021"/>
        </w:tabs>
        <w:spacing w:after="60"/>
        <w:ind w:hanging="567"/>
        <w:rPr>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INSEE, N. JONAS, « </w:t>
      </w:r>
      <w:r w:rsidRPr="00A1269F">
        <w:rPr>
          <w:bCs/>
          <w:lang w:val="fr-CH"/>
        </w:rPr>
        <w:t xml:space="preserve">Pour les générations les plus récentes, les difficultés des adultes diminuent à l’écrit, mais augmentent en calcul », </w:t>
      </w:r>
      <w:r w:rsidRPr="00A1269F">
        <w:rPr>
          <w:i/>
          <w:lang w:val="fr-CH"/>
        </w:rPr>
        <w:t>Insee première</w:t>
      </w:r>
      <w:r w:rsidRPr="00A1269F">
        <w:rPr>
          <w:rFonts w:hint="cs"/>
          <w:rtl/>
        </w:rPr>
        <w:t xml:space="preserve">، العدد 1436، كانون الأول/ديسمبر 2012، </w:t>
      </w:r>
      <w:hyperlink r:id="rId35" w:history="1">
        <w:r w:rsidRPr="00A1269F">
          <w:rPr>
            <w:rStyle w:val="Hyperlink"/>
            <w:rFonts w:eastAsiaTheme="majorEastAsia"/>
            <w:color w:val="auto"/>
            <w:u w:val="none"/>
            <w:lang w:val="fr-CH"/>
          </w:rPr>
          <w:t>http://insee.fr/fr/ffc/ipweb/ip1426/ip1426.pdf</w:t>
        </w:r>
      </w:hyperlink>
      <w:r w:rsidRPr="00A1269F">
        <w:rPr>
          <w:rStyle w:val="Hyperlink"/>
          <w:rFonts w:eastAsiaTheme="majorEastAsia" w:hint="cs"/>
          <w:color w:val="auto"/>
          <w:u w:val="none"/>
          <w:rtl/>
        </w:rPr>
        <w:t>.</w:t>
      </w:r>
    </w:p>
  </w:endnote>
  <w:endnote w:id="68">
    <w:p w:rsidR="008F7F42" w:rsidRPr="00A1269F" w:rsidRDefault="008F7F42" w:rsidP="00E658B4">
      <w:pPr>
        <w:pStyle w:val="EndnoteText"/>
        <w:tabs>
          <w:tab w:val="clear" w:pos="1021"/>
        </w:tabs>
        <w:spacing w:after="60"/>
        <w:ind w:left="1360" w:hanging="680"/>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Eurostat, PIB et principaux composants (production, dépenses et revenu)</w:t>
      </w:r>
      <w:r w:rsidRPr="00A1269F">
        <w:rPr>
          <w:rFonts w:hint="cs"/>
          <w:rtl/>
          <w:lang w:val="fr-CH"/>
        </w:rPr>
        <w:t>.</w:t>
      </w:r>
      <w:r w:rsidRPr="00A1269F">
        <w:rPr>
          <w:rtl/>
          <w:lang w:val="fr-CH"/>
        </w:rPr>
        <w:tab/>
      </w:r>
      <w:r w:rsidRPr="00A1269F">
        <w:rPr>
          <w:rFonts w:hint="cs"/>
          <w:rtl/>
          <w:lang w:val="fr-CH"/>
        </w:rPr>
        <w:t xml:space="preserve"> </w:t>
      </w:r>
      <w:r w:rsidRPr="00A1269F">
        <w:rPr>
          <w:lang w:val="fr-CH"/>
        </w:rPr>
        <w:br/>
      </w:r>
      <w:hyperlink r:id="rId36" w:history="1">
        <w:r w:rsidRPr="00A1269F">
          <w:rPr>
            <w:rStyle w:val="Hyperlink"/>
            <w:rFonts w:eastAsiaTheme="majorEastAsia"/>
            <w:color w:val="auto"/>
            <w:u w:val="none"/>
          </w:rPr>
          <w:t>http://appsso.eurostat.ec.europa.eu/nui/submitViewTableAction.do</w:t>
        </w:r>
      </w:hyperlink>
      <w:r w:rsidRPr="00A1269F">
        <w:rPr>
          <w:rStyle w:val="Hyperlink"/>
          <w:rFonts w:eastAsiaTheme="majorEastAsia" w:hint="cs"/>
          <w:color w:val="auto"/>
          <w:u w:val="none"/>
          <w:rtl/>
        </w:rPr>
        <w:t>.</w:t>
      </w:r>
    </w:p>
  </w:endnote>
  <w:endnote w:id="69">
    <w:p w:rsidR="008F7F42" w:rsidRPr="00A1269F" w:rsidRDefault="008F7F42" w:rsidP="00E658B4">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مصرف فرنسا، </w:t>
      </w:r>
      <w:r w:rsidRPr="00A1269F">
        <w:rPr>
          <w:i/>
        </w:rPr>
        <w:t>Zone euro – principaux indicateurs économiques et financiers</w:t>
      </w:r>
      <w:r w:rsidRPr="00A1269F">
        <w:rPr>
          <w:rFonts w:hint="cs"/>
          <w:rtl/>
        </w:rPr>
        <w:t xml:space="preserve">، 5 كانون الأول/ ديسمبر 2013، </w:t>
      </w:r>
      <w:hyperlink r:id="rId37" w:history="1">
        <w:r w:rsidRPr="00A1269F">
          <w:rPr>
            <w:rStyle w:val="Hyperlink"/>
            <w:rFonts w:eastAsiaTheme="majorEastAsia"/>
            <w:color w:val="auto"/>
            <w:u w:val="none"/>
          </w:rPr>
          <w:t>https://www.banque-france.fr/fileadmin/user_upload/banque_de_france/Economie</w:t>
        </w:r>
        <w:r w:rsidRPr="00A1269F">
          <w:rPr>
            <w:rStyle w:val="Hyperlink"/>
            <w:rFonts w:eastAsiaTheme="majorEastAsia"/>
            <w:color w:val="auto"/>
            <w:u w:val="none"/>
          </w:rPr>
          <w:br/>
          <w:t>_et_Statistiques/base_de_donnees/chiffres-cles-zone-euro/zef015.pdf</w:t>
        </w:r>
      </w:hyperlink>
    </w:p>
  </w:endnote>
  <w:endnote w:id="70">
    <w:p w:rsidR="008F7F42" w:rsidRPr="00A1269F" w:rsidRDefault="008F7F42" w:rsidP="00E658B4">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É. Debauche, F. Arnaud, T. Laurent, département des Comptes nationaux, « Les comptes de la Nation en 2014 », </w:t>
      </w:r>
      <w:r w:rsidRPr="00A1269F">
        <w:rPr>
          <w:i/>
        </w:rPr>
        <w:t>Insee Première</w:t>
      </w:r>
      <w:r w:rsidRPr="00A1269F">
        <w:rPr>
          <w:rFonts w:hint="cs"/>
          <w:rtl/>
        </w:rPr>
        <w:t>، العدد 1549، أيار/مايو 2015، الصفحة 3،</w:t>
      </w:r>
      <w:r w:rsidRPr="00A1269F">
        <w:rPr>
          <w:rtl/>
        </w:rPr>
        <w:tab/>
      </w:r>
      <w:r w:rsidRPr="00A1269F">
        <w:rPr>
          <w:rFonts w:hint="cs"/>
          <w:rtl/>
        </w:rPr>
        <w:t xml:space="preserve"> </w:t>
      </w:r>
      <w:r w:rsidRPr="00A1269F">
        <w:rPr>
          <w:rtl/>
        </w:rPr>
        <w:br/>
      </w:r>
      <w:r w:rsidRPr="00A1269F">
        <w:t>http://www.insee.fr/fr/ffc/ipweb/ip1549/ip1549.pdf</w:t>
      </w:r>
    </w:p>
  </w:endnote>
  <w:endnote w:id="71">
    <w:p w:rsidR="008F7F42" w:rsidRPr="00A1269F" w:rsidRDefault="008F7F42" w:rsidP="00E658B4">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INSEE, Informations rapides</w:t>
      </w:r>
      <w:r w:rsidRPr="00A1269F">
        <w:rPr>
          <w:rFonts w:hint="cs"/>
          <w:rtl/>
        </w:rPr>
        <w:t xml:space="preserve">، العدد 51، 26 شباط/فبراير 2016. </w:t>
      </w:r>
      <w:r w:rsidRPr="00A1269F">
        <w:t>Insee Conjoncture</w:t>
      </w:r>
      <w:r w:rsidRPr="00A1269F">
        <w:rPr>
          <w:rFonts w:hint="cs"/>
          <w:rtl/>
        </w:rPr>
        <w:t xml:space="preserve">. </w:t>
      </w:r>
      <w:r w:rsidRPr="00A1269F">
        <w:rPr>
          <w:rtl/>
        </w:rPr>
        <w:t xml:space="preserve">"زاد الناتج المحلي الإجمالي، </w:t>
      </w:r>
      <w:r w:rsidRPr="00A1269F">
        <w:rPr>
          <w:i/>
          <w:iCs/>
          <w:rtl/>
        </w:rPr>
        <w:t>خلال الربع الأخير من عام 2015</w:t>
      </w:r>
      <w:r w:rsidRPr="00A1269F">
        <w:rPr>
          <w:rtl/>
        </w:rPr>
        <w:t xml:space="preserve">، بنسبة 0,3 في المائة، </w:t>
      </w:r>
      <w:r w:rsidRPr="00A1269F">
        <w:rPr>
          <w:rFonts w:hint="cs"/>
          <w:rtl/>
        </w:rPr>
        <w:t>وهو ما جعل نموه السنوي يبلغ</w:t>
      </w:r>
      <w:r w:rsidRPr="00A1269F">
        <w:rPr>
          <w:rFonts w:hint="eastAsia"/>
          <w:rtl/>
        </w:rPr>
        <w:t> </w:t>
      </w:r>
      <w:r w:rsidRPr="00A1269F">
        <w:rPr>
          <w:rtl/>
        </w:rPr>
        <w:t>1,1+ في المائة"</w:t>
      </w:r>
      <w:r w:rsidRPr="00A1269F">
        <w:rPr>
          <w:rFonts w:hint="cs"/>
          <w:rtl/>
        </w:rPr>
        <w:t xml:space="preserve"> </w:t>
      </w:r>
      <w:hyperlink r:id="rId38" w:history="1">
        <w:r w:rsidRPr="00A1269F">
          <w:rPr>
            <w:rStyle w:val="Hyperlink"/>
            <w:rFonts w:eastAsiaTheme="majorEastAsia"/>
            <w:color w:val="auto"/>
            <w:u w:val="none"/>
          </w:rPr>
          <w:t>http://www.insee.fr/fr/indicateurs/ind26/20160226/DE154.pdf</w:t>
        </w:r>
      </w:hyperlink>
      <w:r w:rsidRPr="00A1269F">
        <w:rPr>
          <w:rFonts w:hint="cs"/>
          <w:rtl/>
        </w:rPr>
        <w:t>.</w:t>
      </w:r>
    </w:p>
  </w:endnote>
  <w:endnote w:id="72">
    <w:p w:rsidR="008F7F42" w:rsidRPr="00A1269F" w:rsidRDefault="008F7F42" w:rsidP="00B95BE0">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OCDE, France – Résumé des projections économies</w:t>
      </w:r>
      <w:r w:rsidRPr="00A1269F">
        <w:rPr>
          <w:rFonts w:hint="cs"/>
          <w:rtl/>
        </w:rPr>
        <w:t>، (تشرين الثاني/نوفمبر 2015)</w:t>
      </w:r>
      <w:r w:rsidRPr="00A1269F">
        <w:rPr>
          <w:rtl/>
        </w:rPr>
        <w:tab/>
      </w:r>
      <w:r w:rsidRPr="00A1269F">
        <w:rPr>
          <w:rFonts w:hint="cs"/>
          <w:rtl/>
        </w:rPr>
        <w:t xml:space="preserve"> </w:t>
      </w:r>
      <w:r w:rsidRPr="00A1269F">
        <w:rPr>
          <w:rtl/>
        </w:rPr>
        <w:br/>
      </w:r>
      <w:r w:rsidRPr="00A1269F">
        <w:t>http://www.oecd.org/fr/economie/france-projections-economiques.htm</w:t>
      </w:r>
      <w:r w:rsidRPr="00A1269F">
        <w:rPr>
          <w:rFonts w:hint="cs"/>
          <w:rtl/>
        </w:rPr>
        <w:t>.</w:t>
      </w:r>
    </w:p>
  </w:endnote>
  <w:endnote w:id="73">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bCs/>
        </w:rPr>
        <w:t>INSEE, Tableau de l’économie française</w:t>
      </w:r>
      <w:r w:rsidRPr="00A1269F">
        <w:rPr>
          <w:rFonts w:hint="cs"/>
          <w:rtl/>
        </w:rPr>
        <w:t>، طبعة 2016، الصفحة 115.</w:t>
      </w:r>
    </w:p>
  </w:endnote>
  <w:endnote w:id="74">
    <w:p w:rsidR="008F7F42" w:rsidRPr="00A1269F" w:rsidRDefault="008F7F42" w:rsidP="00B95BE0">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INSEE, Dette nette des administrations publiques et autres actifs liquides détenus par les administrations publiques</w:t>
      </w:r>
      <w:r w:rsidRPr="00A1269F">
        <w:rPr>
          <w:rFonts w:hint="cs"/>
          <w:rtl/>
        </w:rPr>
        <w:t xml:space="preserve">، </w:t>
      </w:r>
      <w:r w:rsidRPr="00A1269F">
        <w:rPr>
          <w:rtl/>
        </w:rPr>
        <w:tab/>
      </w:r>
      <w:r w:rsidRPr="00A1269F">
        <w:rPr>
          <w:rtl/>
        </w:rPr>
        <w:br/>
      </w:r>
      <w:r w:rsidRPr="00A1269F">
        <w:t>http://www.insee.fr/fr/themes/comptes-nationaux/tableau.asp?sous_theme=3.1&amp;xml=t_3103</w:t>
      </w:r>
      <w:r w:rsidRPr="00A1269F">
        <w:rPr>
          <w:rFonts w:hint="cs"/>
          <w:rtl/>
        </w:rPr>
        <w:t>.</w:t>
      </w:r>
    </w:p>
  </w:endnote>
  <w:endnote w:id="75">
    <w:p w:rsidR="008F7F42" w:rsidRPr="00A1269F" w:rsidRDefault="008F7F42" w:rsidP="004E7E9D">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rPr>
        <w:t>TEF</w:t>
      </w:r>
      <w:r w:rsidRPr="00A1269F">
        <w:rPr>
          <w:rFonts w:hint="cs"/>
          <w:rtl/>
        </w:rPr>
        <w:t>، طبعة 2016، الصفحتان 122 و123،</w:t>
      </w:r>
      <w:r w:rsidRPr="00A1269F">
        <w:rPr>
          <w:rtl/>
        </w:rPr>
        <w:tab/>
      </w:r>
      <w:r w:rsidRPr="00A1269F">
        <w:rPr>
          <w:rFonts w:hint="cs"/>
          <w:rtl/>
        </w:rPr>
        <w:t xml:space="preserve"> </w:t>
      </w:r>
      <w:r w:rsidRPr="00A1269F">
        <w:br/>
      </w:r>
      <w:hyperlink r:id="rId39" w:history="1">
        <w:r w:rsidRPr="00A1269F">
          <w:rPr>
            <w:rStyle w:val="Hyperlink"/>
            <w:rFonts w:eastAsiaTheme="majorEastAsia"/>
            <w:color w:val="auto"/>
            <w:u w:val="none"/>
          </w:rPr>
          <w:t>http://www.insee.fr/fr/ffc/docs_ffc/tef2016.pdf</w:t>
        </w:r>
      </w:hyperlink>
      <w:r w:rsidRPr="00A1269F">
        <w:rPr>
          <w:rFonts w:hint="cs"/>
          <w:rtl/>
        </w:rPr>
        <w:t xml:space="preserve"> أو</w:t>
      </w:r>
      <w:r w:rsidRPr="00A1269F">
        <w:rPr>
          <w:rtl/>
        </w:rPr>
        <w:tab/>
      </w:r>
      <w:r w:rsidRPr="00A1269F">
        <w:rPr>
          <w:rFonts w:hint="cs"/>
          <w:rtl/>
        </w:rPr>
        <w:t xml:space="preserve"> </w:t>
      </w:r>
      <w:r w:rsidRPr="00A1269F">
        <w:rPr>
          <w:rtl/>
        </w:rPr>
        <w:br/>
      </w:r>
      <w:hyperlink r:id="rId40" w:history="1">
        <w:r w:rsidRPr="00A1269F">
          <w:rPr>
            <w:rStyle w:val="Hyperlink"/>
            <w:rFonts w:eastAsiaTheme="majorEastAsia"/>
            <w:color w:val="auto"/>
            <w:u w:val="none"/>
          </w:rPr>
          <w:t>http://www.insee.fr/fr/publications-et-services/sommaire.asp?reg_id=0&amp;ref_id=TEF16</w:t>
        </w:r>
      </w:hyperlink>
      <w:r w:rsidRPr="00A1269F">
        <w:rPr>
          <w:rFonts w:eastAsiaTheme="majorEastAsia" w:hint="cs"/>
          <w:rtl/>
        </w:rPr>
        <w:t>.</w:t>
      </w:r>
    </w:p>
  </w:endnote>
  <w:endnote w:id="76">
    <w:p w:rsidR="008F7F42" w:rsidRPr="00A1269F" w:rsidRDefault="008F7F42" w:rsidP="004E7E9D">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OCDE iLibrary, Profil statistique par pays: France 2013</w:t>
      </w:r>
      <w:r w:rsidRPr="00A1269F">
        <w:rPr>
          <w:rFonts w:hint="cs"/>
          <w:rtl/>
        </w:rPr>
        <w:t>،</w:t>
      </w:r>
      <w:r w:rsidRPr="00A1269F">
        <w:rPr>
          <w:rtl/>
        </w:rPr>
        <w:tab/>
      </w:r>
      <w:r w:rsidRPr="00A1269F">
        <w:rPr>
          <w:rFonts w:hint="cs"/>
          <w:rtl/>
        </w:rPr>
        <w:t xml:space="preserve"> </w:t>
      </w:r>
      <w:r w:rsidRPr="00A1269F">
        <w:rPr>
          <w:rtl/>
        </w:rPr>
        <w:br/>
      </w:r>
      <w:hyperlink r:id="rId41" w:history="1">
        <w:r w:rsidRPr="00A1269F">
          <w:rPr>
            <w:rStyle w:val="Hyperlink"/>
            <w:rFonts w:eastAsiaTheme="majorEastAsia"/>
            <w:color w:val="auto"/>
            <w:u w:val="none"/>
          </w:rPr>
          <w:t>http://www.oecd-ilibrary.org/economics/profil-statistique-par-pays-france_2075227x-table-fra</w:t>
        </w:r>
      </w:hyperlink>
      <w:r w:rsidRPr="00A1269F">
        <w:rPr>
          <w:rFonts w:hint="cs"/>
          <w:rtl/>
        </w:rPr>
        <w:t>.</w:t>
      </w:r>
    </w:p>
  </w:endnote>
  <w:endnote w:id="77">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rPr>
        <w:t>France portrait social</w:t>
      </w:r>
      <w:r w:rsidRPr="00A1269F">
        <w:rPr>
          <w:rFonts w:hint="cs"/>
          <w:rtl/>
        </w:rPr>
        <w:t>، طبعة 2015، الصفحة 218.</w:t>
      </w:r>
    </w:p>
  </w:endnote>
  <w:endnote w:id="78">
    <w:p w:rsidR="008F7F42" w:rsidRPr="00A1269F" w:rsidRDefault="008F7F42" w:rsidP="004E7E9D">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المصدر السابق، الصفحة 196، </w:t>
      </w:r>
      <w:hyperlink r:id="rId42" w:history="1">
        <w:r w:rsidRPr="00A1269F">
          <w:rPr>
            <w:rStyle w:val="Hyperlink"/>
            <w:rFonts w:eastAsiaTheme="majorEastAsia"/>
            <w:color w:val="auto"/>
            <w:u w:val="none"/>
          </w:rPr>
          <w:t>http://www.insee.fr/fr/ffc/docs_ffc/ref/FPORSOC12n_FTLo2pop.</w:t>
        </w:r>
        <w:r w:rsidRPr="00A1269F">
          <w:rPr>
            <w:rStyle w:val="Hyperlink"/>
            <w:rFonts w:eastAsiaTheme="majorEastAsia"/>
            <w:color w:val="auto"/>
            <w:u w:val="none"/>
          </w:rPr>
          <w:br/>
          <w:t>pdf?bcsi_scan_96404f7f6439614d=0&amp;bcsi_scan_filename=FPORSOC12n_FTLo2pop.pdf</w:t>
        </w:r>
      </w:hyperlink>
      <w:r w:rsidRPr="00A1269F">
        <w:rPr>
          <w:rFonts w:hint="cs"/>
          <w:rtl/>
        </w:rPr>
        <w:t>.</w:t>
      </w:r>
    </w:p>
  </w:endnote>
  <w:endnote w:id="79">
    <w:p w:rsidR="008F7F42" w:rsidRPr="00A1269F" w:rsidRDefault="008F7F42" w:rsidP="00820BD2">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tl/>
        </w:rPr>
        <w:t>وزارة البيئة والتنمية المستدامة والطاقة</w:t>
      </w:r>
      <w:r w:rsidRPr="00A1269F">
        <w:rPr>
          <w:rFonts w:hint="cs"/>
          <w:rtl/>
        </w:rPr>
        <w:t xml:space="preserve">، </w:t>
      </w:r>
      <w:r w:rsidRPr="00A1269F">
        <w:t xml:space="preserve">Observations et statistiques, </w:t>
      </w:r>
      <w:r w:rsidRPr="00A1269F">
        <w:rPr>
          <w:i/>
        </w:rPr>
        <w:t>«Dépense en logement en 2013 : les dépenses courantes restent à la hausse, l’investissement fléchit»</w:t>
      </w:r>
      <w:r w:rsidRPr="00A1269F">
        <w:rPr>
          <w:rFonts w:hint="cs"/>
          <w:rtl/>
        </w:rPr>
        <w:t>،</w:t>
      </w:r>
      <w:r w:rsidRPr="00A1269F">
        <w:rPr>
          <w:rFonts w:hint="cs"/>
          <w:rtl/>
          <w:lang w:val="fr-CH"/>
        </w:rPr>
        <w:t xml:space="preserve"> (الإنفاق على السكن في عام</w:t>
      </w:r>
      <w:r w:rsidRPr="00A1269F">
        <w:rPr>
          <w:rFonts w:hint="eastAsia"/>
          <w:rtl/>
          <w:lang w:val="fr-CH"/>
        </w:rPr>
        <w:t> </w:t>
      </w:r>
      <w:r w:rsidRPr="00A1269F">
        <w:rPr>
          <w:rFonts w:hint="cs"/>
          <w:rtl/>
          <w:lang w:val="fr-CH"/>
        </w:rPr>
        <w:t xml:space="preserve">2013: لا تزال النفقات الجارية في ارتفاع، وتراجع الاستثمار)، الصفحة 1. </w:t>
      </w:r>
      <w:hyperlink r:id="rId43" w:history="1">
        <w:r w:rsidRPr="00A1269F">
          <w:rPr>
            <w:rStyle w:val="Hyperlink"/>
            <w:rFonts w:eastAsiaTheme="majorEastAsia"/>
            <w:color w:val="auto"/>
            <w:u w:val="none"/>
          </w:rPr>
          <w:t>http://www.statistiques.</w:t>
        </w:r>
        <w:r w:rsidRPr="00A1269F">
          <w:rPr>
            <w:rStyle w:val="Hyperlink"/>
            <w:rFonts w:eastAsiaTheme="majorEastAsia"/>
            <w:color w:val="auto"/>
            <w:u w:val="none"/>
          </w:rPr>
          <w:br/>
          <w:t>developpement-durable.gouv.fr/fileadmin/documents/Produits_editoriaux/Publications/Le_Point_</w:t>
        </w:r>
        <w:r w:rsidRPr="00A1269F">
          <w:rPr>
            <w:rStyle w:val="Hyperlink"/>
            <w:rFonts w:eastAsiaTheme="majorEastAsia"/>
            <w:color w:val="auto"/>
            <w:u w:val="none"/>
          </w:rPr>
          <w:br/>
          <w:t>Sur/2014/lps181-compte-logement2012-janvier2014.pdf</w:t>
        </w:r>
      </w:hyperlink>
      <w:r w:rsidRPr="00A1269F">
        <w:rPr>
          <w:rFonts w:hint="cs"/>
          <w:rtl/>
        </w:rPr>
        <w:t>.</w:t>
      </w:r>
    </w:p>
  </w:endnote>
  <w:endnote w:id="80">
    <w:p w:rsidR="008F7F42" w:rsidRPr="00A1269F" w:rsidRDefault="008F7F42" w:rsidP="00E43E16">
      <w:pPr>
        <w:pStyle w:val="EndnoteText"/>
        <w:tabs>
          <w:tab w:val="clear" w:pos="1021"/>
        </w:tabs>
        <w:spacing w:after="60"/>
        <w:ind w:hanging="567"/>
        <w:jc w:val="both"/>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tl/>
        </w:rPr>
        <w:t xml:space="preserve">وزارة الشؤون الخارجية والأوروبية، رسم </w:t>
      </w:r>
      <w:r w:rsidRPr="00A1269F">
        <w:rPr>
          <w:rFonts w:hint="cs"/>
          <w:rtl/>
        </w:rPr>
        <w:t>حاسوبي</w:t>
      </w:r>
      <w:r w:rsidRPr="00A1269F">
        <w:rPr>
          <w:rtl/>
        </w:rPr>
        <w:t>:</w:t>
      </w:r>
      <w:r w:rsidRPr="00A1269F">
        <w:rPr>
          <w:rFonts w:hint="cs"/>
          <w:rtl/>
        </w:rPr>
        <w:t xml:space="preserve"> (</w:t>
      </w:r>
      <w:r w:rsidRPr="00A1269F">
        <w:rPr>
          <w:rtl/>
        </w:rPr>
        <w:t>المساعدة الإنمائية الرسمية</w:t>
      </w:r>
      <w:r w:rsidRPr="00A1269F">
        <w:rPr>
          <w:rFonts w:hint="cs"/>
          <w:rtl/>
        </w:rPr>
        <w:t xml:space="preserve"> بالأرقام): </w:t>
      </w:r>
      <w:r w:rsidRPr="00A1269F">
        <w:rPr>
          <w:spacing w:val="-3"/>
        </w:rPr>
        <w:t>aide publique au développement en chiffres, http://www.diplomatie.gouv.fr/fr/politique-etrangere-de-la-france/aide-au-developpement/l-aide-publique-au-developpement-francaise/article/infographie-l-aide-publique-au</w:t>
      </w:r>
      <w:r w:rsidRPr="00A1269F">
        <w:rPr>
          <w:rFonts w:hint="cs"/>
          <w:spacing w:val="-3"/>
          <w:rtl/>
        </w:rPr>
        <w:t>.</w:t>
      </w:r>
    </w:p>
  </w:endnote>
  <w:endnote w:id="81">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rPr>
        <w:t>TEF</w:t>
      </w:r>
      <w:r w:rsidRPr="00A1269F">
        <w:rPr>
          <w:rFonts w:hint="cs"/>
          <w:rtl/>
        </w:rPr>
        <w:t>، طبعة 2016، الصفحتان 72 و73.</w:t>
      </w:r>
    </w:p>
  </w:endnote>
  <w:endnote w:id="82">
    <w:p w:rsidR="008F7F42" w:rsidRPr="00A1269F" w:rsidRDefault="008F7F42" w:rsidP="002F2536">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rPr>
        <w:t>Premières</w:t>
      </w:r>
      <w:r w:rsidRPr="00A1269F">
        <w:rPr>
          <w:rFonts w:hint="cs"/>
          <w:rtl/>
        </w:rPr>
        <w:t xml:space="preserve">، العدد 1566، أيلول/سبتمبر 2015، الصفحة 3. </w:t>
      </w:r>
    </w:p>
  </w:endnote>
  <w:endnote w:id="83">
    <w:p w:rsidR="008F7F42" w:rsidRPr="00A1269F" w:rsidRDefault="008F7F42" w:rsidP="00E43E16">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21e rapport sur l’état du mal-logement en France, 2016</w:t>
      </w:r>
      <w:r w:rsidRPr="00A1269F">
        <w:rPr>
          <w:rFonts w:hint="cs"/>
          <w:rtl/>
        </w:rPr>
        <w:t xml:space="preserve">، 28 كانون الثاني/يناير 2016، الصفحة 16، </w:t>
      </w:r>
      <w:hyperlink r:id="rId44" w:history="1">
        <w:r w:rsidRPr="00A1269F">
          <w:rPr>
            <w:rStyle w:val="Hyperlink"/>
            <w:rFonts w:eastAsiaTheme="majorEastAsia"/>
            <w:color w:val="auto"/>
            <w:spacing w:val="-2"/>
            <w:u w:val="none"/>
          </w:rPr>
          <w:t>http://www.fondation-abbe-pierre.fr/sites/default/files/content-files/files/le_dossier_de_synthese_</w:t>
        </w:r>
        <w:r w:rsidRPr="00A1269F">
          <w:rPr>
            <w:rStyle w:val="Hyperlink"/>
            <w:rFonts w:eastAsiaTheme="majorEastAsia"/>
            <w:color w:val="auto"/>
            <w:spacing w:val="-2"/>
            <w:u w:val="none"/>
          </w:rPr>
          <w:br/>
          <w:t>integral_-_21e_rapport_2016.pdf</w:t>
        </w:r>
      </w:hyperlink>
      <w:r w:rsidRPr="00A1269F">
        <w:rPr>
          <w:rFonts w:hint="cs"/>
          <w:rtl/>
        </w:rPr>
        <w:t>.</w:t>
      </w:r>
    </w:p>
  </w:endnote>
  <w:endnote w:id="84">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rPr>
        <w:t>France portrait social</w:t>
      </w:r>
      <w:r w:rsidRPr="00A1269F">
        <w:rPr>
          <w:rFonts w:hint="cs"/>
          <w:rtl/>
        </w:rPr>
        <w:t>، طبعة 2016، الصفحة 182.</w:t>
      </w:r>
    </w:p>
  </w:endnote>
  <w:endnote w:id="85">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INSEE, </w:t>
      </w:r>
      <w:r w:rsidRPr="00A1269F">
        <w:rPr>
          <w:i/>
        </w:rPr>
        <w:t>TEF</w:t>
      </w:r>
      <w:r w:rsidRPr="00A1269F">
        <w:rPr>
          <w:rFonts w:hint="cs"/>
          <w:rtl/>
        </w:rPr>
        <w:t>، طبعة 2016، الصفحتان 54 و55.</w:t>
      </w:r>
    </w:p>
  </w:endnote>
  <w:endnote w:id="86">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OCDE, StatExtracts, </w:t>
      </w:r>
      <w:hyperlink r:id="rId45" w:history="1">
        <w:r w:rsidRPr="00A1269F">
          <w:rPr>
            <w:rStyle w:val="Hyperlink"/>
            <w:rFonts w:eastAsiaTheme="majorEastAsia"/>
            <w:color w:val="auto"/>
            <w:u w:val="none"/>
          </w:rPr>
          <w:t>http://stats.oecd.org/Index.aspx?DataSetCode=UN_DEN&amp;Lang=fr</w:t>
        </w:r>
      </w:hyperlink>
      <w:r w:rsidRPr="00A1269F">
        <w:rPr>
          <w:rFonts w:hint="cs"/>
          <w:rtl/>
        </w:rPr>
        <w:t>.</w:t>
      </w:r>
    </w:p>
  </w:endnote>
  <w:endnote w:id="87">
    <w:p w:rsidR="008F7F42" w:rsidRPr="00A1269F" w:rsidRDefault="008F7F42" w:rsidP="009F5891">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tl/>
        </w:rPr>
        <w:t>وزارة المالية والحسابات العامة، وزارة الاقتصاد والصناعة والاقتصاد الرقمي</w:t>
      </w:r>
      <w:r w:rsidRPr="00A1269F">
        <w:rPr>
          <w:rFonts w:hint="cs"/>
          <w:rtl/>
        </w:rPr>
        <w:t xml:space="preserve">، </w:t>
      </w:r>
      <w:r w:rsidRPr="00A1269F">
        <w:t>«</w:t>
      </w:r>
      <w:r w:rsidRPr="00A1269F">
        <w:rPr>
          <w:i/>
        </w:rPr>
        <w:t xml:space="preserve"> La syndicalisation en France : paradoxes, enjeux, perspectives », </w:t>
      </w:r>
      <w:r w:rsidRPr="00A1269F">
        <w:t>Trésor-Eco</w:t>
      </w:r>
      <w:r w:rsidRPr="00A1269F">
        <w:rPr>
          <w:rFonts w:hint="cs"/>
          <w:rtl/>
        </w:rPr>
        <w:t>، العدد 129، 13 أيار/مايو 2014، الصفحة</w:t>
      </w:r>
      <w:r w:rsidRPr="00A1269F">
        <w:rPr>
          <w:rFonts w:hint="eastAsia"/>
          <w:rtl/>
        </w:rPr>
        <w:t> </w:t>
      </w:r>
      <w:r w:rsidRPr="00A1269F">
        <w:rPr>
          <w:rFonts w:hint="cs"/>
          <w:rtl/>
        </w:rPr>
        <w:t xml:space="preserve">3، </w:t>
      </w:r>
      <w:hyperlink r:id="rId46" w:history="1">
        <w:r w:rsidRPr="00A1269F">
          <w:rPr>
            <w:rStyle w:val="Hyperlink"/>
            <w:rFonts w:eastAsiaTheme="majorEastAsia"/>
            <w:color w:val="auto"/>
            <w:u w:val="none"/>
          </w:rPr>
          <w:t>http://www.tresor.economie.gouv.fr/File/400998</w:t>
        </w:r>
      </w:hyperlink>
      <w:r w:rsidRPr="00A1269F">
        <w:rPr>
          <w:rStyle w:val="Hyperlink"/>
          <w:rFonts w:eastAsiaTheme="majorEastAsia" w:hint="cs"/>
          <w:color w:val="auto"/>
          <w:u w:val="none"/>
          <w:rtl/>
        </w:rPr>
        <w:t>.</w:t>
      </w:r>
    </w:p>
  </w:endnote>
  <w:endnote w:id="88">
    <w:p w:rsidR="008F7F42" w:rsidRPr="00A1269F" w:rsidRDefault="008F7F42" w:rsidP="009F5891">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tl/>
        </w:rPr>
        <w:t xml:space="preserve">وزارة العمل والعمالة والتدريب المهني والحوار الاجتماعي، </w:t>
      </w:r>
      <w:r w:rsidRPr="00A1269F">
        <w:rPr>
          <w:rFonts w:hint="cs"/>
          <w:i/>
          <w:iCs/>
          <w:rtl/>
        </w:rPr>
        <w:t>"</w:t>
      </w:r>
      <w:r w:rsidRPr="00A1269F">
        <w:rPr>
          <w:i/>
          <w:iCs/>
        </w:rPr>
        <w:t>Le montant du SMIC brut horaire</w:t>
      </w:r>
      <w:r w:rsidRPr="00A1269F">
        <w:rPr>
          <w:rFonts w:hint="cs"/>
          <w:i/>
          <w:iCs/>
          <w:rtl/>
        </w:rPr>
        <w:t>"</w:t>
      </w:r>
      <w:r w:rsidRPr="00A1269F">
        <w:rPr>
          <w:rFonts w:hint="cs"/>
          <w:rtl/>
        </w:rPr>
        <w:t>، 23</w:t>
      </w:r>
      <w:r w:rsidRPr="00A1269F">
        <w:rPr>
          <w:rtl/>
        </w:rPr>
        <w:t xml:space="preserve"> كانون الأول/ديسمبر </w:t>
      </w:r>
      <w:r w:rsidRPr="00A1269F">
        <w:rPr>
          <w:rFonts w:hint="cs"/>
          <w:rtl/>
        </w:rPr>
        <w:t xml:space="preserve">2015، </w:t>
      </w:r>
      <w:hyperlink r:id="rId47" w:history="1">
        <w:r w:rsidRPr="00A1269F">
          <w:rPr>
            <w:rStyle w:val="Hyperlink"/>
            <w:rFonts w:eastAsiaTheme="majorEastAsia"/>
            <w:color w:val="auto"/>
            <w:u w:val="none"/>
          </w:rPr>
          <w:t>http://travail-emploi.gouv.fr/droit-du-travail/remuneration-et-participation-inanciere/remuneration/smic/article/le-montant-du-smic-brut-horaire</w:t>
        </w:r>
      </w:hyperlink>
      <w:r w:rsidRPr="00A1269F">
        <w:rPr>
          <w:rFonts w:hint="cs"/>
          <w:rtl/>
        </w:rPr>
        <w:t>.</w:t>
      </w:r>
    </w:p>
  </w:endnote>
  <w:endnote w:id="89">
    <w:p w:rsidR="008F7F42" w:rsidRPr="00A1269F" w:rsidRDefault="008F7F42" w:rsidP="009F5891">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Style w:val="EndnoteTextChar"/>
        </w:rPr>
        <w:t>INSEE, Premières</w:t>
      </w:r>
      <w:r w:rsidRPr="00A1269F">
        <w:rPr>
          <w:rFonts w:hint="cs"/>
          <w:rtl/>
        </w:rPr>
        <w:t xml:space="preserve">، العدد 1565، أيلول/سبتمبر 2015، الصفحة 4، الجدول 6، </w:t>
      </w:r>
      <w:r w:rsidRPr="00A1269F">
        <w:rPr>
          <w:rtl/>
        </w:rPr>
        <w:tab/>
      </w:r>
      <w:r w:rsidRPr="00A1269F">
        <w:br/>
      </w:r>
      <w:hyperlink r:id="rId48" w:history="1">
        <w:r w:rsidRPr="00A1269F">
          <w:rPr>
            <w:rStyle w:val="EndnoteTextChar"/>
          </w:rPr>
          <w:t>http://www.insee.fr/fr/ffc/ipweb/ip1565/IP1565.pdf</w:t>
        </w:r>
      </w:hyperlink>
      <w:r w:rsidRPr="00A1269F">
        <w:rPr>
          <w:rStyle w:val="EndnoteTextChar"/>
          <w:rFonts w:hint="cs"/>
          <w:rtl/>
        </w:rPr>
        <w:t>.</w:t>
      </w:r>
    </w:p>
  </w:endnote>
  <w:endnote w:id="90">
    <w:p w:rsidR="008F7F42" w:rsidRPr="00A1269F" w:rsidRDefault="008F7F42" w:rsidP="009F5891">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Fonts w:hint="cs"/>
          <w:rtl/>
        </w:rPr>
        <w:t xml:space="preserve">، جدول: </w:t>
      </w:r>
      <w:r w:rsidRPr="00A1269F">
        <w:rPr>
          <w:i/>
        </w:rPr>
        <w:t>Salaire mensuels moyens nets de tous les prélèvements selon le sexe et la catégorie socioprofessionnelle en 2013</w:t>
      </w:r>
      <w:r w:rsidRPr="00A1269F">
        <w:rPr>
          <w:rFonts w:hint="cs"/>
          <w:i/>
          <w:rtl/>
        </w:rPr>
        <w:t xml:space="preserve">، </w:t>
      </w:r>
      <w:r w:rsidRPr="00A1269F">
        <w:rPr>
          <w:i/>
          <w:rtl/>
        </w:rPr>
        <w:tab/>
      </w:r>
      <w:r w:rsidRPr="00A1269F">
        <w:rPr>
          <w:i/>
          <w:rtl/>
        </w:rPr>
        <w:br/>
      </w:r>
      <w:hyperlink r:id="rId49" w:history="1">
        <w:r w:rsidRPr="00A1269F">
          <w:rPr>
            <w:rStyle w:val="Hyperlink"/>
            <w:rFonts w:eastAsiaTheme="majorEastAsia"/>
            <w:color w:val="auto"/>
            <w:u w:val="none"/>
          </w:rPr>
          <w:t>http://www.insee.fr/fr/themes/tableau.asp?reg_id=0&amp;ref_id=NATTEF04152</w:t>
        </w:r>
      </w:hyperlink>
      <w:r w:rsidRPr="00A1269F">
        <w:rPr>
          <w:rFonts w:hint="cs"/>
          <w:rtl/>
        </w:rPr>
        <w:t>.</w:t>
      </w:r>
    </w:p>
  </w:endnote>
  <w:endnote w:id="91">
    <w:p w:rsidR="008F7F42" w:rsidRPr="00A1269F" w:rsidRDefault="008F7F42" w:rsidP="0011124C">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Style w:val="EndnoteTextChar"/>
        </w:rPr>
        <w:t>T. MORIN et N. REMILA, “Le revenu salarial des femmes reste inférieur à celui des hommes », Insee Première</w:t>
      </w:r>
      <w:r w:rsidRPr="00A1269F">
        <w:rPr>
          <w:rFonts w:hint="cs"/>
          <w:rtl/>
        </w:rPr>
        <w:t>، العدد 1436، آذار/مارس 2013،</w:t>
      </w:r>
      <w:r w:rsidRPr="00A1269F">
        <w:rPr>
          <w:rtl/>
        </w:rPr>
        <w:tab/>
      </w:r>
      <w:r w:rsidRPr="00A1269F">
        <w:rPr>
          <w:rtl/>
        </w:rPr>
        <w:br/>
      </w:r>
      <w:hyperlink r:id="rId50" w:anchor="inter1" w:history="1">
        <w:r w:rsidRPr="00A1269F">
          <w:rPr>
            <w:rStyle w:val="EndnoteTextChar"/>
          </w:rPr>
          <w:t>http://www.insee.fr/fr/themes/document.asp?reg_id=0&amp;ref_id=ip1436#inter1</w:t>
        </w:r>
      </w:hyperlink>
      <w:r w:rsidRPr="00A1269F">
        <w:rPr>
          <w:rFonts w:hint="cs"/>
          <w:rtl/>
        </w:rPr>
        <w:t>.</w:t>
      </w:r>
    </w:p>
  </w:endnote>
  <w:endnote w:id="92">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المادة 145-1 من قانون الإجراءات الجنائية.</w:t>
      </w:r>
    </w:p>
  </w:endnote>
  <w:endnote w:id="93">
    <w:p w:rsidR="008F7F42" w:rsidRPr="00A1269F" w:rsidRDefault="008F7F42" w:rsidP="002F2536">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المادة 145-2 من قانون الإجراءات الجنائية.</w:t>
      </w:r>
    </w:p>
  </w:endnote>
  <w:endnote w:id="94">
    <w:p w:rsidR="008F7F42" w:rsidRPr="00A1269F" w:rsidRDefault="008F7F42" w:rsidP="009F5891">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الإدارة العامة </w:t>
      </w:r>
      <w:r w:rsidRPr="00A1269F">
        <w:t>«</w:t>
      </w:r>
      <w:r w:rsidRPr="00A1269F">
        <w:rPr>
          <w:bCs/>
        </w:rPr>
        <w:t>Quelle est la durée maximale d’une détention provisoire?»</w:t>
      </w:r>
      <w:r w:rsidRPr="00A1269F">
        <w:rPr>
          <w:rFonts w:hint="cs"/>
          <w:rtl/>
        </w:rPr>
        <w:t xml:space="preserve"> (ما هي المدة القصوى للحبس الاحتياطي)، 9 كانون الأول/ديسمبر 2011.</w:t>
      </w:r>
      <w:r w:rsidRPr="00A1269F">
        <w:rPr>
          <w:rtl/>
        </w:rPr>
        <w:tab/>
      </w:r>
      <w:r w:rsidRPr="00A1269F">
        <w:rPr>
          <w:rFonts w:hint="cs"/>
          <w:rtl/>
        </w:rPr>
        <w:t xml:space="preserve"> </w:t>
      </w:r>
      <w:r w:rsidRPr="00A1269F">
        <w:rPr>
          <w:rtl/>
        </w:rPr>
        <w:br/>
      </w:r>
      <w:hyperlink r:id="rId51" w:history="1">
        <w:r w:rsidRPr="00A1269F">
          <w:rPr>
            <w:rStyle w:val="Hyperlink"/>
            <w:rFonts w:eastAsiaTheme="majorEastAsia"/>
            <w:color w:val="auto"/>
            <w:u w:val="none"/>
          </w:rPr>
          <w:t>http://vosdroits.service-public.fr/particuliers/F1570.xhtml</w:t>
        </w:r>
      </w:hyperlink>
      <w:r w:rsidRPr="00A1269F">
        <w:rPr>
          <w:rStyle w:val="Hyperlink"/>
          <w:rFonts w:eastAsiaTheme="majorEastAsia" w:hint="cs"/>
          <w:color w:val="auto"/>
          <w:u w:val="none"/>
          <w:rtl/>
        </w:rPr>
        <w:t>.</w:t>
      </w:r>
    </w:p>
  </w:endnote>
  <w:endnote w:id="95">
    <w:p w:rsidR="008F7F42" w:rsidRPr="00A1269F" w:rsidRDefault="008F7F42" w:rsidP="009F5891">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Présentation des dispositions relatives à la réparation des détentions provisoires injustifiées</w:t>
      </w:r>
      <w:r w:rsidRPr="00A1269F">
        <w:rPr>
          <w:rFonts w:hint="cs"/>
          <w:rtl/>
        </w:rPr>
        <w:t xml:space="preserve">، </w:t>
      </w:r>
      <w:r w:rsidRPr="00A1269F">
        <w:rPr>
          <w:rFonts w:hint="cs"/>
          <w:i/>
          <w:iCs/>
          <w:rtl/>
        </w:rPr>
        <w:t>الجريدة</w:t>
      </w:r>
      <w:r w:rsidRPr="00A1269F">
        <w:rPr>
          <w:rFonts w:hint="eastAsia"/>
          <w:i/>
          <w:iCs/>
          <w:rtl/>
        </w:rPr>
        <w:t> </w:t>
      </w:r>
      <w:r w:rsidRPr="00A1269F">
        <w:rPr>
          <w:rFonts w:hint="cs"/>
          <w:i/>
          <w:iCs/>
          <w:rtl/>
        </w:rPr>
        <w:t>الرسمية لوزارة العدل</w:t>
      </w:r>
      <w:r w:rsidRPr="00A1269F">
        <w:rPr>
          <w:rFonts w:hint="cs"/>
          <w:rtl/>
        </w:rPr>
        <w:t>، العدد 90، 30 أيار/مايو 2003،</w:t>
      </w:r>
      <w:r w:rsidRPr="00A1269F">
        <w:rPr>
          <w:rtl/>
        </w:rPr>
        <w:tab/>
      </w:r>
      <w:r w:rsidRPr="00A1269F">
        <w:rPr>
          <w:rtl/>
        </w:rPr>
        <w:br/>
      </w:r>
      <w:hyperlink r:id="rId52" w:history="1">
        <w:r w:rsidRPr="00A1269F">
          <w:rPr>
            <w:rStyle w:val="Hyperlink"/>
            <w:rFonts w:eastAsiaTheme="majorEastAsia"/>
            <w:color w:val="auto"/>
            <w:u w:val="none"/>
          </w:rPr>
          <w:t>http://www.justice.gouv.fr/bulletin-officiel/dacg90c.htm</w:t>
        </w:r>
      </w:hyperlink>
      <w:r w:rsidRPr="00A1269F">
        <w:rPr>
          <w:rFonts w:hint="cs"/>
          <w:rtl/>
        </w:rPr>
        <w:t>.</w:t>
      </w:r>
    </w:p>
  </w:endnote>
  <w:endnote w:id="96">
    <w:p w:rsidR="008F7F42" w:rsidRPr="00A1269F" w:rsidRDefault="008F7F42" w:rsidP="009F5891">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المادة </w:t>
      </w:r>
      <w:r w:rsidRPr="00A1269F">
        <w:t>L. 141-1</w:t>
      </w:r>
      <w:r w:rsidRPr="00A1269F">
        <w:rPr>
          <w:rFonts w:hint="cs"/>
          <w:rtl/>
        </w:rPr>
        <w:t xml:space="preserve"> من قانون التنظيم القضائي:</w:t>
      </w:r>
      <w:r w:rsidRPr="00A1269F">
        <w:rPr>
          <w:rFonts w:hint="cs"/>
          <w:i/>
          <w:iCs/>
          <w:rtl/>
        </w:rPr>
        <w:t xml:space="preserve"> </w:t>
      </w:r>
      <w:r w:rsidRPr="00A1269F">
        <w:rPr>
          <w:i/>
          <w:iCs/>
          <w:rtl/>
        </w:rPr>
        <w:t>"الدولة ملزمة بجبر الضرر الناجم عن خلل في أداء خدمة العدالة</w:t>
      </w:r>
      <w:r w:rsidRPr="00A1269F">
        <w:rPr>
          <w:rFonts w:hint="cs"/>
          <w:i/>
          <w:iCs/>
          <w:rtl/>
        </w:rPr>
        <w:t xml:space="preserve">، </w:t>
      </w:r>
      <w:r w:rsidRPr="00A1269F">
        <w:rPr>
          <w:i/>
          <w:iCs/>
          <w:shd w:val="clear" w:color="auto" w:fill="FFFFFF"/>
          <w:rtl/>
        </w:rPr>
        <w:t>ولا تتحمل الدولة هذه المسؤولية إلا في حالة الخطأ الجسيم أو إنكار العدالة</w:t>
      </w:r>
      <w:r w:rsidRPr="00A1269F">
        <w:rPr>
          <w:i/>
          <w:iCs/>
          <w:rtl/>
        </w:rPr>
        <w:t>"</w:t>
      </w:r>
      <w:r w:rsidRPr="00A1269F">
        <w:rPr>
          <w:rFonts w:hint="cs"/>
          <w:rtl/>
        </w:rPr>
        <w:t>.</w:t>
      </w:r>
    </w:p>
  </w:endnote>
  <w:endnote w:id="97">
    <w:p w:rsidR="008F7F42" w:rsidRPr="00A1269F" w:rsidRDefault="008F7F42" w:rsidP="009F5891">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6"/>
          <w:rtl/>
        </w:rPr>
        <w:t xml:space="preserve">وزارة الداخلية، </w:t>
      </w:r>
      <w:r w:rsidRPr="00A1269F">
        <w:rPr>
          <w:spacing w:val="-6"/>
        </w:rPr>
        <w:t xml:space="preserve">Interstats, Thèmes, Homicides, </w:t>
      </w:r>
      <w:r w:rsidRPr="00A1269F">
        <w:rPr>
          <w:i/>
          <w:spacing w:val="-6"/>
        </w:rPr>
        <w:t>Nombre annuel d’homicides (y compris coups et blessures volontaires ayant causé la mort)</w:t>
      </w:r>
      <w:r w:rsidRPr="00A1269F">
        <w:rPr>
          <w:rFonts w:hint="cs"/>
          <w:spacing w:val="-6"/>
          <w:rtl/>
        </w:rPr>
        <w:t xml:space="preserve">، </w:t>
      </w:r>
      <w:r w:rsidRPr="00A1269F">
        <w:rPr>
          <w:rFonts w:hint="cs"/>
          <w:i/>
          <w:iCs/>
          <w:spacing w:val="-6"/>
          <w:rtl/>
        </w:rPr>
        <w:t>(عدد جرائم القتل سنوياً (بما في ذلك الضرب والجرح المفضي إلى الموت))</w:t>
      </w:r>
      <w:r w:rsidRPr="00A1269F">
        <w:rPr>
          <w:rFonts w:hint="cs"/>
          <w:spacing w:val="-6"/>
          <w:rtl/>
        </w:rPr>
        <w:t xml:space="preserve"> التي سجلتها قوات الأمن، </w:t>
      </w:r>
      <w:hyperlink r:id="rId53" w:history="1">
        <w:r w:rsidRPr="00A1269F">
          <w:rPr>
            <w:rStyle w:val="Hyperlink"/>
            <w:rFonts w:eastAsiaTheme="majorEastAsia"/>
            <w:color w:val="auto"/>
            <w:spacing w:val="-6"/>
            <w:u w:val="none"/>
          </w:rPr>
          <w:t>http://www.interieur.gouv.fr/Interstats/Themes/Homicides/Chiffres-cles-Homicides</w:t>
        </w:r>
      </w:hyperlink>
      <w:r w:rsidRPr="00A1269F">
        <w:rPr>
          <w:rFonts w:hint="cs"/>
          <w:spacing w:val="-6"/>
          <w:rtl/>
        </w:rPr>
        <w:t>.</w:t>
      </w:r>
    </w:p>
  </w:endnote>
  <w:endnote w:id="98">
    <w:p w:rsidR="008F7F42" w:rsidRPr="00A1269F" w:rsidRDefault="008F7F42" w:rsidP="002F2536">
      <w:pPr>
        <w:pStyle w:val="EndnoteText"/>
        <w:tabs>
          <w:tab w:val="clear" w:pos="1021"/>
        </w:tabs>
        <w:spacing w:after="60"/>
        <w:ind w:hanging="567"/>
        <w:rPr>
          <w:spacing w:val="-6"/>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spacing w:val="-6"/>
        </w:rPr>
        <w:t xml:space="preserve">INHESJ, </w:t>
      </w:r>
      <w:r w:rsidRPr="00A1269F">
        <w:rPr>
          <w:i/>
          <w:spacing w:val="-6"/>
        </w:rPr>
        <w:t>Bulletin pour l’année 2014 de l’Observatoire nationales de la délinquance et des réponses pénales</w:t>
      </w:r>
      <w:r w:rsidRPr="00A1269F">
        <w:rPr>
          <w:rFonts w:hint="cs"/>
          <w:spacing w:val="-6"/>
          <w:rtl/>
        </w:rPr>
        <w:t xml:space="preserve">، كانون الثاني/يناير 2015، </w:t>
      </w:r>
      <w:hyperlink r:id="rId54" w:history="1">
        <w:r w:rsidRPr="00A1269F">
          <w:rPr>
            <w:rStyle w:val="Hyperlink"/>
            <w:rFonts w:eastAsiaTheme="majorEastAsia"/>
            <w:color w:val="auto"/>
            <w:spacing w:val="-6"/>
            <w:u w:val="none"/>
          </w:rPr>
          <w:t>http://www.inhesj.fr/sites/default/files/bm_2015_janv.pdf</w:t>
        </w:r>
      </w:hyperlink>
      <w:r w:rsidRPr="00A1269F">
        <w:rPr>
          <w:rFonts w:hint="cs"/>
          <w:spacing w:val="-6"/>
          <w:rtl/>
        </w:rPr>
        <w:t>، الصفحة 28.</w:t>
      </w:r>
    </w:p>
  </w:endnote>
  <w:endnote w:id="99">
    <w:p w:rsidR="008F7F42" w:rsidRPr="00A1269F" w:rsidRDefault="008F7F42" w:rsidP="00701D3A">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INHESJ, « </w:t>
      </w:r>
      <w:r w:rsidRPr="00A1269F">
        <w:rPr>
          <w:i/>
        </w:rPr>
        <w:t>Les faits constatés d’homicides « hors tentative » enregistrés par la police et la gendarmerie de 1996 à 2013</w:t>
      </w:r>
      <w:r w:rsidRPr="00A1269F">
        <w:t xml:space="preserve"> », </w:t>
      </w:r>
      <w:r w:rsidRPr="00A1269F">
        <w:rPr>
          <w:i/>
        </w:rPr>
        <w:t>Repères</w:t>
      </w:r>
      <w:r w:rsidRPr="00A1269F">
        <w:rPr>
          <w:rFonts w:hint="cs"/>
          <w:rtl/>
        </w:rPr>
        <w:t xml:space="preserve">، العدد 25، كانون الثاني/يناير 2014، الصفحتان 2 و3، </w:t>
      </w:r>
      <w:hyperlink r:id="rId55" w:history="1">
        <w:r w:rsidRPr="00A1269F">
          <w:rPr>
            <w:rStyle w:val="Hyperlink"/>
            <w:rFonts w:eastAsiaTheme="majorEastAsia"/>
            <w:color w:val="auto"/>
            <w:u w:val="none"/>
          </w:rPr>
          <w:t>http://www.inhesj.fr/sites/default/files/reperes_25.pdf</w:t>
        </w:r>
      </w:hyperlink>
      <w:r w:rsidRPr="00A1269F">
        <w:rPr>
          <w:rStyle w:val="Hyperlink"/>
          <w:rFonts w:eastAsiaTheme="majorEastAsia" w:hint="cs"/>
          <w:color w:val="auto"/>
          <w:u w:val="none"/>
          <w:rtl/>
        </w:rPr>
        <w:t>.</w:t>
      </w:r>
    </w:p>
  </w:endnote>
  <w:endnote w:id="100">
    <w:p w:rsidR="008F7F42" w:rsidRPr="00A1269F" w:rsidRDefault="008F7F42" w:rsidP="008845BC">
      <w:pPr>
        <w:pStyle w:val="EndnoteText"/>
        <w:tabs>
          <w:tab w:val="clear" w:pos="1021"/>
        </w:tabs>
        <w:spacing w:after="60" w:line="260" w:lineRule="exact"/>
        <w:ind w:hanging="567"/>
        <w:jc w:val="left"/>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UNODC, </w:t>
      </w:r>
      <w:r w:rsidRPr="00A1269F">
        <w:rPr>
          <w:i/>
        </w:rPr>
        <w:t>Global study on homicide</w:t>
      </w:r>
      <w:r w:rsidRPr="00A1269F">
        <w:t>, 2011</w:t>
      </w:r>
      <w:r w:rsidRPr="00A1269F">
        <w:rPr>
          <w:rFonts w:hint="cs"/>
          <w:rtl/>
        </w:rPr>
        <w:t xml:space="preserve">، الصفحة 112، </w:t>
      </w:r>
      <w:hyperlink r:id="rId56" w:history="1">
        <w:r w:rsidRPr="00A1269F">
          <w:rPr>
            <w:rStyle w:val="Hyperlink"/>
            <w:rFonts w:eastAsiaTheme="majorEastAsia"/>
            <w:color w:val="auto"/>
            <w:u w:val="none"/>
          </w:rPr>
          <w:t>http://www.unodc.org/documents/data-and-analysis/statistics/Homicide/Globa_study_on_homicide_2011_web.pdf?bcsi_scan_</w:t>
        </w:r>
        <w:r w:rsidRPr="00A1269F">
          <w:rPr>
            <w:rStyle w:val="Hyperlink"/>
            <w:rFonts w:eastAsiaTheme="majorEastAsia"/>
            <w:color w:val="auto"/>
            <w:u w:val="none"/>
          </w:rPr>
          <w:br/>
          <w:t>96404f7f6439614d=0&amp;bcsi_scan_filename=Globa_study_on_homicide_2011_web.pdf</w:t>
        </w:r>
      </w:hyperlink>
      <w:r w:rsidRPr="00A1269F">
        <w:rPr>
          <w:rFonts w:hint="cs"/>
          <w:rtl/>
        </w:rPr>
        <w:t>.</w:t>
      </w:r>
    </w:p>
  </w:endnote>
  <w:endnote w:id="101">
    <w:p w:rsidR="008F7F42" w:rsidRPr="00A1269F" w:rsidRDefault="008F7F42" w:rsidP="009F5891">
      <w:pPr>
        <w:pStyle w:val="EndnoteText"/>
        <w:tabs>
          <w:tab w:val="clear" w:pos="1021"/>
        </w:tabs>
        <w:spacing w:after="60"/>
        <w:ind w:hanging="567"/>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INHESJ, «</w:t>
      </w:r>
      <w:r w:rsidRPr="00A1269F">
        <w:rPr>
          <w:i/>
        </w:rPr>
        <w:t>Les faits constatés d’homicides «hors tentative» enregistrés par la police et la gendarmerie de 1996 à 2013</w:t>
      </w:r>
      <w:r w:rsidRPr="00A1269F">
        <w:t xml:space="preserve">», </w:t>
      </w:r>
      <w:r w:rsidRPr="00A1269F">
        <w:rPr>
          <w:i/>
        </w:rPr>
        <w:t xml:space="preserve">Repères </w:t>
      </w:r>
      <w:r w:rsidRPr="00A1269F">
        <w:rPr>
          <w:rFonts w:hint="cs"/>
          <w:rtl/>
        </w:rPr>
        <w:t xml:space="preserve">، العدد 25، كانون الثاني/يناير 2014، الصفحتان 2 و3. </w:t>
      </w:r>
      <w:r w:rsidRPr="00A1269F">
        <w:rPr>
          <w:rtl/>
        </w:rPr>
        <w:br/>
      </w:r>
      <w:hyperlink r:id="rId57" w:history="1">
        <w:r w:rsidRPr="00A1269F">
          <w:rPr>
            <w:rStyle w:val="Hyperlink"/>
            <w:rFonts w:eastAsiaTheme="majorEastAsia"/>
            <w:color w:val="auto"/>
            <w:u w:val="none"/>
          </w:rPr>
          <w:t>http://www.inhesj.fr/sites/default/files/reperes_25.pdf</w:t>
        </w:r>
      </w:hyperlink>
      <w:r w:rsidRPr="00A1269F">
        <w:rPr>
          <w:rStyle w:val="Hyperlink"/>
          <w:rFonts w:eastAsiaTheme="majorEastAsia" w:hint="cs"/>
          <w:color w:val="auto"/>
          <w:u w:val="none"/>
          <w:rtl/>
        </w:rPr>
        <w:t>.</w:t>
      </w:r>
    </w:p>
  </w:endnote>
  <w:endnote w:id="102">
    <w:p w:rsidR="008F7F42" w:rsidRPr="00A1269F" w:rsidRDefault="008F7F42" w:rsidP="009F5891">
      <w:pPr>
        <w:pStyle w:val="EndnoteText"/>
        <w:tabs>
          <w:tab w:val="clear" w:pos="1021"/>
        </w:tabs>
        <w:spacing w:after="60"/>
        <w:ind w:hanging="567"/>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INHESJ, Bulletin pour l’année 2014 de l’Observatoire nationales de la délinquance et des réponses pénales</w:t>
      </w:r>
      <w:r w:rsidRPr="00A1269F">
        <w:rPr>
          <w:rFonts w:hint="cs"/>
          <w:rtl/>
        </w:rPr>
        <w:t>، كانون الثاني/يناير 2015، الصفحة 128،</w:t>
      </w:r>
      <w:r w:rsidRPr="00A1269F">
        <w:rPr>
          <w:rtl/>
        </w:rPr>
        <w:tab/>
      </w:r>
      <w:r w:rsidRPr="00A1269F">
        <w:rPr>
          <w:rtl/>
        </w:rPr>
        <w:br/>
      </w:r>
      <w:hyperlink r:id="rId58" w:history="1">
        <w:r w:rsidRPr="00A1269F">
          <w:rPr>
            <w:rStyle w:val="Hyperlink"/>
            <w:rFonts w:eastAsiaTheme="majorEastAsia"/>
            <w:color w:val="auto"/>
            <w:u w:val="none"/>
          </w:rPr>
          <w:t>http://www.inhesj.fr/sites/default/files/bm_2015_janv.pdf</w:t>
        </w:r>
      </w:hyperlink>
      <w:r w:rsidRPr="00A1269F">
        <w:rPr>
          <w:rStyle w:val="Hyperlink"/>
          <w:rFonts w:eastAsiaTheme="majorEastAsia" w:hint="cs"/>
          <w:color w:val="auto"/>
          <w:u w:val="none"/>
          <w:rtl/>
        </w:rPr>
        <w:t>.</w:t>
      </w:r>
    </w:p>
  </w:endnote>
  <w:endnote w:id="103">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ONDRP, </w:t>
      </w:r>
      <w:r w:rsidRPr="00A1269F">
        <w:rPr>
          <w:i/>
        </w:rPr>
        <w:t>La criminalité en France</w:t>
      </w:r>
      <w:r w:rsidRPr="00A1269F">
        <w:t>, 2013</w:t>
      </w:r>
      <w:r w:rsidRPr="00A1269F">
        <w:rPr>
          <w:rFonts w:hint="cs"/>
          <w:rtl/>
        </w:rPr>
        <w:t>، الصفحتان 28 و29،</w:t>
      </w:r>
      <w:r w:rsidRPr="00A1269F">
        <w:rPr>
          <w:rtl/>
        </w:rPr>
        <w:tab/>
      </w:r>
      <w:r w:rsidRPr="00A1269F">
        <w:rPr>
          <w:rtl/>
        </w:rPr>
        <w:br/>
      </w:r>
      <w:hyperlink r:id="rId59" w:history="1">
        <w:r w:rsidRPr="00A1269F">
          <w:rPr>
            <w:rStyle w:val="Hyperlink"/>
            <w:rFonts w:eastAsiaTheme="majorEastAsia"/>
            <w:color w:val="auto"/>
            <w:u w:val="none"/>
          </w:rPr>
          <w:t>http://www.inhesj.fr/sites/default/files/files/ondrp_ra-2013/Synthese %20rapport_2013.pdf</w:t>
        </w:r>
      </w:hyperlink>
      <w:r w:rsidRPr="00A1269F">
        <w:rPr>
          <w:rStyle w:val="Hyperlink"/>
          <w:rFonts w:eastAsiaTheme="majorEastAsia" w:hint="cs"/>
          <w:color w:val="auto"/>
          <w:u w:val="none"/>
          <w:rtl/>
        </w:rPr>
        <w:t>.</w:t>
      </w:r>
    </w:p>
  </w:endnote>
  <w:endnote w:id="104">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4"/>
          <w:rtl/>
        </w:rPr>
        <w:t xml:space="preserve">وزارة العدل، </w:t>
      </w:r>
      <w:r w:rsidRPr="00A1269F">
        <w:rPr>
          <w:spacing w:val="-4"/>
        </w:rPr>
        <w:t>Les condamnations en 2014</w:t>
      </w:r>
      <w:r w:rsidRPr="00A1269F">
        <w:rPr>
          <w:rFonts w:hint="cs"/>
          <w:spacing w:val="-4"/>
          <w:rtl/>
        </w:rPr>
        <w:t xml:space="preserve">، الصفحة 7، </w:t>
      </w:r>
      <w:hyperlink r:id="rId60" w:history="1">
        <w:r w:rsidRPr="00A1269F">
          <w:rPr>
            <w:rStyle w:val="Hyperlink"/>
            <w:rFonts w:eastAsiaTheme="majorEastAsia"/>
            <w:color w:val="auto"/>
            <w:spacing w:val="-4"/>
            <w:u w:val="none"/>
          </w:rPr>
          <w:t>http://www.justice.gouv.fr/budget-et-statistiques-</w:t>
        </w:r>
        <w:r w:rsidRPr="00A1269F">
          <w:rPr>
            <w:rStyle w:val="Hyperlink"/>
            <w:rFonts w:eastAsiaTheme="majorEastAsia"/>
            <w:color w:val="auto"/>
            <w:spacing w:val="-4"/>
            <w:u w:val="none"/>
          </w:rPr>
          <w:br/>
          <w:t>10054/donnees-statistiques-10302/les-condamnations-27130.html</w:t>
        </w:r>
      </w:hyperlink>
      <w:r w:rsidRPr="00A1269F">
        <w:rPr>
          <w:rFonts w:hint="cs"/>
          <w:rtl/>
        </w:rPr>
        <w:t>.</w:t>
      </w:r>
    </w:p>
  </w:endnote>
  <w:endnote w:id="105">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w:t>
      </w:r>
      <w:r w:rsidRPr="00A1269F">
        <w:rPr>
          <w:i/>
          <w:iCs/>
        </w:rPr>
        <w:t>Les condamnations en 2014</w:t>
      </w:r>
      <w:r w:rsidRPr="00A1269F">
        <w:rPr>
          <w:rFonts w:hint="cs"/>
          <w:rtl/>
        </w:rPr>
        <w:t>، الصفحة 7.</w:t>
      </w:r>
    </w:p>
  </w:endnote>
  <w:endnote w:id="106">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w:t>
      </w:r>
      <w:r w:rsidRPr="00A1269F">
        <w:rPr>
          <w:i/>
          <w:iCs/>
        </w:rPr>
        <w:t>Les condamnations en 2014</w:t>
      </w:r>
      <w:r w:rsidRPr="00A1269F">
        <w:rPr>
          <w:rFonts w:hint="cs"/>
          <w:rtl/>
        </w:rPr>
        <w:t>، الصفحة 11.</w:t>
      </w:r>
    </w:p>
  </w:endnote>
  <w:endnote w:id="107">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w:t>
      </w:r>
      <w:r w:rsidRPr="00A1269F">
        <w:rPr>
          <w:i/>
        </w:rPr>
        <w:t>Les chiffres clés de l’administration pénitentiaire au 1er janvier 2015</w:t>
      </w:r>
      <w:r w:rsidRPr="00A1269F">
        <w:rPr>
          <w:rFonts w:hint="cs"/>
          <w:i/>
          <w:rtl/>
        </w:rPr>
        <w:t>.</w:t>
      </w:r>
    </w:p>
  </w:endnote>
  <w:endnote w:id="108">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w:t>
      </w:r>
      <w:r w:rsidRPr="00A1269F">
        <w:rPr>
          <w:i/>
        </w:rPr>
        <w:t>Les chiffres clés de l’administration pénitentiaire au 1er janvier 2015</w:t>
      </w:r>
      <w:r w:rsidRPr="00A1269F">
        <w:rPr>
          <w:rFonts w:hint="cs"/>
          <w:i/>
          <w:rtl/>
        </w:rPr>
        <w:t>.</w:t>
      </w:r>
    </w:p>
  </w:endnote>
  <w:endnote w:id="109">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الداخلية، </w:t>
      </w:r>
      <w:r w:rsidRPr="00A1269F">
        <w:t>«</w:t>
      </w:r>
      <w:r w:rsidRPr="00A1269F">
        <w:rPr>
          <w:bCs/>
        </w:rPr>
        <w:t>La Police nationale sur le Tour de France 2012 : la police, des métiers»</w:t>
      </w:r>
      <w:r w:rsidRPr="00A1269F">
        <w:rPr>
          <w:rFonts w:hint="cs"/>
          <w:rtl/>
        </w:rPr>
        <w:t xml:space="preserve">، 16 تموز/يوليه 2012، </w:t>
      </w:r>
      <w:hyperlink r:id="rId61" w:history="1">
        <w:r w:rsidRPr="00A1269F">
          <w:rPr>
            <w:rStyle w:val="Hyperlink"/>
            <w:rFonts w:eastAsiaTheme="majorEastAsia"/>
            <w:color w:val="auto"/>
            <w:u w:val="none"/>
          </w:rPr>
          <w:t>http://www.police-nationale.interieur.gouv.fr/Actualites/L-actu-police/La-Police-nationale-sur-le-Tour-de-France-2012-la-police-des-metiers</w:t>
        </w:r>
      </w:hyperlink>
      <w:r w:rsidRPr="00A1269F">
        <w:rPr>
          <w:rFonts w:hint="cs"/>
          <w:rtl/>
        </w:rPr>
        <w:t>.</w:t>
      </w:r>
    </w:p>
  </w:endnote>
  <w:endnote w:id="110">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5"/>
          <w:rtl/>
        </w:rPr>
        <w:t xml:space="preserve">محكمة تدقيق الحسابات، والشرطة والدرك الوطني، </w:t>
      </w:r>
      <w:r w:rsidRPr="00A1269F">
        <w:rPr>
          <w:spacing w:val="-5"/>
        </w:rPr>
        <w:t>dépenses de rémunération et temps de travail</w:t>
      </w:r>
      <w:r w:rsidRPr="00A1269F">
        <w:rPr>
          <w:rFonts w:hint="cs"/>
          <w:spacing w:val="-5"/>
          <w:rtl/>
        </w:rPr>
        <w:t xml:space="preserve">، الصفحة 16، </w:t>
      </w:r>
      <w:hyperlink r:id="rId62" w:history="1">
        <w:r w:rsidRPr="00A1269F">
          <w:rPr>
            <w:rStyle w:val="Hyperlink"/>
            <w:rFonts w:eastAsiaTheme="majorEastAsia"/>
            <w:color w:val="auto"/>
            <w:u w:val="none"/>
          </w:rPr>
          <w:t>http://www.ladocumentationfrancaise.fr/var/storage/rapports-publics/134000185/0000.pdf</w:t>
        </w:r>
      </w:hyperlink>
      <w:r w:rsidRPr="00A1269F">
        <w:rPr>
          <w:rFonts w:hint="cs"/>
          <w:rtl/>
        </w:rPr>
        <w:t>.</w:t>
      </w:r>
    </w:p>
  </w:endnote>
  <w:endnote w:id="111">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الجمعية الوطنية، الجلسة المعقودة في 8 تشرين الثاني/نوفمبر 2013، </w:t>
      </w:r>
      <w:hyperlink r:id="rId63" w:history="1">
        <w:r w:rsidRPr="00A1269F">
          <w:rPr>
            <w:rStyle w:val="Hyperlink"/>
            <w:rFonts w:eastAsiaTheme="majorEastAsia"/>
            <w:color w:val="auto"/>
            <w:u w:val="none"/>
          </w:rPr>
          <w:t>http://www.assemblee-nationale.fr/14/cri/2013-2014/20140056.asp</w:t>
        </w:r>
      </w:hyperlink>
      <w:r w:rsidRPr="00A1269F">
        <w:rPr>
          <w:rFonts w:hint="cs"/>
          <w:rtl/>
        </w:rPr>
        <w:t>.</w:t>
      </w:r>
    </w:p>
  </w:endnote>
  <w:endnote w:id="112">
    <w:p w:rsidR="008F7F42" w:rsidRPr="00A1269F" w:rsidRDefault="008F7F42" w:rsidP="00A1269F">
      <w:pPr>
        <w:pStyle w:val="EndnoteText"/>
        <w:tabs>
          <w:tab w:val="clear" w:pos="1021"/>
        </w:tabs>
        <w:spacing w:after="60"/>
        <w:ind w:hanging="651"/>
        <w:rPr>
          <w:spacing w:val="-6"/>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2"/>
          <w:rtl/>
        </w:rPr>
        <w:t xml:space="preserve">رئيس الوزراء، </w:t>
      </w:r>
      <w:r w:rsidRPr="00A1269F">
        <w:rPr>
          <w:spacing w:val="-2"/>
        </w:rPr>
        <w:t>«</w:t>
      </w:r>
      <w:r w:rsidRPr="00A1269F">
        <w:rPr>
          <w:bCs/>
          <w:spacing w:val="-2"/>
        </w:rPr>
        <w:t>Zones de sécurité prioritaires : un premier bilan encourageant»</w:t>
      </w:r>
      <w:r w:rsidRPr="00A1269F">
        <w:rPr>
          <w:rFonts w:hint="cs"/>
          <w:spacing w:val="-2"/>
          <w:rtl/>
        </w:rPr>
        <w:t xml:space="preserve">، 14 أيار/مايو 2013، </w:t>
      </w:r>
      <w:hyperlink r:id="rId64" w:history="1">
        <w:r w:rsidRPr="00A1269F">
          <w:rPr>
            <w:rStyle w:val="Hyperlink"/>
            <w:rFonts w:eastAsiaTheme="majorEastAsia"/>
            <w:color w:val="auto"/>
            <w:spacing w:val="-6"/>
            <w:u w:val="none"/>
          </w:rPr>
          <w:t>http://www.gouvernement.fr/gouvernement/zones-de-securite-prioritaires-un-premier-bilan-encourageant</w:t>
        </w:r>
      </w:hyperlink>
      <w:r w:rsidRPr="00A1269F">
        <w:rPr>
          <w:rFonts w:hint="cs"/>
          <w:spacing w:val="-6"/>
          <w:rtl/>
        </w:rPr>
        <w:t>.</w:t>
      </w:r>
    </w:p>
  </w:endnote>
  <w:endnote w:id="113">
    <w:p w:rsidR="008F7F42" w:rsidRPr="00A1269F" w:rsidRDefault="008F7F42" w:rsidP="00A1269F">
      <w:pPr>
        <w:pStyle w:val="EndnoteText"/>
        <w:tabs>
          <w:tab w:val="clear" w:pos="1021"/>
        </w:tabs>
        <w:spacing w:after="60"/>
        <w:ind w:hanging="651"/>
        <w:jc w:val="left"/>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w:t>
      </w:r>
      <w:r w:rsidRPr="00A1269F">
        <w:t>Les chiffres clés 2015</w:t>
      </w:r>
      <w:r w:rsidR="00A1269F" w:rsidRPr="00A1269F">
        <w:t xml:space="preserve">, </w:t>
      </w:r>
      <w:hyperlink r:id="rId65" w:history="1">
        <w:r w:rsidR="00A1269F" w:rsidRPr="00A1269F">
          <w:rPr>
            <w:rStyle w:val="Hyperlink"/>
            <w:rFonts w:eastAsiaTheme="majorEastAsia"/>
            <w:color w:val="auto"/>
            <w:u w:val="none"/>
          </w:rPr>
          <w:t>http://www.justice.gouv.fr/budget-et-statistiques-10054/</w:t>
        </w:r>
        <w:r w:rsidR="00A1269F" w:rsidRPr="00A1269F">
          <w:rPr>
            <w:rStyle w:val="Hyperlink"/>
            <w:rFonts w:eastAsiaTheme="majorEastAsia"/>
            <w:color w:val="auto"/>
            <w:u w:val="none"/>
          </w:rPr>
          <w:br/>
          <w:t>chiffres-cles-de-la-justice-10303/les-chiffres-cles-de-la-justice-edition-2015-28396.html</w:t>
        </w:r>
      </w:hyperlink>
      <w:r w:rsidRPr="00A1269F">
        <w:rPr>
          <w:rFonts w:hint="cs"/>
          <w:rtl/>
        </w:rPr>
        <w:t>.</w:t>
      </w:r>
    </w:p>
  </w:endnote>
  <w:endnote w:id="114">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وزارة العدل.</w:t>
      </w:r>
    </w:p>
  </w:endnote>
  <w:endnote w:id="115">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وزارة العدل.</w:t>
      </w:r>
    </w:p>
  </w:endnote>
  <w:endnote w:id="116">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وزارة العدل.</w:t>
      </w:r>
    </w:p>
  </w:endnote>
  <w:endnote w:id="117">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CEPEJ, </w:t>
      </w:r>
      <w:r w:rsidRPr="00A1269F">
        <w:rPr>
          <w:i/>
        </w:rPr>
        <w:t>Evaluation des systèmes judiciaires européens</w:t>
      </w:r>
      <w:r w:rsidRPr="00A1269F">
        <w:t>, 2012</w:t>
      </w:r>
      <w:r w:rsidRPr="00A1269F">
        <w:rPr>
          <w:rFonts w:hint="cs"/>
          <w:rtl/>
        </w:rPr>
        <w:t xml:space="preserve">، الصفحات 20 و23 و67 و70. </w:t>
      </w:r>
    </w:p>
  </w:endnote>
  <w:endnote w:id="118">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6"/>
          <w:rtl/>
        </w:rPr>
        <w:t xml:space="preserve">الإدارة العامة، </w:t>
      </w:r>
      <w:r w:rsidRPr="00A1269F">
        <w:rPr>
          <w:spacing w:val="-6"/>
        </w:rPr>
        <w:t>«Contribution pour l’aide juridique»</w:t>
      </w:r>
      <w:r w:rsidRPr="00A1269F">
        <w:rPr>
          <w:rFonts w:hint="cs"/>
          <w:spacing w:val="-6"/>
          <w:rtl/>
        </w:rPr>
        <w:t xml:space="preserve">، </w:t>
      </w:r>
      <w:hyperlink r:id="rId66" w:history="1">
        <w:r w:rsidRPr="00A1269F">
          <w:rPr>
            <w:rStyle w:val="Hyperlink"/>
            <w:rFonts w:eastAsiaTheme="majorEastAsia"/>
            <w:color w:val="auto"/>
            <w:spacing w:val="-6"/>
            <w:u w:val="none"/>
          </w:rPr>
          <w:t>http://www.service-public.fr/actualites/002205.html</w:t>
        </w:r>
      </w:hyperlink>
      <w:r w:rsidRPr="00A1269F">
        <w:rPr>
          <w:rFonts w:eastAsiaTheme="majorEastAsia" w:hint="cs"/>
          <w:spacing w:val="-6"/>
          <w:rtl/>
        </w:rPr>
        <w:t>.</w:t>
      </w:r>
    </w:p>
  </w:endnote>
  <w:endnote w:id="119">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 xml:space="preserve">CEPEJ, </w:t>
      </w:r>
      <w:r w:rsidRPr="00A1269F">
        <w:rPr>
          <w:i/>
        </w:rPr>
        <w:t>Evaluation des systèmes judiciaires européens</w:t>
      </w:r>
      <w:r w:rsidRPr="00A1269F">
        <w:t>, 2012</w:t>
      </w:r>
      <w:r w:rsidRPr="00A1269F">
        <w:rPr>
          <w:rFonts w:hint="cs"/>
          <w:rtl/>
        </w:rPr>
        <w:t>، الصفحة 94.</w:t>
      </w:r>
    </w:p>
  </w:endnote>
  <w:endnote w:id="120">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الموقع الشبكي: </w:t>
      </w:r>
      <w:r w:rsidRPr="00A1269F">
        <w:t>Vie Publique, Direction légale de l’information légale et administrative, «Quelles sont les différentes catégories d’États?»</w:t>
      </w:r>
      <w:r w:rsidRPr="00A1269F">
        <w:rPr>
          <w:rtl/>
        </w:rPr>
        <w:t>،</w:t>
      </w:r>
      <w:r w:rsidRPr="00A1269F">
        <w:rPr>
          <w:rFonts w:hint="cs"/>
          <w:rtl/>
        </w:rPr>
        <w:t xml:space="preserve"> 4 تشرين الثاني/نوفمبر 2013، </w:t>
      </w:r>
      <w:hyperlink r:id="rId67" w:history="1">
        <w:r w:rsidRPr="00A1269F">
          <w:rPr>
            <w:rStyle w:val="Hyperlink"/>
            <w:rFonts w:eastAsiaTheme="majorEastAsia"/>
            <w:color w:val="auto"/>
            <w:u w:val="none"/>
          </w:rPr>
          <w:t>http://www.vie-publique.fr/decouverte-institutions/institutions/collectivites-territoriales/principes-collectivites-territoriales/quelles-sont-differentes-categories-etats.html</w:t>
        </w:r>
      </w:hyperlink>
      <w:r w:rsidRPr="00A1269F">
        <w:rPr>
          <w:rStyle w:val="Hyperlink"/>
          <w:rFonts w:eastAsiaTheme="majorEastAsia" w:hint="cs"/>
          <w:color w:val="auto"/>
          <w:u w:val="none"/>
          <w:rtl/>
        </w:rPr>
        <w:t>.</w:t>
      </w:r>
    </w:p>
  </w:endnote>
  <w:endnote w:id="121">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6"/>
          <w:rtl/>
        </w:rPr>
        <w:t xml:space="preserve">الموقع الشبكي: </w:t>
      </w:r>
      <w:r w:rsidRPr="00A1269F">
        <w:rPr>
          <w:spacing w:val="-6"/>
        </w:rPr>
        <w:t>Vie publique, Direction légale de l’information légale et administrative, «Les cohabitations»</w:t>
      </w:r>
      <w:r w:rsidRPr="00A1269F">
        <w:rPr>
          <w:rFonts w:hint="cs"/>
          <w:spacing w:val="-6"/>
          <w:rtl/>
        </w:rPr>
        <w:t>،</w:t>
      </w:r>
      <w:r w:rsidRPr="00A1269F">
        <w:rPr>
          <w:rFonts w:hint="cs"/>
          <w:rtl/>
        </w:rPr>
        <w:t xml:space="preserve"> 2 كانون الثاني/يناير 2014، </w:t>
      </w:r>
      <w:hyperlink r:id="rId68" w:history="1">
        <w:r w:rsidRPr="00A1269F">
          <w:rPr>
            <w:rStyle w:val="Hyperlink"/>
            <w:rFonts w:eastAsiaTheme="majorEastAsia"/>
            <w:color w:val="auto"/>
            <w:u w:val="none"/>
          </w:rPr>
          <w:t>http://www.vie-publique.fr/decouverte-institutions/institutions/veme-republique/transformations/cohabitations.html</w:t>
        </w:r>
      </w:hyperlink>
      <w:r w:rsidRPr="00A1269F">
        <w:rPr>
          <w:rFonts w:hint="cs"/>
          <w:rtl/>
        </w:rPr>
        <w:t>.</w:t>
      </w:r>
    </w:p>
  </w:endnote>
  <w:endnote w:id="122">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Fonts w:hint="cs"/>
          <w:rtl/>
        </w:rPr>
        <w:t xml:space="preserve">، اتسم عدد الناخبين باستقرار نسبي في الفترة الممتدة بين 1 آذار/مارس 2014 و1 آذار/مارس 2015، </w:t>
      </w:r>
      <w:r w:rsidRPr="00A1269F">
        <w:t>INSEE, focus</w:t>
      </w:r>
      <w:r w:rsidRPr="00A1269F">
        <w:rPr>
          <w:rFonts w:hint="cs"/>
          <w:rtl/>
        </w:rPr>
        <w:t>، العدد 23، آذار/مارس 2015،</w:t>
      </w:r>
      <w:r w:rsidRPr="00A1269F">
        <w:rPr>
          <w:rtl/>
        </w:rPr>
        <w:tab/>
      </w:r>
      <w:r w:rsidRPr="00A1269F">
        <w:rPr>
          <w:rtl/>
        </w:rPr>
        <w:br/>
      </w:r>
      <w:r w:rsidRPr="00A1269F">
        <w:rPr>
          <w:rFonts w:hint="cs"/>
          <w:rtl/>
        </w:rPr>
        <w:t xml:space="preserve"> </w:t>
      </w:r>
      <w:hyperlink r:id="rId69" w:history="1">
        <w:r w:rsidRPr="00A1269F">
          <w:rPr>
            <w:rStyle w:val="Hyperlink"/>
            <w:rFonts w:eastAsiaTheme="majorEastAsia"/>
            <w:color w:val="auto"/>
            <w:u w:val="none"/>
          </w:rPr>
          <w:t>http://www.insee.fr/fr/themes/document.asp?reg_id=0&amp;ref_id=if23</w:t>
        </w:r>
      </w:hyperlink>
    </w:p>
  </w:endnote>
  <w:endnote w:id="123">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spacing w:val="-2"/>
        </w:rPr>
        <w:t xml:space="preserve">INSEE, X. NIEL et L. LINCOT, </w:t>
      </w:r>
      <w:r w:rsidRPr="00A1269F">
        <w:rPr>
          <w:i/>
          <w:spacing w:val="-2"/>
        </w:rPr>
        <w:t>L’inscription et la participation électorale en 2012</w:t>
      </w:r>
      <w:r w:rsidRPr="00A1269F">
        <w:rPr>
          <w:spacing w:val="-2"/>
        </w:rPr>
        <w:t>, Insee Première</w:t>
      </w:r>
      <w:r w:rsidRPr="00A1269F">
        <w:rPr>
          <w:rFonts w:hint="cs"/>
          <w:spacing w:val="-2"/>
          <w:rtl/>
        </w:rPr>
        <w:t xml:space="preserve">، </w:t>
      </w:r>
      <w:r w:rsidRPr="00A1269F">
        <w:rPr>
          <w:rFonts w:hint="cs"/>
          <w:rtl/>
        </w:rPr>
        <w:t>العدد 1411، أيلول/سبتمبر 2012،</w:t>
      </w:r>
      <w:r w:rsidRPr="00A1269F">
        <w:rPr>
          <w:rtl/>
        </w:rPr>
        <w:tab/>
      </w:r>
      <w:r w:rsidRPr="00A1269F">
        <w:rPr>
          <w:rtl/>
        </w:rPr>
        <w:br/>
      </w:r>
      <w:hyperlink r:id="rId70" w:history="1">
        <w:r w:rsidRPr="00A1269F">
          <w:rPr>
            <w:rStyle w:val="Hyperlink"/>
            <w:rFonts w:eastAsiaTheme="majorEastAsia"/>
            <w:color w:val="auto"/>
            <w:u w:val="none"/>
          </w:rPr>
          <w:t>http://www.insee.fr/fr/themes/document.asp?reg_id=0&amp;ref_id=ip1411</w:t>
        </w:r>
      </w:hyperlink>
      <w:r w:rsidRPr="00A1269F">
        <w:rPr>
          <w:rFonts w:hint="cs"/>
          <w:rtl/>
        </w:rPr>
        <w:t>.</w:t>
      </w:r>
    </w:p>
  </w:endnote>
  <w:endnote w:id="124">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Fonts w:hint="cs"/>
          <w:rtl/>
        </w:rPr>
        <w:t xml:space="preserve">، </w:t>
      </w:r>
      <w:r w:rsidRPr="00A1269F">
        <w:rPr>
          <w:rFonts w:hint="cs"/>
          <w:i/>
          <w:iCs/>
          <w:rtl/>
        </w:rPr>
        <w:t>44,6 مليون ناخب فرنسي حتى 1 آذار/مارس 2014</w:t>
      </w:r>
      <w:r w:rsidRPr="00A1269F">
        <w:rPr>
          <w:rFonts w:hint="cs"/>
          <w:rtl/>
        </w:rPr>
        <w:t xml:space="preserve">، </w:t>
      </w:r>
      <w:r w:rsidRPr="00A1269F">
        <w:t>INSEE Focus</w:t>
      </w:r>
      <w:r w:rsidRPr="00A1269F">
        <w:rPr>
          <w:rFonts w:hint="cs"/>
          <w:rtl/>
        </w:rPr>
        <w:t xml:space="preserve">، العدد 3، آذار/مارس 2014، </w:t>
      </w:r>
      <w:r w:rsidRPr="00A1269F">
        <w:rPr>
          <w:rtl/>
        </w:rPr>
        <w:tab/>
      </w:r>
      <w:r w:rsidRPr="00A1269F">
        <w:rPr>
          <w:rtl/>
        </w:rPr>
        <w:br/>
      </w:r>
      <w:hyperlink r:id="rId71" w:history="1">
        <w:r w:rsidRPr="00A1269F">
          <w:rPr>
            <w:rStyle w:val="Hyperlink"/>
            <w:rFonts w:eastAsiaTheme="majorEastAsia"/>
            <w:color w:val="auto"/>
            <w:u w:val="none"/>
          </w:rPr>
          <w:t>http://www.insee.fr/fr/themes/document.asp?reg_id=0&amp;ref_id=if14</w:t>
        </w:r>
      </w:hyperlink>
      <w:r w:rsidRPr="00A1269F">
        <w:rPr>
          <w:rStyle w:val="Hyperlink"/>
          <w:rFonts w:eastAsiaTheme="majorEastAsia" w:hint="cs"/>
          <w:color w:val="auto"/>
          <w:u w:val="none"/>
          <w:rtl/>
        </w:rPr>
        <w:t>.</w:t>
      </w:r>
    </w:p>
  </w:endnote>
  <w:endnote w:id="125">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Information juridique des collectivités territoriales, «Droit de vote des ressortissants communautaires»</w:t>
      </w:r>
      <w:r w:rsidRPr="00A1269F">
        <w:rPr>
          <w:rFonts w:hint="cs"/>
          <w:rtl/>
        </w:rPr>
        <w:t xml:space="preserve">، </w:t>
      </w:r>
      <w:hyperlink r:id="rId72" w:history="1">
        <w:r w:rsidRPr="00A1269F">
          <w:rPr>
            <w:rStyle w:val="Hyperlink"/>
            <w:rFonts w:eastAsiaTheme="majorEastAsia"/>
            <w:color w:val="auto"/>
            <w:u w:val="none"/>
          </w:rPr>
          <w:t>http://www.edile.fr/droit-de-vote-des-ressortissants-communautaires/</w:t>
        </w:r>
      </w:hyperlink>
      <w:r w:rsidRPr="00A1269F">
        <w:rPr>
          <w:rFonts w:hint="cs"/>
          <w:rtl/>
        </w:rPr>
        <w:t>،</w:t>
      </w:r>
      <w:r w:rsidRPr="00A1269F">
        <w:rPr>
          <w:rtl/>
        </w:rPr>
        <w:t xml:space="preserve"> [اط</w:t>
      </w:r>
      <w:r w:rsidRPr="00A1269F">
        <w:rPr>
          <w:rFonts w:hint="cs"/>
          <w:rtl/>
        </w:rPr>
        <w:t>لع عليه في 6 تموز/يوليه 2014</w:t>
      </w:r>
      <w:r w:rsidRPr="00A1269F">
        <w:rPr>
          <w:rtl/>
        </w:rPr>
        <w:t>]</w:t>
      </w:r>
      <w:r w:rsidRPr="00A1269F">
        <w:rPr>
          <w:rFonts w:hint="cs"/>
          <w:rtl/>
        </w:rPr>
        <w:t>.</w:t>
      </w:r>
    </w:p>
  </w:endnote>
  <w:endnote w:id="126">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الموقع الشبكي: </w:t>
      </w:r>
      <w:r w:rsidRPr="00A1269F">
        <w:t>Vie Publique, Direction légale de l’information légale et administrative, «Qu’est-ce qu’un parti politique ?»</w:t>
      </w:r>
      <w:r w:rsidRPr="00A1269F">
        <w:rPr>
          <w:rFonts w:hint="cs"/>
          <w:rtl/>
        </w:rPr>
        <w:t xml:space="preserve">، 30 أيار/مايو 2006، </w:t>
      </w:r>
      <w:hyperlink r:id="rId73" w:history="1">
        <w:r w:rsidRPr="00A1269F">
          <w:rPr>
            <w:rStyle w:val="Hyperlink"/>
            <w:rFonts w:eastAsiaTheme="majorEastAsia"/>
            <w:color w:val="auto"/>
            <w:u w:val="none"/>
          </w:rPr>
          <w:t>http://www.vie-publique.fr/decouverte-institutions/</w:t>
        </w:r>
        <w:r w:rsidRPr="00A1269F">
          <w:rPr>
            <w:rStyle w:val="Hyperlink"/>
            <w:rFonts w:eastAsiaTheme="majorEastAsia"/>
            <w:color w:val="auto"/>
            <w:u w:val="none"/>
          </w:rPr>
          <w:br/>
          <w:t>citoyen/participation/parti-politique/qu-est-ce-qu-parti-politique.html</w:t>
        </w:r>
      </w:hyperlink>
      <w:r w:rsidRPr="00A1269F">
        <w:rPr>
          <w:rFonts w:hint="cs"/>
          <w:rtl/>
        </w:rPr>
        <w:t>.</w:t>
      </w:r>
    </w:p>
  </w:endnote>
  <w:endnote w:id="127">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CNCCFP, Rapport d’activité 2012-2013</w:t>
      </w:r>
      <w:r w:rsidRPr="00A1269F">
        <w:rPr>
          <w:rFonts w:hint="cs"/>
          <w:rtl/>
        </w:rPr>
        <w:t xml:space="preserve">، 15 تشرين الأول/أكتوبر 2013، الصفحتان 121 و133، </w:t>
      </w:r>
      <w:hyperlink r:id="rId74" w:history="1">
        <w:r w:rsidRPr="00A1269F">
          <w:rPr>
            <w:rStyle w:val="Hyperlink"/>
            <w:rFonts w:eastAsiaTheme="majorEastAsia"/>
            <w:color w:val="auto"/>
            <w:u w:val="none"/>
          </w:rPr>
          <w:t>http://www.cnccfp.fr/docs/commission/cnccfp_activite_2012_2013.pdf?bcsi_scan_2c4d6ddaa91b4abc=1&amp;bcsi_scan_76859af71b923077=1&amp;bcsi_scan_96404f7f6439614d=0&amp;bcsi_scan_filename=cnccfp_activite_2012_2013.pdf</w:t>
        </w:r>
      </w:hyperlink>
      <w:r w:rsidRPr="00A1269F">
        <w:rPr>
          <w:rFonts w:hint="cs"/>
          <w:rtl/>
        </w:rPr>
        <w:t>.</w:t>
      </w:r>
    </w:p>
  </w:endnote>
  <w:endnote w:id="128">
    <w:p w:rsidR="008F7F42" w:rsidRPr="00A1269F" w:rsidRDefault="008F7F42" w:rsidP="00A1269F">
      <w:pPr>
        <w:pStyle w:val="EndnoteText"/>
        <w:tabs>
          <w:tab w:val="clear" w:pos="1021"/>
        </w:tabs>
        <w:spacing w:after="60"/>
        <w:ind w:hanging="651"/>
        <w:rPr>
          <w:spacing w:val="-4"/>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4"/>
          <w:rtl/>
        </w:rPr>
        <w:t xml:space="preserve">الموقع الشبكي: </w:t>
      </w:r>
      <w:r w:rsidRPr="00A1269F">
        <w:rPr>
          <w:spacing w:val="-4"/>
        </w:rPr>
        <w:t>France Politique par L. de Boissieu</w:t>
      </w:r>
      <w:r w:rsidRPr="00A1269F">
        <w:rPr>
          <w:rFonts w:hint="cs"/>
          <w:spacing w:val="-4"/>
          <w:rtl/>
        </w:rPr>
        <w:t xml:space="preserve">، </w:t>
      </w:r>
      <w:hyperlink r:id="rId75" w:history="1">
        <w:r w:rsidRPr="00A1269F">
          <w:rPr>
            <w:rStyle w:val="Hyperlink"/>
            <w:rFonts w:eastAsiaTheme="majorEastAsia"/>
            <w:color w:val="auto"/>
            <w:spacing w:val="-4"/>
            <w:u w:val="none"/>
          </w:rPr>
          <w:t>http://www.france-politique.fr/partis-politiques.htm</w:t>
        </w:r>
      </w:hyperlink>
      <w:r w:rsidRPr="00A1269F">
        <w:rPr>
          <w:rFonts w:hint="cs"/>
          <w:spacing w:val="-4"/>
          <w:rtl/>
        </w:rPr>
        <w:t>.</w:t>
      </w:r>
    </w:p>
  </w:endnote>
  <w:endnote w:id="129">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4"/>
          <w:rtl/>
        </w:rPr>
        <w:t xml:space="preserve">وزارة الداخلية، </w:t>
      </w:r>
      <w:r w:rsidRPr="00A1269F">
        <w:rPr>
          <w:spacing w:val="-4"/>
        </w:rPr>
        <w:t>«Résultats des élections présidentielles 2012»</w:t>
      </w:r>
      <w:r w:rsidRPr="00A1269F">
        <w:rPr>
          <w:rFonts w:hint="cs"/>
          <w:spacing w:val="-4"/>
          <w:rtl/>
        </w:rPr>
        <w:t xml:space="preserve">، </w:t>
      </w:r>
      <w:hyperlink r:id="rId76" w:history="1">
        <w:r w:rsidRPr="00A1269F">
          <w:rPr>
            <w:rStyle w:val="Hyperlink"/>
            <w:rFonts w:eastAsiaTheme="majorEastAsia"/>
            <w:color w:val="auto"/>
            <w:spacing w:val="-4"/>
            <w:u w:val="none"/>
          </w:rPr>
          <w:t>http://www.interieur.gouv.fr/Elections/Les-resultats/Presidentielles/elecresult__PR2012/ %28path %29/PR2012/FE.html</w:t>
        </w:r>
      </w:hyperlink>
      <w:r w:rsidRPr="00A1269F">
        <w:rPr>
          <w:rtl/>
        </w:rPr>
        <w:t xml:space="preserve"> </w:t>
      </w:r>
      <w:r w:rsidRPr="00A1269F">
        <w:rPr>
          <w:rFonts w:hint="cs"/>
          <w:rtl/>
        </w:rPr>
        <w:t>[اطلع عليه في 9 كانون الثاني/يناير 2014].</w:t>
      </w:r>
    </w:p>
  </w:endnote>
  <w:endnote w:id="130">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بوابة الحكومة، (الانتخابات التشريعية لعام 2012) </w:t>
      </w:r>
      <w:r w:rsidRPr="00A1269F">
        <w:t>«Les élections législatives 2012»</w:t>
      </w:r>
      <w:r w:rsidRPr="00A1269F">
        <w:rPr>
          <w:rFonts w:hint="cs"/>
          <w:rtl/>
        </w:rPr>
        <w:t>،</w:t>
      </w:r>
      <w:r w:rsidRPr="00A1269F">
        <w:rPr>
          <w:rtl/>
        </w:rPr>
        <w:tab/>
      </w:r>
      <w:r w:rsidRPr="00A1269F">
        <w:rPr>
          <w:rtl/>
        </w:rPr>
        <w:br/>
      </w:r>
      <w:r w:rsidRPr="00A1269F">
        <w:rPr>
          <w:rFonts w:hint="cs"/>
          <w:rtl/>
        </w:rPr>
        <w:t xml:space="preserve"> </w:t>
      </w:r>
      <w:hyperlink r:id="rId77" w:history="1">
        <w:r w:rsidRPr="00A1269F">
          <w:rPr>
            <w:rStyle w:val="Hyperlink"/>
            <w:rFonts w:eastAsiaTheme="majorEastAsia"/>
            <w:color w:val="auto"/>
            <w:u w:val="none"/>
          </w:rPr>
          <w:t>http://www.gouvernement.fr/gouvernement/les-elections-legislatives-2012</w:t>
        </w:r>
      </w:hyperlink>
      <w:r w:rsidRPr="00A1269F">
        <w:rPr>
          <w:rtl/>
        </w:rPr>
        <w:t xml:space="preserve"> </w:t>
      </w:r>
      <w:r w:rsidRPr="00A1269F">
        <w:rPr>
          <w:rFonts w:hint="cs"/>
          <w:rtl/>
        </w:rPr>
        <w:t>[اطلع عليه في 9 كانون الثاني/يناير 2014].</w:t>
      </w:r>
    </w:p>
  </w:endnote>
  <w:endnote w:id="131">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الداخلية، (نتائج الانتخابات البلدية والمجتمعية لعام 2014، النتائج في فرنسا كلها، الجولة الثانية) </w:t>
      </w:r>
      <w:r w:rsidRPr="00A1269F">
        <w:t>Résultats des élections municipales et communautaires 2014, résultats France entière, second tour</w:t>
      </w:r>
      <w:r w:rsidRPr="00A1269F">
        <w:rPr>
          <w:rFonts w:hint="cs"/>
          <w:rtl/>
        </w:rPr>
        <w:t xml:space="preserve">، </w:t>
      </w:r>
      <w:hyperlink r:id="rId78" w:history="1">
        <w:r w:rsidRPr="00A1269F">
          <w:rPr>
            <w:rStyle w:val="Hyperlink"/>
            <w:rFonts w:eastAsiaTheme="majorEastAsia"/>
            <w:color w:val="auto"/>
            <w:u w:val="none"/>
          </w:rPr>
          <w:t>http://www.interieur.gouv.fr/Elections/Les-resultats/Municipales/elecresult__MN2014/ %28path </w:t>
        </w:r>
        <w:r w:rsidRPr="00A1269F">
          <w:rPr>
            <w:rStyle w:val="Hyperlink"/>
            <w:rFonts w:eastAsiaTheme="majorEastAsia"/>
            <w:color w:val="auto"/>
            <w:u w:val="none"/>
          </w:rPr>
          <w:br/>
          <w:t>%29/MN2014/FE.html</w:t>
        </w:r>
      </w:hyperlink>
      <w:r w:rsidRPr="00A1269F">
        <w:rPr>
          <w:rFonts w:hint="cs"/>
          <w:rtl/>
        </w:rPr>
        <w:t>.</w:t>
      </w:r>
    </w:p>
  </w:endnote>
  <w:endnote w:id="132">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الداخلية، (نتائج الانتخابات الأوروبية لعام 2014، النتائج في فرنسا كلها)، </w:t>
      </w:r>
      <w:r w:rsidRPr="00A1269F">
        <w:t>résultat des élections européennes 2014, France entière</w:t>
      </w:r>
      <w:r w:rsidRPr="00A1269F">
        <w:rPr>
          <w:rFonts w:hint="cs"/>
          <w:rtl/>
        </w:rPr>
        <w:t xml:space="preserve">، </w:t>
      </w:r>
      <w:hyperlink r:id="rId79" w:history="1">
        <w:r w:rsidRPr="00A1269F">
          <w:rPr>
            <w:rStyle w:val="Hyperlink"/>
            <w:rFonts w:eastAsiaTheme="majorEastAsia"/>
            <w:color w:val="auto"/>
            <w:u w:val="none"/>
          </w:rPr>
          <w:t>http://www.interieur.gouv.fr/Elections/Les-resultats/</w:t>
        </w:r>
        <w:r w:rsidRPr="00A1269F">
          <w:rPr>
            <w:rStyle w:val="Hyperlink"/>
            <w:rFonts w:eastAsiaTheme="majorEastAsia"/>
            <w:color w:val="auto"/>
            <w:u w:val="none"/>
          </w:rPr>
          <w:br/>
          <w:t>Europeennes/elecresult__ER2014/ %28path %29/ER2014/FE.html</w:t>
        </w:r>
      </w:hyperlink>
      <w:r w:rsidRPr="00A1269F">
        <w:rPr>
          <w:rStyle w:val="Hyperlink"/>
          <w:rFonts w:eastAsiaTheme="majorEastAsia" w:hint="cs"/>
          <w:color w:val="auto"/>
          <w:u w:val="none"/>
          <w:rtl/>
        </w:rPr>
        <w:t>.</w:t>
      </w:r>
    </w:p>
  </w:endnote>
  <w:endnote w:id="133">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الداخلية، (نتائج انتخابات المقاطعات لعام 2015، النتائج في فرنسا كلها، الجولة الثانية) </w:t>
      </w:r>
      <w:r w:rsidRPr="00A1269F">
        <w:t>résultats des élections départementales 2015, France entière, second tour</w:t>
      </w:r>
      <w:r w:rsidRPr="00A1269F">
        <w:rPr>
          <w:rFonts w:hint="cs"/>
          <w:rtl/>
        </w:rPr>
        <w:t>،</w:t>
      </w:r>
      <w:r w:rsidRPr="00A1269F">
        <w:rPr>
          <w:rtl/>
        </w:rPr>
        <w:tab/>
      </w:r>
      <w:r w:rsidRPr="00A1269F">
        <w:rPr>
          <w:rtl/>
        </w:rPr>
        <w:br/>
      </w:r>
      <w:hyperlink r:id="rId80" w:history="1">
        <w:r w:rsidRPr="00A1269F">
          <w:rPr>
            <w:rStyle w:val="Hyperlink"/>
            <w:rFonts w:eastAsiaTheme="majorEastAsia"/>
            <w:color w:val="auto"/>
            <w:spacing w:val="-2"/>
            <w:u w:val="none"/>
          </w:rPr>
          <w:t>http://www.interieur.gouv.fr/Elections/Les-resultats/Departementales/elecresult__departementales-2015/ %28path %29/departementales-2015/FE.htm</w:t>
        </w:r>
      </w:hyperlink>
      <w:r w:rsidRPr="00A1269F">
        <w:rPr>
          <w:rFonts w:hint="cs"/>
          <w:rtl/>
        </w:rPr>
        <w:t>.</w:t>
      </w:r>
    </w:p>
  </w:endnote>
  <w:endnote w:id="134">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الداخلية، (نتائج الانتخابات على صعيد المناطق لعام 2015، النتائج في فرنسا كلها، الجولة الثانية) </w:t>
      </w:r>
      <w:r w:rsidRPr="00A1269F">
        <w:t>résultats des élections régionales 2015, France entière, résultats du second tour</w:t>
      </w:r>
      <w:r w:rsidRPr="00A1269F">
        <w:rPr>
          <w:rFonts w:hint="cs"/>
          <w:rtl/>
        </w:rPr>
        <w:t>،</w:t>
      </w:r>
      <w:r w:rsidRPr="00A1269F">
        <w:rPr>
          <w:rtl/>
        </w:rPr>
        <w:tab/>
      </w:r>
      <w:r w:rsidRPr="00A1269F">
        <w:rPr>
          <w:rtl/>
        </w:rPr>
        <w:br/>
      </w:r>
      <w:hyperlink r:id="rId81" w:history="1">
        <w:r w:rsidRPr="00A1269F">
          <w:rPr>
            <w:rStyle w:val="Hyperlink"/>
            <w:rFonts w:eastAsiaTheme="majorEastAsia"/>
            <w:color w:val="auto"/>
            <w:u w:val="none"/>
          </w:rPr>
          <w:t>http://www.interieur.gouv.fr/Elections/Les-resultats/Regionales/elecresult__regionales-2015/ %28</w:t>
        </w:r>
        <w:r w:rsidRPr="00A1269F">
          <w:rPr>
            <w:rStyle w:val="Hyperlink"/>
            <w:rFonts w:eastAsiaTheme="majorEastAsia"/>
            <w:color w:val="auto"/>
            <w:u w:val="none"/>
          </w:rPr>
          <w:br/>
          <w:t>path %29/regionales-2015/FE.html</w:t>
        </w:r>
      </w:hyperlink>
      <w:r w:rsidRPr="00A1269F">
        <w:rPr>
          <w:rFonts w:hint="cs"/>
          <w:rtl/>
        </w:rPr>
        <w:t>.</w:t>
      </w:r>
    </w:p>
  </w:endnote>
  <w:endnote w:id="135">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المجلس الدستوري، القرار رقم 2013-26 المؤرخ 11 تموز/ يوليه 2013 المتعلق بالانتخابات، </w:t>
      </w:r>
      <w:hyperlink r:id="rId82" w:history="1">
        <w:r w:rsidRPr="00A1269F">
          <w:rPr>
            <w:rStyle w:val="Hyperlink"/>
            <w:rFonts w:eastAsiaTheme="majorEastAsia"/>
            <w:color w:val="auto"/>
            <w:spacing w:val="-6"/>
            <w:u w:val="none"/>
          </w:rPr>
          <w:t>http://www.conseil-constitutionnel.fr/conseil-constitutionnel/francais/les-decisions/acces-par-date/decisions-depuis-1959/2013/2013-26-elec/decision-n-2013-26-elec-du-11-juillet-2013.137642.html</w:t>
        </w:r>
      </w:hyperlink>
      <w:r w:rsidRPr="00A1269F">
        <w:rPr>
          <w:rFonts w:hint="cs"/>
          <w:rtl/>
        </w:rPr>
        <w:t>.</w:t>
      </w:r>
    </w:p>
  </w:endnote>
  <w:endnote w:id="136">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المجلس الدستوري، المنازعات القضائية في الانتخابات الرئاسية لعام 2012، </w:t>
      </w:r>
      <w:hyperlink r:id="rId83" w:history="1">
        <w:r w:rsidRPr="00A1269F">
          <w:rPr>
            <w:rStyle w:val="Hyperlink"/>
            <w:rFonts w:eastAsiaTheme="majorEastAsia"/>
            <w:color w:val="auto"/>
            <w:u w:val="none"/>
          </w:rPr>
          <w:t>http://www.conseil-constitutionnel.fr/conseil-constitutionnel/francais/documentation/dossiers-thematiques/election-presidentielle-2012/contentieux/contentieux-de-l-election-presidentielle-2012.105161.html</w:t>
        </w:r>
      </w:hyperlink>
      <w:r w:rsidRPr="00A1269F">
        <w:rPr>
          <w:rFonts w:hint="cs"/>
          <w:rtl/>
        </w:rPr>
        <w:t>.</w:t>
      </w:r>
    </w:p>
  </w:endnote>
  <w:endnote w:id="137">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مجلس الدولة، </w:t>
      </w:r>
      <w:r w:rsidRPr="00A1269F">
        <w:t>«Répartition des compétences au sein de la juridiction administrative»</w:t>
      </w:r>
      <w:r w:rsidRPr="00A1269F">
        <w:rPr>
          <w:rFonts w:hint="cs"/>
          <w:rtl/>
        </w:rPr>
        <w:t xml:space="preserve">، </w:t>
      </w:r>
      <w:hyperlink r:id="rId84" w:history="1">
        <w:r w:rsidRPr="00A1269F">
          <w:rPr>
            <w:rStyle w:val="Hyperlink"/>
            <w:rFonts w:eastAsiaTheme="majorEastAsia"/>
            <w:color w:val="auto"/>
            <w:u w:val="none"/>
          </w:rPr>
          <w:t>http://www.conseil-etat.fr/Tribunaux-Cours/Organisation/Repartition-des-competences-au-sein-de-la-juridiction-administrative</w:t>
        </w:r>
      </w:hyperlink>
      <w:r w:rsidRPr="00A1269F">
        <w:rPr>
          <w:rFonts w:hint="cs"/>
          <w:rtl/>
        </w:rPr>
        <w:t>.</w:t>
      </w:r>
    </w:p>
  </w:endnote>
  <w:endnote w:id="138">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4"/>
          <w:rtl/>
        </w:rPr>
        <w:t xml:space="preserve">المجلس الدستوري، القرار رقم </w:t>
      </w:r>
      <w:r w:rsidRPr="00A1269F">
        <w:rPr>
          <w:spacing w:val="-4"/>
        </w:rPr>
        <w:t>71-44 DC</w:t>
      </w:r>
      <w:r w:rsidRPr="00A1269F">
        <w:rPr>
          <w:rFonts w:hint="cs"/>
          <w:spacing w:val="-4"/>
          <w:rtl/>
        </w:rPr>
        <w:t xml:space="preserve">، المؤرخ 16 تموز/يوليه 1971: </w:t>
      </w:r>
      <w:r w:rsidRPr="00A1269F">
        <w:rPr>
          <w:spacing w:val="-4"/>
        </w:rPr>
        <w:t>Rec. Cons. const. 1971</w:t>
      </w:r>
      <w:r w:rsidRPr="00A1269F">
        <w:rPr>
          <w:rFonts w:hint="cs"/>
          <w:spacing w:val="-4"/>
          <w:rtl/>
        </w:rPr>
        <w:t>، الصفحة</w:t>
      </w:r>
      <w:r w:rsidRPr="00A1269F">
        <w:rPr>
          <w:rFonts w:hint="eastAsia"/>
          <w:spacing w:val="-4"/>
          <w:rtl/>
        </w:rPr>
        <w:t> </w:t>
      </w:r>
      <w:r w:rsidRPr="00A1269F">
        <w:rPr>
          <w:rFonts w:hint="cs"/>
          <w:spacing w:val="-4"/>
          <w:rtl/>
        </w:rPr>
        <w:t>29، الفقرة 2.</w:t>
      </w:r>
    </w:p>
  </w:endnote>
  <w:endnote w:id="139">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الرياضة والشباب والتعليم الشعبي والحياة الجمعوية، </w:t>
      </w:r>
      <w:r w:rsidRPr="00A1269F">
        <w:t>«Nouveaux repères 2012 sur les associations en France»</w:t>
      </w:r>
      <w:r w:rsidRPr="00A1269F">
        <w:rPr>
          <w:rFonts w:hint="cs"/>
          <w:rtl/>
        </w:rPr>
        <w:t xml:space="preserve">، </w:t>
      </w:r>
      <w:hyperlink r:id="rId85" w:history="1">
        <w:r w:rsidRPr="00A1269F">
          <w:rPr>
            <w:rStyle w:val="Hyperlink"/>
            <w:rFonts w:eastAsiaTheme="majorEastAsia"/>
            <w:color w:val="auto"/>
            <w:u w:val="none"/>
          </w:rPr>
          <w:t>http://www.associations.gouv.fr/1182-nouveaux-reperes-2012-sur-les.html</w:t>
        </w:r>
      </w:hyperlink>
      <w:r w:rsidRPr="00A1269F">
        <w:rPr>
          <w:rFonts w:hint="cs"/>
          <w:rtl/>
        </w:rPr>
        <w:t>.</w:t>
      </w:r>
    </w:p>
  </w:endnote>
  <w:endnote w:id="140">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المادتان 2 و5 من القانون المؤرخ 1 تموز/يوليه 1901 المتعلق بعقود الجمعيات، </w:t>
      </w:r>
      <w:hyperlink r:id="rId86" w:history="1">
        <w:r w:rsidRPr="00A1269F">
          <w:rPr>
            <w:rStyle w:val="Hyperlink"/>
            <w:rFonts w:eastAsiaTheme="majorEastAsia"/>
            <w:color w:val="auto"/>
            <w:u w:val="none"/>
          </w:rPr>
          <w:t>http://www.legifrance.</w:t>
        </w:r>
        <w:r w:rsidRPr="00A1269F">
          <w:rPr>
            <w:rStyle w:val="Hyperlink"/>
            <w:rFonts w:eastAsiaTheme="majorEastAsia"/>
            <w:color w:val="auto"/>
            <w:u w:val="none"/>
          </w:rPr>
          <w:br/>
          <w:t>gouv.fr/affichTexte.do?cidTexte=LEGITEXT000006069570&amp;dateTexte=20090506</w:t>
        </w:r>
      </w:hyperlink>
      <w:r w:rsidRPr="00A1269F">
        <w:rPr>
          <w:rFonts w:hint="cs"/>
          <w:rtl/>
        </w:rPr>
        <w:t>.</w:t>
      </w:r>
    </w:p>
  </w:endnote>
  <w:endnote w:id="141">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الموقع الشبكي: </w:t>
      </w:r>
      <w:r w:rsidRPr="00A1269F">
        <w:t>vie publique, Direction de l’information légale et administrative, «Comment peut-on créer une association?»</w:t>
      </w:r>
      <w:r w:rsidRPr="00A1269F">
        <w:rPr>
          <w:rFonts w:hint="cs"/>
          <w:rtl/>
        </w:rPr>
        <w:t xml:space="preserve">، 9 تشرين الأول/أكتوبر 2013، </w:t>
      </w:r>
      <w:hyperlink r:id="rId87" w:history="1">
        <w:r w:rsidRPr="00A1269F">
          <w:rPr>
            <w:rStyle w:val="Hyperlink"/>
            <w:rFonts w:eastAsiaTheme="majorEastAsia"/>
            <w:color w:val="auto"/>
            <w:u w:val="none"/>
          </w:rPr>
          <w:t>http://www.vie-publique.fr/decouverte-institutions/citoyen/participation/association/comment-peut-on-creer-association.html</w:t>
        </w:r>
      </w:hyperlink>
      <w:r w:rsidRPr="00A1269F">
        <w:rPr>
          <w:rFonts w:hint="cs"/>
          <w:rtl/>
        </w:rPr>
        <w:t>.</w:t>
      </w:r>
    </w:p>
  </w:endnote>
  <w:endnote w:id="142">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tl/>
        </w:rPr>
        <w:t>الموقع</w:t>
      </w:r>
      <w:r w:rsidRPr="00A1269F">
        <w:rPr>
          <w:rFonts w:hint="cs"/>
          <w:rtl/>
        </w:rPr>
        <w:t xml:space="preserve"> الشبكي الرسمي للإدارة الفرنسية، </w:t>
      </w:r>
      <w:hyperlink r:id="rId88" w:history="1">
        <w:r w:rsidRPr="00A1269F">
          <w:rPr>
            <w:rStyle w:val="Hyperlink"/>
            <w:rFonts w:eastAsiaTheme="majorEastAsia"/>
            <w:color w:val="auto"/>
            <w:u w:val="none"/>
          </w:rPr>
          <w:t>http://vosdroits.service-public.fr/associations/F1131.xhtml</w:t>
        </w:r>
      </w:hyperlink>
      <w:r w:rsidRPr="00A1269F">
        <w:rPr>
          <w:rFonts w:hint="cs"/>
          <w:rtl/>
        </w:rPr>
        <w:t>.</w:t>
      </w:r>
    </w:p>
  </w:endnote>
  <w:endnote w:id="143">
    <w:p w:rsidR="008F7F42" w:rsidRPr="00A1269F" w:rsidRDefault="008F7F42" w:rsidP="00A1269F">
      <w:pPr>
        <w:pStyle w:val="EndnoteText"/>
        <w:tabs>
          <w:tab w:val="clear" w:pos="1021"/>
        </w:tabs>
        <w:spacing w:after="60"/>
        <w:ind w:hanging="651"/>
        <w:rPr>
          <w:spacing w:val="-6"/>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6"/>
          <w:rtl/>
        </w:rPr>
        <w:t xml:space="preserve">الموقع الشبكي: </w:t>
      </w:r>
      <w:r w:rsidRPr="00A1269F">
        <w:rPr>
          <w:spacing w:val="-6"/>
        </w:rPr>
        <w:t xml:space="preserve">data.gouv.fr: </w:t>
      </w:r>
      <w:hyperlink r:id="rId89" w:history="1">
        <w:r w:rsidRPr="00A1269F">
          <w:rPr>
            <w:rStyle w:val="Hyperlink"/>
            <w:rFonts w:eastAsiaTheme="majorEastAsia"/>
            <w:color w:val="auto"/>
            <w:spacing w:val="-6"/>
            <w:u w:val="none"/>
          </w:rPr>
          <w:t>https://www.data.gouv.fr/fr/datasets/associations-reconnues-d-utilite-publique/</w:t>
        </w:r>
      </w:hyperlink>
      <w:r w:rsidRPr="00A1269F">
        <w:rPr>
          <w:rStyle w:val="Hyperlink"/>
          <w:rFonts w:eastAsiaTheme="majorEastAsia" w:hint="cs"/>
          <w:color w:val="auto"/>
          <w:spacing w:val="-6"/>
          <w:u w:val="none"/>
          <w:rtl/>
        </w:rPr>
        <w:t>.</w:t>
      </w:r>
    </w:p>
  </w:endnote>
  <w:endnote w:id="144">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المرجع نفسه.</w:t>
      </w:r>
    </w:p>
  </w:endnote>
  <w:endnote w:id="145">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2"/>
          <w:rtl/>
        </w:rPr>
        <w:t xml:space="preserve">وزارة الشؤون الخارجية، (منظمات التضامن الدولي الإنساني) </w:t>
      </w:r>
      <w:r w:rsidRPr="00A1269F">
        <w:rPr>
          <w:spacing w:val="-2"/>
        </w:rPr>
        <w:t>«les organisations de solidarité internationale humanitaire»</w:t>
      </w:r>
      <w:r w:rsidRPr="00A1269F">
        <w:rPr>
          <w:rFonts w:hint="cs"/>
          <w:rtl/>
        </w:rPr>
        <w:t xml:space="preserve">، </w:t>
      </w:r>
      <w:hyperlink r:id="rId90" w:history="1">
        <w:r w:rsidRPr="00A1269F">
          <w:rPr>
            <w:rStyle w:val="Hyperlink"/>
            <w:rFonts w:eastAsiaTheme="majorEastAsia"/>
            <w:color w:val="auto"/>
            <w:spacing w:val="-2"/>
            <w:u w:val="none"/>
          </w:rPr>
          <w:t>http://www.diplomatie.gouv.fr/fr/politique-etrangere-de-la-france/action-humanitaire</w:t>
        </w:r>
        <w:r w:rsidRPr="00A1269F">
          <w:rPr>
            <w:rStyle w:val="Hyperlink"/>
            <w:rFonts w:eastAsiaTheme="majorEastAsia"/>
            <w:color w:val="auto"/>
            <w:u w:val="none"/>
          </w:rPr>
          <w:br/>
          <w:t>-d-urgence/les-acteurs-humanitaires-francais/article/29942</w:t>
        </w:r>
      </w:hyperlink>
      <w:r w:rsidRPr="00A1269F">
        <w:rPr>
          <w:rFonts w:hint="cs"/>
          <w:rtl/>
        </w:rPr>
        <w:t>.</w:t>
      </w:r>
    </w:p>
  </w:endnote>
  <w:endnote w:id="146">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مؤسسة ميديامتري (</w:t>
      </w:r>
      <w:r w:rsidRPr="00A1269F">
        <w:t>Médiamétrie</w:t>
      </w:r>
      <w:r w:rsidRPr="00A1269F">
        <w:rPr>
          <w:rFonts w:hint="cs"/>
          <w:rtl/>
        </w:rPr>
        <w:t xml:space="preserve">)، </w:t>
      </w:r>
      <w:r w:rsidRPr="00A1269F">
        <w:t>«Audience, le mag»</w:t>
      </w:r>
      <w:r w:rsidRPr="00A1269F">
        <w:rPr>
          <w:rFonts w:hint="cs"/>
          <w:rtl/>
        </w:rPr>
        <w:t>، 29 شباط/فبراير 2016،</w:t>
      </w:r>
      <w:r w:rsidRPr="00A1269F">
        <w:rPr>
          <w:rtl/>
        </w:rPr>
        <w:tab/>
      </w:r>
      <w:r w:rsidRPr="00A1269F">
        <w:rPr>
          <w:rtl/>
        </w:rPr>
        <w:br/>
      </w:r>
      <w:hyperlink r:id="rId91" w:history="1">
        <w:r w:rsidRPr="00A1269F">
          <w:rPr>
            <w:rStyle w:val="Hyperlink"/>
            <w:rFonts w:eastAsiaTheme="majorEastAsia"/>
            <w:color w:val="auto"/>
            <w:u w:val="none"/>
          </w:rPr>
          <w:t>http://www.audiencelemag.com/?article=81</w:t>
        </w:r>
      </w:hyperlink>
      <w:r w:rsidRPr="00A1269F">
        <w:rPr>
          <w:rStyle w:val="Hyperlink"/>
          <w:rFonts w:eastAsiaTheme="majorEastAsia" w:hint="cs"/>
          <w:color w:val="auto"/>
          <w:u w:val="none"/>
          <w:rtl/>
        </w:rPr>
        <w:t>.</w:t>
      </w:r>
    </w:p>
  </w:endnote>
  <w:endnote w:id="147">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الثقافة والاتصال، </w:t>
      </w:r>
      <w:r w:rsidRPr="00A1269F">
        <w:t>chiffres-clés - Statistiques de la culture et de la communication 2015</w:t>
      </w:r>
      <w:r w:rsidRPr="00A1269F">
        <w:rPr>
          <w:rFonts w:hint="cs"/>
          <w:rtl/>
        </w:rPr>
        <w:t>، الفقرة</w:t>
      </w:r>
      <w:r w:rsidRPr="00A1269F">
        <w:rPr>
          <w:rFonts w:hint="eastAsia"/>
          <w:rtl/>
        </w:rPr>
        <w:t> </w:t>
      </w:r>
      <w:r w:rsidRPr="00A1269F">
        <w:rPr>
          <w:rFonts w:hint="cs"/>
          <w:rtl/>
        </w:rPr>
        <w:t xml:space="preserve">64 وما يليها، </w:t>
      </w:r>
      <w:hyperlink r:id="rId92" w:history="1">
        <w:r w:rsidRPr="00A1269F">
          <w:rPr>
            <w:rStyle w:val="Hyperlink"/>
            <w:rFonts w:eastAsiaTheme="majorEastAsia"/>
            <w:color w:val="auto"/>
            <w:u w:val="none"/>
          </w:rPr>
          <w:t>http://www.cairn.info/chiffres-cles-statistiques-de-la-culture-2015--9782111281578-page-153.htm</w:t>
        </w:r>
      </w:hyperlink>
      <w:r w:rsidRPr="00A1269F">
        <w:rPr>
          <w:rFonts w:hint="cs"/>
          <w:rtl/>
        </w:rPr>
        <w:t>.</w:t>
      </w:r>
    </w:p>
  </w:endnote>
  <w:endnote w:id="148">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المرجع نفسه.</w:t>
      </w:r>
    </w:p>
  </w:endnote>
  <w:endnote w:id="149">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المرجع نفسه.</w:t>
      </w:r>
    </w:p>
  </w:endnote>
  <w:endnote w:id="150">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Audipresse ONE 2014-2015</w:t>
      </w:r>
      <w:r w:rsidRPr="00A1269F">
        <w:rPr>
          <w:rFonts w:hint="cs"/>
          <w:rtl/>
        </w:rPr>
        <w:t xml:space="preserve">، نسبة مقروئية الصحف في فرنسا خلال الفترة من تموز/يوليه 2014 إلى حزيران/يونيه 2015، </w:t>
      </w:r>
      <w:hyperlink r:id="rId93" w:history="1">
        <w:r w:rsidRPr="00A1269F">
          <w:rPr>
            <w:rStyle w:val="Hyperlink"/>
            <w:rFonts w:eastAsiaTheme="majorEastAsia"/>
            <w:color w:val="auto"/>
            <w:u w:val="none"/>
          </w:rPr>
          <w:t>http://www.audipresse.fr/media/document/one20142015/Communique-de-Presse-Audipresse-ONE-2014-2015-ONE-Global-2015v3</w:t>
        </w:r>
      </w:hyperlink>
      <w:r w:rsidRPr="00A1269F">
        <w:rPr>
          <w:rFonts w:hint="cs"/>
          <w:rtl/>
        </w:rPr>
        <w:t>.</w:t>
      </w:r>
    </w:p>
  </w:endnote>
  <w:endnote w:id="151">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المرجع نفسه.</w:t>
      </w:r>
    </w:p>
  </w:endnote>
  <w:endnote w:id="152">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مؤسسة </w:t>
      </w:r>
      <w:r w:rsidRPr="00A1269F">
        <w:t>INEUM consulting</w:t>
      </w:r>
      <w:r w:rsidRPr="00A1269F">
        <w:rPr>
          <w:rFonts w:hint="cs"/>
          <w:rtl/>
        </w:rPr>
        <w:t xml:space="preserve"> لفائدة مديرية تطوير وسائط الإعلام، </w:t>
      </w:r>
      <w:r w:rsidRPr="00A1269F">
        <w:rPr>
          <w:bCs/>
          <w:i/>
        </w:rPr>
        <w:t>Audiences et stratégies des acteurs en ligne face aux acteurs traditionnels du marché de la diffusion des contenus</w:t>
      </w:r>
      <w:r w:rsidRPr="00A1269F">
        <w:rPr>
          <w:bCs/>
        </w:rPr>
        <w:t>, 2006</w:t>
      </w:r>
      <w:r w:rsidRPr="00A1269F">
        <w:rPr>
          <w:rFonts w:hint="cs"/>
          <w:rtl/>
        </w:rPr>
        <w:t xml:space="preserve">، الصفحة 12، </w:t>
      </w:r>
      <w:hyperlink r:id="rId94" w:history="1">
        <w:r w:rsidRPr="00A1269F">
          <w:rPr>
            <w:rFonts w:eastAsia="Calibri"/>
          </w:rPr>
          <w:t>http://www.ladocumentationfrancaise.fr/var/storage/rapports-publics/074000446/0000.pdf</w:t>
        </w:r>
      </w:hyperlink>
      <w:r w:rsidRPr="00A1269F">
        <w:rPr>
          <w:rFonts w:eastAsia="Calibri" w:hint="cs"/>
          <w:rtl/>
        </w:rPr>
        <w:t>.</w:t>
      </w:r>
    </w:p>
  </w:endnote>
  <w:endnote w:id="153">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مجلس الشيوخ، </w:t>
      </w:r>
      <w:r w:rsidRPr="00A1269F">
        <w:rPr>
          <w:bCs/>
          <w:i/>
        </w:rPr>
        <w:t>Projet de loi de finances pour 2009 : Médias - Avances à l’audiovisuel – Presse</w:t>
      </w:r>
      <w:r w:rsidRPr="00A1269F">
        <w:rPr>
          <w:rFonts w:hint="cs"/>
          <w:rtl/>
        </w:rPr>
        <w:t xml:space="preserve">، الملحق بمحضر الجلسة المعقودة في 20 تشرين الثاني/نوفمبر 2008، </w:t>
      </w:r>
      <w:hyperlink r:id="rId95" w:history="1">
        <w:r w:rsidRPr="00A1269F">
          <w:rPr>
            <w:rStyle w:val="Hyperlink"/>
            <w:rFonts w:eastAsiaTheme="majorEastAsia"/>
            <w:color w:val="auto"/>
            <w:u w:val="none"/>
          </w:rPr>
          <w:t>http://www.senat.fr/rap/a08-100-62/a08-100-620.html</w:t>
        </w:r>
      </w:hyperlink>
      <w:r w:rsidRPr="00A1269F">
        <w:rPr>
          <w:rFonts w:hint="cs"/>
          <w:rtl/>
        </w:rPr>
        <w:t>.</w:t>
      </w:r>
    </w:p>
  </w:endnote>
  <w:endnote w:id="154">
    <w:p w:rsidR="008F7F42" w:rsidRPr="00A1269F" w:rsidRDefault="008F7F42" w:rsidP="00A1269F">
      <w:pPr>
        <w:pStyle w:val="EndnoteText"/>
        <w:tabs>
          <w:tab w:val="clear" w:pos="1021"/>
        </w:tabs>
        <w:spacing w:after="60"/>
        <w:ind w:hanging="651"/>
        <w:rPr>
          <w:spacing w:val="-4"/>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4"/>
          <w:rtl/>
        </w:rPr>
        <w:t>وزارة الثقافة والاتصال،</w:t>
      </w:r>
      <w:r w:rsidRPr="00A1269F">
        <w:rPr>
          <w:rFonts w:hint="cs"/>
          <w:spacing w:val="-8"/>
          <w:rtl/>
        </w:rPr>
        <w:t xml:space="preserve"> </w:t>
      </w:r>
      <w:r w:rsidRPr="00A1269F">
        <w:rPr>
          <w:spacing w:val="-8"/>
        </w:rPr>
        <w:t>chiffres-clés - Statistiques de la culture et de la communication 2015</w:t>
      </w:r>
      <w:r w:rsidRPr="00A1269F">
        <w:rPr>
          <w:rFonts w:hint="cs"/>
          <w:spacing w:val="-8"/>
          <w:rtl/>
        </w:rPr>
        <w:t>، الفقرة</w:t>
      </w:r>
      <w:r w:rsidRPr="00A1269F">
        <w:rPr>
          <w:rFonts w:hint="eastAsia"/>
          <w:spacing w:val="-8"/>
          <w:rtl/>
        </w:rPr>
        <w:t> </w:t>
      </w:r>
      <w:r w:rsidRPr="00A1269F">
        <w:rPr>
          <w:rFonts w:hint="cs"/>
          <w:spacing w:val="-8"/>
          <w:rtl/>
        </w:rPr>
        <w:t>78 وما يليها،</w:t>
      </w:r>
      <w:r w:rsidRPr="00A1269F">
        <w:rPr>
          <w:rFonts w:hint="cs"/>
          <w:spacing w:val="-4"/>
          <w:rtl/>
        </w:rPr>
        <w:t xml:space="preserve"> </w:t>
      </w:r>
      <w:hyperlink r:id="rId96" w:history="1">
        <w:r w:rsidRPr="00A1269F">
          <w:rPr>
            <w:rStyle w:val="Hyperlink"/>
            <w:rFonts w:eastAsiaTheme="majorEastAsia"/>
            <w:color w:val="auto"/>
            <w:spacing w:val="-4"/>
            <w:u w:val="none"/>
          </w:rPr>
          <w:t>http://www.cairn.info/chiffres-cles-statistiques-de-la-culture-2015--9782111281578-page-153.htm</w:t>
        </w:r>
      </w:hyperlink>
      <w:r w:rsidRPr="00A1269F">
        <w:rPr>
          <w:rStyle w:val="Hyperlink"/>
          <w:rFonts w:eastAsiaTheme="majorEastAsia" w:hint="cs"/>
          <w:color w:val="auto"/>
          <w:spacing w:val="-4"/>
          <w:u w:val="none"/>
          <w:rtl/>
        </w:rPr>
        <w:t>.</w:t>
      </w:r>
    </w:p>
  </w:endnote>
  <w:endnote w:id="155">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tl/>
        </w:rPr>
        <w:t>المجلس الأعلى للوسائط السمعية البصرية</w:t>
      </w:r>
      <w:r w:rsidRPr="00A1269F">
        <w:rPr>
          <w:rFonts w:hint="cs"/>
          <w:rtl/>
        </w:rPr>
        <w:t xml:space="preserve">، </w:t>
      </w:r>
      <w:r w:rsidRPr="00A1269F">
        <w:t>chiffres-clés de l’audiovisuel français, 2ème semestre 2015</w:t>
      </w:r>
      <w:r w:rsidRPr="00A1269F">
        <w:rPr>
          <w:rFonts w:hint="cs"/>
          <w:rtl/>
        </w:rPr>
        <w:t xml:space="preserve">، الصفحة 7، </w:t>
      </w:r>
      <w:hyperlink r:id="rId97" w:history="1">
        <w:r w:rsidRPr="00A1269F">
          <w:rPr>
            <w:rStyle w:val="Hyperlink"/>
            <w:rFonts w:eastAsiaTheme="majorEastAsia"/>
            <w:color w:val="auto"/>
            <w:u w:val="none"/>
          </w:rPr>
          <w:t>http://www.csa.fr/Etudes-et-publications/Les-chiffres-cles/Les-chiffres-cles-de-l-audiovisuel-francais-Edition-du-2nd-semestre-2015</w:t>
        </w:r>
      </w:hyperlink>
      <w:r w:rsidRPr="00A1269F">
        <w:rPr>
          <w:rFonts w:hint="cs"/>
          <w:rtl/>
        </w:rPr>
        <w:t>.</w:t>
      </w:r>
    </w:p>
  </w:endnote>
  <w:endnote w:id="156">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المرجع نفسه، الصفحة 8.</w:t>
      </w:r>
    </w:p>
  </w:endnote>
  <w:endnote w:id="157">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المرجع نفسه، الصفحة 10.</w:t>
      </w:r>
    </w:p>
  </w:endnote>
  <w:endnote w:id="158">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الثقافة والاتصال، </w:t>
      </w:r>
      <w:r w:rsidRPr="00A1269F">
        <w:rPr>
          <w:i/>
        </w:rPr>
        <w:t>Chiffres clés – Statistiques de la culture 2014</w:t>
      </w:r>
      <w:r w:rsidRPr="00A1269F">
        <w:rPr>
          <w:rFonts w:hint="cs"/>
          <w:rtl/>
        </w:rPr>
        <w:t>، الصفحات 29-36.</w:t>
      </w:r>
    </w:p>
  </w:endnote>
  <w:endnote w:id="159">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الثقافة والاتصال، </w:t>
      </w:r>
      <w:r w:rsidRPr="00A1269F">
        <w:rPr>
          <w:i/>
        </w:rPr>
        <w:t>Chiffres clés – Statistiques de la culture et de la communication 2015</w:t>
      </w:r>
      <w:r w:rsidRPr="00A1269F">
        <w:rPr>
          <w:rFonts w:hint="cs"/>
          <w:rtl/>
        </w:rPr>
        <w:t>، الفقرة</w:t>
      </w:r>
      <w:r w:rsidRPr="00A1269F">
        <w:rPr>
          <w:rFonts w:hint="eastAsia"/>
          <w:rtl/>
        </w:rPr>
        <w:t> </w:t>
      </w:r>
      <w:r w:rsidRPr="00A1269F">
        <w:rPr>
          <w:rFonts w:hint="cs"/>
          <w:rtl/>
        </w:rPr>
        <w:t>70 وما يليها.</w:t>
      </w:r>
    </w:p>
  </w:endnote>
  <w:endnote w:id="160">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المرجع نفسه.</w:t>
      </w:r>
    </w:p>
  </w:endnote>
  <w:endnote w:id="161">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المرجع نفسه.</w:t>
      </w:r>
    </w:p>
  </w:endnote>
  <w:endnote w:id="162">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مؤسسة ميديامتري (</w:t>
      </w:r>
      <w:r w:rsidRPr="00A1269F">
        <w:t>Médiamétrie</w:t>
      </w:r>
      <w:r w:rsidRPr="00A1269F">
        <w:rPr>
          <w:rFonts w:hint="cs"/>
          <w:rtl/>
        </w:rPr>
        <w:t xml:space="preserve">) </w:t>
      </w:r>
      <w:r w:rsidRPr="00A1269F">
        <w:t>« L’année Internet 2012»</w:t>
      </w:r>
      <w:r w:rsidRPr="00A1269F">
        <w:rPr>
          <w:rFonts w:hint="cs"/>
          <w:rtl/>
        </w:rPr>
        <w:t>، 27 شباط/فبراير 2013،</w:t>
      </w:r>
      <w:r w:rsidRPr="00A1269F">
        <w:rPr>
          <w:rtl/>
        </w:rPr>
        <w:tab/>
      </w:r>
      <w:r w:rsidRPr="00A1269F">
        <w:rPr>
          <w:rFonts w:hint="cs"/>
          <w:rtl/>
        </w:rPr>
        <w:t xml:space="preserve"> </w:t>
      </w:r>
      <w:r w:rsidRPr="00A1269F">
        <w:br/>
      </w:r>
      <w:hyperlink r:id="rId98" w:anchor=".Us6-zHCvNYc" w:history="1">
        <w:r w:rsidRPr="00A1269F">
          <w:rPr>
            <w:rStyle w:val="Hyperlink"/>
            <w:rFonts w:eastAsiaTheme="majorEastAsia"/>
            <w:color w:val="auto"/>
            <w:u w:val="none"/>
          </w:rPr>
          <w:t>http://www.mediametrie.fr/internet/communiques/l-annee-internet-2012-l-internet-sur-tous-les-ecrans-tous-les-reseaux-au-plus-pres-de-l-internaute.php?id=818#.Us6-zHCvNYc</w:t>
        </w:r>
      </w:hyperlink>
      <w:r w:rsidRPr="00A1269F">
        <w:rPr>
          <w:rFonts w:hint="cs"/>
          <w:rtl/>
        </w:rPr>
        <w:t>.</w:t>
      </w:r>
    </w:p>
  </w:endnote>
  <w:endnote w:id="163">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الثقافة والاتصال، </w:t>
      </w:r>
      <w:r w:rsidRPr="00A1269F">
        <w:rPr>
          <w:i/>
        </w:rPr>
        <w:t>Chiffres clés – Statistiques de la culture et de la communication 2015</w:t>
      </w:r>
      <w:r w:rsidRPr="00A1269F">
        <w:rPr>
          <w:rFonts w:hint="cs"/>
          <w:rtl/>
        </w:rPr>
        <w:t>، الفقرة</w:t>
      </w:r>
      <w:r w:rsidRPr="00A1269F">
        <w:rPr>
          <w:rFonts w:hint="eastAsia"/>
          <w:rtl/>
        </w:rPr>
        <w:t> </w:t>
      </w:r>
      <w:r w:rsidRPr="00A1269F">
        <w:rPr>
          <w:rFonts w:hint="cs"/>
          <w:rtl/>
        </w:rPr>
        <w:t>11 وما يليها.</w:t>
      </w:r>
    </w:p>
  </w:endnote>
  <w:endnote w:id="164">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t>المعهد الوطني للإحصاء والبحوث الاقتصادية</w:t>
      </w:r>
      <w:r w:rsidRPr="00A1269F">
        <w:rPr>
          <w:rFonts w:hint="cs"/>
          <w:rtl/>
        </w:rPr>
        <w:t xml:space="preserve"> </w:t>
      </w:r>
      <w:r w:rsidRPr="00A1269F">
        <w:t>«</w:t>
      </w:r>
      <w:r w:rsidRPr="00A1269F">
        <w:rPr>
          <w:bCs/>
        </w:rPr>
        <w:t xml:space="preserve">L’internet de plus en plus prisé, l’internaute de plus en plus mobile», </w:t>
      </w:r>
      <w:r w:rsidRPr="00A1269F">
        <w:rPr>
          <w:bCs/>
          <w:i/>
        </w:rPr>
        <w:t>Insee première</w:t>
      </w:r>
      <w:r w:rsidRPr="00A1269F">
        <w:rPr>
          <w:rFonts w:hint="cs"/>
          <w:rtl/>
        </w:rPr>
        <w:t xml:space="preserve">، العدد 1452، حزيران/يونيه 2013، </w:t>
      </w:r>
      <w:r w:rsidRPr="00A1269F">
        <w:rPr>
          <w:rtl/>
        </w:rPr>
        <w:tab/>
      </w:r>
      <w:r w:rsidRPr="00A1269F">
        <w:br/>
      </w:r>
      <w:hyperlink r:id="rId99" w:history="1">
        <w:r w:rsidRPr="00A1269F">
          <w:rPr>
            <w:rStyle w:val="Hyperlink"/>
            <w:rFonts w:eastAsiaTheme="majorEastAsia"/>
            <w:bCs/>
            <w:color w:val="auto"/>
            <w:u w:val="none"/>
          </w:rPr>
          <w:t>http://www.insee.fr/fr/themes/document.asp?ref_id=ip1452</w:t>
        </w:r>
      </w:hyperlink>
      <w:r w:rsidRPr="00A1269F">
        <w:rPr>
          <w:rFonts w:hint="cs"/>
          <w:rtl/>
        </w:rPr>
        <w:t>.</w:t>
      </w:r>
    </w:p>
  </w:endnote>
  <w:endnote w:id="165">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الجمعية الوطنية، </w:t>
      </w:r>
      <w:r w:rsidRPr="00A1269F">
        <w:t>«Fiche n°2: le Président de la République»</w:t>
      </w:r>
      <w:r w:rsidRPr="00A1269F">
        <w:rPr>
          <w:rFonts w:hint="cs"/>
          <w:rtl/>
        </w:rPr>
        <w:t>، أيلول/سبتمبر 2012،</w:t>
      </w:r>
      <w:r w:rsidRPr="00A1269F">
        <w:rPr>
          <w:rtl/>
        </w:rPr>
        <w:tab/>
      </w:r>
      <w:r w:rsidRPr="00A1269F">
        <w:rPr>
          <w:rtl/>
        </w:rPr>
        <w:br/>
      </w:r>
      <w:hyperlink r:id="rId100" w:history="1">
        <w:r w:rsidRPr="00A1269F">
          <w:rPr>
            <w:rStyle w:val="Hyperlink"/>
            <w:rFonts w:eastAsiaTheme="majorEastAsia"/>
            <w:color w:val="auto"/>
            <w:u w:val="none"/>
          </w:rPr>
          <w:t>http://www.assemblee-nationale.fr/connaissance/fiches_synthese/septembre2012/fiche_2.asp</w:t>
        </w:r>
      </w:hyperlink>
      <w:r w:rsidRPr="00A1269F">
        <w:rPr>
          <w:rStyle w:val="Hyperlink"/>
          <w:rFonts w:eastAsiaTheme="majorEastAsia" w:hint="cs"/>
          <w:color w:val="auto"/>
          <w:u w:val="none"/>
          <w:rtl/>
        </w:rPr>
        <w:t>.</w:t>
      </w:r>
    </w:p>
  </w:endnote>
  <w:endnote w:id="166">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الجمعية الوطنية، (طرق الاقتراع) </w:t>
      </w:r>
      <w:r w:rsidRPr="00A1269F">
        <w:t>«Les modes de scrutins»</w:t>
      </w:r>
      <w:r w:rsidRPr="00A1269F">
        <w:rPr>
          <w:rFonts w:hint="cs"/>
          <w:rtl/>
        </w:rPr>
        <w:t xml:space="preserve">، </w:t>
      </w:r>
      <w:hyperlink r:id="rId101" w:history="1">
        <w:r w:rsidRPr="00A1269F">
          <w:rPr>
            <w:rStyle w:val="Hyperlink"/>
            <w:color w:val="auto"/>
            <w:u w:val="none"/>
          </w:rPr>
          <w:t>http://www.assemblee-nationale.fr/</w:t>
        </w:r>
        <w:r w:rsidRPr="00A1269F">
          <w:rPr>
            <w:rStyle w:val="Hyperlink"/>
            <w:color w:val="auto"/>
            <w:u w:val="none"/>
          </w:rPr>
          <w:br/>
          <w:t>histoire/suffrage_universel/modes_scrutin.asp</w:t>
        </w:r>
      </w:hyperlink>
      <w:r w:rsidRPr="00A1269F">
        <w:rPr>
          <w:rtl/>
        </w:rPr>
        <w:t xml:space="preserve"> [</w:t>
      </w:r>
      <w:r w:rsidRPr="00A1269F">
        <w:rPr>
          <w:rFonts w:hint="cs"/>
          <w:rtl/>
        </w:rPr>
        <w:t>اطلع عليه في 10 كانون الثاني/يناير 2014</w:t>
      </w:r>
      <w:r w:rsidRPr="00A1269F">
        <w:rPr>
          <w:rtl/>
        </w:rPr>
        <w:t>]</w:t>
      </w:r>
      <w:r w:rsidRPr="00A1269F">
        <w:rPr>
          <w:rFonts w:hint="cs"/>
          <w:rtl/>
        </w:rPr>
        <w:t>.</w:t>
      </w:r>
    </w:p>
  </w:endnote>
  <w:endnote w:id="167">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الجمعية الوطنية، "النساء المنتخبات منذ عام 1945"، </w:t>
      </w:r>
      <w:hyperlink r:id="rId102" w:history="1">
        <w:r w:rsidRPr="00A1269F">
          <w:rPr>
            <w:rStyle w:val="Hyperlink"/>
            <w:rFonts w:eastAsiaTheme="majorEastAsia"/>
            <w:color w:val="auto"/>
            <w:u w:val="none"/>
          </w:rPr>
          <w:t>http://www.assemblee-nationale.fr/elections/</w:t>
        </w:r>
        <w:r w:rsidRPr="00A1269F">
          <w:rPr>
            <w:rStyle w:val="Hyperlink"/>
            <w:rFonts w:eastAsiaTheme="majorEastAsia"/>
            <w:color w:val="auto"/>
            <w:u w:val="none"/>
          </w:rPr>
          <w:br/>
          <w:t>femmes-deputees.asp</w:t>
        </w:r>
      </w:hyperlink>
      <w:r w:rsidRPr="00A1269F">
        <w:rPr>
          <w:rFonts w:hint="cs"/>
          <w:rtl/>
        </w:rPr>
        <w:t xml:space="preserve"> </w:t>
      </w:r>
      <w:r w:rsidRPr="00A1269F">
        <w:rPr>
          <w:rtl/>
        </w:rPr>
        <w:t>[</w:t>
      </w:r>
      <w:r w:rsidRPr="00A1269F">
        <w:rPr>
          <w:rFonts w:hint="cs"/>
          <w:rtl/>
        </w:rPr>
        <w:t>اطلع عليه في 10 كانون الثاني/يناير 2014</w:t>
      </w:r>
      <w:r w:rsidRPr="00A1269F">
        <w:rPr>
          <w:rtl/>
        </w:rPr>
        <w:t>]</w:t>
      </w:r>
      <w:r w:rsidRPr="00A1269F">
        <w:rPr>
          <w:rFonts w:hint="cs"/>
          <w:rtl/>
        </w:rPr>
        <w:t>.</w:t>
      </w:r>
    </w:p>
  </w:endnote>
  <w:endnote w:id="168">
    <w:p w:rsidR="008F7F42" w:rsidRPr="00A1269F" w:rsidRDefault="008F7F42" w:rsidP="00A1269F">
      <w:pPr>
        <w:pStyle w:val="EndnoteText"/>
        <w:tabs>
          <w:tab w:val="clear" w:pos="1021"/>
        </w:tabs>
        <w:spacing w:after="60"/>
        <w:ind w:hanging="651"/>
        <w:rPr>
          <w:rtl/>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"تركيبة النظام القضائي"، </w:t>
      </w:r>
      <w:hyperlink r:id="rId103" w:history="1">
        <w:r w:rsidRPr="00A1269F">
          <w:rPr>
            <w:rStyle w:val="Hyperlink"/>
            <w:rFonts w:eastAsiaTheme="majorEastAsia"/>
            <w:color w:val="auto"/>
            <w:u w:val="none"/>
          </w:rPr>
          <w:t>http://www.justice.gouv.fr/organisation-de-la-justice-10031/lordre-judiciaire-10033/</w:t>
        </w:r>
      </w:hyperlink>
      <w:r w:rsidRPr="00A1269F">
        <w:rPr>
          <w:rFonts w:hint="cs"/>
          <w:rtl/>
        </w:rPr>
        <w:t xml:space="preserve">، </w:t>
      </w:r>
      <w:r w:rsidRPr="00A1269F">
        <w:rPr>
          <w:rtl/>
        </w:rPr>
        <w:t>[</w:t>
      </w:r>
      <w:r w:rsidRPr="00A1269F">
        <w:rPr>
          <w:rFonts w:hint="cs"/>
          <w:rtl/>
        </w:rPr>
        <w:t>اطلع عليه في 17 كانون الثاني/يناير 2014</w:t>
      </w:r>
      <w:r w:rsidRPr="00A1269F">
        <w:rPr>
          <w:rtl/>
        </w:rPr>
        <w:t>]</w:t>
      </w:r>
      <w:r w:rsidRPr="00A1269F">
        <w:rPr>
          <w:rFonts w:hint="cs"/>
          <w:rtl/>
        </w:rPr>
        <w:t>.</w:t>
      </w:r>
    </w:p>
  </w:endnote>
  <w:endnote w:id="169">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2"/>
          <w:rtl/>
        </w:rPr>
        <w:t xml:space="preserve">الموقع الشبكي: </w:t>
      </w:r>
      <w:r w:rsidRPr="00A1269F">
        <w:rPr>
          <w:spacing w:val="-2"/>
        </w:rPr>
        <w:t>Vie Publique, Direction de l’information légale et administrative, «A quelle juridiction administrative doit-on s’adresser en premier lieu?»</w:t>
      </w:r>
      <w:r w:rsidRPr="00A1269F">
        <w:rPr>
          <w:rFonts w:hint="cs"/>
          <w:spacing w:val="-2"/>
          <w:rtl/>
        </w:rPr>
        <w:t>، 3 حزيران/يونيه 2013،</w:t>
      </w:r>
      <w:r w:rsidRPr="00A1269F">
        <w:rPr>
          <w:rFonts w:hint="cs"/>
          <w:rtl/>
        </w:rPr>
        <w:t xml:space="preserve"> </w:t>
      </w:r>
      <w:hyperlink r:id="rId104" w:history="1">
        <w:r w:rsidRPr="00A1269F">
          <w:rPr>
            <w:rStyle w:val="Hyperlink"/>
            <w:color w:val="auto"/>
            <w:u w:val="none"/>
          </w:rPr>
          <w:t>http://www.vie-publique.fr/decouverte-institutions/institutions/administration/controle/justice-administrative/</w:t>
        </w:r>
        <w:r w:rsidRPr="00A1269F">
          <w:rPr>
            <w:rStyle w:val="Hyperlink"/>
            <w:color w:val="auto"/>
            <w:u w:val="none"/>
          </w:rPr>
          <w:br/>
          <w:t>quelle-juridiction-administrative-doit-on-s-adresser-premier-lieu.html</w:t>
        </w:r>
      </w:hyperlink>
      <w:r w:rsidRPr="00A1269F">
        <w:rPr>
          <w:rFonts w:hint="cs"/>
          <w:rtl/>
        </w:rPr>
        <w:t>.</w:t>
      </w:r>
    </w:p>
  </w:endnote>
  <w:endnote w:id="170">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"تركيبة النظام الإداري"، </w:t>
      </w:r>
      <w:hyperlink r:id="rId105" w:history="1">
        <w:r w:rsidRPr="00A1269F">
          <w:rPr>
            <w:rStyle w:val="Hyperlink"/>
            <w:rFonts w:eastAsiaTheme="majorEastAsia"/>
            <w:color w:val="auto"/>
            <w:u w:val="none"/>
          </w:rPr>
          <w:t>http://www.justice.gouv.fr/organisation-de-la-justice-10031/lordre-administratif-10034/</w:t>
        </w:r>
      </w:hyperlink>
      <w:r w:rsidRPr="00A1269F">
        <w:rPr>
          <w:rFonts w:hint="cs"/>
          <w:rtl/>
        </w:rPr>
        <w:t xml:space="preserve">، </w:t>
      </w:r>
      <w:r w:rsidRPr="00A1269F">
        <w:rPr>
          <w:rtl/>
        </w:rPr>
        <w:t>[</w:t>
      </w:r>
      <w:r w:rsidRPr="00A1269F">
        <w:rPr>
          <w:rFonts w:hint="cs"/>
          <w:rtl/>
        </w:rPr>
        <w:t>اطلع عليه في 17 كانون الثاني/يناير 2014</w:t>
      </w:r>
      <w:r w:rsidRPr="00A1269F">
        <w:rPr>
          <w:rtl/>
        </w:rPr>
        <w:t>]</w:t>
      </w:r>
      <w:r w:rsidRPr="00A1269F">
        <w:rPr>
          <w:rFonts w:hint="cs"/>
          <w:rtl/>
        </w:rPr>
        <w:t>.</w:t>
      </w:r>
    </w:p>
  </w:endnote>
  <w:endnote w:id="171">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 xml:space="preserve">R. PERROT, </w:t>
      </w:r>
      <w:r w:rsidRPr="00A1269F">
        <w:rPr>
          <w:i/>
          <w:lang w:val="fr-CH"/>
        </w:rPr>
        <w:t>Institutions judiciaires</w:t>
      </w:r>
      <w:r w:rsidRPr="00A1269F">
        <w:rPr>
          <w:lang w:val="fr-CH"/>
        </w:rPr>
        <w:t xml:space="preserve">, éd. </w:t>
      </w:r>
      <w:r w:rsidRPr="00A1269F">
        <w:t>Montchrestien, 2006</w:t>
      </w:r>
      <w:r w:rsidRPr="00A1269F">
        <w:rPr>
          <w:rFonts w:hint="cs"/>
          <w:rtl/>
        </w:rPr>
        <w:t>، الصفحات 92-112.</w:t>
      </w:r>
    </w:p>
  </w:endnote>
  <w:endnote w:id="172">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"محكمة الجنايات"، 1 كانون الثاني/يناير 2012، </w:t>
      </w:r>
      <w:hyperlink r:id="rId106" w:history="1">
        <w:r w:rsidRPr="00A1269F">
          <w:rPr>
            <w:rStyle w:val="Hyperlink"/>
            <w:rFonts w:eastAsiaTheme="majorEastAsia"/>
            <w:color w:val="auto"/>
            <w:u w:val="none"/>
          </w:rPr>
          <w:t>http://www.justice.gouv.fr/organisation-de-la-justice-10031/lordre-judiciaire-10033/cour-dassises-12027.html</w:t>
        </w:r>
      </w:hyperlink>
      <w:r w:rsidRPr="00A1269F">
        <w:rPr>
          <w:rFonts w:hint="cs"/>
          <w:rtl/>
        </w:rPr>
        <w:t>.</w:t>
      </w:r>
    </w:p>
  </w:endnote>
  <w:endnote w:id="173">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انظر القانون رقم 2013-669 المؤرخ 25 تموز/يوليه 2013 المتعلق بصلاحيات وزير العدل وقضاة النيابة العامة في مجال السياسة الجنائية وتنفيذ الإجراءات العامة، المعدِّل لقانون العقوبات، </w:t>
      </w:r>
      <w:hyperlink r:id="rId107" w:anchor="LEGIARTI000027753870" w:history="1">
        <w:r w:rsidRPr="00A1269F">
          <w:rPr>
            <w:rStyle w:val="Hyperlink"/>
            <w:rFonts w:eastAsiaTheme="majorEastAsia"/>
            <w:color w:val="auto"/>
            <w:u w:val="none"/>
          </w:rPr>
          <w:t>http://www.legifrance.gouv.fr/affichCodeArticle.do;jsessionid=74E4F8F625BD1E2</w:t>
        </w:r>
        <w:r w:rsidRPr="00A1269F">
          <w:rPr>
            <w:rStyle w:val="Hyperlink"/>
            <w:rFonts w:eastAsiaTheme="majorEastAsia"/>
            <w:color w:val="auto"/>
            <w:u w:val="none"/>
          </w:rPr>
          <w:br/>
          <w:t>E9DFE00A78589D188.tpdjo12v_1?cidTexte=LEGITEXT000006071154&amp;idArticle=LEGIARTI000027753870&amp;dateTexte=20140127&amp;categorieLien=id#LEGIARTI000027753870</w:t>
        </w:r>
      </w:hyperlink>
      <w:r w:rsidRPr="00A1269F">
        <w:rPr>
          <w:rFonts w:hint="cs"/>
          <w:rtl/>
        </w:rPr>
        <w:t>.</w:t>
      </w:r>
    </w:p>
  </w:endnote>
  <w:endnote w:id="174">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مجلس الدولة، "13 كانون الأول/ديسمبر 1889 - قضية </w:t>
      </w:r>
      <w:r w:rsidRPr="00A1269F">
        <w:rPr>
          <w:rFonts w:hint="cs"/>
          <w:i/>
          <w:iCs/>
          <w:rtl/>
        </w:rPr>
        <w:t>كادوه</w:t>
      </w:r>
      <w:r w:rsidRPr="00A1269F">
        <w:rPr>
          <w:rFonts w:hint="cs"/>
          <w:rtl/>
        </w:rPr>
        <w:t xml:space="preserve">". </w:t>
      </w:r>
      <w:r w:rsidRPr="00A1269F">
        <w:rPr>
          <w:rtl/>
        </w:rPr>
        <w:tab/>
      </w:r>
      <w:r w:rsidRPr="00A1269F">
        <w:rPr>
          <w:rtl/>
        </w:rPr>
        <w:br/>
      </w:r>
      <w:hyperlink r:id="rId108" w:history="1">
        <w:r w:rsidRPr="00A1269F">
          <w:rPr>
            <w:rStyle w:val="Hyperlink"/>
            <w:rFonts w:eastAsiaTheme="majorEastAsia"/>
            <w:color w:val="auto"/>
            <w:u w:val="none"/>
          </w:rPr>
          <w:t>http://www.conseil-etat.fr/fr/presentation-des-grands-arrets/13-decembre-1889-cadot.html</w:t>
        </w:r>
      </w:hyperlink>
      <w:r w:rsidRPr="00A1269F">
        <w:rPr>
          <w:rFonts w:hint="cs"/>
          <w:rtl/>
        </w:rPr>
        <w:t>.</w:t>
      </w:r>
    </w:p>
  </w:endnote>
  <w:endnote w:id="175">
    <w:p w:rsidR="008F7F42" w:rsidRPr="00A1269F" w:rsidRDefault="008F7F42" w:rsidP="00A1269F">
      <w:pPr>
        <w:pStyle w:val="EndnoteText"/>
        <w:tabs>
          <w:tab w:val="clear" w:pos="1021"/>
        </w:tabs>
        <w:spacing w:after="60"/>
        <w:ind w:hanging="651"/>
        <w:rPr>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المادة </w:t>
      </w:r>
      <w:r w:rsidRPr="00A1269F">
        <w:t>R. 122-21-1</w:t>
      </w:r>
      <w:r w:rsidRPr="00A1269F">
        <w:rPr>
          <w:rFonts w:hint="cs"/>
          <w:rtl/>
        </w:rPr>
        <w:t xml:space="preserve"> من قانون القضاء الإداري، المحكمة الأوروبية لحقوق الإنسان، 5 تموز/يوليه 2009، طلب رقم 39699/03، قضية </w:t>
      </w:r>
      <w:r w:rsidRPr="00A1269F">
        <w:rPr>
          <w:rFonts w:hint="cs"/>
          <w:i/>
          <w:iCs/>
          <w:rtl/>
        </w:rPr>
        <w:t xml:space="preserve">الاتحاد الفيدرالي </w:t>
      </w:r>
      <w:r w:rsidRPr="00A1269F">
        <w:rPr>
          <w:i/>
          <w:iCs/>
        </w:rPr>
        <w:t>Que choisir de Côte d’Or</w:t>
      </w:r>
      <w:r w:rsidRPr="00A1269F">
        <w:rPr>
          <w:rFonts w:hint="cs"/>
          <w:i/>
          <w:iCs/>
          <w:rtl/>
        </w:rPr>
        <w:t xml:space="preserve"> ضد فرنسا</w:t>
      </w:r>
      <w:r w:rsidRPr="00A1269F">
        <w:rPr>
          <w:rFonts w:hint="cs"/>
          <w:rtl/>
        </w:rPr>
        <w:t xml:space="preserve">. </w:t>
      </w:r>
    </w:p>
  </w:endnote>
  <w:endnote w:id="176">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مجلس الدولة "توزيع الصلاحيات داخل نظام القضاء الإداري"، </w:t>
      </w:r>
      <w:hyperlink r:id="rId109" w:history="1">
        <w:r w:rsidRPr="00A1269F">
          <w:rPr>
            <w:rStyle w:val="Hyperlink"/>
            <w:rFonts w:eastAsiaTheme="majorEastAsia"/>
            <w:color w:val="auto"/>
            <w:u w:val="none"/>
          </w:rPr>
          <w:t>http://www.conseil-etat.fr/Tribunaux-Cours/Organisation/Repartition-des-competences-au-sein-de-la-juridiction-administrative</w:t>
        </w:r>
      </w:hyperlink>
      <w:r w:rsidRPr="00A1269F">
        <w:rPr>
          <w:rFonts w:hint="cs"/>
          <w:rtl/>
        </w:rPr>
        <w:t>.</w:t>
      </w:r>
    </w:p>
  </w:endnote>
  <w:endnote w:id="177">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المرجع نفسه.</w:t>
      </w:r>
    </w:p>
  </w:endnote>
  <w:endnote w:id="178">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المرجع نفسه.</w:t>
      </w:r>
    </w:p>
  </w:endnote>
  <w:endnote w:id="179">
    <w:p w:rsidR="008F7F42" w:rsidRPr="00A1269F" w:rsidRDefault="008F7F42" w:rsidP="00A1269F">
      <w:pPr>
        <w:pStyle w:val="EndnoteText"/>
        <w:tabs>
          <w:tab w:val="clear" w:pos="1021"/>
        </w:tabs>
        <w:spacing w:after="60"/>
        <w:ind w:hanging="651"/>
        <w:rPr>
          <w:rtl/>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مجلس الدولة "كيف يعمل القضاء الإداري؟" </w:t>
      </w:r>
      <w:r w:rsidRPr="00A1269F">
        <w:rPr>
          <w:lang w:val="fr-CH"/>
        </w:rPr>
        <w:t>«Comment fonctionne la justice administrative?»</w:t>
      </w:r>
      <w:r w:rsidRPr="00A1269F">
        <w:rPr>
          <w:rFonts w:hint="cs"/>
          <w:rtl/>
        </w:rPr>
        <w:t xml:space="preserve">، </w:t>
      </w:r>
      <w:hyperlink r:id="rId110" w:history="1">
        <w:r w:rsidRPr="00A1269F">
          <w:rPr>
            <w:rStyle w:val="Hyperlink"/>
            <w:rFonts w:eastAsiaTheme="majorEastAsia"/>
            <w:color w:val="auto"/>
            <w:spacing w:val="-2"/>
            <w:u w:val="none"/>
            <w:lang w:val="fr-CH"/>
          </w:rPr>
          <w:t>http://www.conseil-etat.fr/Conseil-d-État/Demarches-Procedures/Decouvrir-la-justice-administrative</w:t>
        </w:r>
        <w:r w:rsidRPr="00A1269F">
          <w:rPr>
            <w:rStyle w:val="Hyperlink"/>
            <w:rFonts w:eastAsiaTheme="majorEastAsia"/>
            <w:color w:val="auto"/>
            <w:u w:val="none"/>
            <w:lang w:val="fr-CH"/>
          </w:rPr>
          <w:br/>
          <w:t>-et-son-organisation/Comment-fonctionne-la-justice-administrative</w:t>
        </w:r>
      </w:hyperlink>
      <w:r w:rsidRPr="00A1269F">
        <w:rPr>
          <w:rFonts w:hint="cs"/>
          <w:rtl/>
          <w:lang w:val="fr-CH"/>
        </w:rPr>
        <w:t>.</w:t>
      </w:r>
    </w:p>
  </w:endnote>
  <w:endnote w:id="180">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محكمة المنازعات "التركيبة"، </w:t>
      </w:r>
      <w:hyperlink r:id="rId111" w:history="1">
        <w:r w:rsidRPr="00A1269F">
          <w:rPr>
            <w:rStyle w:val="Hyperlink"/>
            <w:rFonts w:eastAsiaTheme="majorEastAsia"/>
            <w:color w:val="auto"/>
            <w:u w:val="none"/>
          </w:rPr>
          <w:t>http://www.tribunal-conflits.fr/organisation-composition.html</w:t>
        </w:r>
      </w:hyperlink>
      <w:r w:rsidRPr="00A1269F">
        <w:rPr>
          <w:rFonts w:hint="cs"/>
          <w:rtl/>
        </w:rPr>
        <w:t>.</w:t>
      </w:r>
    </w:p>
  </w:endnote>
  <w:endnote w:id="181">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محكمة المنازعات "الاختصاصات"، </w:t>
      </w:r>
      <w:hyperlink r:id="rId112" w:history="1">
        <w:r w:rsidRPr="00A1269F">
          <w:rPr>
            <w:rStyle w:val="Hyperlink"/>
            <w:rFonts w:eastAsiaTheme="majorEastAsia"/>
            <w:color w:val="auto"/>
            <w:u w:val="none"/>
          </w:rPr>
          <w:t>http://www.tribunal-conflits.fr/organisation-competences.html</w:t>
        </w:r>
      </w:hyperlink>
      <w:r w:rsidRPr="00A1269F">
        <w:rPr>
          <w:rFonts w:hint="cs"/>
          <w:rtl/>
        </w:rPr>
        <w:t>.</w:t>
      </w:r>
    </w:p>
  </w:endnote>
  <w:endnote w:id="182">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المرجع نفسه.</w:t>
      </w:r>
    </w:p>
  </w:endnote>
  <w:endnote w:id="183">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الجمعية الوطنية "الصحيفة رقم 2: رئيس الجمهورية"، أيلول/سبتمبر 2012، </w:t>
      </w:r>
      <w:hyperlink r:id="rId113" w:history="1">
        <w:r w:rsidRPr="00A1269F">
          <w:rPr>
            <w:rStyle w:val="Hyperlink"/>
            <w:rFonts w:eastAsiaTheme="majorEastAsia"/>
            <w:color w:val="auto"/>
            <w:u w:val="none"/>
          </w:rPr>
          <w:t>http://www.assemblee-nationale.fr/connaissance/fiches_synthese/septembre2012/fiche_2.asp</w:t>
        </w:r>
      </w:hyperlink>
      <w:r w:rsidRPr="00A1269F">
        <w:rPr>
          <w:rFonts w:hint="cs"/>
          <w:rtl/>
        </w:rPr>
        <w:t>.</w:t>
      </w:r>
    </w:p>
  </w:endnote>
  <w:endnote w:id="184">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 xml:space="preserve">P. PACTET et F. MELIN-SOUCRAMANIEN, </w:t>
      </w:r>
      <w:r w:rsidRPr="00A1269F">
        <w:rPr>
          <w:i/>
          <w:lang w:val="fr-CH"/>
        </w:rPr>
        <w:t>Droit constitutionnel</w:t>
      </w:r>
      <w:r w:rsidRPr="00A1269F">
        <w:rPr>
          <w:lang w:val="fr-CH"/>
        </w:rPr>
        <w:t xml:space="preserve">, éd. </w:t>
      </w:r>
      <w:r w:rsidRPr="00A1269F">
        <w:t>Sirey</w:t>
      </w:r>
      <w:r w:rsidRPr="00A1269F">
        <w:rPr>
          <w:rFonts w:hint="cs"/>
          <w:rtl/>
        </w:rPr>
        <w:t>، الطبعة التاسعة والعشرون، آب/أغسطس 2010.</w:t>
      </w:r>
    </w:p>
  </w:endnote>
  <w:endnote w:id="185">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 xml:space="preserve">P. PACTET et F. MELIN-SOUCRAMANIEN, </w:t>
      </w:r>
      <w:r w:rsidRPr="00A1269F">
        <w:rPr>
          <w:i/>
          <w:lang w:val="fr-CH"/>
        </w:rPr>
        <w:t>Droit constitutionnel</w:t>
      </w:r>
      <w:r w:rsidRPr="00A1269F">
        <w:rPr>
          <w:lang w:val="fr-CH"/>
        </w:rPr>
        <w:t xml:space="preserve">, éd. </w:t>
      </w:r>
      <w:r w:rsidRPr="00A1269F">
        <w:t>Sirey</w:t>
      </w:r>
      <w:r w:rsidRPr="00A1269F">
        <w:rPr>
          <w:rFonts w:hint="cs"/>
          <w:rtl/>
        </w:rPr>
        <w:t>، الطبعة التاسعة والعشرون، آب/أغسطس 2010، الصفحة 500.</w:t>
      </w:r>
    </w:p>
  </w:endnote>
  <w:endnote w:id="186">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القانون التنظيمي رقم 99-209 المؤرخ 19 آذار/مارس 1999 المتعلق بكاليدونيا الجديدة.</w:t>
      </w:r>
    </w:p>
  </w:endnote>
  <w:endnote w:id="187">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القرار رقم </w:t>
      </w:r>
      <w:r w:rsidRPr="00A1269F">
        <w:rPr>
          <w:lang w:val="fr-CH"/>
        </w:rPr>
        <w:t>5-186 DC</w:t>
      </w:r>
      <w:r w:rsidRPr="00A1269F">
        <w:rPr>
          <w:rFonts w:hint="cs"/>
          <w:rtl/>
        </w:rPr>
        <w:t>، المؤرخ 25 كانون الثاني/يناير 1985.</w:t>
      </w:r>
    </w:p>
  </w:endnote>
  <w:endnote w:id="188">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القانون التنظيمي رقم 2009-1523 المؤرخ 10 كانون الأول/ديسمبر 2009 المتعلق بتنفيذ المادة 61-1 من الدستور.</w:t>
      </w:r>
    </w:p>
  </w:endnote>
  <w:endnote w:id="189">
    <w:p w:rsidR="008F7F42" w:rsidRPr="00A1269F" w:rsidRDefault="008F7F42" w:rsidP="00A1269F">
      <w:pPr>
        <w:pStyle w:val="EndnoteText"/>
        <w:tabs>
          <w:tab w:val="clear" w:pos="1021"/>
        </w:tabs>
        <w:spacing w:after="60"/>
        <w:ind w:hanging="651"/>
        <w:rPr>
          <w:spacing w:val="-2"/>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2"/>
          <w:rtl/>
        </w:rPr>
        <w:t xml:space="preserve">الأمم المتحدة - مجموعة المعاهدات، </w:t>
      </w:r>
      <w:hyperlink r:id="rId114" w:history="1">
        <w:r w:rsidRPr="00A1269F">
          <w:rPr>
            <w:rStyle w:val="Hyperlink"/>
            <w:rFonts w:eastAsiaTheme="majorEastAsia"/>
            <w:color w:val="auto"/>
            <w:spacing w:val="-2"/>
            <w:u w:val="none"/>
          </w:rPr>
          <w:t>https://treaties.un.org/Pages/Treaties.aspx?id=4&amp;subid=A&amp;lang=fr</w:t>
        </w:r>
      </w:hyperlink>
      <w:r w:rsidRPr="00A1269F">
        <w:rPr>
          <w:rFonts w:hint="cs"/>
          <w:spacing w:val="-2"/>
          <w:rtl/>
        </w:rPr>
        <w:t>.</w:t>
      </w:r>
    </w:p>
  </w:endnote>
  <w:endnote w:id="190">
    <w:p w:rsidR="008F7F42" w:rsidRPr="00A1269F" w:rsidRDefault="008F7F42" w:rsidP="00A1269F">
      <w:pPr>
        <w:pStyle w:val="EndnoteText"/>
        <w:tabs>
          <w:tab w:val="clear" w:pos="1021"/>
        </w:tabs>
        <w:spacing w:after="60"/>
        <w:ind w:hanging="651"/>
        <w:rPr>
          <w:spacing w:val="-2"/>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2"/>
          <w:rtl/>
        </w:rPr>
        <w:t xml:space="preserve">الأمم المتحدة - مجموعة المعاهدات، </w:t>
      </w:r>
      <w:hyperlink r:id="rId115" w:history="1">
        <w:r w:rsidRPr="00A1269F">
          <w:rPr>
            <w:rStyle w:val="Hyperlink"/>
            <w:rFonts w:eastAsiaTheme="majorEastAsia"/>
            <w:color w:val="auto"/>
            <w:spacing w:val="-2"/>
            <w:u w:val="none"/>
          </w:rPr>
          <w:t>https://treaties.un.org/Pages/Treaties.aspx?id=4&amp;subid=A&amp;lang=fr</w:t>
        </w:r>
      </w:hyperlink>
      <w:r w:rsidRPr="00A1269F">
        <w:rPr>
          <w:rFonts w:hint="cs"/>
          <w:spacing w:val="-2"/>
          <w:rtl/>
        </w:rPr>
        <w:t>.</w:t>
      </w:r>
    </w:p>
  </w:endnote>
  <w:endnote w:id="191">
    <w:p w:rsidR="008F7F42" w:rsidRPr="00A1269F" w:rsidRDefault="008F7F42" w:rsidP="00A1269F">
      <w:pPr>
        <w:pStyle w:val="EndnoteText"/>
        <w:tabs>
          <w:tab w:val="clear" w:pos="1021"/>
        </w:tabs>
        <w:spacing w:after="60"/>
        <w:ind w:hanging="651"/>
        <w:rPr>
          <w:spacing w:val="-8"/>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منظمة العمل الدولية،</w:t>
      </w:r>
      <w:r w:rsidRPr="00A1269F">
        <w:rPr>
          <w:rtl/>
        </w:rPr>
        <w:tab/>
      </w:r>
      <w:r w:rsidRPr="00A1269F">
        <w:rPr>
          <w:rtl/>
        </w:rPr>
        <w:br/>
      </w:r>
      <w:hyperlink r:id="rId116" w:history="1">
        <w:r w:rsidRPr="00A1269F">
          <w:rPr>
            <w:rStyle w:val="Hyperlink"/>
            <w:rFonts w:eastAsiaTheme="majorEastAsia"/>
            <w:color w:val="auto"/>
            <w:spacing w:val="-8"/>
            <w:u w:val="none"/>
          </w:rPr>
          <w:t>http://www.ilo.org/dyn/normlex/fr/f?p=1000:11200:3644072001652513:P11200_INSTRUMENT_SORT:4</w:t>
        </w:r>
      </w:hyperlink>
      <w:r w:rsidRPr="00A1269F">
        <w:rPr>
          <w:rFonts w:hint="cs"/>
          <w:spacing w:val="-8"/>
          <w:rtl/>
        </w:rPr>
        <w:t>.</w:t>
      </w:r>
    </w:p>
  </w:endnote>
  <w:endnote w:id="192">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cs/>
        </w:rPr>
        <w:t>‎</w:t>
      </w:r>
      <w:r w:rsidRPr="00A1269F">
        <w:rPr>
          <w:rtl/>
        </w:rPr>
        <w:t>مؤتمر لاهاي للقانون الدولي الخاص</w:t>
      </w:r>
      <w:r w:rsidRPr="00A1269F">
        <w:rPr>
          <w:rFonts w:hint="cs"/>
          <w:rtl/>
        </w:rPr>
        <w:t xml:space="preserve">، </w:t>
      </w:r>
      <w:hyperlink r:id="rId117" w:history="1">
        <w:r w:rsidRPr="00A1269F">
          <w:rPr>
            <w:rStyle w:val="Hyperlink"/>
            <w:rFonts w:eastAsiaTheme="majorEastAsia"/>
            <w:color w:val="auto"/>
            <w:u w:val="none"/>
          </w:rPr>
          <w:t>https://www.hcch.net/fr/states/hcch-members/details1/?sid=39</w:t>
        </w:r>
      </w:hyperlink>
      <w:r w:rsidRPr="00A1269F">
        <w:rPr>
          <w:rFonts w:hint="cs"/>
          <w:rtl/>
        </w:rPr>
        <w:t>.</w:t>
      </w:r>
    </w:p>
  </w:endnote>
  <w:endnote w:id="193">
    <w:p w:rsidR="008F7F42" w:rsidRPr="00A1269F" w:rsidRDefault="008F7F42" w:rsidP="00A1269F">
      <w:pPr>
        <w:pStyle w:val="EndnoteText"/>
        <w:tabs>
          <w:tab w:val="clear" w:pos="1021"/>
        </w:tabs>
        <w:spacing w:after="60"/>
        <w:ind w:left="1250"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tl/>
        </w:rPr>
        <w:t>اللجنة الدولية للصليب الأحمر</w:t>
      </w:r>
      <w:r w:rsidRPr="00A1269F">
        <w:rPr>
          <w:rFonts w:hint="cs"/>
          <w:rtl/>
        </w:rPr>
        <w:t xml:space="preserve">&gt; المعاهدات والدول الأطراف في المعاهدات&gt; فرنسا، </w:t>
      </w:r>
      <w:r w:rsidRPr="00A1269F">
        <w:rPr>
          <w:lang w:val="fr-CH"/>
        </w:rPr>
        <w:t>Comité international de la Croix rouge &gt; Traités et États parties aux traités &gt; France</w:t>
      </w:r>
      <w:r w:rsidRPr="00A1269F">
        <w:rPr>
          <w:rFonts w:hint="cs"/>
          <w:rtl/>
        </w:rPr>
        <w:t>،</w:t>
      </w:r>
      <w:r w:rsidRPr="00A1269F">
        <w:rPr>
          <w:rtl/>
        </w:rPr>
        <w:tab/>
      </w:r>
      <w:r w:rsidRPr="00A1269F">
        <w:rPr>
          <w:rFonts w:hint="cs"/>
          <w:rtl/>
        </w:rPr>
        <w:t xml:space="preserve"> </w:t>
      </w:r>
      <w:r w:rsidRPr="00A1269F">
        <w:br/>
      </w:r>
      <w:hyperlink r:id="rId118" w:history="1">
        <w:r w:rsidRPr="00A1269F">
          <w:rPr>
            <w:rStyle w:val="Hyperlink"/>
            <w:color w:val="auto"/>
            <w:spacing w:val="-2"/>
            <w:u w:val="none"/>
          </w:rPr>
          <w:t>http://www.icrc.org/applic/ihl/dih.nsf/vwTreatiesByCountrySelected.xsp?xp_countrySelected=FR</w:t>
        </w:r>
      </w:hyperlink>
      <w:r w:rsidRPr="00A1269F">
        <w:rPr>
          <w:rFonts w:hint="cs"/>
          <w:spacing w:val="-2"/>
          <w:rtl/>
        </w:rPr>
        <w:t>.</w:t>
      </w:r>
    </w:p>
  </w:endnote>
  <w:endnote w:id="194">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مجلس أوروبا "حالة التوقيع والتصديق على الميثاق الاجتماعي الأوروبي" </w:t>
      </w:r>
      <w:r w:rsidRPr="00A1269F">
        <w:t>«</w:t>
      </w:r>
      <w:r w:rsidRPr="00A1269F">
        <w:rPr>
          <w:bCs/>
        </w:rPr>
        <w:t>État des signatures et ratifications de la Charte sociale européenne»</w:t>
      </w:r>
      <w:r w:rsidRPr="00A1269F">
        <w:rPr>
          <w:rFonts w:hint="cs"/>
          <w:rtl/>
        </w:rPr>
        <w:t>،</w:t>
      </w:r>
      <w:r w:rsidRPr="00A1269F">
        <w:rPr>
          <w:rtl/>
        </w:rPr>
        <w:tab/>
      </w:r>
      <w:r w:rsidRPr="00A1269F">
        <w:rPr>
          <w:rtl/>
        </w:rPr>
        <w:br/>
      </w:r>
      <w:r w:rsidRPr="00A1269F">
        <w:rPr>
          <w:rFonts w:hint="cs"/>
          <w:rtl/>
        </w:rPr>
        <w:t xml:space="preserve"> </w:t>
      </w:r>
      <w:hyperlink r:id="rId119" w:history="1">
        <w:r w:rsidRPr="00A1269F">
          <w:rPr>
            <w:rStyle w:val="Hyperlink"/>
            <w:rFonts w:eastAsiaTheme="majorEastAsia"/>
            <w:color w:val="auto"/>
            <w:u w:val="none"/>
          </w:rPr>
          <w:t>http://www.coe.int/t/dghl/monitoring/socialcharter/presentation/SignaturesRatifications_fr.pdf</w:t>
        </w:r>
      </w:hyperlink>
      <w:r w:rsidRPr="00A1269F">
        <w:rPr>
          <w:rStyle w:val="Hyperlink"/>
          <w:rFonts w:eastAsiaTheme="majorEastAsia" w:hint="cs"/>
          <w:color w:val="auto"/>
          <w:u w:val="none"/>
          <w:rtl/>
        </w:rPr>
        <w:t>.</w:t>
      </w:r>
    </w:p>
  </w:endnote>
  <w:endnote w:id="195">
    <w:p w:rsidR="008F7F42" w:rsidRPr="00A1269F" w:rsidRDefault="008F7F42" w:rsidP="00A1269F">
      <w:pPr>
        <w:pStyle w:val="EndnoteText"/>
        <w:tabs>
          <w:tab w:val="clear" w:pos="1021"/>
        </w:tabs>
        <w:spacing w:after="60" w:line="260" w:lineRule="exact"/>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مجلس أوروبا - مكتب المعاهدات، </w:t>
      </w:r>
      <w:hyperlink r:id="rId120" w:history="1">
        <w:r w:rsidRPr="00A1269F">
          <w:rPr>
            <w:rStyle w:val="Hyperlink"/>
            <w:rFonts w:eastAsiaTheme="majorEastAsia"/>
            <w:color w:val="auto"/>
            <w:spacing w:val="-2"/>
            <w:u w:val="none"/>
          </w:rPr>
          <w:t>http://www.coe.int/fr/web/conventions/search-on-states/-/conventions/treaty/country?_coeconventions_WAR_coeconventionsportlet_formDate=1461595491111&amp;_coeconventions_WAR_coeconventionsportlet_mode=states_coe&amp;_coeconventions_WAR_coeconventionsportlet_codePays=FRA&amp;_coeconventions_WAR_coeconventionsportlet_codesMatieres=&amp;_coeconventions_WAR_coeconventionsportlet_codeSignature=RATIFIED&amp;_coeconventions_WAR_coeconventionsportlet_dateStatus=25 %2F04 %2F2016&amp;p_auth=EIGm6i8G</w:t>
        </w:r>
      </w:hyperlink>
      <w:r w:rsidRPr="00A1269F">
        <w:rPr>
          <w:rFonts w:hint="cs"/>
          <w:rtl/>
        </w:rPr>
        <w:t>.</w:t>
      </w:r>
    </w:p>
  </w:endnote>
  <w:endnote w:id="196">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المادة 22 من القانون رقم 2011-1862 المؤرخ 13 كانون الأول/ديسمبر 2011 المتعلق بتوزيع قضايا المنازعات وبتبسيط بعض الإجراءات القضائية، والمواد من 628 إلى 634 من قانون الإجراءات الجنائية. </w:t>
      </w:r>
    </w:p>
  </w:endnote>
  <w:endnote w:id="197">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المرسوم رقم 2013-987 المؤرخ 5 تشرين الثاني/نوفمبر 2013 المتعلق بإنشاء مكتب مركزي لمكافحة الجرائم المرتكبة ضد الإنسانية والمادة </w:t>
      </w:r>
      <w:r w:rsidRPr="00A1269F">
        <w:rPr>
          <w:lang w:val="fr-CH"/>
        </w:rPr>
        <w:t>D8-1</w:t>
      </w:r>
      <w:r w:rsidRPr="00A1269F">
        <w:rPr>
          <w:rFonts w:hint="cs"/>
          <w:rtl/>
        </w:rPr>
        <w:t xml:space="preserve"> من قانون الإجراءات الجنائية.</w:t>
      </w:r>
    </w:p>
  </w:endnote>
  <w:endnote w:id="198">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قد تتمثل هذه الجرائم في اختطاف شخص أو احتجازه، أو تخريب الممتلكات أو إتلافها على نحو يشكل خطرا على الأشخاص، أو انتهاك المصالح الأساسية للدولة، أو عرقلة </w:t>
      </w:r>
      <w:r w:rsidRPr="00A1269F">
        <w:rPr>
          <w:rtl/>
        </w:rPr>
        <w:t>شخ</w:t>
      </w:r>
      <w:r w:rsidRPr="00A1269F">
        <w:rPr>
          <w:rFonts w:hint="cs"/>
          <w:rtl/>
        </w:rPr>
        <w:t>صٍ</w:t>
      </w:r>
      <w:r w:rsidRPr="00A1269F">
        <w:rPr>
          <w:rtl/>
        </w:rPr>
        <w:t xml:space="preserve"> عُهد إليه بمسؤولية السلطة </w:t>
      </w:r>
      <w:r w:rsidRPr="00A1269F">
        <w:rPr>
          <w:rFonts w:hint="cs"/>
          <w:rtl/>
        </w:rPr>
        <w:t>لتنفيذ القانون، أو ارتكاب أفعال الفساد، أو تمرد مسلح، أو تزوير العملة أو سندات الخزينة أو علامات السلطة العامة، أو الانتساب إلى عصابة إجرامية.</w:t>
      </w:r>
    </w:p>
  </w:endnote>
  <w:endnote w:id="199">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مجلس الشيوخ، التقرير رقم 637 (2008</w:t>
      </w:r>
      <w:r w:rsidRPr="00A1269F">
        <w:rPr>
          <w:rtl/>
        </w:rPr>
        <w:noBreakHyphen/>
      </w:r>
      <w:r w:rsidRPr="00A1269F">
        <w:rPr>
          <w:rFonts w:hint="cs"/>
          <w:rtl/>
        </w:rPr>
        <w:t xml:space="preserve">2009)، </w:t>
      </w:r>
      <w:r w:rsidRPr="00A1269F">
        <w:t>M. PORTELLI, «Projet de loi organique relatif à l’application de l’article 61-1 de la Constitution»</w:t>
      </w:r>
      <w:r w:rsidRPr="00A1269F">
        <w:rPr>
          <w:rFonts w:hint="cs"/>
          <w:rtl/>
        </w:rPr>
        <w:t xml:space="preserve">، </w:t>
      </w:r>
      <w:hyperlink r:id="rId121" w:history="1">
        <w:r w:rsidRPr="00A1269F">
          <w:rPr>
            <w:rStyle w:val="Hyperlink"/>
            <w:rFonts w:eastAsiaTheme="majorEastAsia"/>
            <w:color w:val="auto"/>
            <w:u w:val="none"/>
          </w:rPr>
          <w:t>http://www.senat.fr/rap/l08-637/l08-6374.html</w:t>
        </w:r>
      </w:hyperlink>
      <w:r w:rsidRPr="00A1269F">
        <w:rPr>
          <w:rFonts w:hint="cs"/>
          <w:rtl/>
        </w:rPr>
        <w:t xml:space="preserve"> [اطلع عليه في 3 شباط/فبراير 2014].</w:t>
      </w:r>
    </w:p>
  </w:endnote>
  <w:endnote w:id="200">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جمعية مجلس الدولة، 8 شباط/فبراير 2007، </w:t>
      </w:r>
      <w:r w:rsidRPr="00A1269F">
        <w:rPr>
          <w:rFonts w:hint="cs"/>
          <w:i/>
          <w:iCs/>
          <w:rtl/>
        </w:rPr>
        <w:t xml:space="preserve">غارديديوه: "قد تتحمل الدولة [...]، بحكم ما يقع على عاتقها من التزامات بضمان احترام السلطات العامة للاتفاقيات الدولية، </w:t>
      </w:r>
      <w:r w:rsidRPr="00A1269F">
        <w:rPr>
          <w:i/>
          <w:iCs/>
          <w:rtl/>
        </w:rPr>
        <w:t xml:space="preserve">مسؤولية </w:t>
      </w:r>
      <w:r w:rsidRPr="00A1269F">
        <w:rPr>
          <w:rFonts w:hint="cs"/>
          <w:i/>
          <w:iCs/>
          <w:rtl/>
        </w:rPr>
        <w:t>جبر جميع الأضرار المترتبة على القوانين في حالة عدم مراعاة قانون معتمَد للالتزامات الدولية لفرنسا".</w:t>
      </w:r>
      <w:r w:rsidRPr="00A1269F">
        <w:rPr>
          <w:rFonts w:hint="cs"/>
          <w:rtl/>
        </w:rPr>
        <w:t xml:space="preserve"> </w:t>
      </w:r>
    </w:p>
  </w:endnote>
  <w:endnote w:id="201">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 xml:space="preserve">H. OBERDORFF, </w:t>
      </w:r>
      <w:r w:rsidRPr="00A1269F">
        <w:rPr>
          <w:i/>
          <w:lang w:val="fr-CH"/>
        </w:rPr>
        <w:t>Droits de l’Homme et libertés fondamentales</w:t>
      </w:r>
      <w:r w:rsidRPr="00A1269F">
        <w:rPr>
          <w:lang w:val="fr-CH"/>
        </w:rPr>
        <w:t xml:space="preserve">, JGDJ, éd. </w:t>
      </w:r>
      <w:r w:rsidRPr="00A1269F">
        <w:t>Lextenso, 2011</w:t>
      </w:r>
      <w:r w:rsidRPr="00A1269F">
        <w:rPr>
          <w:rFonts w:hint="cs"/>
          <w:rtl/>
        </w:rPr>
        <w:t>، الصفحتان 252 و253.</w:t>
      </w:r>
    </w:p>
  </w:endnote>
  <w:endnote w:id="202">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lang w:val="fr-CH"/>
        </w:rPr>
        <w:t xml:space="preserve">H. OBERDORFF, </w:t>
      </w:r>
      <w:r w:rsidRPr="00A1269F">
        <w:rPr>
          <w:i/>
          <w:lang w:val="fr-CH"/>
        </w:rPr>
        <w:t>Droits de l’Homme et libertés fondamentales</w:t>
      </w:r>
      <w:r w:rsidRPr="00A1269F">
        <w:rPr>
          <w:lang w:val="fr-CH"/>
        </w:rPr>
        <w:t xml:space="preserve">, JGDJ, éd. </w:t>
      </w:r>
      <w:r w:rsidRPr="00A1269F">
        <w:t>Lextenso, 2011</w:t>
      </w:r>
      <w:r w:rsidRPr="00A1269F">
        <w:rPr>
          <w:rFonts w:hint="cs"/>
          <w:rtl/>
        </w:rPr>
        <w:t>، الصفحتان 210 و211.</w:t>
      </w:r>
    </w:p>
  </w:endnote>
  <w:endnote w:id="203">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الموقع الشبكي للمدافع عن الحقوق، </w:t>
      </w:r>
      <w:hyperlink r:id="rId122" w:history="1">
        <w:r w:rsidRPr="00A1269F">
          <w:rPr>
            <w:rStyle w:val="Hyperlink"/>
            <w:rFonts w:eastAsiaTheme="majorEastAsia"/>
            <w:color w:val="auto"/>
            <w:u w:val="none"/>
          </w:rPr>
          <w:t>http://www.defenseurdesdroits.fr/</w:t>
        </w:r>
      </w:hyperlink>
      <w:r w:rsidRPr="00A1269F">
        <w:rPr>
          <w:rFonts w:hint="cs"/>
          <w:rtl/>
        </w:rPr>
        <w:t>، [اطلع عليه في 28 كانون الثاني/يناير 2014].</w:t>
      </w:r>
    </w:p>
  </w:endnote>
  <w:endnote w:id="204">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spacing w:val="-2"/>
          <w:lang w:val="fr-CH"/>
        </w:rPr>
        <w:t xml:space="preserve">H. OBERDORFF, </w:t>
      </w:r>
      <w:r w:rsidRPr="00A1269F">
        <w:rPr>
          <w:i/>
          <w:spacing w:val="-2"/>
          <w:lang w:val="fr-CH"/>
        </w:rPr>
        <w:t>Droits de l’Homme et libertés fondamentales</w:t>
      </w:r>
      <w:r w:rsidRPr="00A1269F">
        <w:rPr>
          <w:spacing w:val="-2"/>
          <w:lang w:val="fr-CH"/>
        </w:rPr>
        <w:t xml:space="preserve">, JGDJ, éd. </w:t>
      </w:r>
      <w:r w:rsidRPr="00A1269F">
        <w:rPr>
          <w:spacing w:val="-2"/>
        </w:rPr>
        <w:t>Lextenso, 2011</w:t>
      </w:r>
      <w:r w:rsidRPr="00A1269F">
        <w:rPr>
          <w:rFonts w:hint="cs"/>
          <w:rtl/>
        </w:rPr>
        <w:t>، الصفحات 211-214.</w:t>
      </w:r>
    </w:p>
  </w:endnote>
  <w:endnote w:id="205">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"لجنة تقديم التعويض لضحايا الجرائم"، </w:t>
      </w:r>
      <w:hyperlink r:id="rId123" w:history="1">
        <w:r w:rsidRPr="00A1269F">
          <w:rPr>
            <w:rStyle w:val="Hyperlink"/>
            <w:rFonts w:eastAsiaTheme="majorEastAsia"/>
            <w:color w:val="auto"/>
            <w:u w:val="none"/>
          </w:rPr>
          <w:t>http://www.vos-droits.justice.gouv.fr/indemnisation-du-prejudice-11940/indemnisation-par-le-tribunal-11949/la-commission-dindemnisation-des-victimes-dinfraction-20242.html</w:t>
        </w:r>
      </w:hyperlink>
      <w:r w:rsidRPr="00A1269F">
        <w:rPr>
          <w:rFonts w:hint="cs"/>
          <w:rtl/>
        </w:rPr>
        <w:t>.</w:t>
      </w:r>
    </w:p>
  </w:endnote>
  <w:endnote w:id="206">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الإدارة العامة "التعويض المقدم من </w:t>
      </w:r>
      <w:r w:rsidRPr="00A1269F">
        <w:rPr>
          <w:rtl/>
        </w:rPr>
        <w:t>صندوق الضمان التابع لشركات التأمين الإجباري</w:t>
      </w:r>
      <w:r w:rsidRPr="00A1269F">
        <w:rPr>
          <w:rFonts w:hint="cs"/>
          <w:rtl/>
        </w:rPr>
        <w:t xml:space="preserve"> عن الضرر"، </w:t>
      </w:r>
      <w:hyperlink r:id="rId124" w:history="1">
        <w:r w:rsidRPr="00A1269F">
          <w:rPr>
            <w:rStyle w:val="Hyperlink"/>
            <w:rFonts w:eastAsiaTheme="majorEastAsia"/>
            <w:color w:val="auto"/>
            <w:u w:val="none"/>
          </w:rPr>
          <w:t>http://vosdroits.service-public.fr/particuliers/F2679.xhtml</w:t>
        </w:r>
      </w:hyperlink>
      <w:r w:rsidRPr="00A1269F">
        <w:rPr>
          <w:rStyle w:val="Hyperlink"/>
          <w:rFonts w:eastAsiaTheme="majorEastAsia" w:hint="cs"/>
          <w:color w:val="auto"/>
          <w:u w:val="none"/>
          <w:rtl/>
        </w:rPr>
        <w:t>.</w:t>
      </w:r>
    </w:p>
  </w:endnote>
  <w:endnote w:id="207">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وزارة العدل، "</w:t>
      </w:r>
      <w:r w:rsidRPr="00A1269F">
        <w:rPr>
          <w:rtl/>
        </w:rPr>
        <w:t>دائرة مساعدة ضحايا الجرائم في استخلاص مبالغ التعويض</w:t>
      </w:r>
      <w:r w:rsidRPr="00A1269F">
        <w:rPr>
          <w:rFonts w:hint="cs"/>
          <w:rtl/>
        </w:rPr>
        <w:t xml:space="preserve">"، </w:t>
      </w:r>
      <w:hyperlink r:id="rId125" w:history="1">
        <w:r w:rsidRPr="00A1269F">
          <w:rPr>
            <w:rStyle w:val="Hyperlink"/>
            <w:rFonts w:eastAsiaTheme="majorEastAsia"/>
            <w:color w:val="auto"/>
            <w:u w:val="none"/>
          </w:rPr>
          <w:t>http://www.vos-droits.justice.gouv.fr/indemnisation-du-prejudice-11940/indemnisation-par-letat-par-un-fonds-de-garantie-11950/le-service-daide-au-recouvrement-des-victimes-dinfractions-20246.html</w:t>
        </w:r>
      </w:hyperlink>
      <w:r w:rsidRPr="00A1269F">
        <w:rPr>
          <w:rFonts w:hint="cs"/>
          <w:rtl/>
        </w:rPr>
        <w:t>.</w:t>
      </w:r>
    </w:p>
  </w:endnote>
  <w:endnote w:id="208">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المرسوم رقم 2012-681 المؤرخ 7 أيار/مايو 2012 المتعلق بمكاتب مساعدة الضحايا، الذي يخول بشكل عام لجميع محاكم الدرجة العليا إمكانية إنشاء مكاتب لمساعدة الضحايا تضطلع بتقديم المساعدة والتوجيه للضحايا خلال جميع مراحل الإجراءات الجنائية. وحتى أواخر عام 2013، فُتح 150 مكتبا لمساعدة الضحايا داخل 165 محكمة من محاكم الدرجة العليا.</w:t>
      </w:r>
    </w:p>
  </w:endnote>
  <w:endnote w:id="209">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"مساعدة الضحايا"، </w:t>
      </w:r>
      <w:hyperlink r:id="rId126" w:history="1">
        <w:r w:rsidRPr="00A1269F">
          <w:rPr>
            <w:rStyle w:val="Hyperlink"/>
            <w:rFonts w:eastAsiaTheme="majorEastAsia"/>
            <w:color w:val="auto"/>
            <w:u w:val="none"/>
          </w:rPr>
          <w:t>http://www.justice.gouv.fr/aide-aux-victimes-10044/</w:t>
        </w:r>
      </w:hyperlink>
      <w:r w:rsidRPr="00A1269F">
        <w:rPr>
          <w:rStyle w:val="Hyperlink"/>
          <w:rFonts w:eastAsiaTheme="majorEastAsia" w:hint="cs"/>
          <w:color w:val="auto"/>
          <w:u w:val="none"/>
          <w:rtl/>
        </w:rPr>
        <w:t>.</w:t>
      </w:r>
    </w:p>
  </w:endnote>
  <w:endnote w:id="210">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"مساعدة الضحايا"، </w:t>
      </w:r>
      <w:hyperlink r:id="rId127" w:history="1">
        <w:r w:rsidRPr="00A1269F">
          <w:rPr>
            <w:rStyle w:val="Hyperlink"/>
            <w:rFonts w:eastAsiaTheme="majorEastAsia"/>
            <w:color w:val="auto"/>
            <w:u w:val="none"/>
          </w:rPr>
          <w:t>http://www.justice.gouv.fr/aide-aux-victimes-10044/</w:t>
        </w:r>
      </w:hyperlink>
      <w:r w:rsidRPr="00A1269F">
        <w:rPr>
          <w:rFonts w:hint="cs"/>
          <w:rtl/>
        </w:rPr>
        <w:t>.</w:t>
      </w:r>
    </w:p>
  </w:endnote>
  <w:endnote w:id="211">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spacing w:val="-6"/>
          <w:rtl/>
        </w:rPr>
        <w:t>المرسوم رقم 2007-1605 المؤرخ 13 تشرين الثاني/نوفمبر 2007 المنشئ لمنصب القاضي المنتدب المعني بالضحايا،</w:t>
      </w:r>
      <w:r w:rsidRPr="00A1269F">
        <w:rPr>
          <w:rFonts w:hint="cs"/>
          <w:rtl/>
        </w:rPr>
        <w:t xml:space="preserve"> </w:t>
      </w:r>
      <w:hyperlink r:id="rId128" w:history="1">
        <w:r w:rsidRPr="00A1269F">
          <w:rPr>
            <w:rStyle w:val="Hyperlink"/>
            <w:rFonts w:eastAsiaTheme="majorEastAsia"/>
            <w:color w:val="auto"/>
            <w:u w:val="none"/>
          </w:rPr>
          <w:t>http://www.legifrance.gouv.fr/affichTexte.do?cidTexte=JORFTEXT000000158449&amp;dateTexte=&amp;categorieLien=id</w:t>
        </w:r>
      </w:hyperlink>
      <w:r w:rsidRPr="00A1269F">
        <w:rPr>
          <w:rFonts w:hint="cs"/>
          <w:rtl/>
        </w:rPr>
        <w:t>.</w:t>
      </w:r>
    </w:p>
  </w:endnote>
  <w:endnote w:id="212">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"المجلس الوطني لمساعدة الضحايا"،  </w:t>
      </w:r>
      <w:hyperlink r:id="rId129" w:history="1">
        <w:r w:rsidRPr="00A1269F">
          <w:rPr>
            <w:rStyle w:val="Hyperlink"/>
            <w:rFonts w:eastAsiaTheme="majorEastAsia"/>
            <w:color w:val="auto"/>
            <w:u w:val="none"/>
          </w:rPr>
          <w:t>http://www.justice.gouv.fr/aide-aux-victimes-10044/la-justice-et-les-associations-10278/le-conseil-national-de-laide-aux-victimes-23095.html</w:t>
        </w:r>
      </w:hyperlink>
      <w:r w:rsidRPr="00A1269F">
        <w:rPr>
          <w:rFonts w:hint="cs"/>
          <w:rtl/>
        </w:rPr>
        <w:t>.</w:t>
      </w:r>
    </w:p>
  </w:endnote>
  <w:endnote w:id="213">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Vie publique</w:t>
      </w:r>
      <w:r w:rsidRPr="00A1269F">
        <w:rPr>
          <w:rFonts w:hint="cs"/>
          <w:rtl/>
        </w:rPr>
        <w:t xml:space="preserve">، "الجماعات الإقليمية"، </w:t>
      </w:r>
      <w:hyperlink r:id="rId130" w:history="1">
        <w:r w:rsidRPr="00A1269F">
          <w:rPr>
            <w:rStyle w:val="Hyperlink"/>
            <w:rFonts w:eastAsiaTheme="majorEastAsia"/>
            <w:color w:val="auto"/>
            <w:u w:val="none"/>
          </w:rPr>
          <w:t>http://www.vie-publique.fr/decouverte-institutions/institutions/</w:t>
        </w:r>
        <w:r w:rsidRPr="00A1269F">
          <w:rPr>
            <w:rStyle w:val="Hyperlink"/>
            <w:rFonts w:eastAsiaTheme="majorEastAsia"/>
            <w:color w:val="auto"/>
            <w:u w:val="none"/>
          </w:rPr>
          <w:br/>
          <w:t>collectivites-territoriales/categories-collectivites-territoriales/qu-est-ce-qu-collectivite-territoriale-ou-collectivite-locale.html</w:t>
        </w:r>
      </w:hyperlink>
      <w:r w:rsidRPr="00A1269F">
        <w:rPr>
          <w:rFonts w:hint="cs"/>
          <w:rtl/>
        </w:rPr>
        <w:t>.</w:t>
      </w:r>
    </w:p>
  </w:endnote>
  <w:endnote w:id="214">
    <w:p w:rsidR="008F7F42" w:rsidRPr="00A1269F" w:rsidRDefault="008F7F42" w:rsidP="00A1269F">
      <w:pPr>
        <w:pStyle w:val="EndnoteText"/>
        <w:tabs>
          <w:tab w:val="clear" w:pos="1021"/>
        </w:tabs>
        <w:spacing w:after="60"/>
        <w:ind w:hanging="651"/>
        <w:rPr>
          <w:spacing w:val="-2"/>
        </w:rPr>
      </w:pPr>
      <w:r w:rsidRPr="00A1269F">
        <w:rPr>
          <w:rStyle w:val="EndnoteReference"/>
          <w:spacing w:val="-2"/>
          <w:vertAlign w:val="baseline"/>
          <w:rtl/>
        </w:rPr>
        <w:t>(</w:t>
      </w:r>
      <w:r w:rsidRPr="00A1269F">
        <w:rPr>
          <w:rStyle w:val="EndnoteReference"/>
          <w:spacing w:val="-2"/>
          <w:vertAlign w:val="baseline"/>
          <w:rtl/>
        </w:rPr>
        <w:endnoteRef/>
      </w:r>
      <w:r w:rsidRPr="00A1269F">
        <w:rPr>
          <w:rStyle w:val="EndnoteReference"/>
          <w:spacing w:val="-2"/>
          <w:vertAlign w:val="baseline"/>
          <w:rtl/>
        </w:rPr>
        <w:t>)</w:t>
      </w:r>
      <w:r w:rsidRPr="00A1269F">
        <w:rPr>
          <w:rStyle w:val="EndnoteReference"/>
          <w:spacing w:val="-2"/>
          <w:vertAlign w:val="baseline"/>
          <w:rtl/>
        </w:rPr>
        <w:tab/>
      </w:r>
      <w:r w:rsidRPr="00A1269F">
        <w:rPr>
          <w:spacing w:val="-2"/>
        </w:rPr>
        <w:t>Légifrance</w:t>
      </w:r>
      <w:r w:rsidRPr="00A1269F">
        <w:rPr>
          <w:rFonts w:hint="cs"/>
          <w:spacing w:val="-2"/>
          <w:rtl/>
        </w:rPr>
        <w:t xml:space="preserve">، "الهيئات الإدارية المستقلة"، </w:t>
      </w:r>
      <w:hyperlink r:id="rId131" w:history="1">
        <w:r w:rsidRPr="00A1269F">
          <w:rPr>
            <w:rStyle w:val="Hyperlink"/>
            <w:rFonts w:eastAsiaTheme="majorEastAsia"/>
            <w:color w:val="auto"/>
            <w:spacing w:val="-2"/>
            <w:u w:val="none"/>
          </w:rPr>
          <w:t>http://www.legifrance.gouv.fr/Sites/Autorites-independantes</w:t>
        </w:r>
      </w:hyperlink>
      <w:r w:rsidRPr="00A1269F">
        <w:rPr>
          <w:rFonts w:hint="cs"/>
          <w:spacing w:val="-2"/>
          <w:rtl/>
        </w:rPr>
        <w:t>.</w:t>
      </w:r>
    </w:p>
  </w:endnote>
  <w:endnote w:id="215">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الموقع الشبكي للمدافع عن الحقوق،</w:t>
      </w:r>
      <w:r w:rsidRPr="00A1269F">
        <w:rPr>
          <w:rtl/>
        </w:rPr>
        <w:tab/>
      </w:r>
      <w:r w:rsidRPr="00A1269F">
        <w:rPr>
          <w:rtl/>
        </w:rPr>
        <w:br/>
      </w:r>
      <w:hyperlink r:id="rId132" w:history="1">
        <w:r w:rsidRPr="00A1269F">
          <w:rPr>
            <w:rStyle w:val="Hyperlink"/>
            <w:rFonts w:eastAsiaTheme="majorEastAsia"/>
            <w:color w:val="auto"/>
            <w:u w:val="none"/>
          </w:rPr>
          <w:t>http://www.defenseurdesdroits.fr/fr/publications?term_node_tid_depth_1=8&amp;field_article_date_value %25255Bvalue %25255D %25255Byear %25255D=&amp;term_node_tid_depth_2=All&amp;title=</w:t>
        </w:r>
      </w:hyperlink>
      <w:r w:rsidRPr="00A1269F">
        <w:rPr>
          <w:rFonts w:hint="cs"/>
          <w:rtl/>
        </w:rPr>
        <w:t>.</w:t>
      </w:r>
    </w:p>
  </w:endnote>
  <w:endnote w:id="216">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المجلس الأعلى للوسائط السمعية البصرية، </w:t>
      </w:r>
      <w:hyperlink r:id="rId133" w:history="1">
        <w:r w:rsidRPr="00A1269F">
          <w:rPr>
            <w:rStyle w:val="Hyperlink"/>
            <w:rFonts w:eastAsiaTheme="majorEastAsia"/>
            <w:color w:val="auto"/>
            <w:u w:val="none"/>
          </w:rPr>
          <w:t>http://www.csa.fr/</w:t>
        </w:r>
      </w:hyperlink>
      <w:r w:rsidRPr="00A1269F">
        <w:rPr>
          <w:rFonts w:hint="cs"/>
          <w:rtl/>
        </w:rPr>
        <w:t>.</w:t>
      </w:r>
    </w:p>
  </w:endnote>
  <w:endnote w:id="217">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وفقاً للمادة 13 من الدستور وللقانون رقم 2010-838 المؤرخ 23 تموز/يوليه 2010 المتعلق بتنفيذ الفقرة الخامسة من المادة 13 من الدستور.</w:t>
      </w:r>
    </w:p>
  </w:endnote>
  <w:endnote w:id="218">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المراقب العام لأماكن الاحتجاز، </w:t>
      </w:r>
      <w:hyperlink r:id="rId134" w:history="1">
        <w:r w:rsidRPr="00A1269F">
          <w:rPr>
            <w:rStyle w:val="Hyperlink"/>
            <w:rFonts w:eastAsiaTheme="majorEastAsia"/>
            <w:color w:val="auto"/>
            <w:u w:val="none"/>
          </w:rPr>
          <w:t>http://www.cglpl.fr/missions-et-actions/sa-mission/</w:t>
        </w:r>
      </w:hyperlink>
    </w:p>
  </w:endnote>
  <w:endnote w:id="219">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المجلس الأعلى للمساواة بين المرأة والرجل، "التركيبة والمهام"، </w:t>
      </w:r>
      <w:hyperlink r:id="rId135" w:history="1">
        <w:r w:rsidRPr="00A1269F">
          <w:rPr>
            <w:rStyle w:val="Hyperlink"/>
            <w:rFonts w:eastAsiaTheme="majorEastAsia"/>
            <w:color w:val="auto"/>
            <w:u w:val="none"/>
          </w:rPr>
          <w:t>http://www.haut-conseil-egalite.gouv.fr/hcefh/presentation-et-missions/</w:t>
        </w:r>
      </w:hyperlink>
      <w:r w:rsidRPr="00A1269F">
        <w:rPr>
          <w:rFonts w:hint="cs"/>
          <w:rtl/>
        </w:rPr>
        <w:t>.</w:t>
      </w:r>
    </w:p>
  </w:endnote>
  <w:endnote w:id="220">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Vie Publique</w:t>
      </w:r>
      <w:r w:rsidRPr="00A1269F">
        <w:rPr>
          <w:rFonts w:hint="cs"/>
          <w:rtl/>
        </w:rPr>
        <w:t xml:space="preserve">، "الوصول إلى القضاء وشبكة قضاء القرب"، 16 حزيران/يونيه 2006، </w:t>
      </w:r>
      <w:hyperlink r:id="rId136" w:history="1">
        <w:r w:rsidRPr="00A1269F">
          <w:rPr>
            <w:rStyle w:val="Hyperlink"/>
            <w:rFonts w:eastAsiaTheme="majorEastAsia"/>
            <w:color w:val="auto"/>
            <w:u w:val="none"/>
          </w:rPr>
          <w:t>http://www.vie-publique.fr/politiques-publiques/juge-justice-proximite/reseau-judiciaire/</w:t>
        </w:r>
      </w:hyperlink>
      <w:r w:rsidRPr="00A1269F">
        <w:rPr>
          <w:rFonts w:hint="cs"/>
          <w:rtl/>
        </w:rPr>
        <w:t>، [اطلع عليه في 5 شباط/ فبراير 2014].</w:t>
      </w:r>
    </w:p>
  </w:endnote>
  <w:endnote w:id="221">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وزارة العدل، "مساعدة الضحايا"، </w:t>
      </w:r>
      <w:hyperlink r:id="rId137" w:history="1">
        <w:r w:rsidRPr="00A1269F">
          <w:rPr>
            <w:rStyle w:val="Hyperlink"/>
            <w:rFonts w:eastAsiaTheme="majorEastAsia"/>
            <w:color w:val="auto"/>
            <w:u w:val="none"/>
          </w:rPr>
          <w:t>http://www.justice.gouv.fr/aide-aux-victimes-10044/</w:t>
        </w:r>
      </w:hyperlink>
      <w:r w:rsidRPr="00A1269F">
        <w:rPr>
          <w:rFonts w:hint="cs"/>
          <w:rtl/>
        </w:rPr>
        <w:t>.</w:t>
      </w:r>
    </w:p>
  </w:endnote>
  <w:endnote w:id="222">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نقابة المحامين في باريس، "</w:t>
      </w:r>
      <w:r w:rsidRPr="00A1269F">
        <w:rPr>
          <w:rtl/>
        </w:rPr>
        <w:t xml:space="preserve"> معهد حقوق الإنسان التابع لنقابة المحامين في باريس</w:t>
      </w:r>
      <w:r w:rsidRPr="00A1269F">
        <w:rPr>
          <w:rFonts w:hint="cs"/>
          <w:rtl/>
        </w:rPr>
        <w:t xml:space="preserve">"، </w:t>
      </w:r>
      <w:hyperlink r:id="rId138" w:history="1">
        <w:r w:rsidRPr="00A1269F">
          <w:rPr>
            <w:rStyle w:val="Hyperlink"/>
            <w:rFonts w:eastAsiaTheme="majorEastAsia"/>
            <w:color w:val="auto"/>
            <w:u w:val="none"/>
          </w:rPr>
          <w:t>http://www.idhbp.org/</w:t>
        </w:r>
      </w:hyperlink>
      <w:r w:rsidRPr="00A1269F">
        <w:rPr>
          <w:rFonts w:hint="cs"/>
          <w:rtl/>
        </w:rPr>
        <w:t>.</w:t>
      </w:r>
    </w:p>
  </w:endnote>
  <w:endnote w:id="223">
    <w:p w:rsidR="008F7F42" w:rsidRPr="00A1269F" w:rsidRDefault="008F7F42" w:rsidP="00A1269F">
      <w:pPr>
        <w:pStyle w:val="EndnoteText"/>
        <w:tabs>
          <w:tab w:val="clear" w:pos="1021"/>
        </w:tabs>
        <w:spacing w:after="60"/>
        <w:ind w:hanging="651"/>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المعهد الوطني لحقوق الإنسان، </w:t>
      </w:r>
      <w:hyperlink r:id="rId139" w:history="1">
        <w:r w:rsidRPr="00A1269F">
          <w:rPr>
            <w:rStyle w:val="Hyperlink"/>
            <w:rFonts w:eastAsiaTheme="majorEastAsia"/>
            <w:color w:val="auto"/>
            <w:u w:val="none"/>
          </w:rPr>
          <w:t>http://www.iidh.org/page-14-24-presentation.html</w:t>
        </w:r>
      </w:hyperlink>
      <w:r w:rsidRPr="00A1269F">
        <w:rPr>
          <w:rFonts w:hint="cs"/>
          <w:rtl/>
        </w:rPr>
        <w:t>.</w:t>
      </w:r>
    </w:p>
  </w:endnote>
  <w:endnote w:id="224">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t>http://www.espe-paris.fr/sites/www.espe-paris.fr/files/competencesprofessionnelles.pdf</w:t>
      </w:r>
      <w:r w:rsidRPr="00A1269F">
        <w:rPr>
          <w:rFonts w:hint="cs"/>
          <w:rtl/>
        </w:rPr>
        <w:t>.</w:t>
      </w:r>
    </w:p>
  </w:endnote>
  <w:endnote w:id="225">
    <w:p w:rsidR="008F7F42" w:rsidRPr="00A1269F" w:rsidRDefault="008F7F42" w:rsidP="00A1269F">
      <w:pPr>
        <w:pStyle w:val="EndnoteText"/>
        <w:tabs>
          <w:tab w:val="clear" w:pos="1021"/>
        </w:tabs>
        <w:spacing w:after="60"/>
        <w:ind w:hanging="651"/>
        <w:rPr>
          <w:lang w:val="fr-CH"/>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اللجنة الوطنية الاستشارية لحقوق الإنسان واللجنة الوطنية الفرنسية لفائدة اليونسكو، التقرير النهائي للجنة الفرنسية، عقد الأمم المتحدة: التثقيف في مجال حقوق الإنسان، 1995-2004. (</w:t>
      </w:r>
      <w:r w:rsidRPr="00A1269F">
        <w:rPr>
          <w:lang w:val="fr-CH"/>
        </w:rPr>
        <w:t>Rapport final du Comité français, Décennie des Nations Unies: éducation aux droits de l’Homme, 1995-2004</w:t>
      </w:r>
      <w:r w:rsidRPr="00A1269F">
        <w:rPr>
          <w:rFonts w:hint="cs"/>
          <w:rtl/>
        </w:rPr>
        <w:t>)،</w:t>
      </w:r>
      <w:r w:rsidRPr="00A1269F">
        <w:rPr>
          <w:rtl/>
        </w:rPr>
        <w:tab/>
      </w:r>
      <w:r w:rsidRPr="00A1269F">
        <w:rPr>
          <w:rtl/>
        </w:rPr>
        <w:br/>
      </w:r>
      <w:hyperlink r:id="rId140" w:history="1">
        <w:r w:rsidRPr="00A1269F">
          <w:rPr>
            <w:rStyle w:val="Hyperlink"/>
            <w:rFonts w:eastAsiaTheme="majorEastAsia"/>
            <w:color w:val="auto"/>
            <w:u w:val="none"/>
            <w:lang w:val="fr-CH"/>
          </w:rPr>
          <w:t>http://www.cncdh.fr/sites/default/files/rapport_unesco_decennie_dh.pdf</w:t>
        </w:r>
      </w:hyperlink>
      <w:r w:rsidRPr="00A1269F">
        <w:rPr>
          <w:rFonts w:hint="cs"/>
          <w:rtl/>
        </w:rPr>
        <w:t>.</w:t>
      </w:r>
    </w:p>
  </w:endnote>
  <w:endnote w:id="226">
    <w:p w:rsidR="008F7F42" w:rsidRPr="00A1269F" w:rsidRDefault="008F7F42" w:rsidP="00A1269F">
      <w:pPr>
        <w:pStyle w:val="EndnoteText"/>
        <w:tabs>
          <w:tab w:val="clear" w:pos="1021"/>
        </w:tabs>
        <w:spacing w:after="60" w:line="260" w:lineRule="exact"/>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تقرير مركز الاتصال الفرنسي التابع للشبكة الأوروبية للهجرة، </w:t>
      </w:r>
      <w:r w:rsidRPr="00A1269F">
        <w:rPr>
          <w:bCs/>
          <w:i/>
          <w:lang w:val="fr-CH"/>
        </w:rPr>
        <w:t>L’identification des victimes de la traite des êtres humains dans les procédures d’asile et de retour</w:t>
      </w:r>
      <w:r w:rsidRPr="00A1269F">
        <w:rPr>
          <w:rFonts w:hint="cs"/>
          <w:rtl/>
        </w:rPr>
        <w:t xml:space="preserve">، تشرين الثاني/نوفمبر 2013، </w:t>
      </w:r>
      <w:hyperlink r:id="rId141" w:history="1">
        <w:r w:rsidRPr="00A1269F">
          <w:rPr>
            <w:rStyle w:val="Hyperlink"/>
            <w:rFonts w:eastAsiaTheme="majorEastAsia"/>
            <w:color w:val="auto"/>
            <w:u w:val="none"/>
            <w:lang w:val="fr-CH"/>
          </w:rPr>
          <w:t>http://www.google.fr/url?sa=t&amp;rct=j&amp;q=&amp;esrc=s&amp;source=web&amp;cd=14&amp;ved=0CFUQFjADOAo&amp;url=http %3A %2F %2Fwww.immigration.interieur.gouv.fr %2Fcontent %2Fdownload %2F67779 %2F492476 %2Ffile %2FEtude_du_REM_Identification_des_victimes_de_la_traite_des_etres_humains.pdf&amp;ei=dpzzUrfxOtORhQePlYDgDA&amp;usg=AFQjCNF87ayHecjGwZnGDuXGpaUQkHYH9g&amp;bvm=bv.60799247,d.ZG4</w:t>
        </w:r>
      </w:hyperlink>
      <w:r w:rsidRPr="00A1269F">
        <w:rPr>
          <w:rFonts w:hint="cs"/>
          <w:rtl/>
        </w:rPr>
        <w:t>.</w:t>
      </w:r>
    </w:p>
  </w:endnote>
  <w:endnote w:id="227">
    <w:p w:rsidR="008F7F42" w:rsidRPr="00A1269F" w:rsidRDefault="008F7F42" w:rsidP="00A1269F">
      <w:pPr>
        <w:pStyle w:val="EndnoteText"/>
        <w:tabs>
          <w:tab w:val="clear" w:pos="1021"/>
        </w:tabs>
        <w:spacing w:after="60"/>
        <w:ind w:hanging="651"/>
        <w:rPr>
          <w:rtl/>
        </w:rPr>
      </w:pPr>
      <w:r w:rsidRPr="00A1269F">
        <w:rPr>
          <w:rStyle w:val="EndnoteReference"/>
          <w:vertAlign w:val="baseline"/>
          <w:rtl/>
        </w:rPr>
        <w:t>(</w:t>
      </w:r>
      <w:r w:rsidRPr="00A1269F">
        <w:rPr>
          <w:rStyle w:val="EndnoteReference"/>
          <w:vertAlign w:val="baseline"/>
          <w:rtl/>
        </w:rPr>
        <w:endnoteRef/>
      </w:r>
      <w:r w:rsidRPr="00A1269F">
        <w:rPr>
          <w:rStyle w:val="EndnoteReference"/>
          <w:vertAlign w:val="baseline"/>
          <w:rtl/>
        </w:rPr>
        <w:t>)</w:t>
      </w:r>
      <w:r w:rsidRPr="00A1269F">
        <w:rPr>
          <w:rStyle w:val="EndnoteReference"/>
          <w:vertAlign w:val="baseline"/>
          <w:rtl/>
        </w:rPr>
        <w:tab/>
      </w:r>
      <w:r w:rsidRPr="00A1269F">
        <w:rPr>
          <w:rFonts w:hint="cs"/>
          <w:rtl/>
        </w:rPr>
        <w:t xml:space="preserve">التقرير المرحلي لمركز بريمو ليفي، </w:t>
      </w:r>
      <w:r w:rsidRPr="00A1269F">
        <w:rPr>
          <w:i/>
        </w:rPr>
        <w:t>Vivre après la torture</w:t>
      </w:r>
      <w:r w:rsidRPr="00A1269F">
        <w:rPr>
          <w:rFonts w:hint="cs"/>
          <w:rtl/>
        </w:rPr>
        <w:t>، 2012،</w:t>
      </w:r>
      <w:r w:rsidRPr="00A1269F">
        <w:rPr>
          <w:rtl/>
        </w:rPr>
        <w:tab/>
      </w:r>
      <w:r w:rsidRPr="00A1269F">
        <w:rPr>
          <w:rtl/>
        </w:rPr>
        <w:br/>
      </w:r>
      <w:hyperlink r:id="rId142" w:history="1">
        <w:r w:rsidRPr="00A1269F">
          <w:rPr>
            <w:rStyle w:val="Hyperlink"/>
            <w:rFonts w:eastAsiaTheme="majorEastAsia"/>
            <w:color w:val="auto"/>
            <w:u w:val="none"/>
          </w:rPr>
          <w:t>http://www.primolevi.org/wp-content/uploads/2013/06/ra2012_def.pdf</w:t>
        </w:r>
      </w:hyperlink>
      <w:r w:rsidRPr="00A1269F">
        <w:rPr>
          <w:rFonts w:hint="cs"/>
          <w:rtl/>
        </w:rPr>
        <w:t>.</w:t>
      </w:r>
    </w:p>
    <w:p w:rsidR="008F7F42" w:rsidRPr="00A1269F" w:rsidRDefault="008F7F42" w:rsidP="00944A3C">
      <w:pPr>
        <w:pStyle w:val="EndnoteText"/>
        <w:tabs>
          <w:tab w:val="clear" w:pos="1021"/>
        </w:tabs>
        <w:ind w:left="566" w:right="851" w:firstLine="0"/>
        <w:jc w:val="center"/>
        <w:rPr>
          <w:b/>
          <w:bCs/>
          <w:rtl/>
          <w:lang w:val="fr-CH" w:bidi="ar-DZ"/>
        </w:rPr>
      </w:pPr>
      <w:r w:rsidRPr="00A1269F">
        <w:rPr>
          <w:b/>
          <w:bCs/>
          <w:sz w:val="22"/>
          <w:szCs w:val="32"/>
          <w:lang w:val="fr-CH"/>
        </w:rPr>
        <w:t>___________________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42" w:rsidRPr="00944A3C" w:rsidRDefault="008F7F42" w:rsidP="00944A3C">
    <w:pPr>
      <w:pStyle w:val="Footer"/>
      <w:tabs>
        <w:tab w:val="right" w:pos="9598"/>
      </w:tabs>
      <w:rPr>
        <w:sz w:val="17"/>
      </w:rPr>
    </w:pPr>
    <w:r>
      <w:rPr>
        <w:sz w:val="17"/>
      </w:rPr>
      <w:t>GE.17-20833</w:t>
    </w:r>
    <w:r>
      <w:rPr>
        <w:sz w:val="17"/>
      </w:rPr>
      <w:tab/>
    </w:r>
    <w:r w:rsidRPr="00944A3C">
      <w:rPr>
        <w:b/>
        <w:sz w:val="18"/>
      </w:rPr>
      <w:fldChar w:fldCharType="begin"/>
    </w:r>
    <w:r w:rsidRPr="00944A3C">
      <w:rPr>
        <w:b/>
        <w:sz w:val="18"/>
      </w:rPr>
      <w:instrText xml:space="preserve"> PAGE  \* MERGEFORMAT </w:instrText>
    </w:r>
    <w:r w:rsidRPr="00944A3C">
      <w:rPr>
        <w:b/>
        <w:sz w:val="18"/>
      </w:rPr>
      <w:fldChar w:fldCharType="separate"/>
    </w:r>
    <w:r w:rsidR="005714DA">
      <w:rPr>
        <w:b/>
        <w:noProof/>
        <w:sz w:val="18"/>
      </w:rPr>
      <w:t>68</w:t>
    </w:r>
    <w:r w:rsidRPr="00944A3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42" w:rsidRPr="00944A3C" w:rsidRDefault="008F7F42" w:rsidP="006959B0">
    <w:pPr>
      <w:pStyle w:val="Footer"/>
      <w:tabs>
        <w:tab w:val="right" w:pos="9599"/>
      </w:tabs>
      <w:jc w:val="left"/>
      <w:rPr>
        <w:b/>
        <w:sz w:val="18"/>
        <w:lang w:val="en-US"/>
      </w:rPr>
    </w:pPr>
    <w:r w:rsidRPr="00944A3C">
      <w:rPr>
        <w:b/>
        <w:sz w:val="18"/>
        <w:lang w:val="en-US"/>
      </w:rPr>
      <w:fldChar w:fldCharType="begin"/>
    </w:r>
    <w:r w:rsidRPr="00944A3C">
      <w:rPr>
        <w:b/>
        <w:sz w:val="18"/>
        <w:lang w:val="en-US"/>
      </w:rPr>
      <w:instrText xml:space="preserve"> PAGE  \* MERGEFORMAT </w:instrText>
    </w:r>
    <w:r w:rsidRPr="00944A3C">
      <w:rPr>
        <w:b/>
        <w:sz w:val="18"/>
        <w:lang w:val="en-US"/>
      </w:rPr>
      <w:fldChar w:fldCharType="separate"/>
    </w:r>
    <w:r w:rsidR="005714DA">
      <w:rPr>
        <w:b/>
        <w:noProof/>
        <w:sz w:val="18"/>
        <w:lang w:val="en-US"/>
      </w:rPr>
      <w:t>67</w:t>
    </w:r>
    <w:r w:rsidRPr="00944A3C">
      <w:rPr>
        <w:b/>
        <w:sz w:val="18"/>
        <w:lang w:val="en-US"/>
      </w:rPr>
      <w:fldChar w:fldCharType="end"/>
    </w:r>
    <w:r>
      <w:rPr>
        <w:b/>
        <w:sz w:val="18"/>
        <w:lang w:val="en-US"/>
      </w:rPr>
      <w:tab/>
    </w:r>
    <w:r>
      <w:rPr>
        <w:sz w:val="17"/>
        <w:lang w:val="en-US"/>
      </w:rPr>
      <w:t>GE.17-20833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42" w:rsidRDefault="008F7F42" w:rsidP="007C1295">
    <w:pPr>
      <w:pStyle w:val="Footer"/>
      <w:spacing w:before="360"/>
      <w:jc w:val="right"/>
      <w:rPr>
        <w:sz w:val="20"/>
        <w:szCs w:val="20"/>
      </w:rPr>
    </w:pPr>
    <w:r>
      <w:rPr>
        <w:sz w:val="20"/>
        <w:szCs w:val="20"/>
      </w:rPr>
      <w:t>GE.17-20833</w:t>
    </w:r>
    <w:r>
      <w:rPr>
        <w:noProof/>
        <w:lang w:val="en-US" w:eastAsia="zh-CN"/>
      </w:rPr>
      <w:drawing>
        <wp:anchor distT="0" distB="0" distL="114300" distR="114300" simplePos="0" relativeHeight="251664384"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8F7F42" w:rsidRPr="004C2FEB" w:rsidRDefault="008F7F42" w:rsidP="004C2FE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42" w:rsidRDefault="008F7F42" w:rsidP="00CB28F9">
      <w:pPr>
        <w:pStyle w:val="Footer"/>
        <w:bidi/>
        <w:spacing w:after="80" w:line="200" w:lineRule="exact"/>
        <w:ind w:left="680"/>
      </w:pPr>
      <w:r>
        <w:rPr>
          <w:rtl/>
        </w:rPr>
        <w:t>__________</w:t>
      </w:r>
    </w:p>
  </w:footnote>
  <w:footnote w:type="continuationSeparator" w:id="0">
    <w:p w:rsidR="008F7F42" w:rsidRDefault="008F7F42" w:rsidP="00656392">
      <w:pPr>
        <w:spacing w:line="240" w:lineRule="auto"/>
      </w:pPr>
      <w:r>
        <w:continuationSeparator/>
      </w:r>
    </w:p>
  </w:footnote>
  <w:footnote w:type="continuationNotice" w:id="1">
    <w:p w:rsidR="008F7F42" w:rsidRDefault="008F7F42">
      <w:pPr>
        <w:spacing w:line="240" w:lineRule="auto"/>
      </w:pPr>
    </w:p>
  </w:footnote>
  <w:footnote w:id="2">
    <w:p w:rsidR="008F7F42" w:rsidRPr="000F47B2" w:rsidRDefault="008F7F42" w:rsidP="0082773D">
      <w:pPr>
        <w:pStyle w:val="FootnoteText1"/>
        <w:rPr>
          <w:rtl/>
        </w:rPr>
      </w:pPr>
      <w:r w:rsidRPr="000F47B2">
        <w:rPr>
          <w:rtl/>
          <w:lang w:bidi="ar-DZ"/>
        </w:rPr>
        <w:t>*</w:t>
      </w:r>
      <w:r w:rsidRPr="000F47B2">
        <w:rPr>
          <w:rtl/>
        </w:rPr>
        <w:tab/>
      </w:r>
      <w:r w:rsidRPr="000F47B2">
        <w:rPr>
          <w:rFonts w:hint="cs"/>
          <w:rtl/>
        </w:rPr>
        <w:t xml:space="preserve">تصدر هذه الوثيقة من دون </w:t>
      </w:r>
      <w:r w:rsidRPr="000F47B2">
        <w:rPr>
          <w:rFonts w:eastAsiaTheme="minorEastAsia" w:hint="cs"/>
          <w:rtl/>
          <w:lang w:eastAsia="zh-CN" w:bidi="ar-DZ"/>
        </w:rPr>
        <w:t>تحرير</w:t>
      </w:r>
      <w:r w:rsidRPr="000F47B2">
        <w:rPr>
          <w:rFonts w:hint="cs"/>
          <w:rtl/>
        </w:rPr>
        <w:t xml:space="preserve"> رسمي.</w:t>
      </w:r>
    </w:p>
  </w:footnote>
  <w:footnote w:id="3">
    <w:p w:rsidR="008F7F42" w:rsidRPr="000F47B2" w:rsidRDefault="008F7F42" w:rsidP="0082773D">
      <w:pPr>
        <w:pStyle w:val="FootnoteText1"/>
      </w:pPr>
      <w:r w:rsidRPr="000F47B2">
        <w:rPr>
          <w:rtl/>
          <w:lang w:bidi="ar-DZ"/>
        </w:rPr>
        <w:t>**</w:t>
      </w:r>
      <w:r w:rsidRPr="000F47B2">
        <w:rPr>
          <w:rtl/>
        </w:rPr>
        <w:tab/>
      </w:r>
      <w:r w:rsidRPr="000F47B2">
        <w:rPr>
          <w:rFonts w:hint="cs"/>
          <w:kern w:val="14"/>
          <w:rtl/>
        </w:rPr>
        <w:t xml:space="preserve">يمكن الاطلاع على المرفقات في ملفات الأمانة. </w:t>
      </w:r>
      <w:r w:rsidRPr="000F47B2">
        <w:rPr>
          <w:rFonts w:eastAsiaTheme="minorEastAsia"/>
          <w:rtl/>
          <w:lang w:eastAsia="zh-CN" w:bidi="ar-DZ"/>
        </w:rPr>
        <w:t>وهي</w:t>
      </w:r>
      <w:r w:rsidRPr="000F47B2">
        <w:rPr>
          <w:kern w:val="14"/>
          <w:rtl/>
        </w:rPr>
        <w:t xml:space="preserve"> متاحة أيضاً </w:t>
      </w:r>
      <w:r w:rsidRPr="000F47B2">
        <w:rPr>
          <w:rFonts w:hint="cs"/>
          <w:kern w:val="14"/>
          <w:rtl/>
        </w:rPr>
        <w:t xml:space="preserve">على </w:t>
      </w:r>
      <w:r w:rsidRPr="000F47B2">
        <w:rPr>
          <w:kern w:val="14"/>
          <w:rtl/>
        </w:rPr>
        <w:t>الصفحة الشبكية</w:t>
      </w:r>
      <w:r w:rsidRPr="000F47B2">
        <w:rPr>
          <w:rFonts w:hint="cs"/>
          <w:kern w:val="14"/>
          <w:rtl/>
        </w:rPr>
        <w:t>.</w:t>
      </w:r>
    </w:p>
  </w:footnote>
  <w:footnote w:id="4">
    <w:p w:rsidR="008F7F42" w:rsidRPr="000F47B2" w:rsidRDefault="008F7F42" w:rsidP="00B4300A">
      <w:pPr>
        <w:pStyle w:val="FootnoteText1"/>
        <w:ind w:right="1106"/>
        <w:rPr>
          <w:spacing w:val="-2"/>
          <w:rtl/>
        </w:rPr>
      </w:pPr>
      <w:r w:rsidRPr="000F47B2">
        <w:rPr>
          <w:rStyle w:val="FootnoteReference"/>
          <w:spacing w:val="-2"/>
          <w:szCs w:val="26"/>
          <w:vertAlign w:val="baseline"/>
          <w:rtl/>
        </w:rPr>
        <w:t>(1)</w:t>
      </w:r>
      <w:r w:rsidRPr="000F47B2">
        <w:rPr>
          <w:spacing w:val="-2"/>
          <w:rtl/>
        </w:rPr>
        <w:tab/>
      </w:r>
      <w:hyperlink r:id="rId1" w:history="1">
        <w:r w:rsidRPr="000F47B2">
          <w:rPr>
            <w:rStyle w:val="Hyperlink"/>
            <w:u w:val="none"/>
          </w:rPr>
          <w:t>https://www.legifrance.gouv.fr/affichCode.do?idArticle=LEGIARTI000022686501&amp;id</w:t>
        </w:r>
      </w:hyperlink>
      <w:r w:rsidRPr="000F47B2">
        <w:rPr>
          <w:spacing w:val="-2"/>
        </w:rPr>
        <w:br/>
        <w:t>SectionTA=LEGISCTA000022686507&amp;cidTexte=LEGITEXT000006070719&amp;dateTexte=20160421</w:t>
      </w:r>
      <w:r w:rsidRPr="000F47B2">
        <w:rPr>
          <w:rFonts w:hint="cs"/>
          <w:spacing w:val="-2"/>
          <w:rtl/>
        </w:rPr>
        <w:t>.</w:t>
      </w:r>
    </w:p>
  </w:footnote>
  <w:footnote w:id="5">
    <w:p w:rsidR="008F7F42" w:rsidRPr="000F47B2" w:rsidRDefault="008F7F42" w:rsidP="00B4300A">
      <w:pPr>
        <w:pStyle w:val="FootnoteText1"/>
        <w:rPr>
          <w:rtl/>
        </w:rPr>
      </w:pPr>
      <w:r w:rsidRPr="000F47B2">
        <w:rPr>
          <w:rStyle w:val="FootnoteReference"/>
          <w:szCs w:val="26"/>
          <w:vertAlign w:val="baseline"/>
          <w:rtl/>
        </w:rPr>
        <w:t>(2)</w:t>
      </w:r>
      <w:r w:rsidRPr="000F47B2">
        <w:rPr>
          <w:rtl/>
        </w:rPr>
        <w:tab/>
        <w:t xml:space="preserve">القانون رقم </w:t>
      </w:r>
      <w:r w:rsidRPr="000F47B2">
        <w:rPr>
          <w:rFonts w:hint="cs"/>
          <w:rtl/>
        </w:rPr>
        <w:t>2010-930.</w:t>
      </w:r>
    </w:p>
  </w:footnote>
  <w:footnote w:id="6">
    <w:p w:rsidR="008F7F42" w:rsidRPr="000F47B2" w:rsidRDefault="008F7F42" w:rsidP="00C56AA7">
      <w:pPr>
        <w:pStyle w:val="FootnoteText1"/>
        <w:rPr>
          <w:rtl/>
        </w:rPr>
      </w:pPr>
      <w:r w:rsidRPr="000F47B2">
        <w:rPr>
          <w:rStyle w:val="FootnoteReference"/>
          <w:szCs w:val="26"/>
          <w:vertAlign w:val="baseline"/>
          <w:rtl/>
        </w:rPr>
        <w:t>(</w:t>
      </w:r>
      <w:r w:rsidRPr="000F47B2">
        <w:rPr>
          <w:rStyle w:val="FootnoteReference"/>
          <w:rFonts w:hint="cs"/>
          <w:szCs w:val="26"/>
          <w:vertAlign w:val="baseline"/>
          <w:rtl/>
        </w:rPr>
        <w:t>3</w:t>
      </w:r>
      <w:r w:rsidRPr="000F47B2">
        <w:rPr>
          <w:rStyle w:val="FootnoteReference"/>
          <w:szCs w:val="26"/>
          <w:vertAlign w:val="baseline"/>
          <w:rtl/>
        </w:rPr>
        <w:t>)</w:t>
      </w:r>
      <w:r w:rsidRPr="000F47B2">
        <w:rPr>
          <w:rtl/>
        </w:rPr>
        <w:tab/>
        <w:t xml:space="preserve">القانون رقم 2010-769 المؤرخ 9 تموز/يوليه 2010 </w:t>
      </w:r>
      <w:r w:rsidRPr="000F47B2">
        <w:rPr>
          <w:rFonts w:hint="cs"/>
          <w:rtl/>
        </w:rPr>
        <w:t>المتعلق ب</w:t>
      </w:r>
      <w:r w:rsidRPr="000F47B2">
        <w:rPr>
          <w:rtl/>
        </w:rPr>
        <w:t xml:space="preserve">أفعال العنف المرتكبة </w:t>
      </w:r>
      <w:r w:rsidRPr="000F47B2">
        <w:rPr>
          <w:rFonts w:hint="cs"/>
          <w:rtl/>
        </w:rPr>
        <w:t xml:space="preserve">تحديدا </w:t>
      </w:r>
      <w:r w:rsidRPr="000F47B2">
        <w:rPr>
          <w:rtl/>
        </w:rPr>
        <w:t>ضد المرأة و</w:t>
      </w:r>
      <w:r w:rsidRPr="000F47B2">
        <w:rPr>
          <w:rFonts w:hint="cs"/>
          <w:rtl/>
        </w:rPr>
        <w:t>ب</w:t>
      </w:r>
      <w:r w:rsidRPr="000F47B2">
        <w:rPr>
          <w:rtl/>
        </w:rPr>
        <w:t>أفعال العنف في إطار العلاقة الزوجية و</w:t>
      </w:r>
      <w:r w:rsidRPr="000F47B2">
        <w:rPr>
          <w:rFonts w:hint="cs"/>
          <w:rtl/>
        </w:rPr>
        <w:t>ب</w:t>
      </w:r>
      <w:r w:rsidRPr="000F47B2">
        <w:rPr>
          <w:rtl/>
        </w:rPr>
        <w:t xml:space="preserve">آثارها على </w:t>
      </w:r>
      <w:r w:rsidRPr="000F47B2">
        <w:rPr>
          <w:rFonts w:hint="cs"/>
          <w:rtl/>
        </w:rPr>
        <w:t>الأطفال.</w:t>
      </w:r>
    </w:p>
  </w:footnote>
  <w:footnote w:id="7">
    <w:p w:rsidR="008F7F42" w:rsidRPr="000F47B2" w:rsidRDefault="008F7F42" w:rsidP="00153506">
      <w:pPr>
        <w:pStyle w:val="FootnoteText1"/>
        <w:rPr>
          <w:rtl/>
        </w:rPr>
      </w:pPr>
      <w:r w:rsidRPr="000F47B2">
        <w:rPr>
          <w:rStyle w:val="FootnoteReference"/>
          <w:szCs w:val="26"/>
          <w:vertAlign w:val="baseline"/>
          <w:rtl/>
        </w:rPr>
        <w:t>(</w:t>
      </w:r>
      <w:r w:rsidRPr="000F47B2">
        <w:rPr>
          <w:rStyle w:val="FootnoteReference"/>
          <w:rFonts w:hint="cs"/>
          <w:szCs w:val="26"/>
          <w:vertAlign w:val="baseline"/>
          <w:rtl/>
        </w:rPr>
        <w:t>4</w:t>
      </w:r>
      <w:r w:rsidRPr="000F47B2">
        <w:rPr>
          <w:rStyle w:val="FootnoteReference"/>
          <w:szCs w:val="26"/>
          <w:vertAlign w:val="baseline"/>
          <w:rtl/>
        </w:rPr>
        <w:t>)</w:t>
      </w:r>
      <w:r w:rsidRPr="000F47B2">
        <w:rPr>
          <w:rtl/>
        </w:rPr>
        <w:tab/>
      </w:r>
      <w:r w:rsidRPr="000F47B2">
        <w:rPr>
          <w:rStyle w:val="EndnoteReference"/>
          <w:spacing w:val="-6"/>
          <w:vertAlign w:val="baseline"/>
          <w:rtl/>
        </w:rPr>
        <w:tab/>
      </w:r>
      <w:r w:rsidRPr="000F47B2">
        <w:rPr>
          <w:rFonts w:hint="cs"/>
          <w:spacing w:val="-6"/>
          <w:rtl/>
        </w:rPr>
        <w:t>الموقع الشبكي:</w:t>
      </w:r>
      <w:r w:rsidRPr="000F47B2">
        <w:rPr>
          <w:spacing w:val="-6"/>
          <w:rtl/>
        </w:rPr>
        <w:tab/>
      </w:r>
      <w:r w:rsidRPr="000F47B2">
        <w:rPr>
          <w:rtl/>
        </w:rPr>
        <w:br/>
      </w:r>
      <w:r w:rsidRPr="000F47B2">
        <w:rPr>
          <w:spacing w:val="-6"/>
        </w:rPr>
        <w:t xml:space="preserve">stop-violences-femmes. </w:t>
      </w:r>
      <w:hyperlink r:id="rId2" w:history="1">
        <w:r w:rsidRPr="000F47B2">
          <w:rPr>
            <w:rStyle w:val="Hyperlink"/>
            <w:spacing w:val="-6"/>
            <w:u w:val="none"/>
          </w:rPr>
          <w:t>http://stop-violences-femmes.gouv.fr/-La-mission-interministerielle-de,91-.html</w:t>
        </w:r>
      </w:hyperlink>
      <w:r w:rsidRPr="000F47B2">
        <w:rPr>
          <w:rFonts w:hint="cs"/>
          <w:rtl/>
        </w:rPr>
        <w:t>.</w:t>
      </w:r>
    </w:p>
  </w:footnote>
  <w:footnote w:id="8">
    <w:p w:rsidR="008F7F42" w:rsidRPr="000F47B2" w:rsidRDefault="008F7F42" w:rsidP="00C87775">
      <w:pPr>
        <w:pStyle w:val="FootnoteText1"/>
        <w:rPr>
          <w:rtl/>
        </w:rPr>
      </w:pPr>
      <w:r w:rsidRPr="000F47B2">
        <w:rPr>
          <w:rStyle w:val="FootnoteReference"/>
          <w:szCs w:val="26"/>
          <w:vertAlign w:val="baseline"/>
          <w:rtl/>
        </w:rPr>
        <w:t>(</w:t>
      </w:r>
      <w:r w:rsidRPr="000F47B2">
        <w:rPr>
          <w:rStyle w:val="FootnoteReference"/>
          <w:rFonts w:hint="cs"/>
          <w:szCs w:val="26"/>
          <w:vertAlign w:val="baseline"/>
          <w:rtl/>
        </w:rPr>
        <w:t>5</w:t>
      </w:r>
      <w:r w:rsidRPr="000F47B2">
        <w:rPr>
          <w:rStyle w:val="FootnoteReference"/>
          <w:szCs w:val="26"/>
          <w:vertAlign w:val="baseline"/>
          <w:rtl/>
        </w:rPr>
        <w:t>)</w:t>
      </w:r>
      <w:r w:rsidRPr="000F47B2">
        <w:rPr>
          <w:rtl/>
        </w:rPr>
        <w:tab/>
        <w:t>القانون رقم 2012-954 المؤرخ 6 آب/أغسطس 2012 بشأن التحرش الجنسي</w:t>
      </w:r>
      <w:r w:rsidRPr="000F47B2">
        <w:rPr>
          <w:rFonts w:hint="cs"/>
          <w:rtl/>
        </w:rPr>
        <w:t>.</w:t>
      </w:r>
    </w:p>
  </w:footnote>
  <w:footnote w:id="9">
    <w:p w:rsidR="008F7F42" w:rsidRPr="000F47B2" w:rsidRDefault="008F7F42" w:rsidP="00050FB2">
      <w:pPr>
        <w:pStyle w:val="FootnoteText1"/>
        <w:spacing w:line="240" w:lineRule="exact"/>
        <w:rPr>
          <w:rtl/>
        </w:rPr>
      </w:pPr>
      <w:r w:rsidRPr="000F47B2">
        <w:rPr>
          <w:rStyle w:val="FootnoteReference"/>
          <w:szCs w:val="26"/>
          <w:vertAlign w:val="baseline"/>
          <w:rtl/>
        </w:rPr>
        <w:t>(</w:t>
      </w:r>
      <w:r w:rsidRPr="000F47B2">
        <w:rPr>
          <w:rStyle w:val="FootnoteReference"/>
          <w:rFonts w:hint="cs"/>
          <w:szCs w:val="26"/>
          <w:vertAlign w:val="baseline"/>
          <w:rtl/>
        </w:rPr>
        <w:t>6</w:t>
      </w:r>
      <w:r w:rsidRPr="000F47B2">
        <w:rPr>
          <w:rStyle w:val="FootnoteReference"/>
          <w:szCs w:val="26"/>
          <w:vertAlign w:val="baseline"/>
          <w:rtl/>
        </w:rPr>
        <w:t>)</w:t>
      </w:r>
      <w:r w:rsidRPr="000F47B2">
        <w:rPr>
          <w:rtl/>
        </w:rPr>
        <w:tab/>
      </w:r>
      <w:hyperlink r:id="rId3" w:history="1">
        <w:r w:rsidRPr="000F47B2">
          <w:rPr>
            <w:rStyle w:val="Hyperlink"/>
            <w:u w:val="none"/>
          </w:rPr>
          <w:t>http://www.familles-enfance-droitsdesfemmes.gouv.fr/dossiers/lutte-contre-les-violences/les-plans-de-lutte-contre-les-violences-faites-aux-femmes/</w:t>
        </w:r>
      </w:hyperlink>
      <w:r w:rsidRPr="000F47B2">
        <w:rPr>
          <w:rFonts w:hint="cs"/>
          <w:rtl/>
        </w:rPr>
        <w:t>.</w:t>
      </w:r>
    </w:p>
  </w:footnote>
  <w:footnote w:id="10">
    <w:p w:rsidR="008F7F42" w:rsidRPr="000F47B2" w:rsidRDefault="008F7F42" w:rsidP="00C87775">
      <w:pPr>
        <w:pStyle w:val="FootnoteText1"/>
        <w:rPr>
          <w:rtl/>
        </w:rPr>
      </w:pPr>
      <w:r w:rsidRPr="000F47B2">
        <w:rPr>
          <w:rStyle w:val="FootnoteReference"/>
          <w:szCs w:val="26"/>
          <w:vertAlign w:val="baseline"/>
          <w:rtl/>
        </w:rPr>
        <w:t>(</w:t>
      </w:r>
      <w:r w:rsidRPr="000F47B2">
        <w:rPr>
          <w:rStyle w:val="FootnoteReference"/>
          <w:rFonts w:hint="cs"/>
          <w:szCs w:val="26"/>
          <w:vertAlign w:val="baseline"/>
          <w:rtl/>
        </w:rPr>
        <w:t>7</w:t>
      </w:r>
      <w:r w:rsidRPr="000F47B2">
        <w:rPr>
          <w:rStyle w:val="FootnoteReference"/>
          <w:szCs w:val="26"/>
          <w:vertAlign w:val="baseline"/>
          <w:rtl/>
        </w:rPr>
        <w:t>)</w:t>
      </w:r>
      <w:r w:rsidRPr="000F47B2">
        <w:rPr>
          <w:rtl/>
        </w:rPr>
        <w:tab/>
      </w:r>
      <w:r w:rsidRPr="000F47B2">
        <w:rPr>
          <w:rStyle w:val="EndnoteReference"/>
          <w:spacing w:val="-6"/>
          <w:vertAlign w:val="baseline"/>
          <w:rtl/>
        </w:rPr>
        <w:tab/>
      </w:r>
      <w:r w:rsidRPr="000F47B2">
        <w:rPr>
          <w:rtl/>
        </w:rPr>
        <w:t xml:space="preserve">المادة 4 من القانون رقم 2001-434 المؤرخ 21 أيار/مايو 2001 الرامي إلى اعتبار </w:t>
      </w:r>
      <w:r w:rsidRPr="000F47B2">
        <w:rPr>
          <w:rFonts w:hint="cs"/>
          <w:rtl/>
        </w:rPr>
        <w:t xml:space="preserve">تجارة الرقيق </w:t>
      </w:r>
      <w:r w:rsidRPr="000F47B2">
        <w:rPr>
          <w:rtl/>
        </w:rPr>
        <w:t>والرق من الجرائم المرتكبة ضد الإنسانية</w:t>
      </w:r>
      <w:r w:rsidRPr="000F47B2">
        <w:rPr>
          <w:rFonts w:hint="cs"/>
          <w:rtl/>
        </w:rPr>
        <w:t>.</w:t>
      </w:r>
    </w:p>
  </w:footnote>
  <w:footnote w:id="11">
    <w:p w:rsidR="008F7F42" w:rsidRPr="000F47B2" w:rsidRDefault="008F7F42" w:rsidP="00C87775">
      <w:pPr>
        <w:pStyle w:val="FootnoteText1"/>
        <w:rPr>
          <w:rtl/>
        </w:rPr>
      </w:pPr>
      <w:r w:rsidRPr="000F47B2">
        <w:rPr>
          <w:rStyle w:val="FootnoteReference"/>
          <w:szCs w:val="26"/>
          <w:vertAlign w:val="baseline"/>
          <w:rtl/>
        </w:rPr>
        <w:t>(</w:t>
      </w:r>
      <w:r w:rsidRPr="000F47B2">
        <w:rPr>
          <w:rStyle w:val="FootnoteReference"/>
          <w:rFonts w:hint="cs"/>
          <w:szCs w:val="26"/>
          <w:vertAlign w:val="baseline"/>
          <w:rtl/>
        </w:rPr>
        <w:t>8</w:t>
      </w:r>
      <w:r w:rsidRPr="000F47B2">
        <w:rPr>
          <w:rStyle w:val="FootnoteReference"/>
          <w:szCs w:val="26"/>
          <w:vertAlign w:val="baseline"/>
          <w:rtl/>
        </w:rPr>
        <w:t>)</w:t>
      </w:r>
      <w:r w:rsidRPr="000F47B2">
        <w:rPr>
          <w:rtl/>
        </w:rPr>
        <w:tab/>
      </w:r>
      <w:r w:rsidRPr="000F47B2">
        <w:t>http://www.gouvernement.fr/dilcra</w:t>
      </w:r>
      <w:r w:rsidRPr="000F47B2">
        <w:rPr>
          <w:rFonts w:hint="cs"/>
          <w:rtl/>
        </w:rPr>
        <w:t>.</w:t>
      </w:r>
    </w:p>
  </w:footnote>
  <w:footnote w:id="12">
    <w:p w:rsidR="008F7F42" w:rsidRPr="000F47B2" w:rsidRDefault="008F7F42" w:rsidP="00170F39">
      <w:pPr>
        <w:pStyle w:val="FootnoteText1"/>
        <w:rPr>
          <w:rtl/>
        </w:rPr>
      </w:pPr>
      <w:r w:rsidRPr="000F47B2">
        <w:rPr>
          <w:rStyle w:val="FootnoteReference"/>
          <w:szCs w:val="26"/>
          <w:vertAlign w:val="baseline"/>
          <w:rtl/>
        </w:rPr>
        <w:t>(</w:t>
      </w:r>
      <w:r w:rsidRPr="000F47B2">
        <w:rPr>
          <w:rStyle w:val="FootnoteReference"/>
          <w:rFonts w:hint="cs"/>
          <w:szCs w:val="26"/>
          <w:vertAlign w:val="baseline"/>
          <w:rtl/>
        </w:rPr>
        <w:t>9</w:t>
      </w:r>
      <w:r w:rsidRPr="000F47B2">
        <w:rPr>
          <w:rStyle w:val="FootnoteReference"/>
          <w:szCs w:val="26"/>
          <w:vertAlign w:val="baseline"/>
          <w:rtl/>
        </w:rPr>
        <w:t>)</w:t>
      </w:r>
      <w:r w:rsidRPr="000F47B2">
        <w:rPr>
          <w:rtl/>
        </w:rPr>
        <w:tab/>
      </w:r>
      <w:r w:rsidRPr="00170F39">
        <w:rPr>
          <w:lang w:val="fr-CH"/>
        </w:rPr>
        <w:t>Fille et garçon, sur le chemin de l’égalité de l’école à l’enseignement supérieur, 2016</w:t>
      </w:r>
      <w:r w:rsidRPr="000F47B2">
        <w:rPr>
          <w:rFonts w:hint="cs"/>
          <w:rtl/>
        </w:rPr>
        <w:t>.</w:t>
      </w:r>
      <w:r>
        <w:rPr>
          <w:rtl/>
        </w:rPr>
        <w:tab/>
      </w:r>
      <w:r>
        <w:rPr>
          <w:rFonts w:hint="cs"/>
          <w:rtl/>
        </w:rPr>
        <w:t xml:space="preserve"> </w:t>
      </w:r>
      <w:r>
        <w:rPr>
          <w:rtl/>
        </w:rPr>
        <w:br/>
      </w:r>
      <w:r w:rsidRPr="008F1138">
        <w:t>http://cache.media.education.gouv.fr/file/2016/40/1/FetG_2016_542401.pdf</w:t>
      </w:r>
      <w:r>
        <w:rPr>
          <w:rFonts w:hint="cs"/>
          <w:rtl/>
        </w:rPr>
        <w:t>.</w:t>
      </w:r>
    </w:p>
  </w:footnote>
  <w:footnote w:id="13">
    <w:p w:rsidR="008F7F42" w:rsidRPr="000F47B2" w:rsidRDefault="008F7F42" w:rsidP="00514289">
      <w:pPr>
        <w:pStyle w:val="FootnoteText1"/>
        <w:rPr>
          <w:rtl/>
        </w:rPr>
      </w:pPr>
      <w:r w:rsidRPr="000F47B2">
        <w:rPr>
          <w:rStyle w:val="FootnoteReference"/>
          <w:szCs w:val="26"/>
          <w:vertAlign w:val="baseline"/>
          <w:rtl/>
        </w:rPr>
        <w:t>(</w:t>
      </w:r>
      <w:r w:rsidRPr="000F47B2">
        <w:rPr>
          <w:rStyle w:val="FootnoteReference"/>
          <w:rFonts w:hint="cs"/>
          <w:szCs w:val="26"/>
          <w:vertAlign w:val="baseline"/>
          <w:rtl/>
        </w:rPr>
        <w:t>1</w:t>
      </w:r>
      <w:r w:rsidRPr="000F47B2">
        <w:rPr>
          <w:rFonts w:hint="cs"/>
          <w:rtl/>
        </w:rPr>
        <w:t>0</w:t>
      </w:r>
      <w:r w:rsidRPr="000F47B2">
        <w:rPr>
          <w:rStyle w:val="FootnoteReference"/>
          <w:szCs w:val="26"/>
          <w:vertAlign w:val="baseline"/>
          <w:rtl/>
        </w:rPr>
        <w:t>)</w:t>
      </w:r>
      <w:r w:rsidRPr="000F47B2">
        <w:rPr>
          <w:rtl/>
        </w:rPr>
        <w:tab/>
      </w:r>
      <w:r w:rsidRPr="000F47B2">
        <w:rPr>
          <w:rFonts w:hint="cs"/>
          <w:rtl/>
        </w:rPr>
        <w:t>القانون رقم 83-634.</w:t>
      </w:r>
    </w:p>
  </w:footnote>
  <w:footnote w:id="14">
    <w:p w:rsidR="008F7F42" w:rsidRPr="000F47B2" w:rsidRDefault="008F7F42" w:rsidP="00514289">
      <w:pPr>
        <w:pStyle w:val="FootnoteText1"/>
        <w:rPr>
          <w:rtl/>
        </w:rPr>
      </w:pPr>
      <w:r w:rsidRPr="000F47B2">
        <w:rPr>
          <w:rStyle w:val="FootnoteReference"/>
          <w:szCs w:val="26"/>
          <w:vertAlign w:val="baseline"/>
          <w:rtl/>
        </w:rPr>
        <w:t>(</w:t>
      </w:r>
      <w:r w:rsidRPr="000F47B2">
        <w:rPr>
          <w:rStyle w:val="FootnoteReference"/>
          <w:rFonts w:hint="cs"/>
          <w:szCs w:val="26"/>
          <w:vertAlign w:val="baseline"/>
          <w:rtl/>
        </w:rPr>
        <w:t>1</w:t>
      </w:r>
      <w:r w:rsidRPr="000F47B2">
        <w:rPr>
          <w:rFonts w:hint="cs"/>
          <w:rtl/>
        </w:rPr>
        <w:t>1</w:t>
      </w:r>
      <w:r w:rsidRPr="000F47B2">
        <w:rPr>
          <w:rStyle w:val="FootnoteReference"/>
          <w:szCs w:val="26"/>
          <w:vertAlign w:val="baseline"/>
          <w:rtl/>
        </w:rPr>
        <w:t>)</w:t>
      </w:r>
      <w:r w:rsidRPr="000F47B2">
        <w:rPr>
          <w:rtl/>
        </w:rPr>
        <w:tab/>
        <w:t xml:space="preserve">القانون رقم 2012-347 المؤرخ 12 آذار/مارس 2012 المتعلق بالحصول على الوظائف </w:t>
      </w:r>
      <w:r w:rsidRPr="000F47B2">
        <w:rPr>
          <w:rFonts w:hint="cs"/>
          <w:rtl/>
        </w:rPr>
        <w:t xml:space="preserve">الدائمة </w:t>
      </w:r>
      <w:r w:rsidRPr="000F47B2">
        <w:rPr>
          <w:rtl/>
        </w:rPr>
        <w:t xml:space="preserve">وبتحسين ظروف عمل الأشخاص </w:t>
      </w:r>
      <w:r w:rsidRPr="000F47B2">
        <w:rPr>
          <w:rFonts w:hint="cs"/>
          <w:rtl/>
        </w:rPr>
        <w:t xml:space="preserve">العاملين بموجب عقود </w:t>
      </w:r>
      <w:r w:rsidRPr="000F47B2">
        <w:rPr>
          <w:rtl/>
        </w:rPr>
        <w:t xml:space="preserve">في الوظيفة العامة، وبمكافحة </w:t>
      </w:r>
      <w:r w:rsidRPr="000F47B2">
        <w:rPr>
          <w:rFonts w:hint="cs"/>
          <w:rtl/>
        </w:rPr>
        <w:t xml:space="preserve">أفعال </w:t>
      </w:r>
      <w:r w:rsidRPr="000F47B2">
        <w:rPr>
          <w:rtl/>
        </w:rPr>
        <w:t xml:space="preserve">التمييز، </w:t>
      </w:r>
      <w:r w:rsidRPr="000F47B2">
        <w:rPr>
          <w:rFonts w:hint="cs"/>
          <w:rtl/>
        </w:rPr>
        <w:t>والمتضمن ل</w:t>
      </w:r>
      <w:r w:rsidRPr="000F47B2">
        <w:rPr>
          <w:rtl/>
        </w:rPr>
        <w:t>أحكام شتى بشأن الوظيفة العامة</w:t>
      </w:r>
      <w:r w:rsidRPr="000F47B2">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42" w:rsidRPr="00944A3C" w:rsidRDefault="008F7F42" w:rsidP="00944A3C">
    <w:pPr>
      <w:pStyle w:val="Header"/>
      <w:jc w:val="right"/>
    </w:pPr>
    <w:r w:rsidRPr="00944A3C">
      <w:t>HRI/CORE/FRA/2017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42" w:rsidRPr="00944A3C" w:rsidRDefault="008F7F42" w:rsidP="00944A3C">
    <w:pPr>
      <w:pStyle w:val="Header"/>
      <w:jc w:val="left"/>
    </w:pPr>
    <w:r w:rsidRPr="00944A3C">
      <w:t>HRI/CORE/FRA/2017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F78FE"/>
    <w:multiLevelType w:val="hybridMultilevel"/>
    <w:tmpl w:val="1910019C"/>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1" w15:restartNumberingAfterBreak="0">
    <w:nsid w:val="094C5D26"/>
    <w:multiLevelType w:val="hybridMultilevel"/>
    <w:tmpl w:val="97482406"/>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8C70CA"/>
    <w:multiLevelType w:val="hybridMultilevel"/>
    <w:tmpl w:val="6EE008C0"/>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4" w15:restartNumberingAfterBreak="0">
    <w:nsid w:val="25561DD5"/>
    <w:multiLevelType w:val="hybridMultilevel"/>
    <w:tmpl w:val="48BEED2C"/>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6" w15:restartNumberingAfterBreak="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B383FC7"/>
    <w:multiLevelType w:val="hybridMultilevel"/>
    <w:tmpl w:val="C9E4AF30"/>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8" w15:restartNumberingAfterBreak="0">
    <w:nsid w:val="3036316B"/>
    <w:multiLevelType w:val="hybridMultilevel"/>
    <w:tmpl w:val="0C7A2108"/>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9" w15:restartNumberingAfterBreak="0">
    <w:nsid w:val="305B6176"/>
    <w:multiLevelType w:val="hybridMultilevel"/>
    <w:tmpl w:val="55A895A8"/>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0"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15:restartNumberingAfterBreak="0">
    <w:nsid w:val="46F72F83"/>
    <w:multiLevelType w:val="hybridMultilevel"/>
    <w:tmpl w:val="01E2B022"/>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4" w15:restartNumberingAfterBreak="0">
    <w:nsid w:val="59A97A8B"/>
    <w:multiLevelType w:val="hybridMultilevel"/>
    <w:tmpl w:val="D07801A0"/>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5" w15:restartNumberingAfterBreak="0">
    <w:nsid w:val="5BE23638"/>
    <w:multiLevelType w:val="hybridMultilevel"/>
    <w:tmpl w:val="5D505FC6"/>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6" w15:restartNumberingAfterBreak="0">
    <w:nsid w:val="5E6B006F"/>
    <w:multiLevelType w:val="multilevel"/>
    <w:tmpl w:val="0C0A0023"/>
    <w:styleLink w:val="ArticleSection"/>
    <w:lvl w:ilvl="0">
      <w:start w:val="1"/>
      <w:numFmt w:val="upperRoman"/>
      <w:pStyle w:val="Heading1"/>
      <w:lvlText w:val="Artículo %1."/>
      <w:lvlJc w:val="left"/>
      <w:pPr>
        <w:tabs>
          <w:tab w:val="num" w:pos="1440"/>
        </w:tabs>
        <w:ind w:left="0" w:firstLine="0"/>
      </w:pPr>
    </w:lvl>
    <w:lvl w:ilvl="1">
      <w:start w:val="1"/>
      <w:numFmt w:val="decimalZero"/>
      <w:pStyle w:val="Heading2"/>
      <w:isLgl/>
      <w:lvlText w:val="Secció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7" w15:restartNumberingAfterBreak="0">
    <w:nsid w:val="66CF4F02"/>
    <w:multiLevelType w:val="hybridMultilevel"/>
    <w:tmpl w:val="A346466E"/>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8" w15:restartNumberingAfterBreak="0">
    <w:nsid w:val="69942686"/>
    <w:multiLevelType w:val="hybridMultilevel"/>
    <w:tmpl w:val="141A888C"/>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292E47"/>
    <w:multiLevelType w:val="hybridMultilevel"/>
    <w:tmpl w:val="35C05F8E"/>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31" w15:restartNumberingAfterBreak="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A08534D"/>
    <w:multiLevelType w:val="hybridMultilevel"/>
    <w:tmpl w:val="03CE6BC2"/>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3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4" w15:restartNumberingAfterBreak="0">
    <w:nsid w:val="7E444356"/>
    <w:multiLevelType w:val="hybridMultilevel"/>
    <w:tmpl w:val="EF984D2C"/>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num w:numId="1">
    <w:abstractNumId w:val="20"/>
  </w:num>
  <w:num w:numId="2">
    <w:abstractNumId w:val="12"/>
  </w:num>
  <w:num w:numId="3">
    <w:abstractNumId w:val="22"/>
  </w:num>
  <w:num w:numId="4">
    <w:abstractNumId w:val="15"/>
  </w:num>
  <w:num w:numId="5">
    <w:abstractNumId w:val="33"/>
  </w:num>
  <w:num w:numId="6">
    <w:abstractNumId w:val="26"/>
  </w:num>
  <w:num w:numId="7">
    <w:abstractNumId w:val="16"/>
  </w:num>
  <w:num w:numId="8">
    <w:abstractNumId w:val="31"/>
  </w:num>
  <w:num w:numId="9">
    <w:abstractNumId w:val="29"/>
    <w:lvlOverride w:ilvl="0">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0">
    <w:abstractNumId w:val="2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28"/>
  </w:num>
  <w:num w:numId="23">
    <w:abstractNumId w:val="34"/>
  </w:num>
  <w:num w:numId="24">
    <w:abstractNumId w:val="10"/>
  </w:num>
  <w:num w:numId="25">
    <w:abstractNumId w:val="23"/>
  </w:num>
  <w:num w:numId="26">
    <w:abstractNumId w:val="11"/>
  </w:num>
  <w:num w:numId="27">
    <w:abstractNumId w:val="24"/>
  </w:num>
  <w:num w:numId="28">
    <w:abstractNumId w:val="18"/>
  </w:num>
  <w:num w:numId="29">
    <w:abstractNumId w:val="30"/>
  </w:num>
  <w:num w:numId="30">
    <w:abstractNumId w:val="13"/>
  </w:num>
  <w:num w:numId="31">
    <w:abstractNumId w:val="32"/>
  </w:num>
  <w:num w:numId="32">
    <w:abstractNumId w:val="25"/>
  </w:num>
  <w:num w:numId="33">
    <w:abstractNumId w:val="14"/>
  </w:num>
  <w:num w:numId="34">
    <w:abstractNumId w:val="17"/>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680"/>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53E38"/>
    <w:rsid w:val="000076D5"/>
    <w:rsid w:val="000275C5"/>
    <w:rsid w:val="00043663"/>
    <w:rsid w:val="00046546"/>
    <w:rsid w:val="000505CF"/>
    <w:rsid w:val="00050FB2"/>
    <w:rsid w:val="00053200"/>
    <w:rsid w:val="000579DA"/>
    <w:rsid w:val="00066DA1"/>
    <w:rsid w:val="000744B4"/>
    <w:rsid w:val="00082E34"/>
    <w:rsid w:val="0008714C"/>
    <w:rsid w:val="000A3047"/>
    <w:rsid w:val="000A5694"/>
    <w:rsid w:val="000B2815"/>
    <w:rsid w:val="000D1BA4"/>
    <w:rsid w:val="000D393D"/>
    <w:rsid w:val="000D701C"/>
    <w:rsid w:val="000E2A71"/>
    <w:rsid w:val="000F47B2"/>
    <w:rsid w:val="00101884"/>
    <w:rsid w:val="0011124C"/>
    <w:rsid w:val="00114D86"/>
    <w:rsid w:val="00144AB8"/>
    <w:rsid w:val="00153506"/>
    <w:rsid w:val="00153E38"/>
    <w:rsid w:val="00160263"/>
    <w:rsid w:val="00162F1A"/>
    <w:rsid w:val="00170F39"/>
    <w:rsid w:val="00175D65"/>
    <w:rsid w:val="00181F96"/>
    <w:rsid w:val="001A1371"/>
    <w:rsid w:val="001B346A"/>
    <w:rsid w:val="001B5257"/>
    <w:rsid w:val="001D4D90"/>
    <w:rsid w:val="001D62CB"/>
    <w:rsid w:val="001E1CAD"/>
    <w:rsid w:val="001E290D"/>
    <w:rsid w:val="002144FA"/>
    <w:rsid w:val="0023469A"/>
    <w:rsid w:val="00234EE6"/>
    <w:rsid w:val="00235F79"/>
    <w:rsid w:val="00243C8A"/>
    <w:rsid w:val="00246FA0"/>
    <w:rsid w:val="00251138"/>
    <w:rsid w:val="0025779A"/>
    <w:rsid w:val="00267A0E"/>
    <w:rsid w:val="002901D9"/>
    <w:rsid w:val="00291FB8"/>
    <w:rsid w:val="00293C20"/>
    <w:rsid w:val="002976C2"/>
    <w:rsid w:val="002A12D6"/>
    <w:rsid w:val="002B33D9"/>
    <w:rsid w:val="002D7359"/>
    <w:rsid w:val="002E7A2D"/>
    <w:rsid w:val="002F2536"/>
    <w:rsid w:val="002F2DD7"/>
    <w:rsid w:val="003133FB"/>
    <w:rsid w:val="0031739C"/>
    <w:rsid w:val="00317979"/>
    <w:rsid w:val="00317E96"/>
    <w:rsid w:val="00323F71"/>
    <w:rsid w:val="003260FF"/>
    <w:rsid w:val="00343D95"/>
    <w:rsid w:val="00354CC2"/>
    <w:rsid w:val="00373D79"/>
    <w:rsid w:val="00374341"/>
    <w:rsid w:val="003A2A9D"/>
    <w:rsid w:val="003A6EF4"/>
    <w:rsid w:val="003B3243"/>
    <w:rsid w:val="003C01C6"/>
    <w:rsid w:val="003C667A"/>
    <w:rsid w:val="003D1062"/>
    <w:rsid w:val="003E156C"/>
    <w:rsid w:val="00405BF7"/>
    <w:rsid w:val="00420D7B"/>
    <w:rsid w:val="00437D92"/>
    <w:rsid w:val="004414B5"/>
    <w:rsid w:val="00443A06"/>
    <w:rsid w:val="00446794"/>
    <w:rsid w:val="00450B21"/>
    <w:rsid w:val="00453B63"/>
    <w:rsid w:val="00455780"/>
    <w:rsid w:val="00460075"/>
    <w:rsid w:val="00462B09"/>
    <w:rsid w:val="00472D4B"/>
    <w:rsid w:val="00474F52"/>
    <w:rsid w:val="004B0A1C"/>
    <w:rsid w:val="004B1E2F"/>
    <w:rsid w:val="004B5A99"/>
    <w:rsid w:val="004C2FEB"/>
    <w:rsid w:val="004C38AE"/>
    <w:rsid w:val="004D298E"/>
    <w:rsid w:val="004E7E9D"/>
    <w:rsid w:val="004F00AD"/>
    <w:rsid w:val="00514289"/>
    <w:rsid w:val="005243D1"/>
    <w:rsid w:val="00526CCD"/>
    <w:rsid w:val="0054311D"/>
    <w:rsid w:val="0054472E"/>
    <w:rsid w:val="005454AA"/>
    <w:rsid w:val="00557F92"/>
    <w:rsid w:val="005662A9"/>
    <w:rsid w:val="005714DA"/>
    <w:rsid w:val="00571B1B"/>
    <w:rsid w:val="005827D4"/>
    <w:rsid w:val="005835C3"/>
    <w:rsid w:val="0059622A"/>
    <w:rsid w:val="005B1ED0"/>
    <w:rsid w:val="005B3767"/>
    <w:rsid w:val="005C0E11"/>
    <w:rsid w:val="005C435D"/>
    <w:rsid w:val="005C5878"/>
    <w:rsid w:val="005C7CEA"/>
    <w:rsid w:val="005C7D50"/>
    <w:rsid w:val="005D3C0B"/>
    <w:rsid w:val="005E1224"/>
    <w:rsid w:val="005E5217"/>
    <w:rsid w:val="005F0FA4"/>
    <w:rsid w:val="005F30EE"/>
    <w:rsid w:val="005F7CA8"/>
    <w:rsid w:val="0060473A"/>
    <w:rsid w:val="00610FD7"/>
    <w:rsid w:val="006277D4"/>
    <w:rsid w:val="006456A5"/>
    <w:rsid w:val="00654D86"/>
    <w:rsid w:val="00656392"/>
    <w:rsid w:val="00670E59"/>
    <w:rsid w:val="00685476"/>
    <w:rsid w:val="0068781D"/>
    <w:rsid w:val="006937DF"/>
    <w:rsid w:val="006959B0"/>
    <w:rsid w:val="006A19C6"/>
    <w:rsid w:val="006A427B"/>
    <w:rsid w:val="006A5D03"/>
    <w:rsid w:val="006B3E27"/>
    <w:rsid w:val="006B4367"/>
    <w:rsid w:val="006B6507"/>
    <w:rsid w:val="006C104C"/>
    <w:rsid w:val="00701D3A"/>
    <w:rsid w:val="00710556"/>
    <w:rsid w:val="00725CEF"/>
    <w:rsid w:val="007331ED"/>
    <w:rsid w:val="00733704"/>
    <w:rsid w:val="00746503"/>
    <w:rsid w:val="00747C96"/>
    <w:rsid w:val="00753F32"/>
    <w:rsid w:val="00771201"/>
    <w:rsid w:val="0078071A"/>
    <w:rsid w:val="007833BF"/>
    <w:rsid w:val="00784D1A"/>
    <w:rsid w:val="007B5213"/>
    <w:rsid w:val="007C0291"/>
    <w:rsid w:val="007C1295"/>
    <w:rsid w:val="007F1D0A"/>
    <w:rsid w:val="00817295"/>
    <w:rsid w:val="00820BD2"/>
    <w:rsid w:val="0082773D"/>
    <w:rsid w:val="00843D2F"/>
    <w:rsid w:val="00852A9A"/>
    <w:rsid w:val="0086182B"/>
    <w:rsid w:val="008761E8"/>
    <w:rsid w:val="008845BC"/>
    <w:rsid w:val="008D0DB1"/>
    <w:rsid w:val="008F49E1"/>
    <w:rsid w:val="008F4CE5"/>
    <w:rsid w:val="008F769D"/>
    <w:rsid w:val="008F7F42"/>
    <w:rsid w:val="0090370F"/>
    <w:rsid w:val="00916573"/>
    <w:rsid w:val="00923147"/>
    <w:rsid w:val="009269D2"/>
    <w:rsid w:val="00934B39"/>
    <w:rsid w:val="00942135"/>
    <w:rsid w:val="00944A3C"/>
    <w:rsid w:val="009521B0"/>
    <w:rsid w:val="00954384"/>
    <w:rsid w:val="009640C6"/>
    <w:rsid w:val="009872C2"/>
    <w:rsid w:val="00994130"/>
    <w:rsid w:val="0099714A"/>
    <w:rsid w:val="009A7E9F"/>
    <w:rsid w:val="009C1D4D"/>
    <w:rsid w:val="009D5894"/>
    <w:rsid w:val="009E333A"/>
    <w:rsid w:val="009E5018"/>
    <w:rsid w:val="009F5891"/>
    <w:rsid w:val="00A10A96"/>
    <w:rsid w:val="00A1269F"/>
    <w:rsid w:val="00A12B37"/>
    <w:rsid w:val="00A130A4"/>
    <w:rsid w:val="00A14F2B"/>
    <w:rsid w:val="00A35A5C"/>
    <w:rsid w:val="00A61A72"/>
    <w:rsid w:val="00A67CC6"/>
    <w:rsid w:val="00A82765"/>
    <w:rsid w:val="00AA29CE"/>
    <w:rsid w:val="00AB6758"/>
    <w:rsid w:val="00B028D3"/>
    <w:rsid w:val="00B13763"/>
    <w:rsid w:val="00B20B0D"/>
    <w:rsid w:val="00B27C28"/>
    <w:rsid w:val="00B42001"/>
    <w:rsid w:val="00B4300A"/>
    <w:rsid w:val="00B477A4"/>
    <w:rsid w:val="00B54045"/>
    <w:rsid w:val="00B7139C"/>
    <w:rsid w:val="00B75392"/>
    <w:rsid w:val="00B8115D"/>
    <w:rsid w:val="00B903D6"/>
    <w:rsid w:val="00B928BF"/>
    <w:rsid w:val="00B938B8"/>
    <w:rsid w:val="00B95BE0"/>
    <w:rsid w:val="00BA2F01"/>
    <w:rsid w:val="00BA58BB"/>
    <w:rsid w:val="00BD70FF"/>
    <w:rsid w:val="00BF5086"/>
    <w:rsid w:val="00C11CCF"/>
    <w:rsid w:val="00C414C4"/>
    <w:rsid w:val="00C41D01"/>
    <w:rsid w:val="00C4375A"/>
    <w:rsid w:val="00C438D7"/>
    <w:rsid w:val="00C5246A"/>
    <w:rsid w:val="00C56AA7"/>
    <w:rsid w:val="00C75DCD"/>
    <w:rsid w:val="00C8116A"/>
    <w:rsid w:val="00C81B50"/>
    <w:rsid w:val="00C87775"/>
    <w:rsid w:val="00CA0783"/>
    <w:rsid w:val="00CB28F9"/>
    <w:rsid w:val="00CB62C2"/>
    <w:rsid w:val="00CB63DF"/>
    <w:rsid w:val="00CC5E6F"/>
    <w:rsid w:val="00CD1801"/>
    <w:rsid w:val="00CD26A2"/>
    <w:rsid w:val="00CD290E"/>
    <w:rsid w:val="00CE2E50"/>
    <w:rsid w:val="00CF4E25"/>
    <w:rsid w:val="00D04129"/>
    <w:rsid w:val="00D10EF1"/>
    <w:rsid w:val="00D22A9B"/>
    <w:rsid w:val="00D33C79"/>
    <w:rsid w:val="00D4138D"/>
    <w:rsid w:val="00D42810"/>
    <w:rsid w:val="00D450DE"/>
    <w:rsid w:val="00D522B4"/>
    <w:rsid w:val="00D575E7"/>
    <w:rsid w:val="00D60E9C"/>
    <w:rsid w:val="00D914A7"/>
    <w:rsid w:val="00D92A2B"/>
    <w:rsid w:val="00DD13C3"/>
    <w:rsid w:val="00DD596E"/>
    <w:rsid w:val="00DD60A1"/>
    <w:rsid w:val="00DD621E"/>
    <w:rsid w:val="00DF0575"/>
    <w:rsid w:val="00DF6F09"/>
    <w:rsid w:val="00E07363"/>
    <w:rsid w:val="00E122CF"/>
    <w:rsid w:val="00E1547E"/>
    <w:rsid w:val="00E224C2"/>
    <w:rsid w:val="00E37044"/>
    <w:rsid w:val="00E43E16"/>
    <w:rsid w:val="00E658B4"/>
    <w:rsid w:val="00E70E04"/>
    <w:rsid w:val="00E756C5"/>
    <w:rsid w:val="00E76499"/>
    <w:rsid w:val="00E8716F"/>
    <w:rsid w:val="00EB0C1E"/>
    <w:rsid w:val="00EC05A7"/>
    <w:rsid w:val="00EC4B6B"/>
    <w:rsid w:val="00EE5432"/>
    <w:rsid w:val="00EF1EE5"/>
    <w:rsid w:val="00F403AE"/>
    <w:rsid w:val="00F6797C"/>
    <w:rsid w:val="00F763B4"/>
    <w:rsid w:val="00F85901"/>
    <w:rsid w:val="00F900C3"/>
    <w:rsid w:val="00F94D08"/>
    <w:rsid w:val="00FE634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ECD747"/>
  <w15:docId w15:val="{7F5CACFE-40EA-4059-A99E-311F91DF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Cuadro_G"/>
    <w:basedOn w:val="SingleTxtGA"/>
    <w:next w:val="Normal"/>
    <w:link w:val="Heading1Char"/>
    <w:qFormat/>
    <w:rsid w:val="00AB6758"/>
    <w:pPr>
      <w:numPr>
        <w:numId w:val="6"/>
      </w:numPr>
      <w:suppressAutoHyphens/>
      <w:bidi w:val="0"/>
      <w:outlineLvl w:val="0"/>
    </w:pPr>
  </w:style>
  <w:style w:type="paragraph" w:styleId="Heading2">
    <w:name w:val="heading 2"/>
    <w:basedOn w:val="Normal"/>
    <w:next w:val="Normal"/>
    <w:link w:val="Heading2Char"/>
    <w:unhideWhenUsed/>
    <w:qFormat/>
    <w:rsid w:val="00455780"/>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54D86"/>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C667A"/>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2F1A"/>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0D393D"/>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Cuadro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26"/>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qFormat/>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ArticleSection">
    <w:name w:val="Outline List 3"/>
    <w:basedOn w:val="NoList"/>
    <w:rsid w:val="00944A3C"/>
    <w:pPr>
      <w:numPr>
        <w:numId w:val="6"/>
      </w:numPr>
    </w:pPr>
  </w:style>
  <w:style w:type="numbering" w:styleId="111111">
    <w:name w:val="Outline List 2"/>
    <w:basedOn w:val="NoList"/>
    <w:semiHidden/>
    <w:rsid w:val="00944A3C"/>
    <w:pPr>
      <w:numPr>
        <w:numId w:val="7"/>
      </w:numPr>
    </w:pPr>
  </w:style>
  <w:style w:type="numbering" w:styleId="1ai">
    <w:name w:val="Outline List 1"/>
    <w:basedOn w:val="NoList"/>
    <w:semiHidden/>
    <w:rsid w:val="00944A3C"/>
    <w:pPr>
      <w:numPr>
        <w:numId w:val="8"/>
      </w:numPr>
    </w:pPr>
  </w:style>
  <w:style w:type="paragraph" w:customStyle="1" w:styleId="SingleTxt">
    <w:name w:val="__Single Txt"/>
    <w:basedOn w:val="Normal"/>
    <w:rsid w:val="00944A3C"/>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customStyle="1" w:styleId="H1">
    <w:name w:val="_ H_1"/>
    <w:basedOn w:val="Normal"/>
    <w:next w:val="Normal"/>
    <w:rsid w:val="00944A3C"/>
    <w:pPr>
      <w:keepNext/>
      <w:keepLines/>
      <w:suppressAutoHyphens/>
      <w:spacing w:line="400" w:lineRule="exact"/>
      <w:outlineLvl w:val="0"/>
    </w:pPr>
    <w:rPr>
      <w:b/>
      <w:bCs/>
      <w:w w:val="103"/>
      <w:kern w:val="14"/>
      <w:sz w:val="24"/>
      <w:szCs w:val="34"/>
    </w:rPr>
  </w:style>
  <w:style w:type="paragraph" w:styleId="TOC1">
    <w:name w:val="toc 1"/>
    <w:basedOn w:val="Normal"/>
    <w:next w:val="Normal"/>
    <w:autoRedefine/>
    <w:uiPriority w:val="39"/>
    <w:rsid w:val="00944A3C"/>
  </w:style>
  <w:style w:type="paragraph" w:styleId="TOC2">
    <w:name w:val="toc 2"/>
    <w:basedOn w:val="Normal"/>
    <w:next w:val="Normal"/>
    <w:autoRedefine/>
    <w:semiHidden/>
    <w:rsid w:val="00944A3C"/>
    <w:pPr>
      <w:ind w:left="200"/>
    </w:pPr>
  </w:style>
  <w:style w:type="character" w:styleId="Hyperlink">
    <w:name w:val="Hyperlink"/>
    <w:uiPriority w:val="99"/>
    <w:rsid w:val="00944A3C"/>
    <w:rPr>
      <w:color w:val="0000FF"/>
      <w:u w:val="single"/>
    </w:rPr>
  </w:style>
  <w:style w:type="paragraph" w:customStyle="1" w:styleId="HMG">
    <w:name w:val="_ H __M_G"/>
    <w:basedOn w:val="Normal"/>
    <w:next w:val="Normal"/>
    <w:qFormat/>
    <w:rsid w:val="00944A3C"/>
    <w:pPr>
      <w:keepNext/>
      <w:keepLines/>
      <w:tabs>
        <w:tab w:val="right" w:pos="851"/>
      </w:tabs>
      <w:suppressAutoHyphens/>
      <w:bidi w:val="0"/>
      <w:spacing w:before="240" w:after="240" w:line="360" w:lineRule="exact"/>
      <w:ind w:left="1134" w:right="1134" w:hanging="1134"/>
      <w:jc w:val="left"/>
    </w:pPr>
    <w:rPr>
      <w:rFonts w:hint="cs"/>
      <w:b/>
      <w:sz w:val="34"/>
      <w:lang w:val="es-ES" w:eastAsia="es-ES"/>
    </w:rPr>
  </w:style>
  <w:style w:type="paragraph" w:customStyle="1" w:styleId="HChG">
    <w:name w:val="_ H _Ch_G"/>
    <w:basedOn w:val="Normal"/>
    <w:next w:val="Normal"/>
    <w:qFormat/>
    <w:rsid w:val="00944A3C"/>
    <w:pPr>
      <w:keepNext/>
      <w:keepLines/>
      <w:tabs>
        <w:tab w:val="right" w:pos="851"/>
      </w:tabs>
      <w:suppressAutoHyphens/>
      <w:bidi w:val="0"/>
      <w:spacing w:before="360" w:after="240" w:line="300" w:lineRule="exact"/>
      <w:ind w:left="1134" w:right="1134" w:hanging="1134"/>
      <w:jc w:val="left"/>
    </w:pPr>
    <w:rPr>
      <w:rFonts w:hint="cs"/>
      <w:b/>
      <w:sz w:val="28"/>
      <w:lang w:val="es-ES" w:eastAsia="es-ES"/>
    </w:rPr>
  </w:style>
  <w:style w:type="paragraph" w:customStyle="1" w:styleId="H1G">
    <w:name w:val="_ H_1_G"/>
    <w:basedOn w:val="Normal"/>
    <w:next w:val="Normal"/>
    <w:qFormat/>
    <w:rsid w:val="00944A3C"/>
    <w:pPr>
      <w:keepNext/>
      <w:keepLines/>
      <w:tabs>
        <w:tab w:val="right" w:pos="851"/>
      </w:tabs>
      <w:suppressAutoHyphens/>
      <w:bidi w:val="0"/>
      <w:spacing w:before="360" w:after="240" w:line="270" w:lineRule="exact"/>
      <w:ind w:left="1134" w:right="1134" w:hanging="1134"/>
      <w:jc w:val="left"/>
    </w:pPr>
    <w:rPr>
      <w:rFonts w:hint="cs"/>
      <w:b/>
      <w:sz w:val="24"/>
      <w:lang w:val="es-ES" w:eastAsia="es-ES"/>
    </w:rPr>
  </w:style>
  <w:style w:type="paragraph" w:customStyle="1" w:styleId="H23G">
    <w:name w:val="_ H_2/3_G"/>
    <w:basedOn w:val="Normal"/>
    <w:next w:val="Normal"/>
    <w:qFormat/>
    <w:rsid w:val="00944A3C"/>
    <w:pPr>
      <w:keepNext/>
      <w:keepLines/>
      <w:tabs>
        <w:tab w:val="right" w:pos="851"/>
      </w:tabs>
      <w:suppressAutoHyphens/>
      <w:bidi w:val="0"/>
      <w:spacing w:before="240" w:after="120" w:line="240" w:lineRule="exact"/>
      <w:ind w:left="1134" w:right="1134" w:hanging="1134"/>
      <w:jc w:val="left"/>
    </w:pPr>
    <w:rPr>
      <w:rFonts w:hint="cs"/>
      <w:b/>
      <w:lang w:val="es-ES" w:eastAsia="es-ES"/>
    </w:rPr>
  </w:style>
  <w:style w:type="paragraph" w:customStyle="1" w:styleId="H4G">
    <w:name w:val="_ H_4_G"/>
    <w:basedOn w:val="Normal"/>
    <w:next w:val="Normal"/>
    <w:qFormat/>
    <w:rsid w:val="00944A3C"/>
    <w:pPr>
      <w:keepNext/>
      <w:keepLines/>
      <w:tabs>
        <w:tab w:val="right" w:pos="851"/>
      </w:tabs>
      <w:suppressAutoHyphens/>
      <w:bidi w:val="0"/>
      <w:spacing w:before="240" w:after="120" w:line="240" w:lineRule="exact"/>
      <w:ind w:left="1134" w:right="1134" w:hanging="1134"/>
      <w:jc w:val="left"/>
    </w:pPr>
    <w:rPr>
      <w:rFonts w:hint="cs"/>
      <w:i/>
      <w:lang w:val="es-ES" w:eastAsia="es-ES"/>
    </w:rPr>
  </w:style>
  <w:style w:type="paragraph" w:customStyle="1" w:styleId="H56G">
    <w:name w:val="_ H_5/6_G"/>
    <w:basedOn w:val="Normal"/>
    <w:next w:val="Normal"/>
    <w:qFormat/>
    <w:rsid w:val="00944A3C"/>
    <w:pPr>
      <w:keepNext/>
      <w:keepLines/>
      <w:tabs>
        <w:tab w:val="right" w:pos="851"/>
      </w:tabs>
      <w:suppressAutoHyphens/>
      <w:bidi w:val="0"/>
      <w:spacing w:before="240" w:after="120" w:line="240" w:lineRule="exact"/>
      <w:ind w:left="1134" w:right="1134" w:hanging="1134"/>
      <w:jc w:val="left"/>
    </w:pPr>
    <w:rPr>
      <w:rFonts w:hint="cs"/>
      <w:lang w:val="es-ES" w:eastAsia="es-ES"/>
    </w:rPr>
  </w:style>
  <w:style w:type="paragraph" w:customStyle="1" w:styleId="SingleTxtG">
    <w:name w:val="_ Single Txt_G"/>
    <w:basedOn w:val="Normal"/>
    <w:link w:val="SingleTxtGChar"/>
    <w:qFormat/>
    <w:rsid w:val="00944A3C"/>
    <w:pPr>
      <w:bidi w:val="0"/>
      <w:spacing w:after="120"/>
      <w:ind w:left="1134" w:right="1134"/>
      <w:jc w:val="both"/>
    </w:pPr>
    <w:rPr>
      <w:rFonts w:cs="Times New Roman"/>
      <w:lang w:val="es-ES" w:eastAsia="es-ES"/>
    </w:rPr>
  </w:style>
  <w:style w:type="paragraph" w:customStyle="1" w:styleId="SMG">
    <w:name w:val="__S_M_G"/>
    <w:basedOn w:val="Normal"/>
    <w:next w:val="Normal"/>
    <w:rsid w:val="00944A3C"/>
    <w:pPr>
      <w:keepNext/>
      <w:keepLines/>
      <w:suppressAutoHyphens/>
      <w:bidi w:val="0"/>
      <w:spacing w:before="240" w:after="240" w:line="420" w:lineRule="exact"/>
      <w:ind w:left="1134" w:right="1134"/>
      <w:jc w:val="left"/>
    </w:pPr>
    <w:rPr>
      <w:rFonts w:hint="cs"/>
      <w:b/>
      <w:sz w:val="40"/>
      <w:lang w:val="es-ES" w:eastAsia="es-ES"/>
    </w:rPr>
  </w:style>
  <w:style w:type="paragraph" w:customStyle="1" w:styleId="SLG">
    <w:name w:val="__S_L_G"/>
    <w:basedOn w:val="Normal"/>
    <w:next w:val="Normal"/>
    <w:rsid w:val="00944A3C"/>
    <w:pPr>
      <w:keepNext/>
      <w:keepLines/>
      <w:bidi w:val="0"/>
      <w:spacing w:before="240" w:after="240" w:line="580" w:lineRule="exact"/>
      <w:ind w:left="1134" w:right="1134"/>
      <w:jc w:val="left"/>
    </w:pPr>
    <w:rPr>
      <w:rFonts w:hint="cs"/>
      <w:b/>
      <w:sz w:val="56"/>
      <w:lang w:val="es-ES" w:eastAsia="es-ES"/>
    </w:rPr>
  </w:style>
  <w:style w:type="paragraph" w:customStyle="1" w:styleId="SSG">
    <w:name w:val="__S_S_G"/>
    <w:basedOn w:val="Normal"/>
    <w:next w:val="Normal"/>
    <w:rsid w:val="00944A3C"/>
    <w:pPr>
      <w:keepNext/>
      <w:keepLines/>
      <w:bidi w:val="0"/>
      <w:spacing w:before="240" w:after="240" w:line="300" w:lineRule="exact"/>
      <w:ind w:left="1134" w:right="1134"/>
      <w:jc w:val="left"/>
    </w:pPr>
    <w:rPr>
      <w:rFonts w:hint="cs"/>
      <w:b/>
      <w:sz w:val="28"/>
      <w:lang w:val="es-ES" w:eastAsia="es-ES"/>
    </w:rPr>
  </w:style>
  <w:style w:type="paragraph" w:customStyle="1" w:styleId="XLargeG">
    <w:name w:val="__XLarge_G"/>
    <w:basedOn w:val="Normal"/>
    <w:next w:val="Normal"/>
    <w:rsid w:val="00944A3C"/>
    <w:pPr>
      <w:keepNext/>
      <w:keepLines/>
      <w:bidi w:val="0"/>
      <w:spacing w:before="240" w:after="240" w:line="420" w:lineRule="exact"/>
      <w:ind w:left="1134" w:right="1134"/>
      <w:jc w:val="left"/>
    </w:pPr>
    <w:rPr>
      <w:rFonts w:hint="cs"/>
      <w:b/>
      <w:sz w:val="40"/>
      <w:lang w:val="es-ES" w:eastAsia="es-ES"/>
    </w:rPr>
  </w:style>
  <w:style w:type="character" w:styleId="HTMLCode">
    <w:name w:val="HTML Code"/>
    <w:rsid w:val="00944A3C"/>
    <w:rPr>
      <w:rFonts w:ascii="Courier New" w:hAnsi="Courier New" w:cs="Courier New"/>
      <w:sz w:val="20"/>
      <w:szCs w:val="20"/>
    </w:rPr>
  </w:style>
  <w:style w:type="character" w:styleId="HTMLAcronym">
    <w:name w:val="HTML Acronym"/>
    <w:basedOn w:val="DefaultParagraphFont"/>
    <w:rsid w:val="00944A3C"/>
  </w:style>
  <w:style w:type="paragraph" w:styleId="Closing">
    <w:name w:val="Closing"/>
    <w:basedOn w:val="Normal"/>
    <w:link w:val="ClosingChar"/>
    <w:rsid w:val="00944A3C"/>
    <w:pPr>
      <w:bidi w:val="0"/>
      <w:ind w:left="4252"/>
      <w:jc w:val="left"/>
    </w:pPr>
    <w:rPr>
      <w:rFonts w:cs="Times New Roman"/>
      <w:lang w:val="es-ES" w:eastAsia="es-ES"/>
    </w:rPr>
  </w:style>
  <w:style w:type="character" w:customStyle="1" w:styleId="ClosingChar">
    <w:name w:val="Closing Char"/>
    <w:basedOn w:val="DefaultParagraphFont"/>
    <w:link w:val="Closing"/>
    <w:rsid w:val="00944A3C"/>
    <w:rPr>
      <w:rFonts w:ascii="Times New Roman" w:hAnsi="Times New Roman" w:cs="Times New Roman"/>
      <w:sz w:val="20"/>
      <w:szCs w:val="30"/>
      <w:lang w:val="es-ES" w:eastAsia="es-ES"/>
    </w:rPr>
  </w:style>
  <w:style w:type="character" w:styleId="HTMLCite">
    <w:name w:val="HTML Cite"/>
    <w:rsid w:val="00944A3C"/>
    <w:rPr>
      <w:i/>
      <w:iCs/>
    </w:rPr>
  </w:style>
  <w:style w:type="paragraph" w:styleId="ListContinue">
    <w:name w:val="List Continue"/>
    <w:basedOn w:val="Normal"/>
    <w:rsid w:val="00944A3C"/>
    <w:pPr>
      <w:bidi w:val="0"/>
      <w:spacing w:after="120"/>
      <w:ind w:left="283"/>
      <w:jc w:val="left"/>
    </w:pPr>
    <w:rPr>
      <w:rFonts w:hint="cs"/>
      <w:lang w:val="es-ES" w:eastAsia="es-ES"/>
    </w:rPr>
  </w:style>
  <w:style w:type="paragraph" w:styleId="ListContinue2">
    <w:name w:val="List Continue 2"/>
    <w:basedOn w:val="Normal"/>
    <w:rsid w:val="00944A3C"/>
    <w:pPr>
      <w:bidi w:val="0"/>
      <w:spacing w:after="120"/>
      <w:ind w:left="566"/>
      <w:jc w:val="left"/>
    </w:pPr>
    <w:rPr>
      <w:rFonts w:hint="cs"/>
      <w:lang w:val="es-ES" w:eastAsia="es-ES"/>
    </w:rPr>
  </w:style>
  <w:style w:type="paragraph" w:styleId="ListContinue3">
    <w:name w:val="List Continue 3"/>
    <w:basedOn w:val="Normal"/>
    <w:rsid w:val="00944A3C"/>
    <w:pPr>
      <w:bidi w:val="0"/>
      <w:spacing w:after="120"/>
      <w:ind w:left="849"/>
      <w:jc w:val="left"/>
    </w:pPr>
    <w:rPr>
      <w:rFonts w:hint="cs"/>
      <w:lang w:val="es-ES" w:eastAsia="es-ES"/>
    </w:rPr>
  </w:style>
  <w:style w:type="paragraph" w:styleId="ListContinue4">
    <w:name w:val="List Continue 4"/>
    <w:basedOn w:val="Normal"/>
    <w:rsid w:val="00944A3C"/>
    <w:pPr>
      <w:bidi w:val="0"/>
      <w:spacing w:after="120"/>
      <w:ind w:left="1132"/>
      <w:jc w:val="left"/>
    </w:pPr>
    <w:rPr>
      <w:rFonts w:hint="cs"/>
      <w:lang w:val="es-ES" w:eastAsia="es-ES"/>
    </w:rPr>
  </w:style>
  <w:style w:type="paragraph" w:styleId="ListContinue5">
    <w:name w:val="List Continue 5"/>
    <w:basedOn w:val="Normal"/>
    <w:rsid w:val="00944A3C"/>
    <w:pPr>
      <w:bidi w:val="0"/>
      <w:spacing w:after="120"/>
      <w:ind w:left="1415"/>
      <w:jc w:val="left"/>
    </w:pPr>
    <w:rPr>
      <w:rFonts w:hint="cs"/>
      <w:lang w:val="es-ES" w:eastAsia="es-ES"/>
    </w:rPr>
  </w:style>
  <w:style w:type="character" w:styleId="HTMLDefinition">
    <w:name w:val="HTML Definition"/>
    <w:rsid w:val="00944A3C"/>
    <w:rPr>
      <w:i/>
      <w:iCs/>
    </w:rPr>
  </w:style>
  <w:style w:type="paragraph" w:styleId="HTMLAddress">
    <w:name w:val="HTML Address"/>
    <w:basedOn w:val="Normal"/>
    <w:link w:val="HTMLAddressChar"/>
    <w:rsid w:val="00944A3C"/>
    <w:pPr>
      <w:bidi w:val="0"/>
      <w:jc w:val="left"/>
    </w:pPr>
    <w:rPr>
      <w:rFonts w:cs="Times New Roman"/>
      <w:i/>
      <w:iCs/>
      <w:lang w:val="es-ES" w:eastAsia="es-ES"/>
    </w:rPr>
  </w:style>
  <w:style w:type="character" w:customStyle="1" w:styleId="HTMLAddressChar">
    <w:name w:val="HTML Address Char"/>
    <w:basedOn w:val="DefaultParagraphFont"/>
    <w:link w:val="HTMLAddress"/>
    <w:rsid w:val="00944A3C"/>
    <w:rPr>
      <w:rFonts w:ascii="Times New Roman" w:hAnsi="Times New Roman" w:cs="Times New Roman"/>
      <w:i/>
      <w:iCs/>
      <w:sz w:val="20"/>
      <w:szCs w:val="30"/>
      <w:lang w:val="es-ES" w:eastAsia="es-ES"/>
    </w:rPr>
  </w:style>
  <w:style w:type="paragraph" w:styleId="EnvelopeAddress">
    <w:name w:val="envelope address"/>
    <w:basedOn w:val="Normal"/>
    <w:rsid w:val="00944A3C"/>
    <w:pPr>
      <w:framePr w:w="7920" w:h="1980" w:hRule="exact" w:hSpace="141" w:wrap="auto" w:hAnchor="page" w:xAlign="center" w:yAlign="bottom"/>
      <w:bidi w:val="0"/>
      <w:ind w:left="2880"/>
      <w:jc w:val="left"/>
    </w:pPr>
    <w:rPr>
      <w:rFonts w:ascii="Arial" w:hAnsi="Arial" w:cs="Arial" w:hint="cs"/>
      <w:sz w:val="24"/>
      <w:szCs w:val="24"/>
      <w:lang w:val="es-ES" w:eastAsia="es-ES"/>
    </w:rPr>
  </w:style>
  <w:style w:type="character" w:styleId="HTMLSample">
    <w:name w:val="HTML Sample"/>
    <w:rsid w:val="00944A3C"/>
    <w:rPr>
      <w:rFonts w:ascii="Courier New" w:hAnsi="Courier New" w:cs="Courier New"/>
    </w:rPr>
  </w:style>
  <w:style w:type="paragraph" w:styleId="MessageHeader">
    <w:name w:val="Message Header"/>
    <w:basedOn w:val="Normal"/>
    <w:link w:val="MessageHeaderChar"/>
    <w:rsid w:val="00944A3C"/>
    <w:pPr>
      <w:pBdr>
        <w:top w:val="single" w:sz="6" w:space="1" w:color="auto"/>
        <w:left w:val="single" w:sz="6" w:space="1" w:color="auto"/>
        <w:bottom w:val="single" w:sz="6" w:space="1" w:color="auto"/>
        <w:right w:val="single" w:sz="6" w:space="1" w:color="auto"/>
      </w:pBdr>
      <w:shd w:val="pct20" w:color="auto" w:fill="auto"/>
      <w:bidi w:val="0"/>
      <w:ind w:left="1134" w:hanging="1134"/>
      <w:jc w:val="left"/>
    </w:pPr>
    <w:rPr>
      <w:rFonts w:ascii="Arial" w:hAnsi="Arial" w:cs="Times New Roman"/>
      <w:sz w:val="24"/>
      <w:szCs w:val="24"/>
      <w:lang w:val="es-ES" w:eastAsia="es-ES"/>
    </w:rPr>
  </w:style>
  <w:style w:type="character" w:customStyle="1" w:styleId="MessageHeaderChar">
    <w:name w:val="Message Header Char"/>
    <w:basedOn w:val="DefaultParagraphFont"/>
    <w:link w:val="MessageHeader"/>
    <w:rsid w:val="00944A3C"/>
    <w:rPr>
      <w:rFonts w:ascii="Arial" w:hAnsi="Arial" w:cs="Times New Roman"/>
      <w:sz w:val="24"/>
      <w:szCs w:val="24"/>
      <w:shd w:val="pct20" w:color="auto" w:fill="auto"/>
      <w:lang w:val="es-ES" w:eastAsia="es-ES"/>
    </w:rPr>
  </w:style>
  <w:style w:type="paragraph" w:styleId="NoteHeading">
    <w:name w:val="Note Heading"/>
    <w:basedOn w:val="Normal"/>
    <w:next w:val="Normal"/>
    <w:link w:val="NoteHeadingChar"/>
    <w:rsid w:val="00944A3C"/>
    <w:pPr>
      <w:bidi w:val="0"/>
      <w:jc w:val="left"/>
    </w:pPr>
    <w:rPr>
      <w:rFonts w:cs="Times New Roman"/>
      <w:lang w:val="es-ES" w:eastAsia="es-ES"/>
    </w:rPr>
  </w:style>
  <w:style w:type="character" w:customStyle="1" w:styleId="NoteHeadingChar">
    <w:name w:val="Note Heading Char"/>
    <w:basedOn w:val="DefaultParagraphFont"/>
    <w:link w:val="NoteHeading"/>
    <w:rsid w:val="00944A3C"/>
    <w:rPr>
      <w:rFonts w:ascii="Times New Roman" w:hAnsi="Times New Roman" w:cs="Times New Roman"/>
      <w:sz w:val="20"/>
      <w:szCs w:val="30"/>
      <w:lang w:val="es-ES" w:eastAsia="es-ES"/>
    </w:rPr>
  </w:style>
  <w:style w:type="paragraph" w:styleId="Date">
    <w:name w:val="Date"/>
    <w:basedOn w:val="Normal"/>
    <w:next w:val="Normal"/>
    <w:link w:val="DateChar"/>
    <w:rsid w:val="00944A3C"/>
    <w:pPr>
      <w:bidi w:val="0"/>
      <w:jc w:val="left"/>
    </w:pPr>
    <w:rPr>
      <w:rFonts w:cs="Times New Roman"/>
      <w:lang w:val="es-ES" w:eastAsia="es-ES"/>
    </w:rPr>
  </w:style>
  <w:style w:type="character" w:customStyle="1" w:styleId="DateChar">
    <w:name w:val="Date Char"/>
    <w:basedOn w:val="DefaultParagraphFont"/>
    <w:link w:val="Date"/>
    <w:rsid w:val="00944A3C"/>
    <w:rPr>
      <w:rFonts w:ascii="Times New Roman" w:hAnsi="Times New Roman" w:cs="Times New Roman"/>
      <w:sz w:val="20"/>
      <w:szCs w:val="30"/>
      <w:lang w:val="es-ES" w:eastAsia="es-ES"/>
    </w:rPr>
  </w:style>
  <w:style w:type="paragraph" w:styleId="Signature">
    <w:name w:val="Signature"/>
    <w:basedOn w:val="Normal"/>
    <w:link w:val="SignatureChar"/>
    <w:rsid w:val="00944A3C"/>
    <w:pPr>
      <w:bidi w:val="0"/>
      <w:ind w:left="4252"/>
      <w:jc w:val="left"/>
    </w:pPr>
    <w:rPr>
      <w:rFonts w:cs="Times New Roman"/>
      <w:lang w:val="es-ES" w:eastAsia="es-ES"/>
    </w:rPr>
  </w:style>
  <w:style w:type="character" w:customStyle="1" w:styleId="SignatureChar">
    <w:name w:val="Signature Char"/>
    <w:basedOn w:val="DefaultParagraphFont"/>
    <w:link w:val="Signature"/>
    <w:rsid w:val="00944A3C"/>
    <w:rPr>
      <w:rFonts w:ascii="Times New Roman" w:hAnsi="Times New Roman" w:cs="Times New Roman"/>
      <w:sz w:val="20"/>
      <w:szCs w:val="30"/>
      <w:lang w:val="es-ES" w:eastAsia="es-ES"/>
    </w:rPr>
  </w:style>
  <w:style w:type="paragraph" w:styleId="E-mailSignature">
    <w:name w:val="E-mail Signature"/>
    <w:basedOn w:val="Normal"/>
    <w:link w:val="E-mailSignatureChar"/>
    <w:rsid w:val="00944A3C"/>
    <w:pPr>
      <w:bidi w:val="0"/>
      <w:jc w:val="left"/>
    </w:pPr>
    <w:rPr>
      <w:rFonts w:cs="Times New Roman"/>
      <w:lang w:val="es-ES" w:eastAsia="es-ES"/>
    </w:rPr>
  </w:style>
  <w:style w:type="character" w:customStyle="1" w:styleId="E-mailSignatureChar">
    <w:name w:val="E-mail Signature Char"/>
    <w:basedOn w:val="DefaultParagraphFont"/>
    <w:link w:val="E-mailSignature"/>
    <w:rsid w:val="00944A3C"/>
    <w:rPr>
      <w:rFonts w:ascii="Times New Roman" w:hAnsi="Times New Roman" w:cs="Times New Roman"/>
      <w:sz w:val="20"/>
      <w:szCs w:val="30"/>
      <w:lang w:val="es-ES" w:eastAsia="es-ES"/>
    </w:rPr>
  </w:style>
  <w:style w:type="character" w:styleId="FollowedHyperlink">
    <w:name w:val="FollowedHyperlink"/>
    <w:rsid w:val="00944A3C"/>
    <w:rPr>
      <w:color w:val="0000FF"/>
      <w:u w:val="none"/>
    </w:rPr>
  </w:style>
  <w:style w:type="paragraph" w:styleId="HTMLPreformatted">
    <w:name w:val="HTML Preformatted"/>
    <w:basedOn w:val="Normal"/>
    <w:link w:val="HTMLPreformattedChar"/>
    <w:rsid w:val="00944A3C"/>
    <w:pPr>
      <w:bidi w:val="0"/>
      <w:jc w:val="left"/>
    </w:pPr>
    <w:rPr>
      <w:rFonts w:ascii="Courier New" w:hAnsi="Courier New" w:cs="Times New Roman"/>
      <w:lang w:val="es-ES" w:eastAsia="es-ES"/>
    </w:rPr>
  </w:style>
  <w:style w:type="character" w:customStyle="1" w:styleId="HTMLPreformattedChar">
    <w:name w:val="HTML Preformatted Char"/>
    <w:basedOn w:val="DefaultParagraphFont"/>
    <w:link w:val="HTMLPreformatted"/>
    <w:rsid w:val="00944A3C"/>
    <w:rPr>
      <w:rFonts w:ascii="Courier New" w:hAnsi="Courier New" w:cs="Times New Roman"/>
      <w:sz w:val="20"/>
      <w:szCs w:val="30"/>
      <w:lang w:val="es-ES" w:eastAsia="es-ES"/>
    </w:rPr>
  </w:style>
  <w:style w:type="paragraph" w:styleId="List">
    <w:name w:val="List"/>
    <w:basedOn w:val="Normal"/>
    <w:rsid w:val="00944A3C"/>
    <w:pPr>
      <w:bidi w:val="0"/>
      <w:ind w:left="283" w:hanging="283"/>
      <w:jc w:val="left"/>
    </w:pPr>
    <w:rPr>
      <w:rFonts w:hint="cs"/>
      <w:lang w:val="es-ES" w:eastAsia="es-ES"/>
    </w:rPr>
  </w:style>
  <w:style w:type="paragraph" w:styleId="List2">
    <w:name w:val="List 2"/>
    <w:basedOn w:val="Normal"/>
    <w:rsid w:val="00944A3C"/>
    <w:pPr>
      <w:bidi w:val="0"/>
      <w:ind w:left="566" w:hanging="283"/>
      <w:jc w:val="left"/>
    </w:pPr>
    <w:rPr>
      <w:rFonts w:hint="cs"/>
      <w:lang w:val="es-ES" w:eastAsia="es-ES"/>
    </w:rPr>
  </w:style>
  <w:style w:type="paragraph" w:styleId="List3">
    <w:name w:val="List 3"/>
    <w:basedOn w:val="Normal"/>
    <w:rsid w:val="00944A3C"/>
    <w:pPr>
      <w:bidi w:val="0"/>
      <w:ind w:left="849" w:hanging="283"/>
      <w:jc w:val="left"/>
    </w:pPr>
    <w:rPr>
      <w:rFonts w:hint="cs"/>
      <w:lang w:val="es-ES" w:eastAsia="es-ES"/>
    </w:rPr>
  </w:style>
  <w:style w:type="paragraph" w:styleId="List4">
    <w:name w:val="List 4"/>
    <w:basedOn w:val="Normal"/>
    <w:rsid w:val="00944A3C"/>
    <w:pPr>
      <w:bidi w:val="0"/>
      <w:ind w:left="1132" w:hanging="283"/>
      <w:jc w:val="left"/>
    </w:pPr>
    <w:rPr>
      <w:rFonts w:hint="cs"/>
      <w:lang w:val="es-ES" w:eastAsia="es-ES"/>
    </w:rPr>
  </w:style>
  <w:style w:type="paragraph" w:styleId="List5">
    <w:name w:val="List 5"/>
    <w:basedOn w:val="Normal"/>
    <w:rsid w:val="00944A3C"/>
    <w:pPr>
      <w:bidi w:val="0"/>
      <w:ind w:left="1415" w:hanging="283"/>
      <w:jc w:val="left"/>
    </w:pPr>
    <w:rPr>
      <w:rFonts w:hint="cs"/>
      <w:lang w:val="es-ES" w:eastAsia="es-ES"/>
    </w:rPr>
  </w:style>
  <w:style w:type="paragraph" w:styleId="ListNumber">
    <w:name w:val="List Number"/>
    <w:basedOn w:val="Normal"/>
    <w:rsid w:val="00944A3C"/>
    <w:pPr>
      <w:numPr>
        <w:numId w:val="11"/>
      </w:numPr>
      <w:bidi w:val="0"/>
      <w:jc w:val="left"/>
    </w:pPr>
    <w:rPr>
      <w:rFonts w:hint="cs"/>
      <w:lang w:val="es-ES" w:eastAsia="es-ES"/>
    </w:rPr>
  </w:style>
  <w:style w:type="paragraph" w:styleId="ListNumber2">
    <w:name w:val="List Number 2"/>
    <w:basedOn w:val="Normal"/>
    <w:rsid w:val="00944A3C"/>
    <w:pPr>
      <w:numPr>
        <w:numId w:val="12"/>
      </w:numPr>
      <w:bidi w:val="0"/>
      <w:jc w:val="left"/>
    </w:pPr>
    <w:rPr>
      <w:rFonts w:hint="cs"/>
      <w:lang w:val="es-ES" w:eastAsia="es-ES"/>
    </w:rPr>
  </w:style>
  <w:style w:type="paragraph" w:styleId="ListNumber3">
    <w:name w:val="List Number 3"/>
    <w:basedOn w:val="Normal"/>
    <w:rsid w:val="00944A3C"/>
    <w:pPr>
      <w:numPr>
        <w:numId w:val="13"/>
      </w:numPr>
      <w:bidi w:val="0"/>
      <w:jc w:val="left"/>
    </w:pPr>
    <w:rPr>
      <w:rFonts w:hint="cs"/>
      <w:lang w:val="es-ES" w:eastAsia="es-ES"/>
    </w:rPr>
  </w:style>
  <w:style w:type="paragraph" w:styleId="ListNumber4">
    <w:name w:val="List Number 4"/>
    <w:basedOn w:val="Normal"/>
    <w:rsid w:val="00944A3C"/>
    <w:pPr>
      <w:numPr>
        <w:numId w:val="14"/>
      </w:numPr>
      <w:bidi w:val="0"/>
      <w:jc w:val="left"/>
    </w:pPr>
    <w:rPr>
      <w:rFonts w:hint="cs"/>
      <w:lang w:val="es-ES" w:eastAsia="es-ES"/>
    </w:rPr>
  </w:style>
  <w:style w:type="paragraph" w:styleId="ListNumber5">
    <w:name w:val="List Number 5"/>
    <w:basedOn w:val="Normal"/>
    <w:rsid w:val="00944A3C"/>
    <w:pPr>
      <w:numPr>
        <w:numId w:val="15"/>
      </w:numPr>
      <w:bidi w:val="0"/>
      <w:jc w:val="left"/>
    </w:pPr>
    <w:rPr>
      <w:rFonts w:hint="cs"/>
      <w:lang w:val="es-ES" w:eastAsia="es-ES"/>
    </w:rPr>
  </w:style>
  <w:style w:type="paragraph" w:styleId="ListBullet">
    <w:name w:val="List Bullet"/>
    <w:basedOn w:val="Normal"/>
    <w:rsid w:val="00944A3C"/>
    <w:pPr>
      <w:numPr>
        <w:numId w:val="16"/>
      </w:numPr>
      <w:bidi w:val="0"/>
      <w:jc w:val="left"/>
    </w:pPr>
    <w:rPr>
      <w:rFonts w:hint="cs"/>
      <w:lang w:val="es-ES" w:eastAsia="es-ES"/>
    </w:rPr>
  </w:style>
  <w:style w:type="paragraph" w:styleId="ListBullet2">
    <w:name w:val="List Bullet 2"/>
    <w:basedOn w:val="Normal"/>
    <w:rsid w:val="00944A3C"/>
    <w:pPr>
      <w:numPr>
        <w:numId w:val="17"/>
      </w:numPr>
      <w:bidi w:val="0"/>
      <w:jc w:val="left"/>
    </w:pPr>
    <w:rPr>
      <w:rFonts w:hint="cs"/>
      <w:lang w:val="es-ES" w:eastAsia="es-ES"/>
    </w:rPr>
  </w:style>
  <w:style w:type="paragraph" w:styleId="ListBullet3">
    <w:name w:val="List Bullet 3"/>
    <w:basedOn w:val="Normal"/>
    <w:rsid w:val="00944A3C"/>
    <w:pPr>
      <w:numPr>
        <w:numId w:val="18"/>
      </w:numPr>
      <w:bidi w:val="0"/>
      <w:jc w:val="left"/>
    </w:pPr>
    <w:rPr>
      <w:rFonts w:hint="cs"/>
      <w:lang w:val="es-ES" w:eastAsia="es-ES"/>
    </w:rPr>
  </w:style>
  <w:style w:type="paragraph" w:styleId="ListBullet4">
    <w:name w:val="List Bullet 4"/>
    <w:basedOn w:val="Normal"/>
    <w:rsid w:val="00944A3C"/>
    <w:pPr>
      <w:numPr>
        <w:numId w:val="19"/>
      </w:numPr>
      <w:bidi w:val="0"/>
      <w:jc w:val="left"/>
    </w:pPr>
    <w:rPr>
      <w:rFonts w:hint="cs"/>
      <w:lang w:val="es-ES" w:eastAsia="es-ES"/>
    </w:rPr>
  </w:style>
  <w:style w:type="paragraph" w:styleId="ListBullet5">
    <w:name w:val="List Bullet 5"/>
    <w:basedOn w:val="Normal"/>
    <w:rsid w:val="00944A3C"/>
    <w:pPr>
      <w:numPr>
        <w:numId w:val="20"/>
      </w:numPr>
      <w:bidi w:val="0"/>
      <w:jc w:val="left"/>
    </w:pPr>
    <w:rPr>
      <w:rFonts w:hint="cs"/>
      <w:lang w:val="es-ES" w:eastAsia="es-ES"/>
    </w:rPr>
  </w:style>
  <w:style w:type="character" w:styleId="HTMLTypewriter">
    <w:name w:val="HTML Typewriter"/>
    <w:rsid w:val="00944A3C"/>
    <w:rPr>
      <w:rFonts w:ascii="Courier New" w:hAnsi="Courier New" w:cs="Courier New"/>
      <w:sz w:val="20"/>
      <w:szCs w:val="20"/>
    </w:rPr>
  </w:style>
  <w:style w:type="paragraph" w:styleId="NormalWeb">
    <w:name w:val="Normal (Web)"/>
    <w:basedOn w:val="Normal"/>
    <w:rsid w:val="00944A3C"/>
    <w:pPr>
      <w:bidi w:val="0"/>
      <w:jc w:val="left"/>
    </w:pPr>
    <w:rPr>
      <w:rFonts w:hint="cs"/>
      <w:sz w:val="24"/>
      <w:szCs w:val="24"/>
      <w:lang w:val="es-ES" w:eastAsia="es-ES"/>
    </w:rPr>
  </w:style>
  <w:style w:type="character" w:styleId="LineNumber">
    <w:name w:val="line number"/>
    <w:basedOn w:val="DefaultParagraphFont"/>
    <w:rsid w:val="00944A3C"/>
  </w:style>
  <w:style w:type="paragraph" w:styleId="EnvelopeReturn">
    <w:name w:val="envelope return"/>
    <w:basedOn w:val="Normal"/>
    <w:rsid w:val="00944A3C"/>
    <w:pPr>
      <w:bidi w:val="0"/>
      <w:jc w:val="left"/>
    </w:pPr>
    <w:rPr>
      <w:rFonts w:ascii="Arial" w:hAnsi="Arial" w:cs="Arial" w:hint="cs"/>
      <w:lang w:val="es-ES" w:eastAsia="es-ES"/>
    </w:rPr>
  </w:style>
  <w:style w:type="paragraph" w:styleId="Salutation">
    <w:name w:val="Salutation"/>
    <w:basedOn w:val="Normal"/>
    <w:next w:val="Normal"/>
    <w:link w:val="SalutationChar"/>
    <w:rsid w:val="00944A3C"/>
    <w:pPr>
      <w:bidi w:val="0"/>
      <w:jc w:val="left"/>
    </w:pPr>
    <w:rPr>
      <w:rFonts w:cs="Times New Roman"/>
      <w:lang w:val="es-ES" w:eastAsia="es-ES"/>
    </w:rPr>
  </w:style>
  <w:style w:type="character" w:customStyle="1" w:styleId="SalutationChar">
    <w:name w:val="Salutation Char"/>
    <w:basedOn w:val="DefaultParagraphFont"/>
    <w:link w:val="Salutation"/>
    <w:rsid w:val="00944A3C"/>
    <w:rPr>
      <w:rFonts w:ascii="Times New Roman" w:hAnsi="Times New Roman" w:cs="Times New Roman"/>
      <w:sz w:val="20"/>
      <w:szCs w:val="30"/>
      <w:lang w:val="es-ES" w:eastAsia="es-ES"/>
    </w:rPr>
  </w:style>
  <w:style w:type="paragraph" w:styleId="BodyTextIndent2">
    <w:name w:val="Body Text Indent 2"/>
    <w:basedOn w:val="Normal"/>
    <w:link w:val="BodyTextIndent2Char"/>
    <w:rsid w:val="00944A3C"/>
    <w:pPr>
      <w:bidi w:val="0"/>
      <w:spacing w:after="120" w:line="480" w:lineRule="auto"/>
      <w:ind w:left="283"/>
      <w:jc w:val="left"/>
    </w:pPr>
    <w:rPr>
      <w:rFonts w:cs="Times New Roman"/>
      <w:lang w:val="es-ES" w:eastAsia="es-ES"/>
    </w:rPr>
  </w:style>
  <w:style w:type="character" w:customStyle="1" w:styleId="BodyTextIndent2Char">
    <w:name w:val="Body Text Indent 2 Char"/>
    <w:basedOn w:val="DefaultParagraphFont"/>
    <w:link w:val="BodyTextIndent2"/>
    <w:rsid w:val="00944A3C"/>
    <w:rPr>
      <w:rFonts w:ascii="Times New Roman" w:hAnsi="Times New Roman" w:cs="Times New Roman"/>
      <w:sz w:val="20"/>
      <w:szCs w:val="30"/>
      <w:lang w:val="es-ES" w:eastAsia="es-ES"/>
    </w:rPr>
  </w:style>
  <w:style w:type="paragraph" w:styleId="BodyTextIndent3">
    <w:name w:val="Body Text Indent 3"/>
    <w:basedOn w:val="Normal"/>
    <w:link w:val="BodyTextIndent3Char"/>
    <w:rsid w:val="00944A3C"/>
    <w:pPr>
      <w:bidi w:val="0"/>
      <w:spacing w:after="120"/>
      <w:ind w:left="283"/>
      <w:jc w:val="left"/>
    </w:pPr>
    <w:rPr>
      <w:rFonts w:cs="Times New Roman"/>
      <w:sz w:val="16"/>
      <w:szCs w:val="16"/>
      <w:lang w:val="es-ES" w:eastAsia="es-ES"/>
    </w:rPr>
  </w:style>
  <w:style w:type="character" w:customStyle="1" w:styleId="BodyTextIndent3Char">
    <w:name w:val="Body Text Indent 3 Char"/>
    <w:basedOn w:val="DefaultParagraphFont"/>
    <w:link w:val="BodyTextIndent3"/>
    <w:rsid w:val="00944A3C"/>
    <w:rPr>
      <w:rFonts w:ascii="Times New Roman" w:hAnsi="Times New Roman" w:cs="Times New Roman"/>
      <w:sz w:val="16"/>
      <w:szCs w:val="16"/>
      <w:lang w:val="es-ES" w:eastAsia="es-ES"/>
    </w:rPr>
  </w:style>
  <w:style w:type="paragraph" w:styleId="BodyTextIndent">
    <w:name w:val="Body Text Indent"/>
    <w:basedOn w:val="Normal"/>
    <w:link w:val="BodyTextIndentChar"/>
    <w:rsid w:val="00944A3C"/>
    <w:pPr>
      <w:bidi w:val="0"/>
      <w:spacing w:after="120"/>
      <w:ind w:left="283"/>
      <w:jc w:val="left"/>
    </w:pPr>
    <w:rPr>
      <w:rFonts w:cs="Times New Roman"/>
      <w:lang w:val="es-ES" w:eastAsia="es-ES"/>
    </w:rPr>
  </w:style>
  <w:style w:type="character" w:customStyle="1" w:styleId="BodyTextIndentChar">
    <w:name w:val="Body Text Indent Char"/>
    <w:basedOn w:val="DefaultParagraphFont"/>
    <w:link w:val="BodyTextIndent"/>
    <w:rsid w:val="00944A3C"/>
    <w:rPr>
      <w:rFonts w:ascii="Times New Roman" w:hAnsi="Times New Roman" w:cs="Times New Roman"/>
      <w:sz w:val="20"/>
      <w:szCs w:val="30"/>
      <w:lang w:val="es-ES" w:eastAsia="es-ES"/>
    </w:rPr>
  </w:style>
  <w:style w:type="paragraph" w:styleId="NormalIndent">
    <w:name w:val="Normal Indent"/>
    <w:basedOn w:val="Normal"/>
    <w:rsid w:val="00944A3C"/>
    <w:pPr>
      <w:bidi w:val="0"/>
      <w:ind w:left="567"/>
      <w:jc w:val="left"/>
    </w:pPr>
    <w:rPr>
      <w:rFonts w:hint="cs"/>
      <w:lang w:val="es-ES" w:eastAsia="es-ES"/>
    </w:rPr>
  </w:style>
  <w:style w:type="table" w:styleId="TableSimple1">
    <w:name w:val="Table Simple 1"/>
    <w:basedOn w:val="TableNormal"/>
    <w:rsid w:val="00944A3C"/>
    <w:pPr>
      <w:spacing w:after="0" w:line="240" w:lineRule="atLeas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4A3C"/>
    <w:pPr>
      <w:spacing w:after="0" w:line="240" w:lineRule="atLeas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4A3C"/>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44A3C"/>
    <w:pPr>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4A3C"/>
    <w:pPr>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4A3C"/>
    <w:pPr>
      <w:spacing w:after="0" w:line="24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4A3C"/>
    <w:pPr>
      <w:spacing w:after="0" w:line="24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944A3C"/>
    <w:pPr>
      <w:spacing w:after="0" w:line="24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4A3C"/>
    <w:pPr>
      <w:spacing w:after="0" w:line="240" w:lineRule="atLeas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4A3C"/>
    <w:pPr>
      <w:spacing w:after="0" w:line="24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4A3C"/>
    <w:pPr>
      <w:spacing w:after="0" w:line="240" w:lineRule="atLeas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4A3C"/>
    <w:pPr>
      <w:spacing w:after="0" w:line="24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44A3C"/>
    <w:pPr>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4A3C"/>
    <w:pPr>
      <w:spacing w:after="0" w:line="240" w:lineRule="atLeas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4A3C"/>
    <w:pPr>
      <w:spacing w:after="0" w:line="24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4A3C"/>
    <w:pPr>
      <w:spacing w:after="0" w:line="24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4A3C"/>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4A3C"/>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4A3C"/>
    <w:pPr>
      <w:spacing w:after="0" w:line="24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4A3C"/>
    <w:pPr>
      <w:spacing w:after="0" w:line="24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944A3C"/>
    <w:pPr>
      <w:spacing w:after="0" w:line="240" w:lineRule="atLeas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4A3C"/>
    <w:pPr>
      <w:spacing w:after="0" w:line="240" w:lineRule="atLeas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4A3C"/>
    <w:pPr>
      <w:spacing w:after="0" w:line="240" w:lineRule="atLeas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944A3C"/>
    <w:pPr>
      <w:spacing w:after="0" w:line="24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4A3C"/>
    <w:pPr>
      <w:spacing w:after="0" w:line="240" w:lineRule="atLeas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4A3C"/>
    <w:pPr>
      <w:spacing w:after="0" w:line="24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4A3C"/>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4A3C"/>
    <w:pPr>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4A3C"/>
    <w:pPr>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4A3C"/>
    <w:pPr>
      <w:spacing w:after="0" w:line="24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4A3C"/>
    <w:pPr>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944A3C"/>
    <w:pPr>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944A3C"/>
    <w:pPr>
      <w:spacing w:after="0" w:line="24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944A3C"/>
    <w:pPr>
      <w:spacing w:after="0" w:line="24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944A3C"/>
    <w:pPr>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4A3C"/>
    <w:pPr>
      <w:spacing w:after="0" w:line="240" w:lineRule="atLeas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4A3C"/>
    <w:pPr>
      <w:spacing w:after="0" w:line="24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ullet1G">
    <w:name w:val="_Bullet 1_G"/>
    <w:basedOn w:val="Normal"/>
    <w:qFormat/>
    <w:rsid w:val="00944A3C"/>
    <w:pPr>
      <w:numPr>
        <w:numId w:val="9"/>
      </w:numPr>
      <w:bidi w:val="0"/>
      <w:spacing w:after="120"/>
      <w:ind w:right="1134"/>
      <w:jc w:val="both"/>
    </w:pPr>
    <w:rPr>
      <w:rFonts w:hint="cs"/>
      <w:lang w:val="es-ES"/>
    </w:rPr>
  </w:style>
  <w:style w:type="paragraph" w:customStyle="1" w:styleId="Bullet2G">
    <w:name w:val="_Bullet 2_G"/>
    <w:basedOn w:val="Normal"/>
    <w:qFormat/>
    <w:rsid w:val="00944A3C"/>
    <w:pPr>
      <w:numPr>
        <w:numId w:val="10"/>
      </w:numPr>
      <w:bidi w:val="0"/>
      <w:spacing w:after="120"/>
      <w:ind w:right="1134"/>
      <w:jc w:val="both"/>
    </w:pPr>
    <w:rPr>
      <w:rFonts w:hint="cs"/>
      <w:lang w:val="es-ES" w:eastAsia="es-ES"/>
    </w:rPr>
  </w:style>
  <w:style w:type="table" w:styleId="TableColorful1">
    <w:name w:val="Table Colorful 1"/>
    <w:basedOn w:val="TableNormal"/>
    <w:rsid w:val="00944A3C"/>
    <w:pPr>
      <w:spacing w:after="0" w:line="24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4A3C"/>
    <w:pPr>
      <w:spacing w:after="0" w:line="24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4A3C"/>
    <w:pPr>
      <w:spacing w:after="0" w:line="24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944A3C"/>
    <w:pPr>
      <w:spacing w:after="0" w:line="24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4A3C"/>
    <w:pPr>
      <w:spacing w:after="0" w:line="24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4A3C"/>
    <w:pPr>
      <w:spacing w:after="0" w:line="24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944A3C"/>
    <w:rPr>
      <w:rFonts w:ascii="Courier New" w:hAnsi="Courier New" w:cs="Courier New"/>
      <w:sz w:val="20"/>
      <w:szCs w:val="20"/>
    </w:rPr>
  </w:style>
  <w:style w:type="paragraph" w:styleId="BlockText">
    <w:name w:val="Block Text"/>
    <w:basedOn w:val="Normal"/>
    <w:rsid w:val="00944A3C"/>
    <w:pPr>
      <w:bidi w:val="0"/>
      <w:spacing w:after="120"/>
      <w:ind w:left="1440" w:right="1440"/>
      <w:jc w:val="left"/>
    </w:pPr>
    <w:rPr>
      <w:rFonts w:hint="cs"/>
      <w:lang w:val="es-ES" w:eastAsia="es-ES"/>
    </w:rPr>
  </w:style>
  <w:style w:type="paragraph" w:styleId="BodyText">
    <w:name w:val="Body Text"/>
    <w:basedOn w:val="Normal"/>
    <w:link w:val="BodyTextChar"/>
    <w:rsid w:val="00944A3C"/>
    <w:pPr>
      <w:bidi w:val="0"/>
      <w:spacing w:after="120"/>
      <w:jc w:val="left"/>
    </w:pPr>
    <w:rPr>
      <w:rFonts w:cs="Times New Roman"/>
      <w:lang w:val="es-ES" w:eastAsia="es-ES"/>
    </w:rPr>
  </w:style>
  <w:style w:type="character" w:customStyle="1" w:styleId="BodyTextChar">
    <w:name w:val="Body Text Char"/>
    <w:basedOn w:val="DefaultParagraphFont"/>
    <w:link w:val="BodyText"/>
    <w:rsid w:val="00944A3C"/>
    <w:rPr>
      <w:rFonts w:ascii="Times New Roman" w:hAnsi="Times New Roman" w:cs="Times New Roman"/>
      <w:sz w:val="20"/>
      <w:szCs w:val="30"/>
      <w:lang w:val="es-ES" w:eastAsia="es-ES"/>
    </w:rPr>
  </w:style>
  <w:style w:type="paragraph" w:styleId="BodyText2">
    <w:name w:val="Body Text 2"/>
    <w:basedOn w:val="Normal"/>
    <w:link w:val="BodyText2Char"/>
    <w:rsid w:val="00944A3C"/>
    <w:pPr>
      <w:bidi w:val="0"/>
      <w:spacing w:after="120" w:line="480" w:lineRule="auto"/>
      <w:jc w:val="left"/>
    </w:pPr>
    <w:rPr>
      <w:rFonts w:cs="Times New Roman"/>
      <w:lang w:val="es-ES" w:eastAsia="es-ES"/>
    </w:rPr>
  </w:style>
  <w:style w:type="character" w:customStyle="1" w:styleId="BodyText2Char">
    <w:name w:val="Body Text 2 Char"/>
    <w:basedOn w:val="DefaultParagraphFont"/>
    <w:link w:val="BodyText2"/>
    <w:rsid w:val="00944A3C"/>
    <w:rPr>
      <w:rFonts w:ascii="Times New Roman" w:hAnsi="Times New Roman" w:cs="Times New Roman"/>
      <w:sz w:val="20"/>
      <w:szCs w:val="30"/>
      <w:lang w:val="es-ES" w:eastAsia="es-ES"/>
    </w:rPr>
  </w:style>
  <w:style w:type="paragraph" w:styleId="BodyText3">
    <w:name w:val="Body Text 3"/>
    <w:basedOn w:val="Normal"/>
    <w:link w:val="BodyText3Char"/>
    <w:rsid w:val="00944A3C"/>
    <w:pPr>
      <w:bidi w:val="0"/>
      <w:spacing w:after="120"/>
      <w:jc w:val="left"/>
    </w:pPr>
    <w:rPr>
      <w:rFonts w:cs="Times New Roman"/>
      <w:sz w:val="16"/>
      <w:szCs w:val="16"/>
      <w:lang w:val="es-ES" w:eastAsia="es-ES"/>
    </w:rPr>
  </w:style>
  <w:style w:type="character" w:customStyle="1" w:styleId="BodyText3Char">
    <w:name w:val="Body Text 3 Char"/>
    <w:basedOn w:val="DefaultParagraphFont"/>
    <w:link w:val="BodyText3"/>
    <w:rsid w:val="00944A3C"/>
    <w:rPr>
      <w:rFonts w:ascii="Times New Roman" w:hAnsi="Times New Roman" w:cs="Times New Roman"/>
      <w:sz w:val="16"/>
      <w:szCs w:val="16"/>
      <w:lang w:val="es-ES" w:eastAsia="es-ES"/>
    </w:rPr>
  </w:style>
  <w:style w:type="paragraph" w:styleId="BodyTextFirstIndent">
    <w:name w:val="Body Text First Indent"/>
    <w:basedOn w:val="BodyText"/>
    <w:link w:val="BodyTextFirstIndentChar"/>
    <w:rsid w:val="00944A3C"/>
    <w:pPr>
      <w:ind w:firstLine="210"/>
    </w:pPr>
  </w:style>
  <w:style w:type="character" w:customStyle="1" w:styleId="BodyTextFirstIndentChar">
    <w:name w:val="Body Text First Indent Char"/>
    <w:basedOn w:val="BodyTextChar"/>
    <w:link w:val="BodyTextFirstIndent"/>
    <w:rsid w:val="00944A3C"/>
    <w:rPr>
      <w:rFonts w:ascii="Times New Roman" w:hAnsi="Times New Roman" w:cs="Times New Roman"/>
      <w:sz w:val="20"/>
      <w:szCs w:val="30"/>
      <w:lang w:val="es-ES" w:eastAsia="es-ES"/>
    </w:rPr>
  </w:style>
  <w:style w:type="paragraph" w:styleId="BodyTextFirstIndent2">
    <w:name w:val="Body Text First Indent 2"/>
    <w:basedOn w:val="BodyTextIndent"/>
    <w:link w:val="BodyTextFirstIndent2Char"/>
    <w:rsid w:val="00944A3C"/>
    <w:pPr>
      <w:ind w:firstLine="210"/>
    </w:pPr>
  </w:style>
  <w:style w:type="character" w:customStyle="1" w:styleId="BodyTextFirstIndent2Char">
    <w:name w:val="Body Text First Indent 2 Char"/>
    <w:basedOn w:val="BodyTextIndentChar"/>
    <w:link w:val="BodyTextFirstIndent2"/>
    <w:rsid w:val="00944A3C"/>
    <w:rPr>
      <w:rFonts w:ascii="Times New Roman" w:hAnsi="Times New Roman" w:cs="Times New Roman"/>
      <w:sz w:val="20"/>
      <w:szCs w:val="30"/>
      <w:lang w:val="es-ES" w:eastAsia="es-ES"/>
    </w:rPr>
  </w:style>
  <w:style w:type="paragraph" w:styleId="PlainText">
    <w:name w:val="Plain Text"/>
    <w:basedOn w:val="Normal"/>
    <w:link w:val="PlainTextChar"/>
    <w:rsid w:val="00944A3C"/>
    <w:pPr>
      <w:bidi w:val="0"/>
      <w:jc w:val="left"/>
    </w:pPr>
    <w:rPr>
      <w:rFonts w:ascii="Courier New" w:hAnsi="Courier New" w:cs="Times New Roman"/>
      <w:lang w:val="es-ES" w:eastAsia="es-ES"/>
    </w:rPr>
  </w:style>
  <w:style w:type="character" w:customStyle="1" w:styleId="PlainTextChar">
    <w:name w:val="Plain Text Char"/>
    <w:basedOn w:val="DefaultParagraphFont"/>
    <w:link w:val="PlainText"/>
    <w:rsid w:val="00944A3C"/>
    <w:rPr>
      <w:rFonts w:ascii="Courier New" w:hAnsi="Courier New" w:cs="Times New Roman"/>
      <w:sz w:val="20"/>
      <w:szCs w:val="30"/>
      <w:lang w:val="es-ES" w:eastAsia="es-ES"/>
    </w:rPr>
  </w:style>
  <w:style w:type="character" w:styleId="HTMLVariable">
    <w:name w:val="HTML Variable"/>
    <w:rsid w:val="00944A3C"/>
    <w:rPr>
      <w:i/>
      <w:iCs/>
    </w:rPr>
  </w:style>
  <w:style w:type="character" w:customStyle="1" w:styleId="SingleTxtGChar">
    <w:name w:val="_ Single Txt_G Char"/>
    <w:link w:val="SingleTxtG"/>
    <w:rsid w:val="00944A3C"/>
    <w:rPr>
      <w:rFonts w:ascii="Times New Roman" w:hAnsi="Times New Roman" w:cs="Times New Roman"/>
      <w:sz w:val="20"/>
      <w:szCs w:val="30"/>
      <w:lang w:val="es-ES" w:eastAsia="es-ES"/>
    </w:rPr>
  </w:style>
  <w:style w:type="character" w:customStyle="1" w:styleId="apple-converted-space">
    <w:name w:val="apple-converted-space"/>
    <w:basedOn w:val="DefaultParagraphFont"/>
    <w:rsid w:val="00944A3C"/>
  </w:style>
  <w:style w:type="paragraph" w:styleId="CommentText">
    <w:name w:val="annotation text"/>
    <w:basedOn w:val="Normal"/>
    <w:link w:val="CommentTextChar"/>
    <w:rsid w:val="00944A3C"/>
    <w:rPr>
      <w:rFonts w:cs="Times New Roman"/>
      <w:szCs w:val="20"/>
    </w:rPr>
  </w:style>
  <w:style w:type="character" w:customStyle="1" w:styleId="CommentTextChar">
    <w:name w:val="Comment Text Char"/>
    <w:basedOn w:val="DefaultParagraphFont"/>
    <w:link w:val="CommentText"/>
    <w:rsid w:val="00944A3C"/>
    <w:rPr>
      <w:rFonts w:ascii="Times New Roman" w:hAnsi="Times New Roman" w:cs="Times New Roman"/>
      <w:sz w:val="20"/>
      <w:szCs w:val="20"/>
    </w:rPr>
  </w:style>
  <w:style w:type="paragraph" w:styleId="CommentSubject">
    <w:name w:val="annotation subject"/>
    <w:basedOn w:val="Normal"/>
    <w:link w:val="CommentSubjectChar"/>
    <w:unhideWhenUsed/>
    <w:rsid w:val="00944A3C"/>
    <w:pPr>
      <w:tabs>
        <w:tab w:val="right" w:pos="567"/>
        <w:tab w:val="left" w:pos="850"/>
        <w:tab w:val="left" w:pos="1304"/>
        <w:tab w:val="left" w:pos="1701"/>
        <w:tab w:val="right" w:leader="dot" w:pos="7285"/>
        <w:tab w:val="right" w:pos="7835"/>
        <w:tab w:val="center" w:pos="8034"/>
        <w:tab w:val="right" w:pos="8357"/>
        <w:tab w:val="right" w:pos="9099"/>
      </w:tabs>
      <w:bidi w:val="0"/>
      <w:spacing w:after="240" w:line="240" w:lineRule="auto"/>
      <w:jc w:val="left"/>
    </w:pPr>
    <w:rPr>
      <w:rFonts w:cs="Times New Roman"/>
      <w:b/>
      <w:bCs/>
      <w:lang w:val="es-ES" w:eastAsia="es-ES"/>
    </w:rPr>
  </w:style>
  <w:style w:type="character" w:customStyle="1" w:styleId="CommentSubjectChar">
    <w:name w:val="Comment Subject Char"/>
    <w:basedOn w:val="CommentTextChar"/>
    <w:link w:val="CommentSubject"/>
    <w:rsid w:val="00944A3C"/>
    <w:rPr>
      <w:rFonts w:ascii="Times New Roman" w:hAnsi="Times New Roman" w:cs="Times New Roman"/>
      <w:b/>
      <w:bCs/>
      <w:sz w:val="20"/>
      <w:szCs w:val="30"/>
      <w:lang w:val="es-ES" w:eastAsia="es-ES"/>
    </w:rPr>
  </w:style>
  <w:style w:type="table" w:customStyle="1" w:styleId="TableGrid10">
    <w:name w:val="Table Grid1"/>
    <w:basedOn w:val="TableNormal"/>
    <w:rsid w:val="00944A3C"/>
    <w:pPr>
      <w:spacing w:after="0" w:line="240" w:lineRule="atLeast"/>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locked/>
    <w:rsid w:val="00944A3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6" Type="http://schemas.openxmlformats.org/officeDocument/2006/relationships/hyperlink" Target="http://www.ined.fr/fichier/t_telechargement/36878/telechargement_fichier_fr_pop.et.soc.francais.407.pdf" TargetMode="External"/><Relationship Id="rId117" Type="http://schemas.openxmlformats.org/officeDocument/2006/relationships/hyperlink" Target="https://www.hcch.net/fr/states/hcch-members/details1/?sid=39" TargetMode="External"/><Relationship Id="rId21" Type="http://schemas.openxmlformats.org/officeDocument/2006/relationships/hyperlink" Target="http://www.insee.fr/fr/themes/document.asp?reg_id=0&amp;ref_id=T16F034" TargetMode="External"/><Relationship Id="rId42" Type="http://schemas.openxmlformats.org/officeDocument/2006/relationships/hyperlink" Target="http://www.insee.fr/fr/ffc/docs_ffc/ref/FPORSOC12n_FTLo2pop.pdf?bcsi_scan_96404f7f6439614d=0&amp;bcsi_scan_filename=FPORSOC12n_FTLo2pop.pdf" TargetMode="External"/><Relationship Id="rId47" Type="http://schemas.openxmlformats.org/officeDocument/2006/relationships/hyperlink" Target="http://travail-emploi.gouv.fr/droit-du-travail/remuneration-et-participation-inanciere/remuneration/smic/article/le-montant-du-smic-brut-horaire" TargetMode="External"/><Relationship Id="rId63" Type="http://schemas.openxmlformats.org/officeDocument/2006/relationships/hyperlink" Target="http://www.assemblee-nationale.fr/14/cri/2013-2014/20140056.asp" TargetMode="External"/><Relationship Id="rId68" Type="http://schemas.openxmlformats.org/officeDocument/2006/relationships/hyperlink" Target="http://www.vie-publique.fr/decouverte-institutions/institutions/veme-republique/transformations/cohabitations.html" TargetMode="External"/><Relationship Id="rId84" Type="http://schemas.openxmlformats.org/officeDocument/2006/relationships/hyperlink" Target="http://www.conseil-etat.fr/Tribunaux-Cours/Organisation/Repartition-des-competences-au-sein-de-la-juridiction-administrative" TargetMode="External"/><Relationship Id="rId89" Type="http://schemas.openxmlformats.org/officeDocument/2006/relationships/hyperlink" Target="https://www.data.gouv.fr/fr/datasets/associations-reconnues-d-utilite-publique/" TargetMode="External"/><Relationship Id="rId112" Type="http://schemas.openxmlformats.org/officeDocument/2006/relationships/hyperlink" Target="http://www.tribunal-conflits.fr/organisation-competences.html" TargetMode="External"/><Relationship Id="rId133" Type="http://schemas.openxmlformats.org/officeDocument/2006/relationships/hyperlink" Target="http://www.csa.fr/" TargetMode="External"/><Relationship Id="rId138" Type="http://schemas.openxmlformats.org/officeDocument/2006/relationships/hyperlink" Target="http://www.idhbp.org/" TargetMode="External"/><Relationship Id="rId16" Type="http://schemas.openxmlformats.org/officeDocument/2006/relationships/hyperlink" Target="https://www.data.gouv.fr/s/resources/15062-nombre-de-beneficiaires-de-laide-medicale-detat/20150818-172753/15062_Nombre-beneficiaires-aide-medicale-d_&#201;tat.xls" TargetMode="External"/><Relationship Id="rId107" Type="http://schemas.openxmlformats.org/officeDocument/2006/relationships/hyperlink" Target="http://www.legifrance.gouv.fr/affichCodeArticle.do;jsessionid=74E4F8F625BD1E2E9DFE00A78589D188.tpdjo12v_1?cidTexte=LEGITEXT000006071154&amp;idArticle=LEGIARTI000027753870&amp;dateTexte=20140127&amp;categorieLien=id" TargetMode="External"/><Relationship Id="rId11" Type="http://schemas.openxmlformats.org/officeDocument/2006/relationships/hyperlink" Target="http://www.insee.fr/fr/ppp/bases-de-donnees/donnees-detaillees/estim-pop/pyramide/pyramide.htm" TargetMode="External"/><Relationship Id="rId32" Type="http://schemas.openxmlformats.org/officeDocument/2006/relationships/hyperlink" Target="http://www.sida-info-service.org/?Quelques-chiffres-sur-le-VIH-sida" TargetMode="External"/><Relationship Id="rId37" Type="http://schemas.openxmlformats.org/officeDocument/2006/relationships/hyperlink" Target="https://www.banque-france.fr/fileadmin/user_upload/banque_de_france/Economie_et_Statistiques/base_de_donnees/chiffres-cles-zone-euro/zef015.pdf" TargetMode="External"/><Relationship Id="rId53" Type="http://schemas.openxmlformats.org/officeDocument/2006/relationships/hyperlink" Target="http://www.interieur.gouv.fr/Interstats/Themes/Homicides/Chiffres-cles-Homicides" TargetMode="External"/><Relationship Id="rId58" Type="http://schemas.openxmlformats.org/officeDocument/2006/relationships/hyperlink" Target="http://www.inhesj.fr/sites/default/files/bm_2015_janv.pdf" TargetMode="External"/><Relationship Id="rId74" Type="http://schemas.openxmlformats.org/officeDocument/2006/relationships/hyperlink" Target="http://www.cnccfp.fr/docs/commission/cnccfp_activite_2012_2013.pdf?bcsi_scan_2c4d6ddaa91b4abc=1&amp;bcsi_scan_76859af71b923077=1&amp;bcsi_scan_96404f7f6439614d=0&amp;bcsi_scan_filename=cnccfp_activite_2012_2013.pdf" TargetMode="External"/><Relationship Id="rId79" Type="http://schemas.openxmlformats.org/officeDocument/2006/relationships/hyperlink" Target="http://www.interieur.gouv.fr/Elections/Les-resultats/Europeennes/elecresult__ER2014/&#160;%28path&#160;%29/ER2014/FE.html" TargetMode="External"/><Relationship Id="rId102" Type="http://schemas.openxmlformats.org/officeDocument/2006/relationships/hyperlink" Target="http://www.assemblee-nationale.fr/elections/femmes-deputees.asp" TargetMode="External"/><Relationship Id="rId123" Type="http://schemas.openxmlformats.org/officeDocument/2006/relationships/hyperlink" Target="http://www.vos-droits.justice.gouv.fr/indemnisation-du-prejudice-11940/indemnisation-par-le-tribunal-11949/la-commission-dindemnisation-des-victimes-dinfraction-20242.html" TargetMode="External"/><Relationship Id="rId128" Type="http://schemas.openxmlformats.org/officeDocument/2006/relationships/hyperlink" Target="http://www.legifrance.gouv.fr/affichTexte.do?cidTexte=JORFTEXT000000158449&amp;dateTexte=&amp;categorieLien=id" TargetMode="External"/><Relationship Id="rId5" Type="http://schemas.openxmlformats.org/officeDocument/2006/relationships/hyperlink" Target="http://www.insee.fr/fr/themes/tableau.asp?reg_id=98&amp;ref_id=CMPTEF01105" TargetMode="External"/><Relationship Id="rId90" Type="http://schemas.openxmlformats.org/officeDocument/2006/relationships/hyperlink" Target="http://www.diplomatie.gouv.fr/fr/politique-etrangere-de-la-france/action-humanitaire-d-urgence/les-acteurs-humanitaires-francais/article/29942" TargetMode="External"/><Relationship Id="rId95" Type="http://schemas.openxmlformats.org/officeDocument/2006/relationships/hyperlink" Target="http://www.senat.fr/rap/a08-100-62/a08-100-620.html" TargetMode="External"/><Relationship Id="rId22" Type="http://schemas.openxmlformats.org/officeDocument/2006/relationships/hyperlink" Target="http://www.insee.fr/fr/themes/document.asp?reg_id=0&amp;ref_id=T16F034" TargetMode="External"/><Relationship Id="rId27" Type="http://schemas.openxmlformats.org/officeDocument/2006/relationships/hyperlink" Target="http://www.sante.gouv.fr/ivg" TargetMode="External"/><Relationship Id="rId43" Type="http://schemas.openxmlformats.org/officeDocument/2006/relationships/hyperlink" Target="http://www.statistiques.developpement-durable.gouv.fr/fileadmin/documents/Produits_editoriaux/Publications/Le_Point_Sur/2014/lps181-compte-logement2012-janvier2014.pdf" TargetMode="External"/><Relationship Id="rId48" Type="http://schemas.openxmlformats.org/officeDocument/2006/relationships/hyperlink" Target="http://www.insee.fr/fr/ffc/ipweb/ip1565/IP1565.pdf" TargetMode="External"/><Relationship Id="rId64" Type="http://schemas.openxmlformats.org/officeDocument/2006/relationships/hyperlink" Target="http://www.gouvernement.fr/gouvernement/zones-de-securite-prioritaires-un-premier-bilan-encourageant" TargetMode="External"/><Relationship Id="rId69" Type="http://schemas.openxmlformats.org/officeDocument/2006/relationships/hyperlink" Target="http://www.insee.fr/fr/themes/document.asp?reg_id=0&amp;ref_id=if23" TargetMode="External"/><Relationship Id="rId113" Type="http://schemas.openxmlformats.org/officeDocument/2006/relationships/hyperlink" Target="http://www.assemblee-nationale.fr/connaissance/fiches_synthese/septembre2012/fiche_2.asp" TargetMode="External"/><Relationship Id="rId118" Type="http://schemas.openxmlformats.org/officeDocument/2006/relationships/hyperlink" Target="http://www.icrc.org/applic/ihl/dih.nsf/vwTreatiesByCountrySelected.xsp?xp_countrySelected=FR" TargetMode="External"/><Relationship Id="rId134" Type="http://schemas.openxmlformats.org/officeDocument/2006/relationships/hyperlink" Target="http://www.cglpl.fr/missions-et-actions/sa-mission/" TargetMode="External"/><Relationship Id="rId139" Type="http://schemas.openxmlformats.org/officeDocument/2006/relationships/hyperlink" Target="http://www.iidh.org/page-14-24-presentation.html" TargetMode="External"/><Relationship Id="rId8" Type="http://schemas.openxmlformats.org/officeDocument/2006/relationships/hyperlink" Target="http://presse.inserm.fr/wp-content/uploads/2013/11/Les-morts-maternelles-en-France-2007-2009-Rapport-du-CNEMM.pdf" TargetMode="External"/><Relationship Id="rId51" Type="http://schemas.openxmlformats.org/officeDocument/2006/relationships/hyperlink" Target="http://vosdroits.service-public.fr/particuliers/F1570.xhtml" TargetMode="External"/><Relationship Id="rId72" Type="http://schemas.openxmlformats.org/officeDocument/2006/relationships/hyperlink" Target="http://www.edile.fr/droit-de-vote-des-ressortissants-communautaires/" TargetMode="External"/><Relationship Id="rId80" Type="http://schemas.openxmlformats.org/officeDocument/2006/relationships/hyperlink" Target="http://www.interieur.gouv.fr/Elections/Les-resultats/Departementales/elecresult__departementales-2015/&#160;%28path&#160;%29/departementales-2015/FE.htm" TargetMode="External"/><Relationship Id="rId85" Type="http://schemas.openxmlformats.org/officeDocument/2006/relationships/hyperlink" Target="http://www.associations.gouv.fr/1182-nouveaux-reperes-2012-sur-les.html" TargetMode="External"/><Relationship Id="rId93" Type="http://schemas.openxmlformats.org/officeDocument/2006/relationships/hyperlink" Target="http://www.audipresse.fr/media/document/one20142015/Communique-de-Presse-Audipresse-ONE-2014-2015-ONE-Global-2015v3" TargetMode="External"/><Relationship Id="rId98" Type="http://schemas.openxmlformats.org/officeDocument/2006/relationships/hyperlink" Target="http://www.mediametrie.fr/internet/communiques/l-annee-internet-2012-l-internet-sur-tous-les-ecrans-tous-les-reseaux-au-plus-pres-de-l-internaute.php?id=818" TargetMode="External"/><Relationship Id="rId121" Type="http://schemas.openxmlformats.org/officeDocument/2006/relationships/hyperlink" Target="http://www.senat.fr/rap/l08-637/l08-6374.html" TargetMode="External"/><Relationship Id="rId142" Type="http://schemas.openxmlformats.org/officeDocument/2006/relationships/hyperlink" Target="http://www.primolevi.org/wp-content/uploads/2013/06/ra2012_def.pdf" TargetMode="External"/><Relationship Id="rId3" Type="http://schemas.openxmlformats.org/officeDocument/2006/relationships/hyperlink" Target="http://www.insee.fr/fr/themes/detail.asp?ref_id=bilan-demo&amp;page=donnees-detaillees/bilan-demo/pop_age2b.htm" TargetMode="External"/><Relationship Id="rId12" Type="http://schemas.openxmlformats.org/officeDocument/2006/relationships/hyperlink" Target="http://www.insee.fr/fr/themes/detail.asp?reg_id=0&amp;ref_id=atlas-zone-emploi-2010&amp;page=donnees-detaillees/atlas-zone-emploi-2010/fiches/tx-dependance-eco.htm" TargetMode="External"/><Relationship Id="rId17" Type="http://schemas.openxmlformats.org/officeDocument/2006/relationships/hyperlink" Target="https://www.legifrance.gouv.fr/affichTexte.do?cidTexte=JORFTEXT000023314376&amp;categorieLien=id" TargetMode="External"/><Relationship Id="rId25" Type="http://schemas.openxmlformats.org/officeDocument/2006/relationships/hyperlink" Target="http://paca.lecrips.net/spip.php?article355" TargetMode="External"/><Relationship Id="rId33" Type="http://schemas.openxmlformats.org/officeDocument/2006/relationships/hyperlink" Target="http://www.invs.sante.fr/Dossiers-thematiques/Maladies-infectieuses/VIH-sida-IST/Infection-a-VIH-et-sida/Donnees/Donnees-epidemiologiques-sur-l-infection-a-VIH-et-les-IST" TargetMode="External"/><Relationship Id="rId38" Type="http://schemas.openxmlformats.org/officeDocument/2006/relationships/hyperlink" Target="http://www.insee.fr/fr/indicateurs/ind26/20160226/DE154.pdf" TargetMode="External"/><Relationship Id="rId46" Type="http://schemas.openxmlformats.org/officeDocument/2006/relationships/hyperlink" Target="http://www.tresor.economie.gouv.fr/File/400998" TargetMode="External"/><Relationship Id="rId59" Type="http://schemas.openxmlformats.org/officeDocument/2006/relationships/hyperlink" Target="http://www.inhesj.fr/sites/default/files/files/ondrp_ra-2013/Synthese%20rapport_2013.pdf" TargetMode="External"/><Relationship Id="rId67" Type="http://schemas.openxmlformats.org/officeDocument/2006/relationships/hyperlink" Target="http://www.vie-publique.fr/decouverte-institutions/institutions/collectivites-territoriales/principes-collectivites-territoriales/quelles-sont-differentes-categories-etats.html" TargetMode="External"/><Relationship Id="rId103" Type="http://schemas.openxmlformats.org/officeDocument/2006/relationships/hyperlink" Target="http://www.justice.gouv.fr/organisation-de-la-justice-10031/lordre-judiciaire-10033/" TargetMode="External"/><Relationship Id="rId108" Type="http://schemas.openxmlformats.org/officeDocument/2006/relationships/hyperlink" Target="http://www.conseil-etat.fr/fr/presentation-des-grands-arrets/13-decembre-1889-cadot.html" TargetMode="External"/><Relationship Id="rId116" Type="http://schemas.openxmlformats.org/officeDocument/2006/relationships/hyperlink" Target="http://www.ilo.org/dyn/normlex/fr/f?p=1000:11200:3644072001652513:P11200_INSTRUMENT_SORT:4" TargetMode="External"/><Relationship Id="rId124" Type="http://schemas.openxmlformats.org/officeDocument/2006/relationships/hyperlink" Target="http://vosdroits.service-public.fr/particuliers/F2679.xhtml" TargetMode="External"/><Relationship Id="rId129" Type="http://schemas.openxmlformats.org/officeDocument/2006/relationships/hyperlink" Target="http://www.justice.gouv.fr/aide-aux-victimes-10044/la-justice-et-les-associations-10278/le-conseil-national-de-laide-aux-victimes-23095.html" TargetMode="External"/><Relationship Id="rId137" Type="http://schemas.openxmlformats.org/officeDocument/2006/relationships/hyperlink" Target="http://www.justice.gouv.fr/aide-aux-victimes-10044/" TargetMode="External"/><Relationship Id="rId20" Type="http://schemas.openxmlformats.org/officeDocument/2006/relationships/hyperlink" Target="http://www.immigration.interieur.gouv.fr/content/download/91452/712066/file/L_asile-2015_pour-publication-du-15-janvier-2016.pdf" TargetMode="External"/><Relationship Id="rId41" Type="http://schemas.openxmlformats.org/officeDocument/2006/relationships/hyperlink" Target="http://www.oecd-ilibrary.org/economics/profil-statistique-par-pays-france_2075227x-table-fra" TargetMode="External"/><Relationship Id="rId54" Type="http://schemas.openxmlformats.org/officeDocument/2006/relationships/hyperlink" Target="http://www.inhesj.fr/sites/default/files/bm_2015_janv.pdf" TargetMode="External"/><Relationship Id="rId62" Type="http://schemas.openxmlformats.org/officeDocument/2006/relationships/hyperlink" Target="http://www.ladocumentationfrancaise.fr/var/storage/rapports-publics/134000185/0000.pdf" TargetMode="External"/><Relationship Id="rId70" Type="http://schemas.openxmlformats.org/officeDocument/2006/relationships/hyperlink" Target="http://www.insee.fr/fr/themes/document.asp?reg_id=0&amp;ref_id=ip1411" TargetMode="External"/><Relationship Id="rId75" Type="http://schemas.openxmlformats.org/officeDocument/2006/relationships/hyperlink" Target="http://www.france-politique.fr/partis-politiques.htm" TargetMode="External"/><Relationship Id="rId83" Type="http://schemas.openxmlformats.org/officeDocument/2006/relationships/hyperlink" Target="http://www.conseil-constitutionnel.fr/conseil-constitutionnel/francais/documentation/dossiers-thematiques/election-presidentielle-2012/contentieux/contentieux-de-l-election-presidentielle-2012.105161.html" TargetMode="External"/><Relationship Id="rId88" Type="http://schemas.openxmlformats.org/officeDocument/2006/relationships/hyperlink" Target="http://vosdroits.service-public.fr/associations/F1131.xhtml" TargetMode="External"/><Relationship Id="rId91" Type="http://schemas.openxmlformats.org/officeDocument/2006/relationships/hyperlink" Target="http://www.audiencelemag.com/?article=81" TargetMode="External"/><Relationship Id="rId96" Type="http://schemas.openxmlformats.org/officeDocument/2006/relationships/hyperlink" Target="http://www.cairn.info/chiffres-cles-statistiques-de-la-culture-2015--9782111281578-page-153.htm" TargetMode="External"/><Relationship Id="rId111" Type="http://schemas.openxmlformats.org/officeDocument/2006/relationships/hyperlink" Target="http://www.tribunal-conflits.fr/organisation-composition.html" TargetMode="External"/><Relationship Id="rId132" Type="http://schemas.openxmlformats.org/officeDocument/2006/relationships/hyperlink" Target="http://www.defenseurdesdroits.fr/fr/publications?term_node_tid_depth_1=8&amp;field_article_date_value&#160;%25255Bvalue&#160;%25255D&#160;%25255Byear&#160;%25255D=&amp;term_node_tid_depth_2=All&amp;title=" TargetMode="External"/><Relationship Id="rId140" Type="http://schemas.openxmlformats.org/officeDocument/2006/relationships/hyperlink" Target="http://www.cncdh.fr/sites/default/files/rapport_unesco_decennie_dh.pdf" TargetMode="External"/><Relationship Id="rId1" Type="http://schemas.openxmlformats.org/officeDocument/2006/relationships/hyperlink" Target="http://www.insee.fr/fr/methodes/nomenclatures/cog/documentation.asp?page=documentation.htm" TargetMode="External"/><Relationship Id="rId6" Type="http://schemas.openxmlformats.org/officeDocument/2006/relationships/hyperlink" Target="http://www.insee.fr/fr/ffc/tef/tef2011/tef2011.pdf" TargetMode="External"/><Relationship Id="rId15" Type="http://schemas.openxmlformats.org/officeDocument/2006/relationships/hyperlink" Target="http://www.insee.fr/fr/ffc/docs_ffc/donsoc06l.pdf" TargetMode="External"/><Relationship Id="rId23" Type="http://schemas.openxmlformats.org/officeDocument/2006/relationships/hyperlink" Target="http://www.insee.fr/fr/themes/document.asp?reg_id=0&amp;ref_id=T16F034" TargetMode="External"/><Relationship Id="rId28" Type="http://schemas.openxmlformats.org/officeDocument/2006/relationships/hyperlink" Target="http://www.insee.fr/fr/ffc/docs_ffc/ref/FHPARIT12h_F1pop.pdf" TargetMode="External"/><Relationship Id="rId36" Type="http://schemas.openxmlformats.org/officeDocument/2006/relationships/hyperlink" Target="http://appsso.eurostat.ec.europa.eu/nui/submitViewTableAction.do" TargetMode="External"/><Relationship Id="rId49" Type="http://schemas.openxmlformats.org/officeDocument/2006/relationships/hyperlink" Target="http://www.insee.fr/fr/themes/tableau.asp?reg_id=0&amp;ref_id=NATTEF04152" TargetMode="External"/><Relationship Id="rId57" Type="http://schemas.openxmlformats.org/officeDocument/2006/relationships/hyperlink" Target="http://www.inhesj.fr/sites/default/files/reperes_25.pdf" TargetMode="External"/><Relationship Id="rId106" Type="http://schemas.openxmlformats.org/officeDocument/2006/relationships/hyperlink" Target="http://www.justice.gouv.fr/organisation-de-la-justice-10031/lordre-judiciaire-10033/cour-dassises-12027.html" TargetMode="External"/><Relationship Id="rId114" Type="http://schemas.openxmlformats.org/officeDocument/2006/relationships/hyperlink" Target="https://treaties.un.org/Pages/Treaties.aspx?id=4&amp;subid=A&amp;lang=fr" TargetMode="External"/><Relationship Id="rId119" Type="http://schemas.openxmlformats.org/officeDocument/2006/relationships/hyperlink" Target="http://www.coe.int/t/dghl/monitoring/socialcharter/presentation/SignaturesRatifications_fr.pdf" TargetMode="External"/><Relationship Id="rId127" Type="http://schemas.openxmlformats.org/officeDocument/2006/relationships/hyperlink" Target="http://www.justice.gouv.fr/aide-aux-victimes-10044/" TargetMode="External"/><Relationship Id="rId10" Type="http://schemas.openxmlformats.org/officeDocument/2006/relationships/hyperlink" Target="http://www.insee.fr/fr/themes/tableau.asp?reg_id=0&amp;ref_id=NATnon02150" TargetMode="External"/><Relationship Id="rId31" Type="http://schemas.openxmlformats.org/officeDocument/2006/relationships/hyperlink" Target="http://www.invs.sante.fr/Dossiers-thematiques/Maladies-chroniques-et-traumatismes" TargetMode="External"/><Relationship Id="rId44" Type="http://schemas.openxmlformats.org/officeDocument/2006/relationships/hyperlink" Target="http://www.fondation-abbe-pierre.fr/sites/default/files/content-files/files/le_dossier_de_synthese_integral_-_21e_rapport_2016.pdf" TargetMode="External"/><Relationship Id="rId52" Type="http://schemas.openxmlformats.org/officeDocument/2006/relationships/hyperlink" Target="http://www.justice.gouv.fr/bulletin-officiel/dacg90c.htm" TargetMode="External"/><Relationship Id="rId60" Type="http://schemas.openxmlformats.org/officeDocument/2006/relationships/hyperlink" Target="http://www.justice.gouv.fr/budget-et-statistiques-10054/donnees-statistiques-10302/les-condamnations-27130.html" TargetMode="External"/><Relationship Id="rId65" Type="http://schemas.openxmlformats.org/officeDocument/2006/relationships/hyperlink" Target="http://www.justice.gouv.fr/budget-et-statistiques-10054/chiffres-cles-de-la-justice-10303/les-chiffres-cles-de-la-justice-edition-2015-28396.html" TargetMode="External"/><Relationship Id="rId73" Type="http://schemas.openxmlformats.org/officeDocument/2006/relationships/hyperlink" Target="http://www.vie-publique.fr/decouverte-institutions/citoyen/participation/parti-politique/qu-est-ce-qu-parti-politique.html" TargetMode="External"/><Relationship Id="rId78" Type="http://schemas.openxmlformats.org/officeDocument/2006/relationships/hyperlink" Target="http://www.interieur.gouv.fr/Elections/Les-resultats/Municipales/elecresult__MN2014/&#160;%28path&#160;%29/MN2014/FE.html" TargetMode="External"/><Relationship Id="rId81" Type="http://schemas.openxmlformats.org/officeDocument/2006/relationships/hyperlink" Target="http://www.interieur.gouv.fr/Elections/Les-resultats/Regionales/elecresult__regionales-2015/&#160;%28path&#160;%29/regionales-2015/FE.html" TargetMode="External"/><Relationship Id="rId86" Type="http://schemas.openxmlformats.org/officeDocument/2006/relationships/hyperlink" Target="http://www.legifrance.gouv.fr/affichTexte.do?cidTexte=LEGITEXT000006069570&amp;dateTexte=20090506" TargetMode="External"/><Relationship Id="rId94" Type="http://schemas.openxmlformats.org/officeDocument/2006/relationships/hyperlink" Target="http://www.ladocumentationfrancaise.fr/var/storage/rapports-publics/074000446/0000.pdf" TargetMode="External"/><Relationship Id="rId99" Type="http://schemas.openxmlformats.org/officeDocument/2006/relationships/hyperlink" Target="http://www.insee.fr/fr/themes/document.asp?ref_id=ip1452" TargetMode="External"/><Relationship Id="rId101" Type="http://schemas.openxmlformats.org/officeDocument/2006/relationships/hyperlink" Target="http://www.assemblee-nationale.fr/histoire/suffrage_universel/modes_scrutin.asp" TargetMode="External"/><Relationship Id="rId122" Type="http://schemas.openxmlformats.org/officeDocument/2006/relationships/hyperlink" Target="http://www.defenseurdesdroits.fr/" TargetMode="External"/><Relationship Id="rId130" Type="http://schemas.openxmlformats.org/officeDocument/2006/relationships/hyperlink" Target="http://www.vie-publique.fr/decouverte-institutions/institutions/collectivites-territoriales/categories-collectivites-territoriales/qu-est-ce-qu-collectivite-territoriale-ou-collectivite-locale.html" TargetMode="External"/><Relationship Id="rId135" Type="http://schemas.openxmlformats.org/officeDocument/2006/relationships/hyperlink" Target="http://www.haut-conseil-egalite.gouv.fr/hcefh/presentation-et-missions/" TargetMode="External"/><Relationship Id="rId4" Type="http://schemas.openxmlformats.org/officeDocument/2006/relationships/hyperlink" Target="http://www.insee.fr/fr/themes/detail.asp?ref_id=bilan-demo&amp;page=donnees-detaillees/bilan-demo/pop_age2.htm" TargetMode="External"/><Relationship Id="rId9" Type="http://schemas.openxmlformats.org/officeDocument/2006/relationships/hyperlink" Target="http://www.insee.fr/fr/themes/document.asp?reg_id=0&amp;ref_id=T16F032" TargetMode="External"/><Relationship Id="rId13" Type="http://schemas.openxmlformats.org/officeDocument/2006/relationships/hyperlink" Target="http://www.insee.fr/fr/ffc/docs_ffc/FPORSOC13.pdf?bcsi_scan_96404f7f6439614d=0&amp;bcsi_scan_filename=FPORSOC13.pdf" TargetMode="External"/><Relationship Id="rId18" Type="http://schemas.openxmlformats.org/officeDocument/2006/relationships/hyperlink" Target="https://www.legifrance.gouv.fr/affichTexte.do?cidTexte=JORFTEXT000026288927&amp;categorieLien=id" TargetMode="External"/><Relationship Id="rId39" Type="http://schemas.openxmlformats.org/officeDocument/2006/relationships/hyperlink" Target="http://www.insee.fr/fr/ffc/docs_ffc/tef2016.pdf" TargetMode="External"/><Relationship Id="rId109" Type="http://schemas.openxmlformats.org/officeDocument/2006/relationships/hyperlink" Target="http://www.conseil-etat.fr/Tribunaux-Cours/Organisation/Repartition-des-competences-au-sein-de-la-juridiction-administrative" TargetMode="External"/><Relationship Id="rId34" Type="http://schemas.openxmlformats.org/officeDocument/2006/relationships/hyperlink" Target="http://www.anlci.gouv.fr/content/download/1372/29017/version/1/file/PLAQUETTE_CHIFFRES_JANVIER+2013.pdf" TargetMode="External"/><Relationship Id="rId50" Type="http://schemas.openxmlformats.org/officeDocument/2006/relationships/hyperlink" Target="http://www.insee.fr/fr/themes/document.asp?reg_id=0&amp;ref_id=ip1436" TargetMode="External"/><Relationship Id="rId55" Type="http://schemas.openxmlformats.org/officeDocument/2006/relationships/hyperlink" Target="http://www.inhesj.fr/sites/default/files/reperes_25.pdf" TargetMode="External"/><Relationship Id="rId76" Type="http://schemas.openxmlformats.org/officeDocument/2006/relationships/hyperlink" Target="http://www.interieur.gouv.fr/Elections/Les-resultats/Presidentielles/elecresult__PR2012/&#160;%28path&#160;%29/PR2012/FE.html" TargetMode="External"/><Relationship Id="rId97" Type="http://schemas.openxmlformats.org/officeDocument/2006/relationships/hyperlink" Target="http://www.csa.fr/Etudes-et-publications/Les-chiffres-cles/Les-chiffres-cles-de-l-audiovisuel-francais-Edition-du-2nd-semestre-2015" TargetMode="External"/><Relationship Id="rId104" Type="http://schemas.openxmlformats.org/officeDocument/2006/relationships/hyperlink" Target="http://www.vie-publique.fr/decouverte-institutions/institutions/administration/controle/justice-administrative/quelle-juridiction-administrative-doit-on-s-adresser-premier-lieu.html" TargetMode="External"/><Relationship Id="rId120" Type="http://schemas.openxmlformats.org/officeDocument/2006/relationships/hyperlink" Target="http://www.coe.int/fr/web/conventions/search-on-states/-/conventions/treaty/country?_coeconventions_WAR_coeconventionsportlet_formDate=1461595491111&amp;_coeconventions_WAR_coeconventionsportlet_mode=states_coe&amp;_coeconventions_WAR_coeconventionsportlet_codePays=FRA&amp;_coeconventions_WAR_coeconventionsportlet_codesMatieres=&amp;_coeconventions_WAR_coeconventionsportlet_codeSignature=RATIFIED&amp;_coeconventions_WAR_coeconventionsportlet_dateStatus=25%2F04%2F2016&amp;p_auth=EIGm6i8G" TargetMode="External"/><Relationship Id="rId125" Type="http://schemas.openxmlformats.org/officeDocument/2006/relationships/hyperlink" Target="http://www.vos-droits.justice.gouv.fr/indemnisation-du-prejudice-11940/indemnisation-par-letat-par-un-fonds-de-garantie-11950/le-service-daide-au-recouvrement-des-victimes-dinfractions-20246.html" TargetMode="External"/><Relationship Id="rId141" Type="http://schemas.openxmlformats.org/officeDocument/2006/relationships/hyperlink" Target="http://www.google.fr/url?sa=t&amp;rct=j&amp;q=&amp;esrc=s&amp;source=web&amp;cd=14&amp;ved=0CFUQFjADOAo&amp;url=http%3A%2F%2Fwww.immigration.interieur.gouv.fr%2Fcontent%2Fdownload%2F67779%2F492476%2Ffile%2FEtude_du_REM_Identification_des_victimes_de_la_traite_des_etres_humains.pdf&amp;ei=dpzzUrfxOtORhQePlYDgDA&amp;usg=AFQjCNF87ayHecjGwZnGDuXGpaUQkHYH9g&amp;bvm=bv.60799247,d.ZG4" TargetMode="External"/><Relationship Id="rId7" Type="http://schemas.openxmlformats.org/officeDocument/2006/relationships/hyperlink" Target="http://www.invs.sante.fr/beh/2010/02_03/beh_02_03_2010.pdf" TargetMode="External"/><Relationship Id="rId71" Type="http://schemas.openxmlformats.org/officeDocument/2006/relationships/hyperlink" Target="http://www.insee.fr/fr/themes/document.asp?reg_id=0&amp;ref_id=if14" TargetMode="External"/><Relationship Id="rId92" Type="http://schemas.openxmlformats.org/officeDocument/2006/relationships/hyperlink" Target="http://www.cairn.info/chiffres-cles-statistiques-de-la-culture-2015--9782111281578-page-153.htm" TargetMode="External"/><Relationship Id="rId2" Type="http://schemas.openxmlformats.org/officeDocument/2006/relationships/hyperlink" Target="http://www.insee.fr/fr/themes/detail.asp?ref_id=bilan-demo&amp;page=donnees-detaillees/bilan-demo/pop_age3.htm" TargetMode="External"/><Relationship Id="rId29" Type="http://schemas.openxmlformats.org/officeDocument/2006/relationships/hyperlink" Target="http://www.sante.gouv.fr/droit-pour-toutes-les-femmes.html" TargetMode="External"/><Relationship Id="rId24" Type="http://schemas.openxmlformats.org/officeDocument/2006/relationships/hyperlink" Target="http://www.insee.fr/fr/themes/tableau_local.asp?ref_id=MEN4&amp;millesime=2010&amp;niveau=1&amp;nivgeo=METRODOM&amp;codgeo=1" TargetMode="External"/><Relationship Id="rId40" Type="http://schemas.openxmlformats.org/officeDocument/2006/relationships/hyperlink" Target="http://www.insee.fr/fr/publications-et-services/sommaire.asp?reg_id=0&amp;ref_id=TEF16" TargetMode="External"/><Relationship Id="rId45" Type="http://schemas.openxmlformats.org/officeDocument/2006/relationships/hyperlink" Target="http://stats.oecd.org/Index.aspx?DataSetCode=UN_DEN&amp;Lang=fr" TargetMode="External"/><Relationship Id="rId66" Type="http://schemas.openxmlformats.org/officeDocument/2006/relationships/hyperlink" Target="http://www.service-public.fr/actualites/002205.html" TargetMode="External"/><Relationship Id="rId87" Type="http://schemas.openxmlformats.org/officeDocument/2006/relationships/hyperlink" Target="http://www.vie-publique.fr/decouverte-institutions/citoyen/participation/association/comment-peut-on-creer-association.html" TargetMode="External"/><Relationship Id="rId110" Type="http://schemas.openxmlformats.org/officeDocument/2006/relationships/hyperlink" Target="http://www.conseil-etat.fr/Conseil-d-&#201;tat/Demarches-Procedures/Decouvrir-la-justice-administrative-et-son-organisation/Comment-fonctionne-la-justice-administrative" TargetMode="External"/><Relationship Id="rId115" Type="http://schemas.openxmlformats.org/officeDocument/2006/relationships/hyperlink" Target="https://treaties.un.org/Pages/Treaties.aspx?id=4&amp;subid=A&amp;lang=fr" TargetMode="External"/><Relationship Id="rId131" Type="http://schemas.openxmlformats.org/officeDocument/2006/relationships/hyperlink" Target="http://www.legifrance.gouv.fr/Sites/Autorites-independantes" TargetMode="External"/><Relationship Id="rId136" Type="http://schemas.openxmlformats.org/officeDocument/2006/relationships/hyperlink" Target="http://www.vie-publique.fr/politiques-publiques/juge-justice-proximite/reseau-judiciaire/" TargetMode="External"/><Relationship Id="rId61" Type="http://schemas.openxmlformats.org/officeDocument/2006/relationships/hyperlink" Target="http://www.police-nationale.interieur.gouv.fr/Actualites/L-actu-police/La-Police-nationale-sur-le-Tour-de-France-2012-la-police-des-metiers" TargetMode="External"/><Relationship Id="rId82" Type="http://schemas.openxmlformats.org/officeDocument/2006/relationships/hyperlink" Target="http://www.conseil-constitutionnel.fr/conseil-constitutionnel/francais/les-decisions/acces-par-date/decisions-depuis-1959/2013/2013-26-elec/decision-n-2013-26-elec-du-11-juillet-2013.137642.html" TargetMode="External"/><Relationship Id="rId19" Type="http://schemas.openxmlformats.org/officeDocument/2006/relationships/hyperlink" Target="https://www.service-public.fr/particuliers/vosdroits/F3079" TargetMode="External"/><Relationship Id="rId14" Type="http://schemas.openxmlformats.org/officeDocument/2006/relationships/hyperlink" Target="http://ressources.campusfrance.org/publi_institu/etude_prospect/chiffres_cles/fr/chiffres_cles_n10_essentiel.pdf" TargetMode="External"/><Relationship Id="rId30" Type="http://schemas.openxmlformats.org/officeDocument/2006/relationships/hyperlink" Target="http://www.sante.gouv.fr/IMG/pdf/plan2007_2011.pdf" TargetMode="External"/><Relationship Id="rId35" Type="http://schemas.openxmlformats.org/officeDocument/2006/relationships/hyperlink" Target="http://insee.fr/fr/ffc/ipweb/ip1426/ip1426.pdf" TargetMode="External"/><Relationship Id="rId56" Type="http://schemas.openxmlformats.org/officeDocument/2006/relationships/hyperlink" Target="http://www.unodc.org/documents/data-and-analysis/statistics/Homicide/Globa_study_on_homicide_2011_web.pdf?bcsi_scan_96404f7f6439614d=0&amp;bcsi_scan_filename=Globa_study_on_homicide_2011_web.pdf" TargetMode="External"/><Relationship Id="rId77" Type="http://schemas.openxmlformats.org/officeDocument/2006/relationships/hyperlink" Target="http://www.gouvernement.fr/gouvernement/les-elections-legislatives-2012" TargetMode="External"/><Relationship Id="rId100" Type="http://schemas.openxmlformats.org/officeDocument/2006/relationships/hyperlink" Target="http://www.assemblee-nationale.fr/connaissance/fiches_synthese/septembre2012/fiche_2.asp" TargetMode="External"/><Relationship Id="rId105" Type="http://schemas.openxmlformats.org/officeDocument/2006/relationships/hyperlink" Target="http://www.justice.gouv.fr/organisation-de-la-justice-10031/lordre-administratif-10034/" TargetMode="External"/><Relationship Id="rId126" Type="http://schemas.openxmlformats.org/officeDocument/2006/relationships/hyperlink" Target="http://www.justice.gouv.fr/aide-aux-victimes-1004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familles-enfance-droitsdesfemmes.gouv.fr/dossiers/lutte-contre-les-violences/les-plans-de-lutte-contre-les-violences-faites-aux-femmes/" TargetMode="External"/><Relationship Id="rId2" Type="http://schemas.openxmlformats.org/officeDocument/2006/relationships/hyperlink" Target="http://stop-violences-femmes.gouv.fr/-La-mission-interministerielle-de,91-.html" TargetMode="External"/><Relationship Id="rId1" Type="http://schemas.openxmlformats.org/officeDocument/2006/relationships/hyperlink" Target="https://www.legifrance.gouv.fr/affichCode.do?idArticle=LEGIARTI000022686501&amp;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21BE-5457-45B2-961B-F2D7B74A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8</TotalTime>
  <Pages>97</Pages>
  <Words>31087</Words>
  <Characters>160722</Characters>
  <Application>Microsoft Office Word</Application>
  <DocSecurity>0</DocSecurity>
  <Lines>3090</Lines>
  <Paragraphs>1270</Paragraphs>
  <ScaleCrop>false</ScaleCrop>
  <HeadingPairs>
    <vt:vector size="2" baseType="variant">
      <vt:variant>
        <vt:lpstr>Title</vt:lpstr>
      </vt:variant>
      <vt:variant>
        <vt:i4>1</vt:i4>
      </vt:variant>
    </vt:vector>
  </HeadingPairs>
  <TitlesOfParts>
    <vt:vector size="1" baseType="lpstr">
      <vt:lpstr>HRI/CORE/FRA/2017</vt:lpstr>
    </vt:vector>
  </TitlesOfParts>
  <Company>DCM</Company>
  <LinksUpToDate>false</LinksUpToDate>
  <CharactersWithSpaces>190539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HRI/CORE/FRA/2017</dc:title>
  <dc:subject>GE. 1720833A</dc:subject>
  <dc:creator>Jamela CHEDAD</dc:creator>
  <cp:keywords>ODS. 1734761</cp:keywords>
  <dc:description>Distr.: General_x000d_
Date: 23 November 2017_x000d_
Original: French</dc:description>
  <cp:lastModifiedBy>Generic Tpsara</cp:lastModifiedBy>
  <cp:revision>3</cp:revision>
  <cp:lastPrinted>2018-03-13T10:38:00Z</cp:lastPrinted>
  <dcterms:created xsi:type="dcterms:W3CDTF">2018-03-13T10:38:00Z</dcterms:created>
  <dcterms:modified xsi:type="dcterms:W3CDTF">2018-03-13T10:51:00Z</dcterms:modified>
</cp:coreProperties>
</file>