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B8" w:rsidRPr="00A75E0B" w:rsidRDefault="00C67BB8" w:rsidP="00C67BB8">
      <w:pPr>
        <w:spacing w:line="240" w:lineRule="auto"/>
        <w:rPr>
          <w:sz w:val="2"/>
        </w:rPr>
        <w:sectPr w:rsidR="00C67BB8" w:rsidRPr="00A75E0B" w:rsidSect="00C67BB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A75E0B">
        <w:rPr>
          <w:rStyle w:val="CommentReference"/>
        </w:rPr>
        <w:commentReference w:id="0"/>
      </w:r>
    </w:p>
    <w:p w:rsidR="005C0827" w:rsidRPr="00A75E0B" w:rsidRDefault="005C0827" w:rsidP="005C0827">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ind w:left="1267" w:right="1267" w:hanging="1267"/>
      </w:pPr>
      <w:r w:rsidRPr="00A75E0B">
        <w:lastRenderedPageBreak/>
        <w:tab/>
      </w:r>
      <w:r w:rsidRPr="00A75E0B">
        <w:tab/>
        <w:t xml:space="preserve">Document de base faisant partie intégrante </w:t>
      </w:r>
      <w:r w:rsidRPr="00A75E0B">
        <w:br/>
        <w:t>des rapports présentés par les États parties</w:t>
      </w:r>
    </w:p>
    <w:p w:rsidR="005C0827" w:rsidRPr="00A75E0B" w:rsidRDefault="005C0827" w:rsidP="005C0827">
      <w:pPr>
        <w:pStyle w:val="SingleTxt"/>
        <w:spacing w:after="0" w:line="120" w:lineRule="exact"/>
        <w:rPr>
          <w:sz w:val="10"/>
        </w:rPr>
      </w:pPr>
    </w:p>
    <w:p w:rsidR="005C0827" w:rsidRPr="00A75E0B" w:rsidRDefault="005C0827" w:rsidP="005C0827">
      <w:pPr>
        <w:pStyle w:val="SingleTxt"/>
        <w:spacing w:after="0" w:line="120" w:lineRule="exact"/>
        <w:rPr>
          <w:sz w:val="10"/>
        </w:rPr>
      </w:pPr>
    </w:p>
    <w:p w:rsidR="00C67BB8" w:rsidRPr="00A75E0B" w:rsidRDefault="005C0827" w:rsidP="005C0827">
      <w:pPr>
        <w:pStyle w:val="HM"/>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z w:val="20"/>
          <w:szCs w:val="20"/>
        </w:rPr>
      </w:pPr>
      <w:r w:rsidRPr="00A75E0B">
        <w:tab/>
      </w:r>
      <w:r w:rsidRPr="00A75E0B">
        <w:tab/>
        <w:t>Argentine</w:t>
      </w:r>
      <w:r w:rsidRPr="00A75E0B">
        <w:rPr>
          <w:b w:val="0"/>
          <w:sz w:val="20"/>
          <w:szCs w:val="20"/>
        </w:rPr>
        <w:footnoteReference w:customMarkFollows="1" w:id="1"/>
        <w:t>*</w:t>
      </w:r>
    </w:p>
    <w:p w:rsidR="005C0827" w:rsidRPr="00A75E0B" w:rsidRDefault="005C0827" w:rsidP="005C0827">
      <w:pPr>
        <w:spacing w:line="120" w:lineRule="exact"/>
        <w:rPr>
          <w:sz w:val="10"/>
        </w:rPr>
      </w:pPr>
    </w:p>
    <w:p w:rsidR="005C0827" w:rsidRPr="00A75E0B" w:rsidRDefault="005C0827" w:rsidP="005C0827">
      <w:pPr>
        <w:spacing w:line="120" w:lineRule="exact"/>
        <w:rPr>
          <w:sz w:val="10"/>
        </w:rPr>
      </w:pPr>
    </w:p>
    <w:p w:rsidR="005C0827" w:rsidRPr="00A75E0B" w:rsidRDefault="005C0827" w:rsidP="005C0827">
      <w:pPr>
        <w:spacing w:line="120" w:lineRule="exact"/>
        <w:rPr>
          <w:sz w:val="10"/>
        </w:rPr>
      </w:pPr>
    </w:p>
    <w:p w:rsidR="005C0827" w:rsidRPr="00A75E0B" w:rsidRDefault="005C0827" w:rsidP="005C0827">
      <w:pPr>
        <w:pStyle w:val="SingleTxt"/>
        <w:jc w:val="right"/>
      </w:pPr>
      <w:r w:rsidRPr="00A75E0B">
        <w:t>[27 mai 2014]</w:t>
      </w:r>
    </w:p>
    <w:p w:rsidR="005C0827" w:rsidRPr="00A75E0B" w:rsidRDefault="005C0827">
      <w:pPr>
        <w:spacing w:line="240" w:lineRule="auto"/>
      </w:pPr>
      <w:r w:rsidRPr="00A75E0B">
        <w:br w:type="page"/>
      </w:r>
    </w:p>
    <w:p w:rsidR="005C0827" w:rsidRPr="00A75E0B" w:rsidRDefault="005C0827" w:rsidP="005C0827">
      <w:pPr>
        <w:pStyle w:val="HCH"/>
        <w:spacing w:after="120"/>
        <w:rPr>
          <w:b w:val="0"/>
        </w:rPr>
      </w:pPr>
      <w:r w:rsidRPr="00A75E0B">
        <w:rPr>
          <w:b w:val="0"/>
        </w:rPr>
        <w:lastRenderedPageBreak/>
        <w:t>Table des matières</w:t>
      </w:r>
    </w:p>
    <w:tbl>
      <w:tblPr>
        <w:tblW w:w="10017" w:type="dxa"/>
        <w:tblLayout w:type="fixed"/>
        <w:tblCellMar>
          <w:left w:w="0" w:type="dxa"/>
          <w:right w:w="0" w:type="dxa"/>
        </w:tblCellMar>
        <w:tblLook w:val="0000" w:firstRow="0" w:lastRow="0" w:firstColumn="0" w:lastColumn="0" w:noHBand="0" w:noVBand="0"/>
      </w:tblPr>
      <w:tblGrid>
        <w:gridCol w:w="1060"/>
        <w:gridCol w:w="7315"/>
        <w:gridCol w:w="994"/>
        <w:gridCol w:w="648"/>
      </w:tblGrid>
      <w:tr w:rsidR="005C0827" w:rsidRPr="00A75E0B" w:rsidTr="005C0827">
        <w:tc>
          <w:tcPr>
            <w:tcW w:w="1060" w:type="dxa"/>
            <w:shd w:val="clear" w:color="auto" w:fill="auto"/>
          </w:tcPr>
          <w:p w:rsidR="005C0827" w:rsidRPr="00A75E0B" w:rsidRDefault="005C0827" w:rsidP="005C0827">
            <w:pPr>
              <w:spacing w:after="120" w:line="240" w:lineRule="auto"/>
              <w:jc w:val="right"/>
              <w:rPr>
                <w:i/>
                <w:sz w:val="14"/>
              </w:rPr>
            </w:pPr>
          </w:p>
        </w:tc>
        <w:tc>
          <w:tcPr>
            <w:tcW w:w="7315" w:type="dxa"/>
            <w:shd w:val="clear" w:color="auto" w:fill="auto"/>
          </w:tcPr>
          <w:p w:rsidR="005C0827" w:rsidRPr="00A75E0B" w:rsidRDefault="005C0827" w:rsidP="005C0827">
            <w:pPr>
              <w:spacing w:after="120" w:line="240" w:lineRule="auto"/>
              <w:rPr>
                <w:i/>
                <w:sz w:val="14"/>
              </w:rPr>
            </w:pPr>
          </w:p>
        </w:tc>
        <w:tc>
          <w:tcPr>
            <w:tcW w:w="994" w:type="dxa"/>
            <w:shd w:val="clear" w:color="auto" w:fill="auto"/>
          </w:tcPr>
          <w:p w:rsidR="005C0827" w:rsidRPr="00A75E0B" w:rsidRDefault="005C0827" w:rsidP="005C0827">
            <w:pPr>
              <w:spacing w:after="120" w:line="240" w:lineRule="auto"/>
              <w:jc w:val="right"/>
              <w:rPr>
                <w:i/>
                <w:sz w:val="14"/>
              </w:rPr>
            </w:pPr>
          </w:p>
        </w:tc>
        <w:tc>
          <w:tcPr>
            <w:tcW w:w="648" w:type="dxa"/>
            <w:shd w:val="clear" w:color="auto" w:fill="auto"/>
          </w:tcPr>
          <w:p w:rsidR="005C0827" w:rsidRPr="00A75E0B" w:rsidRDefault="005C0827" w:rsidP="005C0827">
            <w:pPr>
              <w:spacing w:after="120" w:line="240" w:lineRule="auto"/>
              <w:jc w:val="right"/>
              <w:rPr>
                <w:i/>
                <w:sz w:val="14"/>
              </w:rPr>
            </w:pPr>
            <w:r w:rsidRPr="00A75E0B">
              <w:rPr>
                <w:i/>
                <w:sz w:val="14"/>
              </w:rPr>
              <w:t>Page</w:t>
            </w:r>
          </w:p>
        </w:tc>
      </w:tr>
      <w:tr w:rsidR="005C0827" w:rsidRPr="00A75E0B" w:rsidTr="005C0827">
        <w:tc>
          <w:tcPr>
            <w:tcW w:w="9369" w:type="dxa"/>
            <w:gridSpan w:val="3"/>
            <w:shd w:val="clear" w:color="auto" w:fill="auto"/>
          </w:tcPr>
          <w:p w:rsidR="005C0827" w:rsidRPr="00A75E0B" w:rsidRDefault="00100977" w:rsidP="00100977">
            <w:pPr>
              <w:tabs>
                <w:tab w:val="left" w:pos="1296"/>
                <w:tab w:val="left" w:pos="1728"/>
                <w:tab w:val="left" w:pos="2160"/>
                <w:tab w:val="left" w:pos="2592"/>
                <w:tab w:val="left" w:pos="3024"/>
                <w:tab w:val="right" w:leader="dot" w:pos="9360"/>
              </w:tabs>
              <w:suppressAutoHyphens/>
              <w:spacing w:after="120"/>
              <w:ind w:left="1080"/>
              <w:rPr>
                <w:spacing w:val="60"/>
                <w:sz w:val="17"/>
              </w:rPr>
            </w:pPr>
            <w:r w:rsidRPr="00A75E0B">
              <w:t>Acronymes et abréviations</w:t>
            </w:r>
            <w:r w:rsidRPr="00A75E0B">
              <w:rPr>
                <w:spacing w:val="60"/>
                <w:sz w:val="17"/>
              </w:rPr>
              <w:tab/>
            </w:r>
          </w:p>
        </w:tc>
        <w:tc>
          <w:tcPr>
            <w:tcW w:w="648" w:type="dxa"/>
            <w:shd w:val="clear" w:color="auto" w:fill="auto"/>
            <w:vAlign w:val="bottom"/>
          </w:tcPr>
          <w:p w:rsidR="005C0827" w:rsidRPr="00A75E0B" w:rsidRDefault="00100977" w:rsidP="005C0827">
            <w:pPr>
              <w:spacing w:after="120"/>
              <w:ind w:right="40"/>
              <w:jc w:val="right"/>
            </w:pPr>
            <w:r w:rsidRPr="00A75E0B">
              <w:t>3</w:t>
            </w:r>
          </w:p>
        </w:tc>
      </w:tr>
      <w:tr w:rsidR="00100977" w:rsidRPr="00A75E0B" w:rsidTr="005C0827">
        <w:tc>
          <w:tcPr>
            <w:tcW w:w="9369" w:type="dxa"/>
            <w:gridSpan w:val="3"/>
            <w:shd w:val="clear" w:color="auto" w:fill="auto"/>
          </w:tcPr>
          <w:p w:rsidR="00100977" w:rsidRPr="00A75E0B" w:rsidRDefault="00100977" w:rsidP="00100977">
            <w:pPr>
              <w:pStyle w:val="ListParagraph"/>
              <w:numPr>
                <w:ilvl w:val="0"/>
                <w:numId w:val="6"/>
              </w:numPr>
              <w:tabs>
                <w:tab w:val="left" w:pos="1296"/>
                <w:tab w:val="left" w:pos="1728"/>
                <w:tab w:val="left" w:pos="2160"/>
                <w:tab w:val="left" w:pos="2592"/>
                <w:tab w:val="left" w:pos="3024"/>
                <w:tab w:val="left" w:pos="3456"/>
                <w:tab w:val="right" w:leader="dot" w:pos="9360"/>
              </w:tabs>
              <w:suppressAutoHyphens/>
              <w:spacing w:after="120"/>
            </w:pPr>
            <w:r w:rsidRPr="00A75E0B">
              <w:rPr>
                <w:szCs w:val="24"/>
              </w:rPr>
              <w:t>Renseignements d</w:t>
            </w:r>
            <w:r w:rsidR="00FD740F">
              <w:rPr>
                <w:b/>
                <w:szCs w:val="24"/>
              </w:rPr>
              <w:t>’</w:t>
            </w:r>
            <w:r w:rsidRPr="00A75E0B">
              <w:rPr>
                <w:szCs w:val="24"/>
              </w:rPr>
              <w:t>ordre général</w:t>
            </w:r>
            <w:r w:rsidRPr="00A75E0B">
              <w:rPr>
                <w:spacing w:val="60"/>
                <w:sz w:val="17"/>
                <w:szCs w:val="24"/>
              </w:rPr>
              <w:tab/>
            </w:r>
          </w:p>
        </w:tc>
        <w:tc>
          <w:tcPr>
            <w:tcW w:w="648" w:type="dxa"/>
            <w:shd w:val="clear" w:color="auto" w:fill="auto"/>
            <w:vAlign w:val="bottom"/>
          </w:tcPr>
          <w:p w:rsidR="00100977" w:rsidRPr="00A75E0B" w:rsidRDefault="00100977" w:rsidP="005C0827">
            <w:pPr>
              <w:spacing w:after="120"/>
              <w:ind w:right="40"/>
              <w:jc w:val="right"/>
            </w:pPr>
            <w:r w:rsidRPr="00A75E0B">
              <w:t>4</w:t>
            </w:r>
          </w:p>
        </w:tc>
      </w:tr>
      <w:tr w:rsidR="00100977" w:rsidRPr="00A75E0B" w:rsidTr="005C0827">
        <w:tc>
          <w:tcPr>
            <w:tcW w:w="9369" w:type="dxa"/>
            <w:gridSpan w:val="3"/>
            <w:shd w:val="clear" w:color="auto" w:fill="auto"/>
          </w:tcPr>
          <w:p w:rsidR="00100977" w:rsidRPr="00A75E0B" w:rsidRDefault="00100977" w:rsidP="00100977">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szCs w:val="24"/>
              </w:rPr>
            </w:pPr>
            <w:r w:rsidRPr="00A75E0B">
              <w:t>Caractéristiques démographiques, économiques, sociales et culturelles</w:t>
            </w:r>
            <w:r w:rsidRPr="00A75E0B">
              <w:rPr>
                <w:spacing w:val="60"/>
                <w:sz w:val="17"/>
              </w:rPr>
              <w:tab/>
            </w:r>
          </w:p>
        </w:tc>
        <w:tc>
          <w:tcPr>
            <w:tcW w:w="648" w:type="dxa"/>
            <w:shd w:val="clear" w:color="auto" w:fill="auto"/>
            <w:vAlign w:val="bottom"/>
          </w:tcPr>
          <w:p w:rsidR="00100977" w:rsidRPr="00A75E0B" w:rsidRDefault="00100977" w:rsidP="005C0827">
            <w:pPr>
              <w:spacing w:after="120"/>
              <w:ind w:right="40"/>
              <w:jc w:val="right"/>
            </w:pPr>
            <w:r w:rsidRPr="00A75E0B">
              <w:t>5</w:t>
            </w:r>
          </w:p>
        </w:tc>
      </w:tr>
      <w:tr w:rsidR="00100977" w:rsidRPr="00A75E0B" w:rsidTr="005C0827">
        <w:tc>
          <w:tcPr>
            <w:tcW w:w="9369" w:type="dxa"/>
            <w:gridSpan w:val="3"/>
            <w:shd w:val="clear" w:color="auto" w:fill="auto"/>
          </w:tcPr>
          <w:p w:rsidR="00100977" w:rsidRPr="00A75E0B" w:rsidRDefault="00100977" w:rsidP="00100977">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szCs w:val="24"/>
              </w:rPr>
            </w:pPr>
            <w:r w:rsidRPr="00A75E0B">
              <w:t>Structure constitutionnelle, politique et juridique</w:t>
            </w:r>
            <w:r w:rsidRPr="00A75E0B">
              <w:rPr>
                <w:spacing w:val="60"/>
                <w:sz w:val="17"/>
              </w:rPr>
              <w:tab/>
            </w:r>
          </w:p>
        </w:tc>
        <w:tc>
          <w:tcPr>
            <w:tcW w:w="648" w:type="dxa"/>
            <w:shd w:val="clear" w:color="auto" w:fill="auto"/>
            <w:vAlign w:val="bottom"/>
          </w:tcPr>
          <w:p w:rsidR="00100977" w:rsidRPr="00A75E0B" w:rsidRDefault="00100977" w:rsidP="005C0827">
            <w:pPr>
              <w:spacing w:after="120"/>
              <w:ind w:right="40"/>
              <w:jc w:val="right"/>
            </w:pPr>
            <w:r w:rsidRPr="00A75E0B">
              <w:t>13</w:t>
            </w:r>
          </w:p>
        </w:tc>
      </w:tr>
      <w:tr w:rsidR="005C0827" w:rsidRPr="00A75E0B" w:rsidTr="005C0827">
        <w:tc>
          <w:tcPr>
            <w:tcW w:w="9369" w:type="dxa"/>
            <w:gridSpan w:val="3"/>
            <w:shd w:val="clear" w:color="auto" w:fill="auto"/>
          </w:tcPr>
          <w:p w:rsidR="005C0827" w:rsidRPr="00A75E0B" w:rsidRDefault="00100977" w:rsidP="00100977">
            <w:pPr>
              <w:pStyle w:val="ListParagraph"/>
              <w:numPr>
                <w:ilvl w:val="0"/>
                <w:numId w:val="6"/>
              </w:numPr>
              <w:tabs>
                <w:tab w:val="left" w:pos="1296"/>
                <w:tab w:val="left" w:pos="1728"/>
                <w:tab w:val="left" w:pos="2160"/>
                <w:tab w:val="left" w:pos="2592"/>
                <w:tab w:val="left" w:pos="3024"/>
                <w:tab w:val="right" w:leader="dot" w:pos="9360"/>
              </w:tabs>
              <w:suppressAutoHyphens/>
              <w:spacing w:after="120"/>
            </w:pPr>
            <w:r w:rsidRPr="00A75E0B">
              <w:t>Cadre général de la protection et du renforcement des droits de l</w:t>
            </w:r>
            <w:r w:rsidR="00FD740F">
              <w:t>’</w:t>
            </w:r>
            <w:r w:rsidRPr="00A75E0B">
              <w:t>homme</w:t>
            </w:r>
            <w:r w:rsidRPr="00A75E0B">
              <w:rPr>
                <w:spacing w:val="60"/>
                <w:sz w:val="17"/>
              </w:rPr>
              <w:tab/>
            </w:r>
          </w:p>
        </w:tc>
        <w:tc>
          <w:tcPr>
            <w:tcW w:w="648" w:type="dxa"/>
            <w:shd w:val="clear" w:color="auto" w:fill="auto"/>
            <w:vAlign w:val="bottom"/>
          </w:tcPr>
          <w:p w:rsidR="005C0827" w:rsidRPr="00A75E0B" w:rsidRDefault="00100977" w:rsidP="00524418">
            <w:pPr>
              <w:spacing w:after="120"/>
              <w:ind w:right="40"/>
              <w:jc w:val="right"/>
            </w:pPr>
            <w:r w:rsidRPr="00A75E0B">
              <w:t>1</w:t>
            </w:r>
            <w:r w:rsidR="00524418">
              <w:t>7</w:t>
            </w:r>
          </w:p>
        </w:tc>
      </w:tr>
      <w:tr w:rsidR="005C0827" w:rsidRPr="00A75E0B" w:rsidTr="005C0827">
        <w:tc>
          <w:tcPr>
            <w:tcW w:w="9369" w:type="dxa"/>
            <w:gridSpan w:val="3"/>
            <w:shd w:val="clear" w:color="auto" w:fill="auto"/>
          </w:tcPr>
          <w:p w:rsidR="005C0827" w:rsidRPr="00A75E0B" w:rsidRDefault="00100977" w:rsidP="00100977">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pPr>
            <w:r w:rsidRPr="00A75E0B">
              <w:t>Acceptation des normes internationales relatives aux droits de l</w:t>
            </w:r>
            <w:r w:rsidR="00FD740F">
              <w:t>’</w:t>
            </w:r>
            <w:r w:rsidRPr="00A75E0B">
              <w:t>homme</w:t>
            </w:r>
            <w:r w:rsidRPr="00A75E0B">
              <w:rPr>
                <w:spacing w:val="60"/>
                <w:sz w:val="17"/>
              </w:rPr>
              <w:tab/>
            </w:r>
          </w:p>
        </w:tc>
        <w:tc>
          <w:tcPr>
            <w:tcW w:w="648" w:type="dxa"/>
            <w:shd w:val="clear" w:color="auto" w:fill="auto"/>
            <w:vAlign w:val="bottom"/>
          </w:tcPr>
          <w:p w:rsidR="005C0827" w:rsidRPr="00A75E0B" w:rsidRDefault="00100977" w:rsidP="005C0827">
            <w:pPr>
              <w:spacing w:after="120"/>
              <w:ind w:right="40"/>
              <w:jc w:val="right"/>
            </w:pPr>
            <w:r w:rsidRPr="00A75E0B">
              <w:t>18</w:t>
            </w:r>
          </w:p>
        </w:tc>
      </w:tr>
      <w:tr w:rsidR="005C0827" w:rsidRPr="00A75E0B" w:rsidTr="005C0827">
        <w:tc>
          <w:tcPr>
            <w:tcW w:w="9369" w:type="dxa"/>
            <w:gridSpan w:val="3"/>
            <w:shd w:val="clear" w:color="auto" w:fill="auto"/>
          </w:tcPr>
          <w:p w:rsidR="005C0827" w:rsidRPr="00A75E0B" w:rsidRDefault="0083743B" w:rsidP="0083743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pPr>
            <w:r w:rsidRPr="008936B0">
              <w:rPr>
                <w:lang w:val="fr-FR"/>
              </w:rPr>
              <w:t>Cadre juridique de la protection des droits de l</w:t>
            </w:r>
            <w:r>
              <w:rPr>
                <w:lang w:val="fr-FR"/>
              </w:rPr>
              <w:t>’</w:t>
            </w:r>
            <w:r w:rsidRPr="008936B0">
              <w:rPr>
                <w:lang w:val="fr-FR"/>
              </w:rPr>
              <w:t xml:space="preserve">homme </w:t>
            </w:r>
            <w:r>
              <w:rPr>
                <w:lang w:val="fr-FR"/>
              </w:rPr>
              <w:t>au niveau national</w:t>
            </w:r>
            <w:r>
              <w:rPr>
                <w:spacing w:val="60"/>
                <w:sz w:val="17"/>
                <w:lang w:val="fr-FR"/>
              </w:rPr>
              <w:tab/>
            </w:r>
          </w:p>
        </w:tc>
        <w:tc>
          <w:tcPr>
            <w:tcW w:w="648" w:type="dxa"/>
            <w:shd w:val="clear" w:color="auto" w:fill="auto"/>
            <w:vAlign w:val="bottom"/>
          </w:tcPr>
          <w:p w:rsidR="005C0827" w:rsidRPr="00A75E0B" w:rsidRDefault="00C51184" w:rsidP="005C0827">
            <w:pPr>
              <w:spacing w:after="120"/>
              <w:ind w:right="40"/>
              <w:jc w:val="right"/>
            </w:pPr>
            <w:r>
              <w:t>19</w:t>
            </w:r>
          </w:p>
        </w:tc>
      </w:tr>
      <w:tr w:rsidR="005C0827" w:rsidRPr="00A75E0B" w:rsidTr="005C0827">
        <w:tc>
          <w:tcPr>
            <w:tcW w:w="9369" w:type="dxa"/>
            <w:gridSpan w:val="3"/>
            <w:shd w:val="clear" w:color="auto" w:fill="auto"/>
          </w:tcPr>
          <w:p w:rsidR="005C0827" w:rsidRPr="00A75E0B" w:rsidRDefault="0083743B" w:rsidP="0083743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pPr>
            <w:r w:rsidRPr="00182B1B">
              <w:rPr>
                <w:lang w:val="fr-FR"/>
              </w:rPr>
              <w:t>Cadre de la promotion des droits de l</w:t>
            </w:r>
            <w:r>
              <w:rPr>
                <w:lang w:val="fr-FR"/>
              </w:rPr>
              <w:t>’</w:t>
            </w:r>
            <w:r w:rsidRPr="00182B1B">
              <w:rPr>
                <w:lang w:val="fr-FR"/>
              </w:rPr>
              <w:t>homme au niveau national</w:t>
            </w:r>
            <w:r>
              <w:rPr>
                <w:spacing w:val="60"/>
                <w:sz w:val="17"/>
                <w:lang w:val="fr-FR"/>
              </w:rPr>
              <w:tab/>
            </w:r>
          </w:p>
        </w:tc>
        <w:tc>
          <w:tcPr>
            <w:tcW w:w="648" w:type="dxa"/>
            <w:shd w:val="clear" w:color="auto" w:fill="auto"/>
            <w:vAlign w:val="bottom"/>
          </w:tcPr>
          <w:p w:rsidR="005C0827" w:rsidRPr="00A75E0B" w:rsidRDefault="0028797D" w:rsidP="00524418">
            <w:pPr>
              <w:spacing w:after="120"/>
              <w:ind w:right="40"/>
              <w:jc w:val="right"/>
            </w:pPr>
            <w:r>
              <w:t>2</w:t>
            </w:r>
            <w:r w:rsidR="00524418">
              <w:t>5</w:t>
            </w:r>
          </w:p>
        </w:tc>
      </w:tr>
      <w:tr w:rsidR="005C0827" w:rsidRPr="00A75E0B" w:rsidTr="005C0827">
        <w:tc>
          <w:tcPr>
            <w:tcW w:w="9369" w:type="dxa"/>
            <w:gridSpan w:val="3"/>
            <w:shd w:val="clear" w:color="auto" w:fill="auto"/>
          </w:tcPr>
          <w:p w:rsidR="005C0827" w:rsidRPr="00A75E0B" w:rsidRDefault="0083743B" w:rsidP="0083743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pPr>
            <w:r w:rsidRPr="00613187">
              <w:t>Procédure de présentation des rapports au niveau national</w:t>
            </w:r>
            <w:r>
              <w:rPr>
                <w:spacing w:val="60"/>
                <w:sz w:val="17"/>
              </w:rPr>
              <w:tab/>
            </w:r>
          </w:p>
        </w:tc>
        <w:tc>
          <w:tcPr>
            <w:tcW w:w="648" w:type="dxa"/>
            <w:shd w:val="clear" w:color="auto" w:fill="auto"/>
            <w:vAlign w:val="bottom"/>
          </w:tcPr>
          <w:p w:rsidR="005C0827" w:rsidRPr="00A75E0B" w:rsidRDefault="0028797D" w:rsidP="005C0827">
            <w:pPr>
              <w:spacing w:after="120"/>
              <w:ind w:right="40"/>
              <w:jc w:val="right"/>
            </w:pPr>
            <w:r>
              <w:t>29</w:t>
            </w:r>
          </w:p>
        </w:tc>
      </w:tr>
      <w:tr w:rsidR="005C0827" w:rsidRPr="00A75E0B" w:rsidTr="005C0827">
        <w:tc>
          <w:tcPr>
            <w:tcW w:w="9369" w:type="dxa"/>
            <w:gridSpan w:val="3"/>
            <w:shd w:val="clear" w:color="auto" w:fill="auto"/>
          </w:tcPr>
          <w:p w:rsidR="005C0827" w:rsidRPr="00A75E0B" w:rsidRDefault="0083743B" w:rsidP="0083743B">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pPr>
            <w:r w:rsidRPr="00613187">
              <w:t>Informations concernant la non-discrimination et l</w:t>
            </w:r>
            <w:r>
              <w:t>’</w:t>
            </w:r>
            <w:r w:rsidRPr="00613187">
              <w:t>égalité et les recours utiles</w:t>
            </w:r>
            <w:r>
              <w:rPr>
                <w:spacing w:val="60"/>
                <w:sz w:val="17"/>
              </w:rPr>
              <w:tab/>
            </w:r>
          </w:p>
        </w:tc>
        <w:tc>
          <w:tcPr>
            <w:tcW w:w="648" w:type="dxa"/>
            <w:shd w:val="clear" w:color="auto" w:fill="auto"/>
            <w:vAlign w:val="bottom"/>
          </w:tcPr>
          <w:p w:rsidR="005C0827" w:rsidRPr="00A75E0B" w:rsidRDefault="0028797D" w:rsidP="005C0827">
            <w:pPr>
              <w:spacing w:after="120"/>
              <w:ind w:right="40"/>
              <w:jc w:val="right"/>
            </w:pPr>
            <w:r>
              <w:t>30</w:t>
            </w:r>
          </w:p>
        </w:tc>
      </w:tr>
      <w:tr w:rsidR="005C0827" w:rsidRPr="00A75E0B" w:rsidTr="005C0827">
        <w:tc>
          <w:tcPr>
            <w:tcW w:w="9369" w:type="dxa"/>
            <w:gridSpan w:val="3"/>
            <w:shd w:val="clear" w:color="auto" w:fill="auto"/>
          </w:tcPr>
          <w:p w:rsidR="005C0827" w:rsidRPr="00A75E0B" w:rsidRDefault="0083743B" w:rsidP="0083743B">
            <w:pPr>
              <w:pStyle w:val="ListParagraph"/>
              <w:numPr>
                <w:ilvl w:val="1"/>
                <w:numId w:val="6"/>
              </w:numPr>
              <w:tabs>
                <w:tab w:val="left" w:pos="1296"/>
                <w:tab w:val="left" w:pos="1728"/>
                <w:tab w:val="left" w:pos="2160"/>
                <w:tab w:val="left" w:pos="2592"/>
                <w:tab w:val="left" w:pos="3024"/>
                <w:tab w:val="left" w:pos="3456"/>
                <w:tab w:val="left" w:pos="3888"/>
                <w:tab w:val="right" w:leader="dot" w:pos="9360"/>
              </w:tabs>
              <w:suppressAutoHyphens/>
              <w:spacing w:after="120"/>
            </w:pPr>
            <w:r w:rsidRPr="00613187">
              <w:t>Non-discrimination et égalité</w:t>
            </w:r>
            <w:r>
              <w:rPr>
                <w:spacing w:val="60"/>
                <w:sz w:val="17"/>
              </w:rPr>
              <w:tab/>
            </w:r>
          </w:p>
        </w:tc>
        <w:tc>
          <w:tcPr>
            <w:tcW w:w="648" w:type="dxa"/>
            <w:shd w:val="clear" w:color="auto" w:fill="auto"/>
            <w:vAlign w:val="bottom"/>
          </w:tcPr>
          <w:p w:rsidR="005C0827" w:rsidRPr="00A75E0B" w:rsidRDefault="0028797D" w:rsidP="005C0827">
            <w:pPr>
              <w:spacing w:after="120"/>
              <w:ind w:right="40"/>
              <w:jc w:val="right"/>
            </w:pPr>
            <w:r>
              <w:t>30</w:t>
            </w:r>
          </w:p>
        </w:tc>
      </w:tr>
      <w:tr w:rsidR="005C0827" w:rsidRPr="00A75E0B" w:rsidTr="005C0827">
        <w:tc>
          <w:tcPr>
            <w:tcW w:w="9369" w:type="dxa"/>
            <w:gridSpan w:val="3"/>
            <w:shd w:val="clear" w:color="auto" w:fill="auto"/>
          </w:tcPr>
          <w:p w:rsidR="005C0827" w:rsidRPr="00A75E0B" w:rsidRDefault="0083743B" w:rsidP="0083743B">
            <w:pPr>
              <w:pStyle w:val="ListParagraph"/>
              <w:numPr>
                <w:ilvl w:val="1"/>
                <w:numId w:val="6"/>
              </w:numPr>
              <w:tabs>
                <w:tab w:val="left" w:pos="1296"/>
                <w:tab w:val="left" w:pos="1728"/>
                <w:tab w:val="left" w:pos="2160"/>
                <w:tab w:val="left" w:pos="2592"/>
                <w:tab w:val="right" w:leader="dot" w:pos="9360"/>
              </w:tabs>
              <w:suppressAutoHyphens/>
              <w:spacing w:after="120"/>
            </w:pPr>
            <w:r w:rsidRPr="00613187">
              <w:t>Recours utiles</w:t>
            </w:r>
            <w:r>
              <w:rPr>
                <w:spacing w:val="60"/>
                <w:sz w:val="17"/>
              </w:rPr>
              <w:tab/>
            </w:r>
          </w:p>
        </w:tc>
        <w:tc>
          <w:tcPr>
            <w:tcW w:w="648" w:type="dxa"/>
            <w:shd w:val="clear" w:color="auto" w:fill="auto"/>
            <w:vAlign w:val="bottom"/>
          </w:tcPr>
          <w:p w:rsidR="005C0827" w:rsidRPr="00A75E0B" w:rsidRDefault="0028797D" w:rsidP="00524418">
            <w:pPr>
              <w:spacing w:after="120"/>
              <w:ind w:right="40"/>
              <w:jc w:val="right"/>
            </w:pPr>
            <w:r>
              <w:t>3</w:t>
            </w:r>
            <w:r w:rsidR="00524418">
              <w:t>2</w:t>
            </w:r>
          </w:p>
        </w:tc>
      </w:tr>
      <w:tr w:rsidR="005C0827" w:rsidRPr="00A75E0B" w:rsidTr="005C0827">
        <w:tc>
          <w:tcPr>
            <w:tcW w:w="9369" w:type="dxa"/>
            <w:gridSpan w:val="3"/>
            <w:shd w:val="clear" w:color="auto" w:fill="auto"/>
          </w:tcPr>
          <w:p w:rsidR="005C0827" w:rsidRPr="00A75E0B" w:rsidRDefault="0083743B" w:rsidP="0083743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pPr>
            <w:r w:rsidRPr="00613187">
              <w:t>Autres informations relatives aux droits de l</w:t>
            </w:r>
            <w:r>
              <w:t>’</w:t>
            </w:r>
            <w:r w:rsidRPr="00613187">
              <w:t>homme</w:t>
            </w:r>
            <w:r>
              <w:rPr>
                <w:spacing w:val="60"/>
                <w:sz w:val="17"/>
              </w:rPr>
              <w:tab/>
            </w:r>
          </w:p>
        </w:tc>
        <w:tc>
          <w:tcPr>
            <w:tcW w:w="648" w:type="dxa"/>
            <w:shd w:val="clear" w:color="auto" w:fill="auto"/>
            <w:vAlign w:val="bottom"/>
          </w:tcPr>
          <w:p w:rsidR="005C0827" w:rsidRPr="00A75E0B" w:rsidRDefault="0028797D" w:rsidP="005C0827">
            <w:pPr>
              <w:spacing w:after="120"/>
              <w:ind w:right="40"/>
              <w:jc w:val="right"/>
            </w:pPr>
            <w:r>
              <w:t>34</w:t>
            </w:r>
          </w:p>
        </w:tc>
      </w:tr>
    </w:tbl>
    <w:p w:rsidR="005C0827" w:rsidRPr="00A75E0B" w:rsidRDefault="005C0827">
      <w:pPr>
        <w:spacing w:line="240" w:lineRule="auto"/>
      </w:pPr>
      <w:r w:rsidRPr="00A75E0B">
        <w:br w:type="page"/>
      </w:r>
    </w:p>
    <w:p w:rsidR="005C0827" w:rsidRPr="00A75E0B" w:rsidRDefault="005C0827" w:rsidP="005C082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75E0B">
        <w:lastRenderedPageBreak/>
        <w:tab/>
      </w:r>
      <w:r w:rsidRPr="00A75E0B">
        <w:tab/>
        <w:t>Acronymes et abréviations</w:t>
      </w:r>
    </w:p>
    <w:p w:rsidR="005C0827" w:rsidRPr="00A75E0B" w:rsidRDefault="005C0827" w:rsidP="005C0827">
      <w:pPr>
        <w:spacing w:line="120" w:lineRule="exact"/>
        <w:rPr>
          <w:sz w:val="10"/>
        </w:rPr>
      </w:pPr>
    </w:p>
    <w:p w:rsidR="005C0827" w:rsidRPr="00A75E0B" w:rsidRDefault="005C0827" w:rsidP="005C0827">
      <w:pPr>
        <w:spacing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699"/>
        <w:gridCol w:w="5825"/>
      </w:tblGrid>
      <w:tr w:rsidR="005C0827" w:rsidRPr="00A75E0B" w:rsidTr="005161B1">
        <w:tc>
          <w:tcPr>
            <w:tcW w:w="1699" w:type="dxa"/>
            <w:shd w:val="clear" w:color="auto" w:fill="auto"/>
          </w:tcPr>
          <w:p w:rsidR="005C0827" w:rsidRPr="00A75E0B" w:rsidRDefault="005C0827" w:rsidP="005C0827">
            <w:pPr>
              <w:pStyle w:val="SingleTxt"/>
              <w:spacing w:before="40" w:after="80"/>
              <w:ind w:left="0" w:right="0"/>
            </w:pPr>
            <w:r w:rsidRPr="00A75E0B">
              <w:t>CFDH</w:t>
            </w:r>
          </w:p>
        </w:tc>
        <w:tc>
          <w:tcPr>
            <w:tcW w:w="5825" w:type="dxa"/>
            <w:shd w:val="clear" w:color="auto" w:fill="auto"/>
          </w:tcPr>
          <w:p w:rsidR="005C0827" w:rsidRPr="00A75E0B" w:rsidRDefault="005C0827" w:rsidP="005C0827">
            <w:pPr>
              <w:pStyle w:val="SingleTxt"/>
              <w:spacing w:before="40" w:after="80"/>
              <w:ind w:left="0" w:right="0"/>
            </w:pPr>
            <w:r w:rsidRPr="00A75E0B">
              <w:rPr>
                <w:szCs w:val="24"/>
              </w:rPr>
              <w:t>Conseil fédéral des droits de l</w:t>
            </w:r>
            <w:r w:rsidR="00FD740F">
              <w:rPr>
                <w:szCs w:val="24"/>
              </w:rPr>
              <w:t>’</w:t>
            </w:r>
            <w:r w:rsidRPr="00A75E0B">
              <w:rPr>
                <w:szCs w:val="24"/>
              </w:rPr>
              <w:t>homme</w:t>
            </w:r>
          </w:p>
        </w:tc>
      </w:tr>
      <w:tr w:rsidR="005C0827" w:rsidRPr="00A75E0B" w:rsidTr="005161B1">
        <w:tc>
          <w:tcPr>
            <w:tcW w:w="1699" w:type="dxa"/>
            <w:shd w:val="clear" w:color="auto" w:fill="auto"/>
          </w:tcPr>
          <w:p w:rsidR="005C0827" w:rsidRPr="00A75E0B" w:rsidRDefault="005C0827" w:rsidP="005C0827">
            <w:pPr>
              <w:pStyle w:val="SingleTxt"/>
              <w:spacing w:before="40" w:after="80"/>
              <w:ind w:left="0" w:right="0"/>
            </w:pPr>
            <w:r w:rsidRPr="00A75E0B">
              <w:rPr>
                <w:szCs w:val="24"/>
              </w:rPr>
              <w:t>CIDH</w:t>
            </w:r>
          </w:p>
        </w:tc>
        <w:tc>
          <w:tcPr>
            <w:tcW w:w="5825" w:type="dxa"/>
            <w:shd w:val="clear" w:color="auto" w:fill="auto"/>
          </w:tcPr>
          <w:p w:rsidR="005C0827" w:rsidRPr="00A75E0B" w:rsidRDefault="005C0827" w:rsidP="005C0827">
            <w:pPr>
              <w:pStyle w:val="SingleTxt"/>
              <w:spacing w:before="40" w:after="80"/>
              <w:ind w:left="0" w:right="0"/>
            </w:pPr>
            <w:r w:rsidRPr="00A75E0B">
              <w:rPr>
                <w:szCs w:val="24"/>
              </w:rPr>
              <w:t>Commission interaméricaine des droits de l</w:t>
            </w:r>
            <w:r w:rsidR="00FD740F">
              <w:rPr>
                <w:szCs w:val="24"/>
              </w:rPr>
              <w:t>’</w:t>
            </w:r>
            <w:r w:rsidRPr="00A75E0B">
              <w:rPr>
                <w:szCs w:val="24"/>
              </w:rPr>
              <w:t>homme</w:t>
            </w:r>
          </w:p>
        </w:tc>
      </w:tr>
      <w:tr w:rsidR="005C0827" w:rsidRPr="00A75E0B" w:rsidTr="005161B1">
        <w:tc>
          <w:tcPr>
            <w:tcW w:w="1699" w:type="dxa"/>
            <w:shd w:val="clear" w:color="auto" w:fill="auto"/>
          </w:tcPr>
          <w:p w:rsidR="005C0827" w:rsidRPr="00A75E0B" w:rsidRDefault="005C0827" w:rsidP="005C0827">
            <w:pPr>
              <w:pStyle w:val="SingleTxt"/>
              <w:spacing w:before="40" w:after="80"/>
              <w:ind w:left="0" w:right="0"/>
            </w:pPr>
            <w:r w:rsidRPr="00A75E0B">
              <w:rPr>
                <w:szCs w:val="24"/>
              </w:rPr>
              <w:t>CONADI</w:t>
            </w:r>
          </w:p>
        </w:tc>
        <w:tc>
          <w:tcPr>
            <w:tcW w:w="5825" w:type="dxa"/>
            <w:shd w:val="clear" w:color="auto" w:fill="auto"/>
          </w:tcPr>
          <w:p w:rsidR="005C0827" w:rsidRPr="00A75E0B" w:rsidRDefault="005C0827" w:rsidP="005C0827">
            <w:pPr>
              <w:pStyle w:val="SingleTxt"/>
              <w:spacing w:before="40" w:after="80"/>
              <w:ind w:left="0" w:right="0"/>
            </w:pPr>
            <w:r w:rsidRPr="00A75E0B">
              <w:rPr>
                <w:szCs w:val="24"/>
              </w:rPr>
              <w:t>Commission nationale pour le droit à l</w:t>
            </w:r>
            <w:r w:rsidR="00FD740F">
              <w:rPr>
                <w:szCs w:val="24"/>
              </w:rPr>
              <w:t>’</w:t>
            </w:r>
            <w:r w:rsidRPr="00A75E0B">
              <w:rPr>
                <w:szCs w:val="24"/>
              </w:rPr>
              <w:t>identité</w:t>
            </w:r>
          </w:p>
        </w:tc>
      </w:tr>
      <w:tr w:rsidR="005C0827" w:rsidRPr="00A75E0B" w:rsidTr="005161B1">
        <w:tc>
          <w:tcPr>
            <w:tcW w:w="1699" w:type="dxa"/>
            <w:shd w:val="clear" w:color="auto" w:fill="auto"/>
          </w:tcPr>
          <w:p w:rsidR="005C0827" w:rsidRPr="00A75E0B" w:rsidRDefault="005C0827" w:rsidP="005C0827">
            <w:pPr>
              <w:pStyle w:val="SingleTxt"/>
              <w:spacing w:before="40" w:after="80"/>
              <w:ind w:left="0" w:right="0"/>
            </w:pPr>
            <w:r w:rsidRPr="00A75E0B">
              <w:rPr>
                <w:szCs w:val="24"/>
              </w:rPr>
              <w:t>CONADIS</w:t>
            </w:r>
          </w:p>
        </w:tc>
        <w:tc>
          <w:tcPr>
            <w:tcW w:w="5825" w:type="dxa"/>
            <w:shd w:val="clear" w:color="auto" w:fill="auto"/>
          </w:tcPr>
          <w:p w:rsidR="005C0827" w:rsidRPr="00A75E0B" w:rsidRDefault="005C0827" w:rsidP="005C0827">
            <w:pPr>
              <w:pStyle w:val="SingleTxt"/>
              <w:spacing w:before="40" w:after="80"/>
              <w:ind w:left="0" w:right="0"/>
              <w:jc w:val="left"/>
            </w:pPr>
            <w:r w:rsidRPr="00A75E0B">
              <w:rPr>
                <w:szCs w:val="24"/>
              </w:rPr>
              <w:t>Commission nationale consultative pour l</w:t>
            </w:r>
            <w:r w:rsidR="00FD740F">
              <w:rPr>
                <w:szCs w:val="24"/>
              </w:rPr>
              <w:t>’</w:t>
            </w:r>
            <w:r w:rsidRPr="00A75E0B">
              <w:rPr>
                <w:szCs w:val="24"/>
              </w:rPr>
              <w:t xml:space="preserve">intégration </w:t>
            </w:r>
            <w:r w:rsidR="00311319">
              <w:rPr>
                <w:szCs w:val="24"/>
              </w:rPr>
              <w:br/>
            </w:r>
            <w:r w:rsidRPr="00A75E0B">
              <w:rPr>
                <w:szCs w:val="24"/>
              </w:rPr>
              <w:t>des personnes handicapées</w:t>
            </w:r>
          </w:p>
        </w:tc>
      </w:tr>
      <w:tr w:rsidR="005C0827" w:rsidRPr="00A75E0B" w:rsidTr="005161B1">
        <w:tc>
          <w:tcPr>
            <w:tcW w:w="1699" w:type="dxa"/>
            <w:shd w:val="clear" w:color="auto" w:fill="auto"/>
          </w:tcPr>
          <w:p w:rsidR="005C0827" w:rsidRPr="00A75E0B" w:rsidRDefault="005C0827" w:rsidP="005C0827">
            <w:pPr>
              <w:pStyle w:val="SingleTxt"/>
              <w:spacing w:before="40" w:after="80"/>
              <w:ind w:left="0" w:right="0"/>
            </w:pPr>
            <w:r w:rsidRPr="00A75E0B">
              <w:rPr>
                <w:szCs w:val="24"/>
              </w:rPr>
              <w:t>EPU</w:t>
            </w:r>
          </w:p>
        </w:tc>
        <w:tc>
          <w:tcPr>
            <w:tcW w:w="5825" w:type="dxa"/>
            <w:shd w:val="clear" w:color="auto" w:fill="auto"/>
          </w:tcPr>
          <w:p w:rsidR="005C0827" w:rsidRPr="00A75E0B" w:rsidRDefault="005C0827" w:rsidP="005C0827">
            <w:pPr>
              <w:pStyle w:val="SingleTxt"/>
              <w:spacing w:before="40" w:after="80"/>
              <w:ind w:left="0" w:right="0"/>
            </w:pPr>
            <w:r w:rsidRPr="00A75E0B">
              <w:rPr>
                <w:szCs w:val="24"/>
              </w:rPr>
              <w:t>Examen périodique universel</w:t>
            </w:r>
          </w:p>
        </w:tc>
      </w:tr>
      <w:tr w:rsidR="005C0827" w:rsidRPr="00A75E0B" w:rsidTr="005161B1">
        <w:tc>
          <w:tcPr>
            <w:tcW w:w="1699" w:type="dxa"/>
            <w:shd w:val="clear" w:color="auto" w:fill="auto"/>
          </w:tcPr>
          <w:p w:rsidR="005C0827" w:rsidRPr="00A75E0B" w:rsidRDefault="005C0827" w:rsidP="005C0827">
            <w:pPr>
              <w:pStyle w:val="SingleTxt"/>
              <w:spacing w:before="40" w:after="80"/>
              <w:ind w:left="0" w:right="0"/>
            </w:pPr>
            <w:r w:rsidRPr="00A75E0B">
              <w:rPr>
                <w:szCs w:val="24"/>
              </w:rPr>
              <w:t>HCDH</w:t>
            </w:r>
          </w:p>
        </w:tc>
        <w:tc>
          <w:tcPr>
            <w:tcW w:w="5825" w:type="dxa"/>
            <w:shd w:val="clear" w:color="auto" w:fill="auto"/>
          </w:tcPr>
          <w:p w:rsidR="005C0827" w:rsidRPr="00A75E0B" w:rsidRDefault="00FE42C6" w:rsidP="005C0827">
            <w:pPr>
              <w:pStyle w:val="SingleTxt"/>
              <w:spacing w:before="40" w:after="80"/>
              <w:ind w:left="0" w:right="0"/>
            </w:pPr>
            <w:r>
              <w:rPr>
                <w:szCs w:val="24"/>
              </w:rPr>
              <w:t>Haut-</w:t>
            </w:r>
            <w:r w:rsidR="005C0827" w:rsidRPr="00A75E0B">
              <w:rPr>
                <w:szCs w:val="24"/>
              </w:rPr>
              <w:t>Commissariat des Nations Unies aux droits de l</w:t>
            </w:r>
            <w:r w:rsidR="00FD740F">
              <w:rPr>
                <w:szCs w:val="24"/>
              </w:rPr>
              <w:t>’</w:t>
            </w:r>
            <w:r w:rsidR="005C0827" w:rsidRPr="00A75E0B">
              <w:rPr>
                <w:szCs w:val="24"/>
              </w:rPr>
              <w:t>homme</w:t>
            </w:r>
          </w:p>
        </w:tc>
      </w:tr>
      <w:tr w:rsidR="005C0827" w:rsidRPr="00A75E0B" w:rsidTr="005161B1">
        <w:tc>
          <w:tcPr>
            <w:tcW w:w="1699" w:type="dxa"/>
            <w:shd w:val="clear" w:color="auto" w:fill="auto"/>
          </w:tcPr>
          <w:p w:rsidR="005C0827" w:rsidRPr="00A75E0B" w:rsidRDefault="005C0827" w:rsidP="005C0827">
            <w:pPr>
              <w:pStyle w:val="SingleTxt"/>
              <w:spacing w:before="40" w:after="80"/>
              <w:ind w:left="0" w:right="0"/>
            </w:pPr>
            <w:r w:rsidRPr="00A75E0B">
              <w:rPr>
                <w:szCs w:val="24"/>
              </w:rPr>
              <w:t>INADI</w:t>
            </w:r>
          </w:p>
        </w:tc>
        <w:tc>
          <w:tcPr>
            <w:tcW w:w="5825" w:type="dxa"/>
            <w:shd w:val="clear" w:color="auto" w:fill="auto"/>
          </w:tcPr>
          <w:p w:rsidR="005C0827" w:rsidRPr="00A75E0B" w:rsidRDefault="005C0827" w:rsidP="00311319">
            <w:pPr>
              <w:pStyle w:val="SingleTxt"/>
              <w:spacing w:before="40" w:after="80"/>
              <w:ind w:left="0" w:right="0"/>
            </w:pPr>
            <w:r w:rsidRPr="00A75E0B">
              <w:rPr>
                <w:szCs w:val="24"/>
              </w:rPr>
              <w:t xml:space="preserve">Institut national contre la discrimination, la xénophobie </w:t>
            </w:r>
            <w:r w:rsidR="00311319">
              <w:rPr>
                <w:szCs w:val="24"/>
              </w:rPr>
              <w:br/>
            </w:r>
            <w:r w:rsidRPr="00A75E0B">
              <w:rPr>
                <w:szCs w:val="24"/>
              </w:rPr>
              <w:t>et le racisme</w:t>
            </w:r>
          </w:p>
        </w:tc>
      </w:tr>
      <w:tr w:rsidR="005C0827" w:rsidRPr="00A75E0B" w:rsidTr="005161B1">
        <w:tc>
          <w:tcPr>
            <w:tcW w:w="1699" w:type="dxa"/>
            <w:shd w:val="clear" w:color="auto" w:fill="auto"/>
          </w:tcPr>
          <w:p w:rsidR="005C0827" w:rsidRPr="00A75E0B" w:rsidRDefault="005C0827" w:rsidP="005C0827">
            <w:pPr>
              <w:pStyle w:val="SingleTxt"/>
              <w:spacing w:before="40" w:after="80"/>
              <w:ind w:left="0" w:right="0"/>
              <w:rPr>
                <w:szCs w:val="24"/>
              </w:rPr>
            </w:pPr>
            <w:r w:rsidRPr="00A75E0B">
              <w:rPr>
                <w:szCs w:val="24"/>
              </w:rPr>
              <w:t>INAI</w:t>
            </w:r>
          </w:p>
        </w:tc>
        <w:tc>
          <w:tcPr>
            <w:tcW w:w="5825" w:type="dxa"/>
            <w:shd w:val="clear" w:color="auto" w:fill="auto"/>
          </w:tcPr>
          <w:p w:rsidR="005C0827" w:rsidRPr="00A75E0B" w:rsidRDefault="005C0827" w:rsidP="005C0827">
            <w:pPr>
              <w:pStyle w:val="SingleTxt"/>
              <w:spacing w:before="40" w:after="80"/>
              <w:ind w:left="0" w:right="0"/>
              <w:rPr>
                <w:szCs w:val="24"/>
              </w:rPr>
            </w:pPr>
            <w:r w:rsidRPr="00A75E0B">
              <w:rPr>
                <w:szCs w:val="24"/>
              </w:rPr>
              <w:t>Institut national des affaires autochtones</w:t>
            </w:r>
          </w:p>
        </w:tc>
      </w:tr>
      <w:tr w:rsidR="005C0827" w:rsidRPr="00A75E0B" w:rsidTr="005161B1">
        <w:tc>
          <w:tcPr>
            <w:tcW w:w="1699" w:type="dxa"/>
            <w:shd w:val="clear" w:color="auto" w:fill="auto"/>
          </w:tcPr>
          <w:p w:rsidR="005C0827" w:rsidRPr="00A75E0B" w:rsidRDefault="005C0827" w:rsidP="005C0827">
            <w:pPr>
              <w:pStyle w:val="SingleTxt"/>
              <w:spacing w:before="40" w:after="80"/>
              <w:ind w:left="0" w:right="0"/>
            </w:pPr>
            <w:r w:rsidRPr="00A75E0B">
              <w:rPr>
                <w:szCs w:val="24"/>
              </w:rPr>
              <w:t>INDEC</w:t>
            </w:r>
          </w:p>
        </w:tc>
        <w:tc>
          <w:tcPr>
            <w:tcW w:w="5825" w:type="dxa"/>
            <w:shd w:val="clear" w:color="auto" w:fill="auto"/>
          </w:tcPr>
          <w:p w:rsidR="005C0827" w:rsidRPr="00A75E0B" w:rsidRDefault="005C0827" w:rsidP="005C0827">
            <w:pPr>
              <w:pStyle w:val="SingleTxt"/>
              <w:spacing w:before="40" w:after="80"/>
              <w:ind w:left="0" w:right="0"/>
            </w:pPr>
            <w:r w:rsidRPr="00A75E0B">
              <w:t>Institut national de la statistique et du recensement</w:t>
            </w:r>
          </w:p>
        </w:tc>
      </w:tr>
      <w:tr w:rsidR="005C0827" w:rsidRPr="00A75E0B" w:rsidTr="005161B1">
        <w:tc>
          <w:tcPr>
            <w:tcW w:w="1699" w:type="dxa"/>
            <w:shd w:val="clear" w:color="auto" w:fill="auto"/>
          </w:tcPr>
          <w:p w:rsidR="005C0827" w:rsidRPr="00A75E0B" w:rsidRDefault="005C0827" w:rsidP="008B75EF">
            <w:pPr>
              <w:pStyle w:val="SingleTxt"/>
              <w:spacing w:before="40" w:after="80"/>
              <w:ind w:left="0" w:right="0"/>
            </w:pPr>
            <w:r w:rsidRPr="00A75E0B">
              <w:t>LGB</w:t>
            </w:r>
            <w:r w:rsidR="008B75EF">
              <w:t>T</w:t>
            </w:r>
            <w:r w:rsidRPr="00A75E0B">
              <w:t>I</w:t>
            </w:r>
          </w:p>
        </w:tc>
        <w:tc>
          <w:tcPr>
            <w:tcW w:w="5825" w:type="dxa"/>
            <w:shd w:val="clear" w:color="auto" w:fill="auto"/>
          </w:tcPr>
          <w:p w:rsidR="005C0827" w:rsidRPr="00A75E0B" w:rsidRDefault="005C0827" w:rsidP="005C0827">
            <w:pPr>
              <w:pStyle w:val="SingleTxt"/>
              <w:spacing w:before="40" w:after="80"/>
              <w:ind w:left="0" w:right="0"/>
            </w:pPr>
            <w:r w:rsidRPr="00A75E0B">
              <w:t>Lesbiennes, gays, bisexuels, transgenres et intersexués</w:t>
            </w:r>
          </w:p>
        </w:tc>
      </w:tr>
      <w:tr w:rsidR="005C0827" w:rsidRPr="00A75E0B" w:rsidTr="005161B1">
        <w:tc>
          <w:tcPr>
            <w:tcW w:w="1699" w:type="dxa"/>
            <w:shd w:val="clear" w:color="auto" w:fill="auto"/>
          </w:tcPr>
          <w:p w:rsidR="005C0827" w:rsidRPr="00A75E0B" w:rsidRDefault="005C0827" w:rsidP="005C0827">
            <w:pPr>
              <w:pStyle w:val="SingleTxt"/>
              <w:spacing w:before="40" w:after="80"/>
              <w:ind w:left="0" w:right="0"/>
            </w:pPr>
            <w:r w:rsidRPr="00A75E0B">
              <w:t>MERCOSUR</w:t>
            </w:r>
          </w:p>
        </w:tc>
        <w:tc>
          <w:tcPr>
            <w:tcW w:w="5825" w:type="dxa"/>
            <w:shd w:val="clear" w:color="auto" w:fill="auto"/>
          </w:tcPr>
          <w:p w:rsidR="005C0827" w:rsidRPr="00A75E0B" w:rsidRDefault="005C0827" w:rsidP="005C0827">
            <w:pPr>
              <w:pStyle w:val="SingleTxt"/>
              <w:spacing w:before="40" w:after="80"/>
              <w:ind w:left="0" w:right="0"/>
            </w:pPr>
            <w:r w:rsidRPr="00A75E0B">
              <w:rPr>
                <w:rStyle w:val="admitted"/>
                <w:color w:val="333333"/>
                <w:szCs w:val="24"/>
              </w:rPr>
              <w:t>Marché commun du Sud</w:t>
            </w:r>
          </w:p>
        </w:tc>
      </w:tr>
      <w:tr w:rsidR="005C0827" w:rsidRPr="00A75E0B" w:rsidTr="005161B1">
        <w:tc>
          <w:tcPr>
            <w:tcW w:w="1699" w:type="dxa"/>
            <w:shd w:val="clear" w:color="auto" w:fill="auto"/>
          </w:tcPr>
          <w:p w:rsidR="005C0827" w:rsidRPr="00A75E0B" w:rsidRDefault="005C0827" w:rsidP="005C0827">
            <w:pPr>
              <w:pStyle w:val="SingleTxt"/>
              <w:spacing w:before="40" w:after="80"/>
              <w:ind w:left="0" w:right="0"/>
            </w:pPr>
            <w:r w:rsidRPr="00A75E0B">
              <w:rPr>
                <w:rStyle w:val="admitted"/>
                <w:color w:val="333333"/>
                <w:szCs w:val="24"/>
              </w:rPr>
              <w:t>OEA</w:t>
            </w:r>
          </w:p>
        </w:tc>
        <w:tc>
          <w:tcPr>
            <w:tcW w:w="5825" w:type="dxa"/>
            <w:shd w:val="clear" w:color="auto" w:fill="auto"/>
          </w:tcPr>
          <w:p w:rsidR="005C0827" w:rsidRPr="00A75E0B" w:rsidRDefault="005C0827" w:rsidP="005C0827">
            <w:pPr>
              <w:pStyle w:val="SingleTxt"/>
              <w:spacing w:before="40" w:after="80"/>
              <w:ind w:left="0" w:right="0"/>
            </w:pPr>
            <w:r w:rsidRPr="00A75E0B">
              <w:rPr>
                <w:rStyle w:val="admitted"/>
                <w:color w:val="333333"/>
                <w:szCs w:val="24"/>
              </w:rPr>
              <w:t>Organisation des États américains</w:t>
            </w:r>
          </w:p>
        </w:tc>
      </w:tr>
      <w:tr w:rsidR="005C0827" w:rsidRPr="00A75E0B" w:rsidTr="005161B1">
        <w:tc>
          <w:tcPr>
            <w:tcW w:w="1699" w:type="dxa"/>
            <w:shd w:val="clear" w:color="auto" w:fill="auto"/>
          </w:tcPr>
          <w:p w:rsidR="005C0827" w:rsidRPr="00A75E0B" w:rsidRDefault="005C0827" w:rsidP="005C0827">
            <w:pPr>
              <w:pStyle w:val="SingleTxt"/>
              <w:spacing w:before="40" w:after="80"/>
              <w:ind w:left="0" w:right="0"/>
            </w:pPr>
            <w:r w:rsidRPr="00A75E0B">
              <w:rPr>
                <w:rStyle w:val="admitted"/>
                <w:color w:val="333333"/>
                <w:szCs w:val="24"/>
              </w:rPr>
              <w:t>PIB</w:t>
            </w:r>
          </w:p>
        </w:tc>
        <w:tc>
          <w:tcPr>
            <w:tcW w:w="5825" w:type="dxa"/>
            <w:shd w:val="clear" w:color="auto" w:fill="auto"/>
          </w:tcPr>
          <w:p w:rsidR="005C0827" w:rsidRPr="00A75E0B" w:rsidRDefault="005C0827" w:rsidP="005C0827">
            <w:pPr>
              <w:pStyle w:val="SingleTxt"/>
              <w:spacing w:before="40" w:after="80"/>
              <w:ind w:left="0" w:right="0"/>
            </w:pPr>
            <w:r w:rsidRPr="00A75E0B">
              <w:rPr>
                <w:rStyle w:val="admitted"/>
                <w:color w:val="333333"/>
                <w:szCs w:val="24"/>
              </w:rPr>
              <w:t>P</w:t>
            </w:r>
            <w:r w:rsidRPr="00A75E0B">
              <w:rPr>
                <w:rStyle w:val="preferred"/>
                <w:color w:val="333333"/>
                <w:szCs w:val="24"/>
              </w:rPr>
              <w:t>roduit intérieur brut</w:t>
            </w:r>
          </w:p>
        </w:tc>
      </w:tr>
      <w:tr w:rsidR="005C0827" w:rsidRPr="00A75E0B" w:rsidTr="005161B1">
        <w:tc>
          <w:tcPr>
            <w:tcW w:w="1699" w:type="dxa"/>
            <w:shd w:val="clear" w:color="auto" w:fill="auto"/>
          </w:tcPr>
          <w:p w:rsidR="005C0827" w:rsidRPr="00A75E0B" w:rsidRDefault="005C0827" w:rsidP="005C0827">
            <w:pPr>
              <w:pStyle w:val="SingleTxt"/>
              <w:spacing w:before="40" w:after="80"/>
              <w:ind w:left="0" w:right="0"/>
            </w:pPr>
            <w:r w:rsidRPr="00A75E0B">
              <w:rPr>
                <w:rStyle w:val="preferred"/>
                <w:color w:val="333333"/>
                <w:szCs w:val="24"/>
              </w:rPr>
              <w:t>SNIC</w:t>
            </w:r>
          </w:p>
        </w:tc>
        <w:tc>
          <w:tcPr>
            <w:tcW w:w="5825" w:type="dxa"/>
            <w:shd w:val="clear" w:color="auto" w:fill="auto"/>
          </w:tcPr>
          <w:p w:rsidR="005C0827" w:rsidRPr="00A75E0B" w:rsidRDefault="005C0827" w:rsidP="005C0827">
            <w:pPr>
              <w:pStyle w:val="SingleTxt"/>
              <w:spacing w:before="40" w:after="80"/>
              <w:ind w:left="0" w:right="0"/>
            </w:pPr>
            <w:r w:rsidRPr="00A75E0B">
              <w:rPr>
                <w:szCs w:val="24"/>
              </w:rPr>
              <w:t>Système national d</w:t>
            </w:r>
            <w:r w:rsidR="00FD740F">
              <w:rPr>
                <w:szCs w:val="24"/>
              </w:rPr>
              <w:t>’</w:t>
            </w:r>
            <w:r w:rsidRPr="00A75E0B">
              <w:rPr>
                <w:szCs w:val="24"/>
              </w:rPr>
              <w:t>information criminelle</w:t>
            </w:r>
          </w:p>
        </w:tc>
      </w:tr>
    </w:tbl>
    <w:p w:rsidR="005C0827" w:rsidRPr="00A75E0B" w:rsidRDefault="005C0827" w:rsidP="005C0827">
      <w:pPr>
        <w:pStyle w:val="SingleTxt"/>
      </w:pPr>
    </w:p>
    <w:p w:rsidR="005C0827" w:rsidRPr="00A75E0B" w:rsidRDefault="005C0827">
      <w:pPr>
        <w:spacing w:line="240" w:lineRule="auto"/>
      </w:pPr>
      <w:r w:rsidRPr="00A75E0B">
        <w:br w:type="page"/>
      </w:r>
    </w:p>
    <w:p w:rsidR="005C0827" w:rsidRPr="00A75E0B" w:rsidRDefault="005C0827" w:rsidP="005C082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rPr>
      </w:pPr>
      <w:r w:rsidRPr="00A75E0B">
        <w:lastRenderedPageBreak/>
        <w:tab/>
        <w:t>I.</w:t>
      </w:r>
      <w:r w:rsidRPr="00A75E0B">
        <w:tab/>
      </w:r>
      <w:r w:rsidRPr="00A75E0B">
        <w:rPr>
          <w:szCs w:val="24"/>
        </w:rPr>
        <w:t>Renseignements d</w:t>
      </w:r>
      <w:r w:rsidR="00FD740F">
        <w:rPr>
          <w:b w:val="0"/>
          <w:szCs w:val="24"/>
        </w:rPr>
        <w:t>’</w:t>
      </w:r>
      <w:r w:rsidRPr="00A75E0B">
        <w:rPr>
          <w:szCs w:val="24"/>
        </w:rPr>
        <w:t>ordre général</w:t>
      </w:r>
    </w:p>
    <w:p w:rsidR="005C0827" w:rsidRPr="00A75E0B" w:rsidRDefault="005C0827" w:rsidP="005C0827">
      <w:pPr>
        <w:pStyle w:val="SingleTxt"/>
        <w:spacing w:after="0" w:line="120" w:lineRule="exact"/>
        <w:rPr>
          <w:sz w:val="10"/>
        </w:rPr>
      </w:pPr>
    </w:p>
    <w:p w:rsidR="005C0827" w:rsidRPr="00A75E0B" w:rsidRDefault="005C0827" w:rsidP="005C0827">
      <w:pPr>
        <w:pStyle w:val="SingleTxt"/>
        <w:spacing w:after="0" w:line="120" w:lineRule="exact"/>
        <w:rPr>
          <w:sz w:val="10"/>
        </w:rPr>
      </w:pPr>
    </w:p>
    <w:p w:rsidR="005C0827" w:rsidRPr="00A75E0B" w:rsidRDefault="005C0827" w:rsidP="005C0827">
      <w:pPr>
        <w:pStyle w:val="SingleTxt"/>
      </w:pPr>
      <w:r w:rsidRPr="00A75E0B">
        <w:t>Capitale (et ville la plus peuplée)</w:t>
      </w:r>
      <w:r w:rsidRPr="00A75E0B">
        <w:tab/>
      </w:r>
      <w:r w:rsidRPr="00A75E0B">
        <w:tab/>
        <w:t>Buenos Aires</w:t>
      </w:r>
    </w:p>
    <w:p w:rsidR="005C0827" w:rsidRPr="00A75E0B" w:rsidRDefault="005C0827" w:rsidP="005C0827">
      <w:pPr>
        <w:pStyle w:val="SingleTxt"/>
      </w:pPr>
      <w:r w:rsidRPr="00A75E0B">
        <w:t>Langue officielle</w:t>
      </w:r>
      <w:r w:rsidRPr="00A75E0B">
        <w:tab/>
      </w:r>
      <w:r w:rsidRPr="00A75E0B">
        <w:tab/>
      </w:r>
      <w:r w:rsidRPr="00A75E0B">
        <w:tab/>
      </w:r>
      <w:r w:rsidRPr="00A75E0B">
        <w:tab/>
      </w:r>
      <w:r w:rsidRPr="00A75E0B">
        <w:tab/>
        <w:t>Espagnol</w:t>
      </w:r>
    </w:p>
    <w:p w:rsidR="005C0827" w:rsidRPr="00A75E0B" w:rsidRDefault="005C0827" w:rsidP="005C0827">
      <w:pPr>
        <w:pStyle w:val="SingleTxt"/>
      </w:pPr>
      <w:r w:rsidRPr="00A75E0B">
        <w:t>Forme de gouvernement</w:t>
      </w:r>
      <w:r w:rsidRPr="00A75E0B">
        <w:tab/>
      </w:r>
      <w:r w:rsidRPr="00A75E0B">
        <w:tab/>
      </w:r>
      <w:r w:rsidRPr="00A75E0B">
        <w:tab/>
      </w:r>
      <w:r w:rsidRPr="00A75E0B">
        <w:tab/>
        <w:t xml:space="preserve">République démocratique fédérale </w:t>
      </w:r>
    </w:p>
    <w:p w:rsidR="005C0827" w:rsidRPr="00A75E0B" w:rsidRDefault="005C0827" w:rsidP="005C0827">
      <w:pPr>
        <w:pStyle w:val="SingleTxt"/>
      </w:pPr>
      <w:r w:rsidRPr="00A75E0B">
        <w:t>Superficie totale</w:t>
      </w:r>
      <w:r w:rsidRPr="00A75E0B">
        <w:tab/>
      </w:r>
      <w:r w:rsidRPr="00A75E0B">
        <w:tab/>
      </w:r>
      <w:r w:rsidRPr="00A75E0B">
        <w:tab/>
      </w:r>
      <w:r w:rsidRPr="00A75E0B">
        <w:tab/>
      </w:r>
      <w:r w:rsidRPr="00A75E0B">
        <w:tab/>
      </w:r>
      <w:r w:rsidRPr="00A75E0B">
        <w:tab/>
        <w:t>3 761 274 km</w:t>
      </w:r>
      <w:r w:rsidRPr="00311319">
        <w:rPr>
          <w:vertAlign w:val="superscript"/>
        </w:rPr>
        <w:t>2</w:t>
      </w:r>
    </w:p>
    <w:p w:rsidR="005C0827" w:rsidRPr="00A75E0B" w:rsidRDefault="005C0827" w:rsidP="005C0827">
      <w:pPr>
        <w:pStyle w:val="SingleTxt"/>
      </w:pPr>
      <w:r w:rsidRPr="00A75E0B">
        <w:t>Pourcentage d</w:t>
      </w:r>
      <w:r w:rsidR="00FD740F">
        <w:t>’</w:t>
      </w:r>
      <w:r w:rsidRPr="00A75E0B">
        <w:t>eau</w:t>
      </w:r>
      <w:r w:rsidRPr="00A75E0B">
        <w:tab/>
      </w:r>
      <w:r w:rsidRPr="00A75E0B">
        <w:tab/>
      </w:r>
      <w:r w:rsidRPr="00A75E0B">
        <w:tab/>
      </w:r>
      <w:r w:rsidRPr="00A75E0B">
        <w:tab/>
      </w:r>
      <w:r w:rsidRPr="00A75E0B">
        <w:tab/>
        <w:t>1,1 %</w:t>
      </w:r>
    </w:p>
    <w:p w:rsidR="005C0827" w:rsidRPr="00A75E0B" w:rsidRDefault="005C0827" w:rsidP="005C0827">
      <w:pPr>
        <w:pStyle w:val="SingleTxt"/>
      </w:pPr>
      <w:r w:rsidRPr="00A75E0B">
        <w:t>Frontières</w:t>
      </w:r>
      <w:r w:rsidRPr="00A75E0B">
        <w:tab/>
      </w:r>
      <w:r w:rsidRPr="00A75E0B">
        <w:tab/>
      </w:r>
      <w:r w:rsidRPr="00A75E0B">
        <w:tab/>
      </w:r>
      <w:r w:rsidRPr="00A75E0B">
        <w:tab/>
      </w:r>
      <w:r w:rsidRPr="00A75E0B">
        <w:tab/>
      </w:r>
      <w:r w:rsidRPr="00A75E0B">
        <w:tab/>
      </w:r>
      <w:r w:rsidRPr="00A75E0B">
        <w:tab/>
        <w:t>9 665 km</w:t>
      </w:r>
      <w:r w:rsidRPr="00A75E0B">
        <w:rPr>
          <w:vertAlign w:val="superscript"/>
        </w:rPr>
        <w:t>2</w:t>
      </w:r>
    </w:p>
    <w:p w:rsidR="005C0827" w:rsidRPr="00A75E0B" w:rsidRDefault="005C0827" w:rsidP="005C0827">
      <w:pPr>
        <w:pStyle w:val="SingleTxt"/>
      </w:pPr>
      <w:r w:rsidRPr="00A75E0B">
        <w:t>Population totale</w:t>
      </w:r>
      <w:r w:rsidRPr="00A75E0B">
        <w:tab/>
      </w:r>
      <w:r w:rsidRPr="00A75E0B">
        <w:tab/>
      </w:r>
      <w:r w:rsidRPr="00A75E0B">
        <w:tab/>
      </w:r>
      <w:r w:rsidRPr="00A75E0B">
        <w:tab/>
      </w:r>
      <w:r w:rsidRPr="00A75E0B">
        <w:tab/>
        <w:t>40 117 096 (recensement de 2010)</w:t>
      </w:r>
    </w:p>
    <w:p w:rsidR="005C0827" w:rsidRPr="00A75E0B" w:rsidRDefault="005C0827" w:rsidP="005C0827">
      <w:pPr>
        <w:pStyle w:val="SingleTxt"/>
      </w:pPr>
      <w:r w:rsidRPr="00A75E0B">
        <w:tab/>
      </w:r>
      <w:r w:rsidRPr="00A75E0B">
        <w:tab/>
      </w:r>
      <w:r w:rsidRPr="00A75E0B">
        <w:tab/>
      </w:r>
      <w:r w:rsidRPr="00A75E0B">
        <w:tab/>
      </w:r>
      <w:r w:rsidRPr="00A75E0B">
        <w:tab/>
      </w:r>
      <w:r w:rsidRPr="00A75E0B">
        <w:tab/>
      </w:r>
      <w:r w:rsidRPr="00A75E0B">
        <w:tab/>
      </w:r>
      <w:r w:rsidRPr="00A75E0B">
        <w:tab/>
        <w:t>42 192 500 (estimation pour 2012)</w:t>
      </w:r>
    </w:p>
    <w:p w:rsidR="005C0827" w:rsidRPr="00A75E0B" w:rsidRDefault="005C0827" w:rsidP="005C0827">
      <w:pPr>
        <w:pStyle w:val="SingleTxt"/>
      </w:pPr>
      <w:r w:rsidRPr="00A75E0B">
        <w:t>Densité</w:t>
      </w:r>
      <w:r w:rsidRPr="00A75E0B">
        <w:tab/>
      </w:r>
      <w:r w:rsidRPr="00A75E0B">
        <w:tab/>
      </w:r>
      <w:r w:rsidRPr="00A75E0B">
        <w:tab/>
      </w:r>
      <w:r w:rsidRPr="00A75E0B">
        <w:tab/>
      </w:r>
      <w:r w:rsidRPr="00A75E0B">
        <w:tab/>
      </w:r>
      <w:r w:rsidRPr="00A75E0B">
        <w:tab/>
      </w:r>
      <w:r w:rsidRPr="00A75E0B">
        <w:tab/>
        <w:t>14,43 habitants/km</w:t>
      </w:r>
      <w:r w:rsidRPr="00A75E0B">
        <w:rPr>
          <w:vertAlign w:val="superscript"/>
        </w:rPr>
        <w:t>2</w:t>
      </w:r>
    </w:p>
    <w:p w:rsidR="005C0827" w:rsidRPr="00A75E0B" w:rsidRDefault="005C0827" w:rsidP="005C0827">
      <w:pPr>
        <w:pStyle w:val="SingleTxt"/>
      </w:pPr>
      <w:r w:rsidRPr="00A75E0B">
        <w:t>PIB en valeur PPA</w:t>
      </w:r>
      <w:r w:rsidRPr="00A75E0B">
        <w:tab/>
      </w:r>
      <w:r w:rsidRPr="00A75E0B">
        <w:tab/>
      </w:r>
      <w:r w:rsidRPr="00A75E0B">
        <w:tab/>
      </w:r>
      <w:r w:rsidRPr="00A75E0B">
        <w:tab/>
      </w:r>
      <w:r w:rsidRPr="00A75E0B">
        <w:tab/>
        <w:t>20</w:t>
      </w:r>
      <w:r w:rsidRPr="00A75E0B">
        <w:rPr>
          <w:vertAlign w:val="superscript"/>
        </w:rPr>
        <w:t>e</w:t>
      </w:r>
      <w:r w:rsidRPr="00A75E0B">
        <w:t xml:space="preserve"> rang</w:t>
      </w:r>
    </w:p>
    <w:p w:rsidR="005C0827" w:rsidRPr="00A75E0B" w:rsidRDefault="005C0827" w:rsidP="005C0827">
      <w:pPr>
        <w:pStyle w:val="SingleTxt"/>
      </w:pPr>
      <w:r w:rsidRPr="00A75E0B">
        <w:t>Total (2012)</w:t>
      </w:r>
      <w:r w:rsidRPr="00A75E0B">
        <w:tab/>
      </w:r>
      <w:r w:rsidRPr="00A75E0B">
        <w:tab/>
      </w:r>
      <w:r w:rsidRPr="00A75E0B">
        <w:tab/>
      </w:r>
      <w:r w:rsidRPr="00A75E0B">
        <w:tab/>
      </w:r>
      <w:r w:rsidRPr="00A75E0B">
        <w:tab/>
      </w:r>
      <w:r w:rsidRPr="00A75E0B">
        <w:tab/>
        <w:t xml:space="preserve">756 226 </w:t>
      </w:r>
      <w:r w:rsidR="00687CA7" w:rsidRPr="00A75E0B">
        <w:t xml:space="preserve">dollars </w:t>
      </w:r>
      <w:r w:rsidRPr="00A75E0B">
        <w:t>É.-U.</w:t>
      </w:r>
    </w:p>
    <w:p w:rsidR="005C0827" w:rsidRPr="00A75E0B" w:rsidRDefault="005C0827" w:rsidP="005C0827">
      <w:pPr>
        <w:pStyle w:val="SingleTxt"/>
      </w:pPr>
      <w:r w:rsidRPr="00A75E0B">
        <w:t>PIB nominal</w:t>
      </w:r>
      <w:r w:rsidRPr="00A75E0B">
        <w:tab/>
      </w:r>
      <w:r w:rsidRPr="00A75E0B">
        <w:tab/>
      </w:r>
      <w:r w:rsidRPr="00A75E0B">
        <w:tab/>
      </w:r>
      <w:r w:rsidRPr="00A75E0B">
        <w:tab/>
      </w:r>
      <w:r w:rsidRPr="00A75E0B">
        <w:tab/>
      </w:r>
      <w:r w:rsidRPr="00A75E0B">
        <w:tab/>
        <w:t>25</w:t>
      </w:r>
      <w:r w:rsidRPr="00A75E0B">
        <w:rPr>
          <w:vertAlign w:val="superscript"/>
        </w:rPr>
        <w:t xml:space="preserve">e </w:t>
      </w:r>
      <w:r w:rsidRPr="00A75E0B">
        <w:t>rang</w:t>
      </w:r>
    </w:p>
    <w:p w:rsidR="005C0827" w:rsidRPr="00A75E0B" w:rsidRDefault="005C0827" w:rsidP="005C0827">
      <w:pPr>
        <w:pStyle w:val="SingleTxt"/>
      </w:pPr>
      <w:r w:rsidRPr="00A75E0B">
        <w:t>Total 2012</w:t>
      </w:r>
      <w:r w:rsidRPr="00A75E0B">
        <w:tab/>
      </w:r>
      <w:r w:rsidRPr="00A75E0B">
        <w:tab/>
      </w:r>
      <w:r w:rsidRPr="00A75E0B">
        <w:tab/>
      </w:r>
      <w:r w:rsidRPr="00A75E0B">
        <w:tab/>
      </w:r>
      <w:r w:rsidRPr="00A75E0B">
        <w:tab/>
      </w:r>
      <w:r w:rsidRPr="00A75E0B">
        <w:tab/>
      </w:r>
      <w:r w:rsidRPr="00A75E0B">
        <w:tab/>
        <w:t>474 812 millions de dollars É</w:t>
      </w:r>
      <w:r w:rsidR="00687CA7" w:rsidRPr="00A75E0B">
        <w:t>.</w:t>
      </w:r>
      <w:r w:rsidRPr="00A75E0B">
        <w:t>-U</w:t>
      </w:r>
      <w:r w:rsidR="00687CA7" w:rsidRPr="00A75E0B">
        <w:t>.</w:t>
      </w:r>
    </w:p>
    <w:p w:rsidR="005C0827" w:rsidRPr="00A75E0B" w:rsidRDefault="005C0827" w:rsidP="005C0827">
      <w:pPr>
        <w:pStyle w:val="SingleTxt"/>
      </w:pPr>
      <w:r w:rsidRPr="00A75E0B">
        <w:t>PIB par habitant</w:t>
      </w:r>
      <w:r w:rsidRPr="00A75E0B">
        <w:tab/>
      </w:r>
      <w:r w:rsidRPr="00A75E0B">
        <w:tab/>
      </w:r>
      <w:r w:rsidRPr="00A75E0B">
        <w:tab/>
      </w:r>
      <w:r w:rsidRPr="00A75E0B">
        <w:tab/>
      </w:r>
      <w:r w:rsidRPr="00A75E0B">
        <w:tab/>
      </w:r>
      <w:r w:rsidRPr="00A75E0B">
        <w:tab/>
        <w:t>11 835 dollars É</w:t>
      </w:r>
      <w:r w:rsidR="00687CA7" w:rsidRPr="00A75E0B">
        <w:t>.</w:t>
      </w:r>
      <w:r w:rsidRPr="00A75E0B">
        <w:t>-U</w:t>
      </w:r>
      <w:r w:rsidR="00687CA7" w:rsidRPr="00A75E0B">
        <w:t>.</w:t>
      </w:r>
    </w:p>
    <w:p w:rsidR="00687CA7" w:rsidRPr="00A75E0B" w:rsidRDefault="00687CA7" w:rsidP="00F53D67">
      <w:pPr>
        <w:pStyle w:val="SingleTxt"/>
        <w:numPr>
          <w:ilvl w:val="0"/>
          <w:numId w:val="8"/>
        </w:numPr>
        <w:tabs>
          <w:tab w:val="clear" w:pos="475"/>
          <w:tab w:val="num" w:pos="1742"/>
        </w:tabs>
        <w:ind w:left="1267"/>
      </w:pPr>
      <w:r w:rsidRPr="00A75E0B">
        <w:t>La République Argentine est un État souverain fédéral doté d</w:t>
      </w:r>
      <w:r w:rsidR="00FD740F">
        <w:t>’</w:t>
      </w:r>
      <w:r w:rsidRPr="00A75E0B">
        <w:t>un système représentatif, situé à l</w:t>
      </w:r>
      <w:r w:rsidR="00FD740F">
        <w:t>’</w:t>
      </w:r>
      <w:r w:rsidRPr="00A75E0B">
        <w:t>extrême sud-est de l</w:t>
      </w:r>
      <w:r w:rsidR="00FD740F">
        <w:t>’</w:t>
      </w:r>
      <w:r w:rsidRPr="00A75E0B">
        <w:t>Amérique du Sud.</w:t>
      </w:r>
    </w:p>
    <w:p w:rsidR="00687CA7" w:rsidRPr="00A75E0B" w:rsidRDefault="00687CA7" w:rsidP="00F53D67">
      <w:pPr>
        <w:pStyle w:val="SingleTxt"/>
        <w:numPr>
          <w:ilvl w:val="0"/>
          <w:numId w:val="8"/>
        </w:numPr>
        <w:tabs>
          <w:tab w:val="clear" w:pos="475"/>
          <w:tab w:val="num" w:pos="1742"/>
        </w:tabs>
        <w:ind w:left="1267"/>
      </w:pPr>
      <w:r w:rsidRPr="00A75E0B">
        <w:t>Son territoire est divisé en 23 provinces, auxquelles s</w:t>
      </w:r>
      <w:r w:rsidR="00FD740F">
        <w:t>’</w:t>
      </w:r>
      <w:r w:rsidRPr="00A75E0B">
        <w:t xml:space="preserve">ajoute la ville autonome de Buenos Aires, capitale de la </w:t>
      </w:r>
      <w:r w:rsidR="00AB4AC5" w:rsidRPr="00A75E0B">
        <w:t>n</w:t>
      </w:r>
      <w:r w:rsidRPr="00A75E0B">
        <w:t>ation et siège du Gouvernement fédéral. Les indicateurs moyens de développement humain, de revenu par habitant et de qualité de vie des 40</w:t>
      </w:r>
      <w:r w:rsidR="00E444DA">
        <w:t> </w:t>
      </w:r>
      <w:r w:rsidRPr="00A75E0B">
        <w:t>millions d</w:t>
      </w:r>
      <w:r w:rsidR="00FD740F">
        <w:t>’</w:t>
      </w:r>
      <w:r w:rsidRPr="00A75E0B">
        <w:t>habitants sont parmi les plus élevés d</w:t>
      </w:r>
      <w:r w:rsidR="00FD740F">
        <w:t>’</w:t>
      </w:r>
      <w:r w:rsidRPr="00A75E0B">
        <w:t>Amérique latine.</w:t>
      </w:r>
    </w:p>
    <w:p w:rsidR="00687CA7" w:rsidRPr="00A75E0B" w:rsidRDefault="00687CA7" w:rsidP="00F53D67">
      <w:pPr>
        <w:pStyle w:val="SingleTxt"/>
        <w:numPr>
          <w:ilvl w:val="0"/>
          <w:numId w:val="8"/>
        </w:numPr>
        <w:tabs>
          <w:tab w:val="clear" w:pos="475"/>
          <w:tab w:val="num" w:pos="1742"/>
        </w:tabs>
        <w:ind w:left="1267"/>
      </w:pPr>
      <w:r w:rsidRPr="00A75E0B">
        <w:t>L</w:t>
      </w:r>
      <w:r w:rsidR="00FD740F">
        <w:t>’</w:t>
      </w:r>
      <w:r w:rsidRPr="00A75E0B">
        <w:t>Argentine est le pays hispanophone le plus étendu du monde et, par sa taille, le deuxième État d</w:t>
      </w:r>
      <w:r w:rsidR="00FD740F">
        <w:t>’</w:t>
      </w:r>
      <w:r w:rsidRPr="00A75E0B">
        <w:t>Amérique du Sud, le quatrième du continent américain et le septième du monde.</w:t>
      </w:r>
    </w:p>
    <w:p w:rsidR="00687CA7" w:rsidRPr="00A75E0B" w:rsidRDefault="00687CA7" w:rsidP="00F53D67">
      <w:pPr>
        <w:pStyle w:val="SingleTxt"/>
        <w:numPr>
          <w:ilvl w:val="0"/>
          <w:numId w:val="8"/>
        </w:numPr>
        <w:tabs>
          <w:tab w:val="clear" w:pos="475"/>
          <w:tab w:val="num" w:pos="1742"/>
        </w:tabs>
        <w:ind w:left="1267"/>
      </w:pPr>
      <w:r w:rsidRPr="00A75E0B">
        <w:t>Le territoire continental, qui couvre une grande partie du cône Sud, est limité au nord par la Bolivie et le Paraguay, au nord-est par le Brésil, à l</w:t>
      </w:r>
      <w:r w:rsidR="00FD740F">
        <w:t>’</w:t>
      </w:r>
      <w:r w:rsidRPr="00A75E0B">
        <w:t>est par l</w:t>
      </w:r>
      <w:r w:rsidR="00FD740F">
        <w:t>’</w:t>
      </w:r>
      <w:r w:rsidRPr="00A75E0B">
        <w:t>Uruguay et l</w:t>
      </w:r>
      <w:r w:rsidR="00FD740F">
        <w:t>’</w:t>
      </w:r>
      <w:r w:rsidRPr="00A75E0B">
        <w:t xml:space="preserve">océan </w:t>
      </w:r>
      <w:r w:rsidR="0067590F" w:rsidRPr="00A75E0B">
        <w:t>A</w:t>
      </w:r>
      <w:r w:rsidRPr="00A75E0B">
        <w:t>tlantique, et au sud-ouest par le Chili.</w:t>
      </w:r>
    </w:p>
    <w:p w:rsidR="00687CA7" w:rsidRPr="00A75E0B" w:rsidRDefault="00687CA7" w:rsidP="00F53D67">
      <w:pPr>
        <w:pStyle w:val="SingleTxt"/>
        <w:numPr>
          <w:ilvl w:val="0"/>
          <w:numId w:val="8"/>
        </w:numPr>
        <w:tabs>
          <w:tab w:val="clear" w:pos="475"/>
          <w:tab w:val="num" w:pos="1742"/>
        </w:tabs>
        <w:ind w:left="1267"/>
      </w:pPr>
      <w:r w:rsidRPr="00A75E0B">
        <w:t>Selon la Banque mondiale, le PIB nominal de l</w:t>
      </w:r>
      <w:r w:rsidR="00FD740F">
        <w:t>’</w:t>
      </w:r>
      <w:r w:rsidRPr="00A75E0B">
        <w:t xml:space="preserve">Argentine se situe au vingt-cinquième rang mondial, mais </w:t>
      </w:r>
      <w:r w:rsidR="0067590F" w:rsidRPr="00A75E0B">
        <w:t xml:space="preserve">en termes de </w:t>
      </w:r>
      <w:r w:rsidRPr="00A75E0B">
        <w:t>pouvoir d</w:t>
      </w:r>
      <w:r w:rsidR="00FD740F">
        <w:t>’</w:t>
      </w:r>
      <w:r w:rsidRPr="00A75E0B">
        <w:t xml:space="preserve">achat, son PIB total le place au vingtième rang économique mondial. En 2010, le pays a été classé par la Banque mondiale dans la catégorie des pays à revenu </w:t>
      </w:r>
      <w:r w:rsidR="0067590F" w:rsidRPr="00A75E0B">
        <w:t>de la tranche supérieure ou des marchés ém</w:t>
      </w:r>
      <w:r w:rsidRPr="00A75E0B">
        <w:t>ergents</w:t>
      </w:r>
      <w:r w:rsidR="0067590F" w:rsidRPr="00A75E0B">
        <w:t>.</w:t>
      </w:r>
    </w:p>
    <w:p w:rsidR="00687CA7" w:rsidRPr="00A75E0B" w:rsidRDefault="00687CA7" w:rsidP="0067590F">
      <w:pPr>
        <w:pStyle w:val="SingleTxt"/>
        <w:spacing w:after="0" w:line="120" w:lineRule="exact"/>
        <w:rPr>
          <w:sz w:val="10"/>
        </w:rPr>
      </w:pPr>
    </w:p>
    <w:p w:rsidR="0067590F" w:rsidRPr="00A75E0B" w:rsidRDefault="0067590F" w:rsidP="0067590F">
      <w:pPr>
        <w:pStyle w:val="SingleTxt"/>
        <w:spacing w:after="0" w:line="120" w:lineRule="exact"/>
        <w:rPr>
          <w:sz w:val="10"/>
        </w:rPr>
      </w:pPr>
    </w:p>
    <w:p w:rsidR="00687CA7" w:rsidRPr="00A75E0B" w:rsidRDefault="0067590F" w:rsidP="006759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lastRenderedPageBreak/>
        <w:tab/>
      </w:r>
      <w:r w:rsidR="00687CA7" w:rsidRPr="00A75E0B">
        <w:t>A.</w:t>
      </w:r>
      <w:r w:rsidR="00687CA7" w:rsidRPr="00A75E0B">
        <w:tab/>
        <w:t>Caractéristiques démographiques, économiques, sociales</w:t>
      </w:r>
      <w:r w:rsidRPr="00A75E0B">
        <w:t xml:space="preserve"> </w:t>
      </w:r>
      <w:r w:rsidRPr="00A75E0B">
        <w:br/>
      </w:r>
      <w:r w:rsidR="00687CA7" w:rsidRPr="00A75E0B">
        <w:t>et culturelles</w:t>
      </w:r>
    </w:p>
    <w:p w:rsidR="0067590F" w:rsidRPr="00A75E0B" w:rsidRDefault="0067590F" w:rsidP="0067590F">
      <w:pPr>
        <w:pStyle w:val="SingleTxt"/>
        <w:keepNext/>
        <w:keepLines/>
        <w:spacing w:after="0" w:line="120" w:lineRule="exact"/>
        <w:rPr>
          <w:sz w:val="10"/>
        </w:rPr>
      </w:pPr>
    </w:p>
    <w:p w:rsidR="0067590F" w:rsidRPr="00A75E0B" w:rsidRDefault="0067590F" w:rsidP="0067590F">
      <w:pPr>
        <w:pStyle w:val="SingleTxt"/>
        <w:keepNext/>
        <w:keepLines/>
        <w:spacing w:after="0" w:line="120" w:lineRule="exact"/>
        <w:rPr>
          <w:sz w:val="10"/>
        </w:rPr>
      </w:pPr>
    </w:p>
    <w:p w:rsidR="00687CA7" w:rsidRPr="00A75E0B" w:rsidRDefault="0067590F" w:rsidP="006759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00687CA7" w:rsidRPr="00A75E0B">
        <w:t>1.</w:t>
      </w:r>
      <w:r w:rsidR="00687CA7" w:rsidRPr="00A75E0B">
        <w:tab/>
        <w:t xml:space="preserve">Caractéristiques ethniques et démographiques du pays et de la population, </w:t>
      </w:r>
      <w:r w:rsidRPr="00A75E0B">
        <w:br/>
      </w:r>
      <w:r w:rsidR="00687CA7" w:rsidRPr="00A75E0B">
        <w:t>selon les indicateurs suivants</w:t>
      </w:r>
    </w:p>
    <w:p w:rsidR="0067590F" w:rsidRPr="00A75E0B" w:rsidRDefault="0067590F" w:rsidP="0067590F">
      <w:pPr>
        <w:pStyle w:val="SingleTxt"/>
        <w:keepNext/>
        <w:keepLines/>
        <w:spacing w:after="0" w:line="120" w:lineRule="exact"/>
        <w:rPr>
          <w:sz w:val="10"/>
        </w:rPr>
      </w:pPr>
    </w:p>
    <w:p w:rsidR="0067590F" w:rsidRPr="00A75E0B" w:rsidRDefault="0067590F" w:rsidP="006759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r>
      <w:r w:rsidRPr="00A75E0B">
        <w:rPr>
          <w:b w:val="0"/>
        </w:rPr>
        <w:t xml:space="preserve">Tableau 1 </w:t>
      </w:r>
      <w:r w:rsidRPr="00A75E0B">
        <w:rPr>
          <w:b w:val="0"/>
        </w:rPr>
        <w:br/>
      </w:r>
      <w:r w:rsidRPr="00A75E0B">
        <w:t>Taille de la population</w:t>
      </w:r>
      <w:r w:rsidRPr="00A75E0B">
        <w:rPr>
          <w:rStyle w:val="FootnoteReference"/>
          <w:b w:val="0"/>
          <w:szCs w:val="20"/>
        </w:rPr>
        <w:footnoteReference w:id="2"/>
      </w:r>
    </w:p>
    <w:p w:rsidR="0067590F" w:rsidRPr="00A75E0B" w:rsidRDefault="0067590F" w:rsidP="0067590F">
      <w:pPr>
        <w:pStyle w:val="SingleTxt"/>
        <w:keepNext/>
        <w:keepLines/>
        <w:spacing w:after="0" w:line="120" w:lineRule="exact"/>
        <w:rPr>
          <w:sz w:val="10"/>
        </w:rPr>
      </w:pPr>
    </w:p>
    <w:p w:rsidR="0067590F" w:rsidRPr="00A75E0B" w:rsidRDefault="0067590F" w:rsidP="0067590F">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787"/>
        <w:gridCol w:w="3737"/>
      </w:tblGrid>
      <w:tr w:rsidR="0067590F" w:rsidRPr="00561B4F" w:rsidTr="00561B4F">
        <w:trPr>
          <w:tblHeader/>
        </w:trPr>
        <w:tc>
          <w:tcPr>
            <w:tcW w:w="3787" w:type="dxa"/>
            <w:tcBorders>
              <w:top w:val="single" w:sz="4" w:space="0" w:color="auto"/>
              <w:bottom w:val="single" w:sz="12" w:space="0" w:color="auto"/>
            </w:tcBorders>
            <w:shd w:val="clear" w:color="auto" w:fill="auto"/>
            <w:vAlign w:val="bottom"/>
          </w:tcPr>
          <w:p w:rsidR="0067590F" w:rsidRPr="00561B4F" w:rsidRDefault="0067590F" w:rsidP="00B9256B">
            <w:pPr>
              <w:tabs>
                <w:tab w:val="left" w:pos="288"/>
                <w:tab w:val="left" w:pos="576"/>
                <w:tab w:val="left" w:pos="864"/>
                <w:tab w:val="left" w:pos="1152"/>
              </w:tabs>
              <w:suppressAutoHyphens/>
              <w:spacing w:before="81" w:after="81" w:line="210" w:lineRule="exact"/>
              <w:ind w:right="43"/>
              <w:rPr>
                <w:b/>
                <w:sz w:val="17"/>
                <w:szCs w:val="17"/>
              </w:rPr>
            </w:pPr>
            <w:r w:rsidRPr="00561B4F">
              <w:rPr>
                <w:b/>
                <w:sz w:val="17"/>
                <w:szCs w:val="17"/>
              </w:rPr>
              <w:t>Population totale</w:t>
            </w:r>
          </w:p>
        </w:tc>
        <w:tc>
          <w:tcPr>
            <w:tcW w:w="3737" w:type="dxa"/>
            <w:tcBorders>
              <w:top w:val="single" w:sz="4" w:space="0" w:color="auto"/>
              <w:bottom w:val="single" w:sz="12" w:space="0" w:color="auto"/>
            </w:tcBorders>
            <w:shd w:val="clear" w:color="auto" w:fill="auto"/>
            <w:vAlign w:val="bottom"/>
          </w:tcPr>
          <w:p w:rsidR="0067590F" w:rsidRPr="00561B4F" w:rsidRDefault="0067590F" w:rsidP="00ED74B6">
            <w:pPr>
              <w:tabs>
                <w:tab w:val="left" w:pos="288"/>
                <w:tab w:val="left" w:pos="576"/>
                <w:tab w:val="left" w:pos="864"/>
                <w:tab w:val="left" w:pos="1152"/>
              </w:tabs>
              <w:suppressAutoHyphens/>
              <w:spacing w:before="81" w:after="81" w:line="210" w:lineRule="exact"/>
              <w:jc w:val="right"/>
              <w:rPr>
                <w:b/>
                <w:sz w:val="17"/>
                <w:szCs w:val="17"/>
              </w:rPr>
            </w:pPr>
            <w:r w:rsidRPr="00561B4F">
              <w:rPr>
                <w:b/>
                <w:sz w:val="17"/>
                <w:szCs w:val="17"/>
              </w:rPr>
              <w:t>40 117 096</w:t>
            </w:r>
          </w:p>
        </w:tc>
      </w:tr>
      <w:tr w:rsidR="00561B4F" w:rsidRPr="00561B4F" w:rsidTr="00561B4F">
        <w:trPr>
          <w:trHeight w:hRule="exact" w:val="115"/>
          <w:tblHeader/>
        </w:trPr>
        <w:tc>
          <w:tcPr>
            <w:tcW w:w="3787" w:type="dxa"/>
            <w:tcBorders>
              <w:top w:val="single" w:sz="12" w:space="0" w:color="auto"/>
            </w:tcBorders>
            <w:shd w:val="clear" w:color="auto" w:fill="auto"/>
            <w:vAlign w:val="bottom"/>
          </w:tcPr>
          <w:p w:rsidR="00561B4F" w:rsidRPr="00561B4F" w:rsidRDefault="00561B4F" w:rsidP="00B9256B">
            <w:pPr>
              <w:tabs>
                <w:tab w:val="left" w:pos="288"/>
                <w:tab w:val="left" w:pos="576"/>
                <w:tab w:val="left" w:pos="864"/>
                <w:tab w:val="left" w:pos="1152"/>
              </w:tabs>
              <w:suppressAutoHyphens/>
              <w:spacing w:before="40" w:after="40" w:line="210" w:lineRule="exact"/>
              <w:ind w:right="43"/>
              <w:rPr>
                <w:sz w:val="17"/>
                <w:szCs w:val="24"/>
              </w:rPr>
            </w:pPr>
          </w:p>
        </w:tc>
        <w:tc>
          <w:tcPr>
            <w:tcW w:w="3737" w:type="dxa"/>
            <w:tcBorders>
              <w:top w:val="single" w:sz="12" w:space="0" w:color="auto"/>
            </w:tcBorders>
            <w:shd w:val="clear" w:color="auto" w:fill="auto"/>
            <w:vAlign w:val="bottom"/>
          </w:tcPr>
          <w:p w:rsidR="00561B4F" w:rsidRPr="00561B4F" w:rsidRDefault="00561B4F" w:rsidP="00B9256B">
            <w:pPr>
              <w:tabs>
                <w:tab w:val="left" w:pos="288"/>
                <w:tab w:val="left" w:pos="576"/>
                <w:tab w:val="left" w:pos="864"/>
                <w:tab w:val="left" w:pos="1152"/>
              </w:tabs>
              <w:suppressAutoHyphens/>
              <w:spacing w:before="40" w:after="40" w:line="210" w:lineRule="exact"/>
              <w:ind w:right="43"/>
              <w:jc w:val="right"/>
              <w:rPr>
                <w:sz w:val="17"/>
                <w:szCs w:val="24"/>
              </w:rPr>
            </w:pPr>
          </w:p>
        </w:tc>
      </w:tr>
      <w:tr w:rsidR="0067590F" w:rsidRPr="00561B4F" w:rsidTr="00561B4F">
        <w:tc>
          <w:tcPr>
            <w:tcW w:w="3787" w:type="dxa"/>
            <w:shd w:val="clear" w:color="auto" w:fill="auto"/>
            <w:vAlign w:val="bottom"/>
          </w:tcPr>
          <w:p w:rsidR="0067590F" w:rsidRPr="00561B4F" w:rsidRDefault="0067590F" w:rsidP="00561B4F">
            <w:pPr>
              <w:tabs>
                <w:tab w:val="left" w:pos="288"/>
                <w:tab w:val="left" w:pos="576"/>
                <w:tab w:val="left" w:pos="864"/>
                <w:tab w:val="left" w:pos="1152"/>
              </w:tabs>
              <w:suppressAutoHyphens/>
              <w:spacing w:before="40" w:after="40" w:line="210" w:lineRule="exact"/>
              <w:ind w:right="40"/>
              <w:rPr>
                <w:sz w:val="17"/>
              </w:rPr>
            </w:pPr>
            <w:r w:rsidRPr="00561B4F">
              <w:rPr>
                <w:sz w:val="17"/>
                <w:szCs w:val="24"/>
              </w:rPr>
              <w:t>Hommes</w:t>
            </w:r>
          </w:p>
        </w:tc>
        <w:tc>
          <w:tcPr>
            <w:tcW w:w="3737" w:type="dxa"/>
            <w:shd w:val="clear" w:color="auto" w:fill="auto"/>
            <w:vAlign w:val="bottom"/>
          </w:tcPr>
          <w:p w:rsidR="0067590F" w:rsidRPr="00561B4F" w:rsidRDefault="0067590F" w:rsidP="00ED74B6">
            <w:pPr>
              <w:tabs>
                <w:tab w:val="left" w:pos="288"/>
                <w:tab w:val="left" w:pos="576"/>
                <w:tab w:val="left" w:pos="864"/>
                <w:tab w:val="left" w:pos="1152"/>
              </w:tabs>
              <w:suppressAutoHyphens/>
              <w:spacing w:before="40" w:after="40" w:line="210" w:lineRule="exact"/>
              <w:jc w:val="right"/>
              <w:rPr>
                <w:sz w:val="17"/>
              </w:rPr>
            </w:pPr>
            <w:r w:rsidRPr="00561B4F">
              <w:rPr>
                <w:sz w:val="17"/>
                <w:szCs w:val="24"/>
              </w:rPr>
              <w:t>19 523 766</w:t>
            </w:r>
          </w:p>
        </w:tc>
      </w:tr>
      <w:tr w:rsidR="0067590F" w:rsidRPr="00561B4F" w:rsidTr="00561B4F">
        <w:tc>
          <w:tcPr>
            <w:tcW w:w="3787" w:type="dxa"/>
            <w:tcBorders>
              <w:bottom w:val="single" w:sz="12" w:space="0" w:color="auto"/>
            </w:tcBorders>
            <w:shd w:val="clear" w:color="auto" w:fill="auto"/>
            <w:vAlign w:val="bottom"/>
          </w:tcPr>
          <w:p w:rsidR="0067590F" w:rsidRPr="00561B4F" w:rsidRDefault="0067590F" w:rsidP="00561B4F">
            <w:pPr>
              <w:tabs>
                <w:tab w:val="left" w:pos="288"/>
                <w:tab w:val="left" w:pos="576"/>
                <w:tab w:val="left" w:pos="864"/>
                <w:tab w:val="left" w:pos="1152"/>
              </w:tabs>
              <w:suppressAutoHyphens/>
              <w:spacing w:before="40" w:after="40" w:line="210" w:lineRule="exact"/>
              <w:ind w:right="40"/>
              <w:rPr>
                <w:sz w:val="17"/>
              </w:rPr>
            </w:pPr>
            <w:r w:rsidRPr="00561B4F">
              <w:rPr>
                <w:sz w:val="17"/>
                <w:szCs w:val="24"/>
              </w:rPr>
              <w:t>Femmes</w:t>
            </w:r>
          </w:p>
        </w:tc>
        <w:tc>
          <w:tcPr>
            <w:tcW w:w="3737" w:type="dxa"/>
            <w:tcBorders>
              <w:bottom w:val="single" w:sz="12" w:space="0" w:color="auto"/>
            </w:tcBorders>
            <w:shd w:val="clear" w:color="auto" w:fill="auto"/>
            <w:vAlign w:val="bottom"/>
          </w:tcPr>
          <w:p w:rsidR="0067590F" w:rsidRPr="00561B4F" w:rsidRDefault="0067590F" w:rsidP="00ED74B6">
            <w:pPr>
              <w:tabs>
                <w:tab w:val="left" w:pos="288"/>
                <w:tab w:val="left" w:pos="576"/>
                <w:tab w:val="left" w:pos="864"/>
                <w:tab w:val="left" w:pos="1152"/>
              </w:tabs>
              <w:suppressAutoHyphens/>
              <w:spacing w:before="40" w:after="40" w:line="210" w:lineRule="exact"/>
              <w:jc w:val="right"/>
              <w:rPr>
                <w:sz w:val="17"/>
              </w:rPr>
            </w:pPr>
            <w:r w:rsidRPr="00561B4F">
              <w:rPr>
                <w:sz w:val="17"/>
                <w:szCs w:val="24"/>
              </w:rPr>
              <w:t xml:space="preserve">20 593 </w:t>
            </w:r>
            <w:r w:rsidRPr="00ED74B6">
              <w:rPr>
                <w:sz w:val="17"/>
              </w:rPr>
              <w:t>330</w:t>
            </w:r>
          </w:p>
        </w:tc>
      </w:tr>
    </w:tbl>
    <w:p w:rsidR="0067590F" w:rsidRPr="00A75E0B" w:rsidRDefault="0067590F" w:rsidP="0067590F">
      <w:pPr>
        <w:pStyle w:val="SingleTxt"/>
        <w:keepNext/>
        <w:keepLines/>
        <w:spacing w:after="0" w:line="120" w:lineRule="exact"/>
        <w:rPr>
          <w:sz w:val="10"/>
        </w:rPr>
      </w:pPr>
    </w:p>
    <w:p w:rsidR="0067590F" w:rsidRPr="00A75E0B" w:rsidRDefault="0067590F" w:rsidP="0067590F">
      <w:pPr>
        <w:pStyle w:val="SingleTxt"/>
        <w:keepNext/>
        <w:keepLines/>
        <w:spacing w:after="0" w:line="120" w:lineRule="exact"/>
        <w:rPr>
          <w:sz w:val="10"/>
        </w:rPr>
      </w:pPr>
    </w:p>
    <w:p w:rsidR="0067590F" w:rsidRPr="00A75E0B" w:rsidRDefault="0067590F" w:rsidP="00F53D67">
      <w:pPr>
        <w:pStyle w:val="SingleTxt"/>
        <w:numPr>
          <w:ilvl w:val="0"/>
          <w:numId w:val="8"/>
        </w:numPr>
        <w:tabs>
          <w:tab w:val="clear" w:pos="475"/>
          <w:tab w:val="num" w:pos="1742"/>
        </w:tabs>
        <w:ind w:left="1267"/>
      </w:pPr>
      <w:r w:rsidRPr="00A75E0B">
        <w:t>Selon les données issues du recensement de 2010, l</w:t>
      </w:r>
      <w:r w:rsidR="00FD740F">
        <w:t>’</w:t>
      </w:r>
      <w:r w:rsidRPr="00A75E0B">
        <w:t>Argentine compte 40</w:t>
      </w:r>
      <w:r w:rsidR="0095491F" w:rsidRPr="00A75E0B">
        <w:t> </w:t>
      </w:r>
      <w:r w:rsidRPr="00A75E0B">
        <w:t>117</w:t>
      </w:r>
      <w:r w:rsidR="0095491F" w:rsidRPr="00A75E0B">
        <w:t> </w:t>
      </w:r>
      <w:r w:rsidRPr="00A75E0B">
        <w:t>096 habitants répartis sur tout le territoire national, dont 20 593</w:t>
      </w:r>
      <w:r w:rsidR="0095491F" w:rsidRPr="00A75E0B">
        <w:t> </w:t>
      </w:r>
      <w:r w:rsidRPr="00A75E0B">
        <w:t>330 femmes et 19 523</w:t>
      </w:r>
      <w:r w:rsidR="0095491F" w:rsidRPr="00A75E0B">
        <w:t> </w:t>
      </w:r>
      <w:r w:rsidRPr="00A75E0B">
        <w:t xml:space="preserve">766 hommes. On observe une </w:t>
      </w:r>
      <w:r w:rsidR="0095491F" w:rsidRPr="00A75E0B">
        <w:t>augmentation</w:t>
      </w:r>
      <w:r w:rsidRPr="00A75E0B">
        <w:t xml:space="preserve"> de 10,6</w:t>
      </w:r>
      <w:r w:rsidR="0095491F" w:rsidRPr="00A75E0B">
        <w:t> </w:t>
      </w:r>
      <w:r w:rsidRPr="00A75E0B">
        <w:t>% par rapport au recensement précédent (2001), soit 3 856</w:t>
      </w:r>
      <w:r w:rsidR="0095491F" w:rsidRPr="00A75E0B">
        <w:t> </w:t>
      </w:r>
      <w:r w:rsidRPr="00A75E0B">
        <w:t>966 habitants de plus qu</w:t>
      </w:r>
      <w:r w:rsidR="00FD740F">
        <w:t>’</w:t>
      </w:r>
      <w:r w:rsidRPr="00A75E0B">
        <w:t>en 2001.</w:t>
      </w:r>
    </w:p>
    <w:p w:rsidR="0067590F" w:rsidRPr="00A75E0B" w:rsidRDefault="0067590F" w:rsidP="00F53D67">
      <w:pPr>
        <w:pStyle w:val="SingleTxt"/>
        <w:numPr>
          <w:ilvl w:val="0"/>
          <w:numId w:val="8"/>
        </w:numPr>
        <w:tabs>
          <w:tab w:val="clear" w:pos="475"/>
          <w:tab w:val="num" w:pos="1742"/>
        </w:tabs>
        <w:ind w:left="1267"/>
      </w:pPr>
      <w:r w:rsidRPr="00A75E0B">
        <w:t>L</w:t>
      </w:r>
      <w:r w:rsidR="00FD740F">
        <w:t>’</w:t>
      </w:r>
      <w:r w:rsidRPr="00A75E0B">
        <w:t>Argentine est le quatrième pays le plus peuplé d</w:t>
      </w:r>
      <w:r w:rsidR="00FD740F">
        <w:t>’</w:t>
      </w:r>
      <w:r w:rsidRPr="00A75E0B">
        <w:t>Amérique latine et réalise 14,7</w:t>
      </w:r>
      <w:r w:rsidR="0095491F" w:rsidRPr="00A75E0B">
        <w:t> </w:t>
      </w:r>
      <w:r w:rsidRPr="00A75E0B">
        <w:t>% des transactions du MERCOSUR.</w:t>
      </w:r>
    </w:p>
    <w:p w:rsidR="0067590F" w:rsidRPr="00A75E0B" w:rsidRDefault="0095491F" w:rsidP="00F53D67">
      <w:pPr>
        <w:pStyle w:val="SingleTxt"/>
        <w:numPr>
          <w:ilvl w:val="0"/>
          <w:numId w:val="8"/>
        </w:numPr>
        <w:tabs>
          <w:tab w:val="clear" w:pos="475"/>
          <w:tab w:val="num" w:pos="1742"/>
        </w:tabs>
        <w:ind w:left="1267"/>
      </w:pPr>
      <w:r w:rsidRPr="00A75E0B">
        <w:t>En ce qui concerne</w:t>
      </w:r>
      <w:r w:rsidR="0067590F" w:rsidRPr="00A75E0B">
        <w:t xml:space="preserve"> la répartition géographique de la population, en 2010, 70</w:t>
      </w:r>
      <w:r w:rsidRPr="00A75E0B">
        <w:t> </w:t>
      </w:r>
      <w:r w:rsidR="0067590F" w:rsidRPr="00A75E0B">
        <w:t>% de la population étaient concentrés dans six provinces</w:t>
      </w:r>
      <w:r w:rsidRPr="00A75E0B">
        <w:t> :</w:t>
      </w:r>
      <w:r w:rsidR="0067590F" w:rsidRPr="00A75E0B">
        <w:t xml:space="preserve"> la </w:t>
      </w:r>
      <w:r w:rsidRPr="00A75E0B">
        <w:t>V</w:t>
      </w:r>
      <w:r w:rsidR="0067590F" w:rsidRPr="00A75E0B">
        <w:t>ille autonome de Buenos Aires et les provinces de Buenos Aires, de C</w:t>
      </w:r>
      <w:r w:rsidRPr="00A75E0B">
        <w:t>ó</w:t>
      </w:r>
      <w:r w:rsidR="0067590F" w:rsidRPr="00A75E0B">
        <w:t xml:space="preserve">rdoba, de Santa Fe, de Mendoza et de Tucumán. Buenos Aires est la province traditionnellement la plus densément peuplée. </w:t>
      </w:r>
    </w:p>
    <w:p w:rsidR="0067590F" w:rsidRPr="00A75E0B" w:rsidRDefault="0067590F" w:rsidP="00F53D67">
      <w:pPr>
        <w:pStyle w:val="SingleTxt"/>
        <w:numPr>
          <w:ilvl w:val="0"/>
          <w:numId w:val="8"/>
        </w:numPr>
        <w:tabs>
          <w:tab w:val="clear" w:pos="475"/>
          <w:tab w:val="num" w:pos="1742"/>
        </w:tabs>
        <w:ind w:left="1267"/>
      </w:pPr>
      <w:r w:rsidRPr="00A75E0B">
        <w:t xml:space="preserve">La </w:t>
      </w:r>
      <w:r w:rsidR="0095491F" w:rsidRPr="00A75E0B">
        <w:t>v</w:t>
      </w:r>
      <w:r w:rsidRPr="00A75E0B">
        <w:t>ille autonome de Buenos Aires est</w:t>
      </w:r>
      <w:r w:rsidR="0095491F" w:rsidRPr="00A75E0B">
        <w:t xml:space="preserve"> le district </w:t>
      </w:r>
      <w:r w:rsidRPr="00A75E0B">
        <w:t xml:space="preserve">qui concentre le plus grand </w:t>
      </w:r>
      <w:r w:rsidRPr="007C5C03">
        <w:rPr>
          <w:spacing w:val="0"/>
        </w:rPr>
        <w:t>nombre d</w:t>
      </w:r>
      <w:r w:rsidR="00FD740F" w:rsidRPr="007C5C03">
        <w:rPr>
          <w:spacing w:val="0"/>
        </w:rPr>
        <w:t>’</w:t>
      </w:r>
      <w:r w:rsidRPr="007C5C03">
        <w:rPr>
          <w:spacing w:val="0"/>
        </w:rPr>
        <w:t>habitants, puisqu</w:t>
      </w:r>
      <w:r w:rsidR="00FD740F" w:rsidRPr="007C5C03">
        <w:rPr>
          <w:spacing w:val="0"/>
        </w:rPr>
        <w:t>’</w:t>
      </w:r>
      <w:r w:rsidRPr="007C5C03">
        <w:rPr>
          <w:spacing w:val="0"/>
        </w:rPr>
        <w:t>elle a une densité de population de 14 450,8</w:t>
      </w:r>
      <w:r w:rsidR="0095491F" w:rsidRPr="007C5C03">
        <w:rPr>
          <w:spacing w:val="0"/>
        </w:rPr>
        <w:t> </w:t>
      </w:r>
      <w:r w:rsidRPr="007C5C03">
        <w:rPr>
          <w:spacing w:val="0"/>
        </w:rPr>
        <w:t>habitants/km</w:t>
      </w:r>
      <w:r w:rsidRPr="007C5C03">
        <w:rPr>
          <w:spacing w:val="0"/>
          <w:vertAlign w:val="superscript"/>
        </w:rPr>
        <w:t>2</w:t>
      </w:r>
      <w:r w:rsidR="0095491F" w:rsidRPr="00A75E0B">
        <w:t>; viennent ensuite</w:t>
      </w:r>
      <w:r w:rsidRPr="00A75E0B">
        <w:t xml:space="preserve"> les 24 districts du Grand Buenos Aires, où la densité de population est de 2 694,8 habitants/km</w:t>
      </w:r>
      <w:r w:rsidRPr="00A75E0B">
        <w:rPr>
          <w:vertAlign w:val="superscript"/>
        </w:rPr>
        <w:t>2</w:t>
      </w:r>
      <w:r w:rsidRPr="00A75E0B">
        <w:t xml:space="preserve">. La </w:t>
      </w:r>
      <w:r w:rsidR="0095491F" w:rsidRPr="00A75E0B">
        <w:t>v</w:t>
      </w:r>
      <w:r w:rsidRPr="00A75E0B">
        <w:t>ille autonome de Buenos Aires et son agglomération, qui forment la région métropolitaine, ont une densité de population bien plus élevée que le reste du pays.</w:t>
      </w:r>
    </w:p>
    <w:p w:rsidR="0067590F" w:rsidRPr="00A75E0B" w:rsidRDefault="0095491F" w:rsidP="00F53D67">
      <w:pPr>
        <w:pStyle w:val="SingleTxt"/>
        <w:numPr>
          <w:ilvl w:val="0"/>
          <w:numId w:val="8"/>
        </w:numPr>
        <w:tabs>
          <w:tab w:val="clear" w:pos="475"/>
          <w:tab w:val="num" w:pos="1742"/>
        </w:tabs>
        <w:ind w:left="1267"/>
      </w:pPr>
      <w:r w:rsidRPr="00A75E0B">
        <w:t>Pour ce qui est</w:t>
      </w:r>
      <w:r w:rsidR="0067590F" w:rsidRPr="00A75E0B">
        <w:t xml:space="preserve"> de la structure démographique, la proportion de personnes âgées (65</w:t>
      </w:r>
      <w:r w:rsidRPr="00A75E0B">
        <w:t> </w:t>
      </w:r>
      <w:r w:rsidR="0067590F" w:rsidRPr="00A75E0B">
        <w:t xml:space="preserve">ans et plus) a notablement augmenté au </w:t>
      </w:r>
      <w:r w:rsidRPr="00A75E0B">
        <w:t>cours</w:t>
      </w:r>
      <w:r w:rsidR="0067590F" w:rsidRPr="00A75E0B">
        <w:t xml:space="preserve"> des ans, avec une prédominance de femmes, </w:t>
      </w:r>
      <w:r w:rsidRPr="00A75E0B">
        <w:t>différence</w:t>
      </w:r>
      <w:r w:rsidR="0067590F" w:rsidRPr="00A75E0B">
        <w:t xml:space="preserve"> encore plus </w:t>
      </w:r>
      <w:r w:rsidRPr="00A75E0B">
        <w:t xml:space="preserve">marquée chez </w:t>
      </w:r>
      <w:r w:rsidR="0067590F" w:rsidRPr="00A75E0B">
        <w:t xml:space="preserve">les personnes </w:t>
      </w:r>
      <w:r w:rsidRPr="00A75E0B">
        <w:t>de la tranche d</w:t>
      </w:r>
      <w:r w:rsidR="00FD740F">
        <w:t>’</w:t>
      </w:r>
      <w:r w:rsidRPr="00A75E0B">
        <w:t xml:space="preserve">âge supérieure </w:t>
      </w:r>
      <w:r w:rsidR="0067590F" w:rsidRPr="00A75E0B">
        <w:t>(75</w:t>
      </w:r>
      <w:r w:rsidRPr="00A75E0B">
        <w:t> </w:t>
      </w:r>
      <w:r w:rsidR="0067590F" w:rsidRPr="00A75E0B">
        <w:t>ans et plus)</w:t>
      </w:r>
      <w:r w:rsidRPr="00A75E0B">
        <w:t>.</w:t>
      </w:r>
    </w:p>
    <w:p w:rsidR="0095491F" w:rsidRPr="00A75E0B" w:rsidRDefault="0095491F" w:rsidP="0095491F">
      <w:pPr>
        <w:pStyle w:val="SingleTxt"/>
        <w:spacing w:after="0" w:line="120" w:lineRule="exact"/>
        <w:rPr>
          <w:sz w:val="10"/>
        </w:rPr>
      </w:pPr>
    </w:p>
    <w:p w:rsidR="0095491F" w:rsidRPr="00A75E0B" w:rsidRDefault="0095491F" w:rsidP="009549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r>
      <w:r w:rsidRPr="00A75E0B">
        <w:rPr>
          <w:b w:val="0"/>
        </w:rPr>
        <w:t xml:space="preserve">Tableau 2 </w:t>
      </w:r>
      <w:r w:rsidRPr="00A75E0B">
        <w:rPr>
          <w:b w:val="0"/>
        </w:rPr>
        <w:br/>
      </w:r>
      <w:r w:rsidRPr="00A75E0B">
        <w:t xml:space="preserve">Population, variation absolue et relative entre deux recensements, </w:t>
      </w:r>
      <w:r w:rsidR="002E2F2C">
        <w:br/>
      </w:r>
      <w:r w:rsidRPr="00A75E0B">
        <w:t>et taux de croissance. Total</w:t>
      </w:r>
      <w:r w:rsidR="002E2F2C">
        <w:t xml:space="preserve"> pour le pays.</w:t>
      </w:r>
      <w:r w:rsidRPr="00A75E0B">
        <w:t xml:space="preserve"> 1869-2010</w:t>
      </w:r>
    </w:p>
    <w:p w:rsidR="00E02C45" w:rsidRPr="00B424EC" w:rsidRDefault="00E02C45" w:rsidP="00B424EC">
      <w:pPr>
        <w:pStyle w:val="SingleTxt"/>
        <w:spacing w:after="0" w:line="120" w:lineRule="exact"/>
        <w:rPr>
          <w:sz w:val="10"/>
        </w:rPr>
      </w:pPr>
    </w:p>
    <w:p w:rsidR="00B424EC" w:rsidRPr="00A75E0B" w:rsidRDefault="00B424EC" w:rsidP="00E02C45">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567"/>
        <w:gridCol w:w="1856"/>
        <w:gridCol w:w="1800"/>
        <w:gridCol w:w="1674"/>
        <w:gridCol w:w="1611"/>
      </w:tblGrid>
      <w:tr w:rsidR="00204AF1" w:rsidRPr="00A75E0B" w:rsidTr="005F799B">
        <w:trPr>
          <w:trHeight w:val="168"/>
          <w:tblHeader/>
        </w:trPr>
        <w:tc>
          <w:tcPr>
            <w:tcW w:w="567" w:type="dxa"/>
            <w:tcBorders>
              <w:top w:val="single" w:sz="4" w:space="0" w:color="auto"/>
              <w:bottom w:val="single" w:sz="12" w:space="0" w:color="auto"/>
            </w:tcBorders>
            <w:shd w:val="clear" w:color="auto" w:fill="auto"/>
            <w:noWrap/>
            <w:vAlign w:val="bottom"/>
          </w:tcPr>
          <w:p w:rsidR="00204AF1" w:rsidRPr="00A75E0B" w:rsidRDefault="00204AF1" w:rsidP="005F799B">
            <w:pPr>
              <w:suppressAutoHyphens/>
              <w:spacing w:before="80" w:after="80" w:line="160" w:lineRule="exact"/>
              <w:ind w:right="43"/>
              <w:rPr>
                <w:i/>
                <w:sz w:val="14"/>
              </w:rPr>
            </w:pPr>
            <w:r w:rsidRPr="00A75E0B">
              <w:rPr>
                <w:i/>
                <w:sz w:val="14"/>
              </w:rPr>
              <w:t>Année</w:t>
            </w:r>
          </w:p>
        </w:tc>
        <w:tc>
          <w:tcPr>
            <w:tcW w:w="1856" w:type="dxa"/>
            <w:tcBorders>
              <w:top w:val="single" w:sz="4" w:space="0" w:color="auto"/>
              <w:bottom w:val="single" w:sz="12" w:space="0" w:color="auto"/>
            </w:tcBorders>
            <w:shd w:val="clear" w:color="auto" w:fill="auto"/>
            <w:noWrap/>
            <w:vAlign w:val="bottom"/>
          </w:tcPr>
          <w:p w:rsidR="00204AF1" w:rsidRPr="00A75E0B" w:rsidRDefault="00204AF1" w:rsidP="005F799B">
            <w:pPr>
              <w:suppressAutoHyphens/>
              <w:spacing w:before="80" w:after="80" w:line="160" w:lineRule="exact"/>
              <w:ind w:right="43"/>
              <w:jc w:val="right"/>
              <w:rPr>
                <w:i/>
                <w:sz w:val="14"/>
              </w:rPr>
            </w:pPr>
            <w:r w:rsidRPr="00A75E0B">
              <w:rPr>
                <w:i/>
                <w:sz w:val="14"/>
              </w:rPr>
              <w:t>Population</w:t>
            </w:r>
          </w:p>
        </w:tc>
        <w:tc>
          <w:tcPr>
            <w:tcW w:w="1800" w:type="dxa"/>
            <w:tcBorders>
              <w:top w:val="single" w:sz="4" w:space="0" w:color="auto"/>
              <w:bottom w:val="single" w:sz="12" w:space="0" w:color="auto"/>
            </w:tcBorders>
            <w:shd w:val="clear" w:color="auto" w:fill="auto"/>
            <w:noWrap/>
            <w:vAlign w:val="bottom"/>
          </w:tcPr>
          <w:p w:rsidR="00204AF1" w:rsidRPr="00A75E0B" w:rsidRDefault="00204AF1" w:rsidP="005F799B">
            <w:pPr>
              <w:suppressAutoHyphens/>
              <w:spacing w:before="80" w:after="80" w:line="160" w:lineRule="exact"/>
              <w:ind w:right="43"/>
              <w:jc w:val="right"/>
              <w:rPr>
                <w:i/>
                <w:sz w:val="14"/>
              </w:rPr>
            </w:pPr>
            <w:r w:rsidRPr="00A75E0B">
              <w:rPr>
                <w:i/>
                <w:sz w:val="14"/>
              </w:rPr>
              <w:t>Variation absolue</w:t>
            </w:r>
          </w:p>
        </w:tc>
        <w:tc>
          <w:tcPr>
            <w:tcW w:w="1674" w:type="dxa"/>
            <w:tcBorders>
              <w:top w:val="single" w:sz="4" w:space="0" w:color="auto"/>
              <w:bottom w:val="single" w:sz="12" w:space="0" w:color="auto"/>
            </w:tcBorders>
            <w:shd w:val="clear" w:color="auto" w:fill="auto"/>
            <w:vAlign w:val="bottom"/>
          </w:tcPr>
          <w:p w:rsidR="00204AF1" w:rsidRPr="00A75E0B" w:rsidRDefault="00204AF1" w:rsidP="005F799B">
            <w:pPr>
              <w:suppressAutoHyphens/>
              <w:spacing w:before="80" w:after="80" w:line="160" w:lineRule="exact"/>
              <w:ind w:right="43"/>
              <w:jc w:val="right"/>
              <w:rPr>
                <w:i/>
                <w:sz w:val="14"/>
              </w:rPr>
            </w:pPr>
            <w:r w:rsidRPr="00A75E0B">
              <w:rPr>
                <w:i/>
                <w:sz w:val="14"/>
              </w:rPr>
              <w:t>Variation relative</w:t>
            </w:r>
            <w:r>
              <w:rPr>
                <w:i/>
                <w:sz w:val="14"/>
              </w:rPr>
              <w:t xml:space="preserve"> </w:t>
            </w:r>
            <w:r>
              <w:rPr>
                <w:i/>
                <w:sz w:val="14"/>
              </w:rPr>
              <w:br/>
            </w:r>
            <w:r w:rsidRPr="00A75E0B">
              <w:rPr>
                <w:i/>
                <w:sz w:val="14"/>
              </w:rPr>
              <w:t xml:space="preserve">entre deux </w:t>
            </w:r>
            <w:r w:rsidRPr="00A75E0B">
              <w:rPr>
                <w:i/>
                <w:sz w:val="14"/>
              </w:rPr>
              <w:br/>
              <w:t>recensements (%)</w:t>
            </w:r>
          </w:p>
        </w:tc>
        <w:tc>
          <w:tcPr>
            <w:tcW w:w="1611" w:type="dxa"/>
            <w:tcBorders>
              <w:top w:val="single" w:sz="4" w:space="0" w:color="auto"/>
              <w:bottom w:val="single" w:sz="12" w:space="0" w:color="auto"/>
            </w:tcBorders>
            <w:shd w:val="clear" w:color="auto" w:fill="auto"/>
            <w:vAlign w:val="bottom"/>
          </w:tcPr>
          <w:p w:rsidR="00204AF1" w:rsidRPr="00A75E0B" w:rsidRDefault="00204AF1" w:rsidP="007C5C03">
            <w:pPr>
              <w:suppressAutoHyphens/>
              <w:spacing w:before="80" w:after="80" w:line="160" w:lineRule="exact"/>
              <w:jc w:val="right"/>
              <w:rPr>
                <w:i/>
                <w:sz w:val="14"/>
              </w:rPr>
            </w:pPr>
            <w:r w:rsidRPr="00A75E0B">
              <w:rPr>
                <w:i/>
                <w:sz w:val="14"/>
              </w:rPr>
              <w:t>Taux</w:t>
            </w:r>
            <w:r>
              <w:rPr>
                <w:i/>
                <w:sz w:val="14"/>
              </w:rPr>
              <w:t xml:space="preserve"> </w:t>
            </w:r>
            <w:r w:rsidRPr="00A75E0B">
              <w:rPr>
                <w:i/>
                <w:sz w:val="14"/>
              </w:rPr>
              <w:t xml:space="preserve">de croissance </w:t>
            </w:r>
            <w:r w:rsidRPr="00A75E0B">
              <w:rPr>
                <w:i/>
                <w:sz w:val="14"/>
              </w:rPr>
              <w:br/>
              <w:t>moyen (%)</w:t>
            </w:r>
          </w:p>
        </w:tc>
      </w:tr>
      <w:tr w:rsidR="00204AF1" w:rsidRPr="00A75E0B" w:rsidTr="005F799B">
        <w:trPr>
          <w:trHeight w:hRule="exact" w:val="115"/>
          <w:tblHeader/>
        </w:trPr>
        <w:tc>
          <w:tcPr>
            <w:tcW w:w="567" w:type="dxa"/>
            <w:tcBorders>
              <w:top w:val="single" w:sz="12" w:space="0" w:color="auto"/>
            </w:tcBorders>
            <w:shd w:val="clear" w:color="auto" w:fill="auto"/>
            <w:noWrap/>
            <w:vAlign w:val="bottom"/>
          </w:tcPr>
          <w:p w:rsidR="00204AF1" w:rsidRPr="00A75E0B" w:rsidRDefault="00204AF1" w:rsidP="005F799B">
            <w:pPr>
              <w:suppressAutoHyphens/>
              <w:spacing w:before="40" w:after="40" w:line="210" w:lineRule="exact"/>
              <w:rPr>
                <w:sz w:val="17"/>
                <w:szCs w:val="24"/>
              </w:rPr>
            </w:pPr>
          </w:p>
        </w:tc>
        <w:tc>
          <w:tcPr>
            <w:tcW w:w="1856" w:type="dxa"/>
            <w:tcBorders>
              <w:top w:val="single" w:sz="12" w:space="0" w:color="auto"/>
            </w:tcBorders>
            <w:shd w:val="clear" w:color="auto" w:fill="auto"/>
            <w:noWrap/>
            <w:vAlign w:val="bottom"/>
          </w:tcPr>
          <w:p w:rsidR="00204AF1" w:rsidRPr="00A75E0B" w:rsidRDefault="00204AF1" w:rsidP="005F799B">
            <w:pPr>
              <w:suppressAutoHyphens/>
              <w:spacing w:before="40" w:after="40" w:line="210" w:lineRule="exact"/>
              <w:jc w:val="right"/>
              <w:rPr>
                <w:sz w:val="17"/>
                <w:szCs w:val="24"/>
              </w:rPr>
            </w:pPr>
          </w:p>
        </w:tc>
        <w:tc>
          <w:tcPr>
            <w:tcW w:w="1800" w:type="dxa"/>
            <w:tcBorders>
              <w:top w:val="single" w:sz="12" w:space="0" w:color="auto"/>
            </w:tcBorders>
            <w:shd w:val="clear" w:color="auto" w:fill="auto"/>
            <w:noWrap/>
            <w:vAlign w:val="bottom"/>
          </w:tcPr>
          <w:p w:rsidR="00204AF1" w:rsidRPr="00A75E0B" w:rsidRDefault="00204AF1" w:rsidP="005F799B">
            <w:pPr>
              <w:suppressAutoHyphens/>
              <w:spacing w:before="40" w:after="40" w:line="210" w:lineRule="exact"/>
              <w:jc w:val="right"/>
              <w:rPr>
                <w:sz w:val="17"/>
                <w:szCs w:val="24"/>
              </w:rPr>
            </w:pPr>
          </w:p>
        </w:tc>
        <w:tc>
          <w:tcPr>
            <w:tcW w:w="1674" w:type="dxa"/>
            <w:tcBorders>
              <w:top w:val="single" w:sz="12" w:space="0" w:color="auto"/>
            </w:tcBorders>
            <w:shd w:val="clear" w:color="auto" w:fill="auto"/>
            <w:noWrap/>
            <w:vAlign w:val="bottom"/>
          </w:tcPr>
          <w:p w:rsidR="00204AF1" w:rsidRPr="00A75E0B" w:rsidRDefault="00204AF1" w:rsidP="005F799B">
            <w:pPr>
              <w:suppressAutoHyphens/>
              <w:spacing w:before="40" w:after="40" w:line="210" w:lineRule="exact"/>
              <w:jc w:val="right"/>
              <w:rPr>
                <w:sz w:val="17"/>
                <w:szCs w:val="24"/>
              </w:rPr>
            </w:pPr>
          </w:p>
        </w:tc>
        <w:tc>
          <w:tcPr>
            <w:tcW w:w="1611" w:type="dxa"/>
            <w:tcBorders>
              <w:top w:val="single" w:sz="12" w:space="0" w:color="auto"/>
            </w:tcBorders>
            <w:shd w:val="clear" w:color="auto" w:fill="auto"/>
            <w:noWrap/>
            <w:vAlign w:val="bottom"/>
          </w:tcPr>
          <w:p w:rsidR="00204AF1" w:rsidRPr="00A75E0B" w:rsidRDefault="00204AF1" w:rsidP="005F799B">
            <w:pPr>
              <w:suppressAutoHyphens/>
              <w:spacing w:before="40" w:after="40" w:line="210" w:lineRule="exact"/>
              <w:jc w:val="right"/>
              <w:rPr>
                <w:sz w:val="17"/>
                <w:szCs w:val="24"/>
              </w:rPr>
            </w:pPr>
          </w:p>
        </w:tc>
      </w:tr>
      <w:tr w:rsidR="00204AF1" w:rsidRPr="00A75E0B" w:rsidTr="005F799B">
        <w:trPr>
          <w:trHeight w:val="168"/>
        </w:trPr>
        <w:tc>
          <w:tcPr>
            <w:tcW w:w="567"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rPr>
                <w:sz w:val="17"/>
                <w:szCs w:val="24"/>
              </w:rPr>
            </w:pPr>
            <w:r w:rsidRPr="00A75E0B">
              <w:rPr>
                <w:sz w:val="17"/>
                <w:szCs w:val="24"/>
              </w:rPr>
              <w:t>1869</w:t>
            </w:r>
          </w:p>
        </w:tc>
        <w:tc>
          <w:tcPr>
            <w:tcW w:w="1856"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1 830 214</w:t>
            </w:r>
          </w:p>
        </w:tc>
        <w:tc>
          <w:tcPr>
            <w:tcW w:w="1800"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p>
        </w:tc>
        <w:tc>
          <w:tcPr>
            <w:tcW w:w="1674"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p>
        </w:tc>
        <w:tc>
          <w:tcPr>
            <w:tcW w:w="1611"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p>
        </w:tc>
      </w:tr>
      <w:tr w:rsidR="00204AF1" w:rsidRPr="00A75E0B" w:rsidTr="005F799B">
        <w:trPr>
          <w:trHeight w:val="168"/>
        </w:trPr>
        <w:tc>
          <w:tcPr>
            <w:tcW w:w="567"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rPr>
                <w:sz w:val="17"/>
                <w:szCs w:val="24"/>
              </w:rPr>
            </w:pPr>
            <w:r w:rsidRPr="00A75E0B">
              <w:rPr>
                <w:sz w:val="17"/>
                <w:szCs w:val="24"/>
              </w:rPr>
              <w:t>1895</w:t>
            </w:r>
          </w:p>
        </w:tc>
        <w:tc>
          <w:tcPr>
            <w:tcW w:w="1856"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4 044 911</w:t>
            </w:r>
          </w:p>
        </w:tc>
        <w:tc>
          <w:tcPr>
            <w:tcW w:w="1800"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2 214 697</w:t>
            </w:r>
          </w:p>
        </w:tc>
        <w:tc>
          <w:tcPr>
            <w:tcW w:w="1674"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121</w:t>
            </w:r>
          </w:p>
        </w:tc>
        <w:tc>
          <w:tcPr>
            <w:tcW w:w="1611"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31</w:t>
            </w:r>
          </w:p>
        </w:tc>
      </w:tr>
      <w:tr w:rsidR="00204AF1" w:rsidRPr="00A75E0B" w:rsidTr="005F799B">
        <w:trPr>
          <w:trHeight w:val="168"/>
        </w:trPr>
        <w:tc>
          <w:tcPr>
            <w:tcW w:w="567"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rPr>
                <w:sz w:val="17"/>
                <w:szCs w:val="24"/>
              </w:rPr>
            </w:pPr>
            <w:r w:rsidRPr="00A75E0B">
              <w:rPr>
                <w:sz w:val="17"/>
                <w:szCs w:val="24"/>
              </w:rPr>
              <w:t>1914</w:t>
            </w:r>
          </w:p>
        </w:tc>
        <w:tc>
          <w:tcPr>
            <w:tcW w:w="1856"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7 903 662</w:t>
            </w:r>
          </w:p>
        </w:tc>
        <w:tc>
          <w:tcPr>
            <w:tcW w:w="1800"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3 858 751</w:t>
            </w:r>
          </w:p>
        </w:tc>
        <w:tc>
          <w:tcPr>
            <w:tcW w:w="1674"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95,4</w:t>
            </w:r>
          </w:p>
        </w:tc>
        <w:tc>
          <w:tcPr>
            <w:tcW w:w="1611"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35,7</w:t>
            </w:r>
          </w:p>
        </w:tc>
      </w:tr>
      <w:tr w:rsidR="00204AF1" w:rsidRPr="00A75E0B" w:rsidTr="005F799B">
        <w:trPr>
          <w:trHeight w:val="168"/>
        </w:trPr>
        <w:tc>
          <w:tcPr>
            <w:tcW w:w="567"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rPr>
                <w:sz w:val="17"/>
                <w:szCs w:val="24"/>
              </w:rPr>
            </w:pPr>
            <w:r w:rsidRPr="00A75E0B">
              <w:rPr>
                <w:sz w:val="17"/>
                <w:szCs w:val="24"/>
              </w:rPr>
              <w:lastRenderedPageBreak/>
              <w:t>1947</w:t>
            </w:r>
          </w:p>
        </w:tc>
        <w:tc>
          <w:tcPr>
            <w:tcW w:w="1856"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15 893 811</w:t>
            </w:r>
          </w:p>
        </w:tc>
        <w:tc>
          <w:tcPr>
            <w:tcW w:w="1800"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7 990 165</w:t>
            </w:r>
          </w:p>
        </w:tc>
        <w:tc>
          <w:tcPr>
            <w:tcW w:w="1674"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101,1</w:t>
            </w:r>
          </w:p>
        </w:tc>
        <w:tc>
          <w:tcPr>
            <w:tcW w:w="1611"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21,4</w:t>
            </w:r>
          </w:p>
        </w:tc>
      </w:tr>
      <w:tr w:rsidR="00204AF1" w:rsidRPr="00A75E0B" w:rsidTr="005F799B">
        <w:trPr>
          <w:trHeight w:val="168"/>
        </w:trPr>
        <w:tc>
          <w:tcPr>
            <w:tcW w:w="567"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rPr>
                <w:sz w:val="17"/>
                <w:szCs w:val="24"/>
              </w:rPr>
            </w:pPr>
            <w:r w:rsidRPr="00A75E0B">
              <w:rPr>
                <w:sz w:val="17"/>
                <w:szCs w:val="24"/>
              </w:rPr>
              <w:t>1960</w:t>
            </w:r>
          </w:p>
        </w:tc>
        <w:tc>
          <w:tcPr>
            <w:tcW w:w="1856"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20 013 793</w:t>
            </w:r>
          </w:p>
        </w:tc>
        <w:tc>
          <w:tcPr>
            <w:tcW w:w="1800"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4 119 966</w:t>
            </w:r>
          </w:p>
        </w:tc>
        <w:tc>
          <w:tcPr>
            <w:tcW w:w="1674"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25,9</w:t>
            </w:r>
          </w:p>
        </w:tc>
        <w:tc>
          <w:tcPr>
            <w:tcW w:w="1611"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17,4</w:t>
            </w:r>
          </w:p>
        </w:tc>
      </w:tr>
      <w:tr w:rsidR="00204AF1" w:rsidRPr="00A75E0B" w:rsidTr="005F799B">
        <w:trPr>
          <w:trHeight w:val="168"/>
        </w:trPr>
        <w:tc>
          <w:tcPr>
            <w:tcW w:w="567"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rPr>
                <w:sz w:val="17"/>
                <w:szCs w:val="24"/>
              </w:rPr>
            </w:pPr>
            <w:r w:rsidRPr="00A75E0B">
              <w:rPr>
                <w:sz w:val="17"/>
                <w:szCs w:val="24"/>
              </w:rPr>
              <w:t>1970</w:t>
            </w:r>
          </w:p>
        </w:tc>
        <w:tc>
          <w:tcPr>
            <w:tcW w:w="1856"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23 364 431</w:t>
            </w:r>
          </w:p>
        </w:tc>
        <w:tc>
          <w:tcPr>
            <w:tcW w:w="1800"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3 350 638</w:t>
            </w:r>
          </w:p>
        </w:tc>
        <w:tc>
          <w:tcPr>
            <w:tcW w:w="1674"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16,7</w:t>
            </w:r>
          </w:p>
        </w:tc>
        <w:tc>
          <w:tcPr>
            <w:tcW w:w="1611"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15,6</w:t>
            </w:r>
          </w:p>
        </w:tc>
      </w:tr>
      <w:tr w:rsidR="00204AF1" w:rsidRPr="00A75E0B" w:rsidTr="005F799B">
        <w:trPr>
          <w:trHeight w:val="168"/>
        </w:trPr>
        <w:tc>
          <w:tcPr>
            <w:tcW w:w="567"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rPr>
                <w:sz w:val="17"/>
                <w:szCs w:val="24"/>
              </w:rPr>
            </w:pPr>
            <w:r w:rsidRPr="00A75E0B">
              <w:rPr>
                <w:sz w:val="17"/>
                <w:szCs w:val="24"/>
              </w:rPr>
              <w:t>1980</w:t>
            </w:r>
          </w:p>
        </w:tc>
        <w:tc>
          <w:tcPr>
            <w:tcW w:w="1856"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27 949 480</w:t>
            </w:r>
          </w:p>
        </w:tc>
        <w:tc>
          <w:tcPr>
            <w:tcW w:w="1800"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4 585 049</w:t>
            </w:r>
          </w:p>
        </w:tc>
        <w:tc>
          <w:tcPr>
            <w:tcW w:w="1674"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19,6</w:t>
            </w:r>
          </w:p>
        </w:tc>
        <w:tc>
          <w:tcPr>
            <w:tcW w:w="1611"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18,1</w:t>
            </w:r>
          </w:p>
        </w:tc>
      </w:tr>
      <w:tr w:rsidR="00204AF1" w:rsidRPr="00A75E0B" w:rsidTr="005F799B">
        <w:trPr>
          <w:trHeight w:val="168"/>
        </w:trPr>
        <w:tc>
          <w:tcPr>
            <w:tcW w:w="567"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rPr>
                <w:sz w:val="17"/>
                <w:szCs w:val="24"/>
              </w:rPr>
            </w:pPr>
            <w:r w:rsidRPr="00A75E0B">
              <w:rPr>
                <w:sz w:val="17"/>
                <w:szCs w:val="24"/>
              </w:rPr>
              <w:t>1991</w:t>
            </w:r>
          </w:p>
        </w:tc>
        <w:tc>
          <w:tcPr>
            <w:tcW w:w="1856"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32 615 528</w:t>
            </w:r>
          </w:p>
        </w:tc>
        <w:tc>
          <w:tcPr>
            <w:tcW w:w="1800"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4 666 048</w:t>
            </w:r>
          </w:p>
        </w:tc>
        <w:tc>
          <w:tcPr>
            <w:tcW w:w="1674"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16,7</w:t>
            </w:r>
          </w:p>
        </w:tc>
        <w:tc>
          <w:tcPr>
            <w:tcW w:w="1611"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14,7</w:t>
            </w:r>
          </w:p>
        </w:tc>
      </w:tr>
      <w:tr w:rsidR="00204AF1" w:rsidRPr="00A75E0B" w:rsidTr="005F799B">
        <w:trPr>
          <w:trHeight w:val="168"/>
        </w:trPr>
        <w:tc>
          <w:tcPr>
            <w:tcW w:w="567"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rPr>
                <w:sz w:val="17"/>
                <w:szCs w:val="24"/>
              </w:rPr>
            </w:pPr>
            <w:r w:rsidRPr="00A75E0B">
              <w:rPr>
                <w:sz w:val="17"/>
                <w:szCs w:val="24"/>
              </w:rPr>
              <w:t>2001</w:t>
            </w:r>
          </w:p>
        </w:tc>
        <w:tc>
          <w:tcPr>
            <w:tcW w:w="1856"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36 260 130</w:t>
            </w:r>
          </w:p>
        </w:tc>
        <w:tc>
          <w:tcPr>
            <w:tcW w:w="1800"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3 644 602</w:t>
            </w:r>
          </w:p>
        </w:tc>
        <w:tc>
          <w:tcPr>
            <w:tcW w:w="1674"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11,2</w:t>
            </w:r>
          </w:p>
        </w:tc>
        <w:tc>
          <w:tcPr>
            <w:tcW w:w="1611" w:type="dxa"/>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10,1</w:t>
            </w:r>
          </w:p>
        </w:tc>
      </w:tr>
      <w:tr w:rsidR="00204AF1" w:rsidRPr="00A75E0B" w:rsidTr="005F799B">
        <w:trPr>
          <w:trHeight w:val="168"/>
        </w:trPr>
        <w:tc>
          <w:tcPr>
            <w:tcW w:w="567" w:type="dxa"/>
            <w:tcBorders>
              <w:bottom w:val="single" w:sz="12" w:space="0" w:color="auto"/>
            </w:tcBorders>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rPr>
                <w:sz w:val="17"/>
                <w:szCs w:val="24"/>
              </w:rPr>
            </w:pPr>
            <w:r w:rsidRPr="00A75E0B">
              <w:rPr>
                <w:sz w:val="17"/>
                <w:szCs w:val="24"/>
              </w:rPr>
              <w:t>2010</w:t>
            </w:r>
          </w:p>
        </w:tc>
        <w:tc>
          <w:tcPr>
            <w:tcW w:w="1856" w:type="dxa"/>
            <w:tcBorders>
              <w:bottom w:val="single" w:sz="12" w:space="0" w:color="auto"/>
            </w:tcBorders>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40 117 096</w:t>
            </w:r>
          </w:p>
        </w:tc>
        <w:tc>
          <w:tcPr>
            <w:tcW w:w="1800" w:type="dxa"/>
            <w:tcBorders>
              <w:bottom w:val="single" w:sz="12" w:space="0" w:color="auto"/>
            </w:tcBorders>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3 856 966</w:t>
            </w:r>
          </w:p>
        </w:tc>
        <w:tc>
          <w:tcPr>
            <w:tcW w:w="1674" w:type="dxa"/>
            <w:tcBorders>
              <w:bottom w:val="single" w:sz="12" w:space="0" w:color="auto"/>
            </w:tcBorders>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10,6</w:t>
            </w:r>
          </w:p>
        </w:tc>
        <w:tc>
          <w:tcPr>
            <w:tcW w:w="1611" w:type="dxa"/>
            <w:tcBorders>
              <w:bottom w:val="single" w:sz="12" w:space="0" w:color="auto"/>
            </w:tcBorders>
            <w:shd w:val="clear" w:color="auto" w:fill="auto"/>
            <w:noWrap/>
            <w:vAlign w:val="bottom"/>
          </w:tcPr>
          <w:p w:rsidR="00204AF1" w:rsidRPr="00A75E0B" w:rsidRDefault="00204AF1" w:rsidP="005F799B">
            <w:pPr>
              <w:tabs>
                <w:tab w:val="left" w:pos="288"/>
                <w:tab w:val="left" w:pos="576"/>
                <w:tab w:val="left" w:pos="864"/>
                <w:tab w:val="left" w:pos="1152"/>
              </w:tabs>
              <w:suppressAutoHyphens/>
              <w:spacing w:before="40" w:after="40" w:line="210" w:lineRule="exact"/>
              <w:ind w:right="43"/>
              <w:jc w:val="right"/>
              <w:rPr>
                <w:sz w:val="17"/>
                <w:szCs w:val="24"/>
              </w:rPr>
            </w:pPr>
            <w:r w:rsidRPr="00A75E0B">
              <w:rPr>
                <w:sz w:val="17"/>
                <w:szCs w:val="24"/>
              </w:rPr>
              <w:t>11,4</w:t>
            </w:r>
          </w:p>
        </w:tc>
      </w:tr>
    </w:tbl>
    <w:p w:rsidR="0095491F" w:rsidRPr="00A75E0B" w:rsidRDefault="0095491F" w:rsidP="00F53D67">
      <w:pPr>
        <w:pStyle w:val="SingleTxt"/>
        <w:spacing w:after="0" w:line="120" w:lineRule="exact"/>
        <w:rPr>
          <w:sz w:val="10"/>
        </w:rPr>
      </w:pPr>
    </w:p>
    <w:p w:rsidR="00F53D67" w:rsidRPr="00A75E0B" w:rsidRDefault="00F53D67" w:rsidP="00F53D67">
      <w:pPr>
        <w:pStyle w:val="FootnoteText"/>
        <w:tabs>
          <w:tab w:val="right" w:pos="1476"/>
          <w:tab w:val="left" w:pos="1548"/>
          <w:tab w:val="right" w:pos="1836"/>
          <w:tab w:val="left" w:pos="1908"/>
        </w:tabs>
        <w:ind w:left="1548" w:right="1267" w:hanging="288"/>
      </w:pPr>
      <w:r w:rsidRPr="00A75E0B">
        <w:rPr>
          <w:i/>
          <w:iCs/>
        </w:rPr>
        <w:t>Source </w:t>
      </w:r>
      <w:r w:rsidRPr="00A75E0B">
        <w:t>: INDEC. Recensements de la population de 1869 à 2010.</w:t>
      </w:r>
    </w:p>
    <w:p w:rsidR="00F53D67" w:rsidRPr="00A75E0B" w:rsidRDefault="00F53D67" w:rsidP="00F53D67">
      <w:pPr>
        <w:pStyle w:val="FootnoteText"/>
        <w:tabs>
          <w:tab w:val="right" w:pos="1476"/>
          <w:tab w:val="left" w:pos="1548"/>
          <w:tab w:val="right" w:pos="1836"/>
          <w:tab w:val="left" w:pos="1908"/>
        </w:tabs>
        <w:spacing w:line="120" w:lineRule="exact"/>
        <w:ind w:left="1548" w:right="1267" w:hanging="288"/>
        <w:rPr>
          <w:sz w:val="10"/>
        </w:rPr>
      </w:pPr>
    </w:p>
    <w:p w:rsidR="00F53D67" w:rsidRPr="00A75E0B" w:rsidRDefault="00F53D67" w:rsidP="00F53D67">
      <w:pPr>
        <w:pStyle w:val="FootnoteText"/>
        <w:tabs>
          <w:tab w:val="right" w:pos="1476"/>
          <w:tab w:val="left" w:pos="1548"/>
          <w:tab w:val="right" w:pos="1836"/>
          <w:tab w:val="left" w:pos="1908"/>
        </w:tabs>
        <w:spacing w:line="120" w:lineRule="exact"/>
        <w:ind w:left="1548" w:right="1267" w:hanging="288"/>
        <w:rPr>
          <w:sz w:val="10"/>
        </w:rPr>
      </w:pPr>
    </w:p>
    <w:p w:rsidR="00F53D67" w:rsidRPr="00A75E0B" w:rsidRDefault="00F53D67" w:rsidP="00F53D67">
      <w:pPr>
        <w:pStyle w:val="FootnoteText"/>
        <w:tabs>
          <w:tab w:val="right" w:pos="1476"/>
          <w:tab w:val="left" w:pos="1548"/>
          <w:tab w:val="right" w:pos="1836"/>
          <w:tab w:val="left" w:pos="1908"/>
        </w:tabs>
        <w:spacing w:line="120" w:lineRule="exact"/>
        <w:ind w:left="1548" w:right="1267" w:hanging="288"/>
        <w:rPr>
          <w:sz w:val="10"/>
        </w:rPr>
      </w:pPr>
    </w:p>
    <w:p w:rsidR="00F53D67" w:rsidRPr="00A75E0B" w:rsidRDefault="00F53D67" w:rsidP="00F53D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t>Densité de la population</w:t>
      </w:r>
    </w:p>
    <w:p w:rsidR="00F53D67" w:rsidRPr="00A75E0B" w:rsidRDefault="00F53D67" w:rsidP="00F53D67">
      <w:pPr>
        <w:pStyle w:val="SingleTxt"/>
        <w:spacing w:after="0" w:line="120" w:lineRule="exact"/>
        <w:rPr>
          <w:sz w:val="10"/>
        </w:rPr>
      </w:pPr>
    </w:p>
    <w:p w:rsidR="00F53D67" w:rsidRPr="00A75E0B" w:rsidRDefault="00F53D67" w:rsidP="00F53D67">
      <w:pPr>
        <w:pStyle w:val="SingleTxt"/>
        <w:numPr>
          <w:ilvl w:val="0"/>
          <w:numId w:val="8"/>
        </w:numPr>
        <w:tabs>
          <w:tab w:val="clear" w:pos="475"/>
          <w:tab w:val="num" w:pos="1742"/>
        </w:tabs>
        <w:ind w:left="1267"/>
      </w:pPr>
      <w:r w:rsidRPr="00A75E0B">
        <w:t>L</w:t>
      </w:r>
      <w:r w:rsidR="00FD740F">
        <w:t>’</w:t>
      </w:r>
      <w:r w:rsidRPr="00A75E0B">
        <w:t>Argentine a une superficie totale de 3 761</w:t>
      </w:r>
      <w:r w:rsidR="007C5C03">
        <w:t> </w:t>
      </w:r>
      <w:r w:rsidRPr="00A75E0B">
        <w:t>277</w:t>
      </w:r>
      <w:r w:rsidR="00DC0BDE" w:rsidRPr="00A75E0B">
        <w:t> </w:t>
      </w:r>
      <w:r w:rsidRPr="00A75E0B">
        <w:t>kilomètres carrés (recensement de la population, des ménages et du logement, 2010).</w:t>
      </w:r>
    </w:p>
    <w:p w:rsidR="00F53D67" w:rsidRPr="00A75E0B" w:rsidRDefault="00F53D67" w:rsidP="00F53D67">
      <w:pPr>
        <w:pStyle w:val="SingleTxt"/>
        <w:numPr>
          <w:ilvl w:val="0"/>
          <w:numId w:val="8"/>
        </w:numPr>
        <w:tabs>
          <w:tab w:val="clear" w:pos="475"/>
          <w:tab w:val="num" w:pos="1742"/>
        </w:tabs>
        <w:ind w:left="1267"/>
      </w:pPr>
      <w:r w:rsidRPr="00A75E0B">
        <w:t>La superficie prise en compte pour calculer la densité de la population est de 2 780 403</w:t>
      </w:r>
      <w:r w:rsidR="00E71A85" w:rsidRPr="00A75E0B">
        <w:t> </w:t>
      </w:r>
      <w:r w:rsidRPr="00A75E0B">
        <w:t>kilomètres carrés (</w:t>
      </w:r>
      <w:r w:rsidR="00493875" w:rsidRPr="00A75E0B">
        <w:t xml:space="preserve">comprenant </w:t>
      </w:r>
      <w:r w:rsidRPr="00A75E0B">
        <w:t xml:space="preserve">la </w:t>
      </w:r>
      <w:r w:rsidR="00493875" w:rsidRPr="00A75E0B">
        <w:t>v</w:t>
      </w:r>
      <w:r w:rsidRPr="00A75E0B">
        <w:t>ille autonome de Buenos Aires, les 22</w:t>
      </w:r>
      <w:r w:rsidR="007C5C03">
        <w:t> </w:t>
      </w:r>
      <w:r w:rsidRPr="00A75E0B">
        <w:t>provinces et les départements de R</w:t>
      </w:r>
      <w:r w:rsidR="00493875" w:rsidRPr="00A75E0B">
        <w:t>í</w:t>
      </w:r>
      <w:r w:rsidRPr="00A75E0B">
        <w:t>o Grande et d</w:t>
      </w:r>
      <w:r w:rsidR="00FD740F">
        <w:t>’</w:t>
      </w:r>
      <w:r w:rsidRPr="00A75E0B">
        <w:t>Ushuaia d</w:t>
      </w:r>
      <w:r w:rsidR="00493875" w:rsidRPr="00A75E0B">
        <w:t>ans</w:t>
      </w:r>
      <w:r w:rsidRPr="00A75E0B">
        <w:t xml:space="preserve"> la province de Terre de Feu, l</w:t>
      </w:r>
      <w:r w:rsidR="00FD740F">
        <w:t>’</w:t>
      </w:r>
      <w:r w:rsidRPr="00A75E0B">
        <w:t>Antarctique et îles de l</w:t>
      </w:r>
      <w:r w:rsidR="00FD740F">
        <w:t>’</w:t>
      </w:r>
      <w:r w:rsidRPr="00A75E0B">
        <w:t>Atlantique Sud)</w:t>
      </w:r>
      <w:r w:rsidRPr="00A75E0B">
        <w:rPr>
          <w:rStyle w:val="FootnoteReference"/>
          <w:szCs w:val="20"/>
        </w:rPr>
        <w:footnoteReference w:id="3"/>
      </w:r>
      <w:r w:rsidR="00493875" w:rsidRPr="00A75E0B">
        <w:rPr>
          <w:rStyle w:val="FootnoteReference"/>
          <w:szCs w:val="20"/>
          <w:vertAlign w:val="baseline"/>
        </w:rPr>
        <w:t>.</w:t>
      </w:r>
    </w:p>
    <w:p w:rsidR="00F53D67" w:rsidRPr="00A75E0B" w:rsidRDefault="00F53D67" w:rsidP="00E71A85">
      <w:pPr>
        <w:pStyle w:val="SingleTxt"/>
        <w:spacing w:after="0" w:line="120" w:lineRule="exact"/>
        <w:rPr>
          <w:b/>
          <w:sz w:val="10"/>
        </w:rPr>
      </w:pPr>
    </w:p>
    <w:p w:rsidR="00F53D67" w:rsidRPr="00A75E0B" w:rsidRDefault="00E71A85" w:rsidP="00E71A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r>
      <w:r w:rsidR="00F53D67" w:rsidRPr="00A75E0B">
        <w:t>Structure d</w:t>
      </w:r>
      <w:r w:rsidR="00FD740F">
        <w:t>’</w:t>
      </w:r>
      <w:r w:rsidR="00F53D67" w:rsidRPr="00A75E0B">
        <w:t>âge</w:t>
      </w:r>
    </w:p>
    <w:p w:rsidR="00E71A85" w:rsidRPr="00A75E0B" w:rsidRDefault="00E71A85" w:rsidP="00E71A85">
      <w:pPr>
        <w:pStyle w:val="SingleTxt"/>
        <w:spacing w:after="0" w:line="120" w:lineRule="exact"/>
        <w:rPr>
          <w:sz w:val="10"/>
        </w:rPr>
      </w:pPr>
    </w:p>
    <w:p w:rsidR="00E02C45" w:rsidRPr="00A75E0B" w:rsidRDefault="00E02C45" w:rsidP="00E02C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r>
      <w:r w:rsidRPr="00A75E0B">
        <w:rPr>
          <w:b w:val="0"/>
        </w:rPr>
        <w:t xml:space="preserve">Tableau 3 </w:t>
      </w:r>
      <w:r w:rsidRPr="00A75E0B">
        <w:rPr>
          <w:b w:val="0"/>
        </w:rPr>
        <w:br/>
      </w:r>
      <w:r w:rsidRPr="00A75E0B">
        <w:t>Population totale par sexe et rapport de masculinité, par groupes d</w:t>
      </w:r>
      <w:r w:rsidR="00FD740F">
        <w:t>’</w:t>
      </w:r>
      <w:r w:rsidRPr="00A75E0B">
        <w:t>âge quinquennaux, 2010</w:t>
      </w:r>
    </w:p>
    <w:p w:rsidR="00E02C45" w:rsidRPr="00A75E0B" w:rsidRDefault="00E02C45" w:rsidP="00E02C45">
      <w:pPr>
        <w:pStyle w:val="SingleTxt"/>
        <w:spacing w:after="0" w:line="120" w:lineRule="exact"/>
        <w:rPr>
          <w:sz w:val="10"/>
        </w:rPr>
      </w:pPr>
    </w:p>
    <w:p w:rsidR="00E02C45" w:rsidRPr="00A75E0B" w:rsidRDefault="00E02C45" w:rsidP="00E02C45">
      <w:pPr>
        <w:pStyle w:val="SingleTxt"/>
        <w:spacing w:after="0" w:line="120" w:lineRule="exact"/>
        <w:rPr>
          <w:sz w:val="10"/>
        </w:rPr>
      </w:pPr>
    </w:p>
    <w:tbl>
      <w:tblPr>
        <w:tblW w:w="0" w:type="auto"/>
        <w:tblInd w:w="1267" w:type="dxa"/>
        <w:tblLayout w:type="fixed"/>
        <w:tblCellMar>
          <w:left w:w="0" w:type="dxa"/>
          <w:right w:w="0" w:type="dxa"/>
        </w:tblCellMar>
        <w:tblLook w:val="01E0" w:firstRow="1" w:lastRow="1" w:firstColumn="1" w:lastColumn="1" w:noHBand="0" w:noVBand="0"/>
      </w:tblPr>
      <w:tblGrid>
        <w:gridCol w:w="1245"/>
        <w:gridCol w:w="1448"/>
        <w:gridCol w:w="1665"/>
        <w:gridCol w:w="45"/>
        <w:gridCol w:w="1620"/>
        <w:gridCol w:w="1503"/>
      </w:tblGrid>
      <w:tr w:rsidR="002E2F2C" w:rsidRPr="002E2F2C" w:rsidTr="005F799B">
        <w:trPr>
          <w:trHeight w:val="105"/>
          <w:tblHeader/>
        </w:trPr>
        <w:tc>
          <w:tcPr>
            <w:tcW w:w="1245" w:type="dxa"/>
            <w:vMerge w:val="restart"/>
            <w:tcBorders>
              <w:top w:val="single" w:sz="4" w:space="0" w:color="auto"/>
            </w:tcBorders>
            <w:shd w:val="clear" w:color="auto" w:fill="auto"/>
            <w:vAlign w:val="bottom"/>
          </w:tcPr>
          <w:p w:rsidR="002E2F2C" w:rsidRPr="002E2F2C" w:rsidRDefault="002E2F2C" w:rsidP="00E02ECC">
            <w:pPr>
              <w:suppressAutoHyphens/>
              <w:spacing w:before="80" w:after="80" w:line="160" w:lineRule="exact"/>
              <w:ind w:right="43"/>
              <w:rPr>
                <w:i/>
                <w:sz w:val="14"/>
                <w:szCs w:val="24"/>
              </w:rPr>
            </w:pPr>
            <w:r w:rsidRPr="002E2F2C">
              <w:rPr>
                <w:i/>
                <w:sz w:val="14"/>
                <w:szCs w:val="24"/>
              </w:rPr>
              <w:t>Groupe d’âge</w:t>
            </w:r>
          </w:p>
        </w:tc>
        <w:tc>
          <w:tcPr>
            <w:tcW w:w="1448" w:type="dxa"/>
            <w:vMerge w:val="restart"/>
            <w:tcBorders>
              <w:top w:val="single" w:sz="4" w:space="0" w:color="auto"/>
            </w:tcBorders>
            <w:shd w:val="clear" w:color="auto" w:fill="auto"/>
            <w:vAlign w:val="bottom"/>
          </w:tcPr>
          <w:p w:rsidR="002E2F2C" w:rsidRPr="002E2F2C" w:rsidRDefault="002E2F2C" w:rsidP="00E02ECC">
            <w:pPr>
              <w:suppressAutoHyphens/>
              <w:spacing w:before="80" w:after="80" w:line="160" w:lineRule="exact"/>
              <w:ind w:right="43"/>
              <w:jc w:val="right"/>
              <w:rPr>
                <w:b/>
                <w:i/>
                <w:sz w:val="14"/>
                <w:szCs w:val="24"/>
              </w:rPr>
            </w:pPr>
            <w:r w:rsidRPr="002E2F2C">
              <w:rPr>
                <w:b/>
                <w:i/>
                <w:sz w:val="14"/>
                <w:szCs w:val="24"/>
              </w:rPr>
              <w:t>Population totale</w:t>
            </w:r>
          </w:p>
        </w:tc>
        <w:tc>
          <w:tcPr>
            <w:tcW w:w="3330" w:type="dxa"/>
            <w:gridSpan w:val="3"/>
            <w:tcBorders>
              <w:top w:val="single" w:sz="4" w:space="0" w:color="auto"/>
            </w:tcBorders>
            <w:shd w:val="clear" w:color="auto" w:fill="auto"/>
            <w:vAlign w:val="bottom"/>
          </w:tcPr>
          <w:p w:rsidR="002E2F2C" w:rsidRPr="002E2F2C" w:rsidRDefault="002E2F2C" w:rsidP="00E02ECC">
            <w:pPr>
              <w:suppressAutoHyphens/>
              <w:spacing w:before="80" w:after="80" w:line="160" w:lineRule="exact"/>
              <w:ind w:right="43"/>
              <w:jc w:val="center"/>
              <w:rPr>
                <w:i/>
                <w:sz w:val="14"/>
                <w:szCs w:val="24"/>
              </w:rPr>
            </w:pPr>
            <w:r>
              <w:rPr>
                <w:i/>
                <w:sz w:val="14"/>
                <w:szCs w:val="24"/>
              </w:rPr>
              <w:t>Sexe</w:t>
            </w:r>
          </w:p>
        </w:tc>
        <w:tc>
          <w:tcPr>
            <w:tcW w:w="1503" w:type="dxa"/>
            <w:vMerge w:val="restart"/>
            <w:tcBorders>
              <w:top w:val="single" w:sz="4" w:space="0" w:color="auto"/>
            </w:tcBorders>
            <w:shd w:val="clear" w:color="auto" w:fill="auto"/>
            <w:vAlign w:val="bottom"/>
          </w:tcPr>
          <w:p w:rsidR="002E2F2C" w:rsidRPr="002E2F2C" w:rsidRDefault="002E2F2C" w:rsidP="007C5C03">
            <w:pPr>
              <w:suppressAutoHyphens/>
              <w:spacing w:before="80" w:after="80" w:line="160" w:lineRule="exact"/>
              <w:jc w:val="right"/>
              <w:rPr>
                <w:i/>
                <w:sz w:val="14"/>
                <w:szCs w:val="24"/>
              </w:rPr>
            </w:pPr>
            <w:r w:rsidRPr="002E2F2C">
              <w:rPr>
                <w:i/>
                <w:sz w:val="14"/>
                <w:szCs w:val="24"/>
              </w:rPr>
              <w:t xml:space="preserve">Rapport </w:t>
            </w:r>
            <w:r w:rsidRPr="002E2F2C">
              <w:rPr>
                <w:i/>
                <w:sz w:val="14"/>
                <w:szCs w:val="24"/>
              </w:rPr>
              <w:br/>
              <w:t>de masculinité</w:t>
            </w:r>
          </w:p>
        </w:tc>
      </w:tr>
      <w:tr w:rsidR="002E2F2C" w:rsidRPr="002E2F2C" w:rsidTr="005F799B">
        <w:trPr>
          <w:trHeight w:val="105"/>
          <w:tblHeader/>
        </w:trPr>
        <w:tc>
          <w:tcPr>
            <w:tcW w:w="1245" w:type="dxa"/>
            <w:vMerge/>
            <w:shd w:val="clear" w:color="auto" w:fill="auto"/>
            <w:vAlign w:val="bottom"/>
          </w:tcPr>
          <w:p w:rsidR="002E2F2C" w:rsidRPr="002E2F2C" w:rsidRDefault="002E2F2C" w:rsidP="002E2F2C">
            <w:pPr>
              <w:suppressAutoHyphens/>
              <w:spacing w:before="80" w:after="80" w:line="160" w:lineRule="exact"/>
              <w:ind w:right="40"/>
              <w:rPr>
                <w:i/>
                <w:sz w:val="14"/>
                <w:szCs w:val="24"/>
              </w:rPr>
            </w:pPr>
          </w:p>
        </w:tc>
        <w:tc>
          <w:tcPr>
            <w:tcW w:w="1448" w:type="dxa"/>
            <w:vMerge/>
            <w:shd w:val="clear" w:color="auto" w:fill="auto"/>
            <w:vAlign w:val="bottom"/>
          </w:tcPr>
          <w:p w:rsidR="002E2F2C" w:rsidRPr="002E2F2C" w:rsidRDefault="002E2F2C" w:rsidP="002E2F2C">
            <w:pPr>
              <w:suppressAutoHyphens/>
              <w:spacing w:before="80" w:after="80" w:line="160" w:lineRule="exact"/>
              <w:ind w:right="113"/>
              <w:jc w:val="right"/>
              <w:rPr>
                <w:b/>
                <w:i/>
                <w:sz w:val="14"/>
                <w:szCs w:val="24"/>
              </w:rPr>
            </w:pPr>
          </w:p>
        </w:tc>
        <w:tc>
          <w:tcPr>
            <w:tcW w:w="1665" w:type="dxa"/>
            <w:tcBorders>
              <w:top w:val="single" w:sz="4" w:space="0" w:color="auto"/>
            </w:tcBorders>
            <w:shd w:val="clear" w:color="auto" w:fill="auto"/>
            <w:vAlign w:val="bottom"/>
          </w:tcPr>
          <w:p w:rsidR="002E2F2C" w:rsidRPr="002E2F2C" w:rsidRDefault="002E2F2C" w:rsidP="002E2F2C">
            <w:pPr>
              <w:suppressAutoHyphens/>
              <w:spacing w:before="80" w:after="80" w:line="160" w:lineRule="exact"/>
              <w:ind w:right="113"/>
              <w:jc w:val="right"/>
              <w:rPr>
                <w:i/>
                <w:sz w:val="14"/>
                <w:szCs w:val="24"/>
              </w:rPr>
            </w:pPr>
            <w:r w:rsidRPr="002E2F2C">
              <w:rPr>
                <w:i/>
                <w:sz w:val="14"/>
                <w:szCs w:val="24"/>
              </w:rPr>
              <w:t>Hommes</w:t>
            </w:r>
          </w:p>
        </w:tc>
        <w:tc>
          <w:tcPr>
            <w:tcW w:w="1665" w:type="dxa"/>
            <w:gridSpan w:val="2"/>
            <w:tcBorders>
              <w:top w:val="single" w:sz="4" w:space="0" w:color="auto"/>
            </w:tcBorders>
            <w:shd w:val="clear" w:color="auto" w:fill="auto"/>
            <w:vAlign w:val="bottom"/>
          </w:tcPr>
          <w:p w:rsidR="002E2F2C" w:rsidRPr="002E2F2C" w:rsidRDefault="002E2F2C" w:rsidP="00E02ECC">
            <w:pPr>
              <w:suppressAutoHyphens/>
              <w:spacing w:before="80" w:after="80" w:line="160" w:lineRule="exact"/>
              <w:ind w:right="43"/>
              <w:jc w:val="right"/>
              <w:rPr>
                <w:i/>
                <w:sz w:val="14"/>
                <w:szCs w:val="24"/>
              </w:rPr>
            </w:pPr>
            <w:r w:rsidRPr="002E2F2C">
              <w:rPr>
                <w:i/>
                <w:sz w:val="14"/>
                <w:szCs w:val="24"/>
              </w:rPr>
              <w:t>Femme</w:t>
            </w:r>
          </w:p>
        </w:tc>
        <w:tc>
          <w:tcPr>
            <w:tcW w:w="1503" w:type="dxa"/>
            <w:vMerge/>
            <w:shd w:val="clear" w:color="auto" w:fill="auto"/>
            <w:vAlign w:val="bottom"/>
          </w:tcPr>
          <w:p w:rsidR="002E2F2C" w:rsidRPr="002E2F2C" w:rsidRDefault="002E2F2C" w:rsidP="002E2F2C">
            <w:pPr>
              <w:suppressAutoHyphens/>
              <w:spacing w:before="80" w:after="80" w:line="160" w:lineRule="exact"/>
              <w:ind w:right="113"/>
              <w:jc w:val="right"/>
              <w:rPr>
                <w:i/>
                <w:sz w:val="14"/>
                <w:szCs w:val="24"/>
              </w:rPr>
            </w:pPr>
          </w:p>
        </w:tc>
      </w:tr>
      <w:tr w:rsidR="002E2F2C" w:rsidRPr="002E2F2C" w:rsidTr="002E2F2C">
        <w:trPr>
          <w:trHeight w:hRule="exact" w:val="115"/>
          <w:tblHeader/>
        </w:trPr>
        <w:tc>
          <w:tcPr>
            <w:tcW w:w="1245" w:type="dxa"/>
            <w:tcBorders>
              <w:top w:val="single" w:sz="12" w:space="0" w:color="auto"/>
            </w:tcBorders>
            <w:shd w:val="clear" w:color="auto" w:fill="auto"/>
            <w:vAlign w:val="bottom"/>
          </w:tcPr>
          <w:p w:rsidR="002E2F2C" w:rsidRPr="002E2F2C" w:rsidRDefault="002E2F2C" w:rsidP="002E2F2C">
            <w:pPr>
              <w:tabs>
                <w:tab w:val="left" w:pos="288"/>
                <w:tab w:val="left" w:pos="576"/>
                <w:tab w:val="left" w:pos="864"/>
                <w:tab w:val="left" w:pos="1152"/>
              </w:tabs>
              <w:suppressAutoHyphens/>
              <w:spacing w:before="40" w:after="40" w:line="210" w:lineRule="exact"/>
              <w:ind w:right="40"/>
              <w:rPr>
                <w:sz w:val="17"/>
                <w:szCs w:val="24"/>
              </w:rPr>
            </w:pPr>
          </w:p>
        </w:tc>
        <w:tc>
          <w:tcPr>
            <w:tcW w:w="1448" w:type="dxa"/>
            <w:tcBorders>
              <w:top w:val="single" w:sz="12" w:space="0" w:color="auto"/>
            </w:tcBorders>
            <w:shd w:val="clear" w:color="auto" w:fill="auto"/>
            <w:vAlign w:val="bottom"/>
          </w:tcPr>
          <w:p w:rsidR="002E2F2C" w:rsidRPr="002E2F2C" w:rsidRDefault="002E2F2C" w:rsidP="002E2F2C">
            <w:pPr>
              <w:tabs>
                <w:tab w:val="left" w:pos="288"/>
                <w:tab w:val="left" w:pos="576"/>
                <w:tab w:val="left" w:pos="864"/>
                <w:tab w:val="left" w:pos="1152"/>
              </w:tabs>
              <w:suppressAutoHyphens/>
              <w:spacing w:before="40" w:after="40" w:line="210" w:lineRule="exact"/>
              <w:ind w:right="40"/>
              <w:jc w:val="right"/>
              <w:rPr>
                <w:b/>
                <w:sz w:val="17"/>
                <w:szCs w:val="24"/>
              </w:rPr>
            </w:pPr>
          </w:p>
        </w:tc>
        <w:tc>
          <w:tcPr>
            <w:tcW w:w="1710" w:type="dxa"/>
            <w:gridSpan w:val="2"/>
            <w:tcBorders>
              <w:top w:val="single" w:sz="12" w:space="0" w:color="auto"/>
            </w:tcBorders>
            <w:shd w:val="clear" w:color="auto" w:fill="auto"/>
            <w:vAlign w:val="bottom"/>
          </w:tcPr>
          <w:p w:rsidR="002E2F2C" w:rsidRPr="002E2F2C" w:rsidRDefault="002E2F2C" w:rsidP="002E2F2C">
            <w:pPr>
              <w:tabs>
                <w:tab w:val="left" w:pos="288"/>
                <w:tab w:val="left" w:pos="576"/>
                <w:tab w:val="left" w:pos="864"/>
                <w:tab w:val="left" w:pos="1152"/>
              </w:tabs>
              <w:suppressAutoHyphens/>
              <w:spacing w:before="40" w:after="40" w:line="210" w:lineRule="exact"/>
              <w:ind w:right="40"/>
              <w:jc w:val="right"/>
              <w:rPr>
                <w:sz w:val="17"/>
                <w:szCs w:val="24"/>
              </w:rPr>
            </w:pPr>
          </w:p>
        </w:tc>
        <w:tc>
          <w:tcPr>
            <w:tcW w:w="1620" w:type="dxa"/>
            <w:tcBorders>
              <w:top w:val="single" w:sz="12" w:space="0" w:color="auto"/>
            </w:tcBorders>
            <w:shd w:val="clear" w:color="auto" w:fill="auto"/>
            <w:vAlign w:val="bottom"/>
          </w:tcPr>
          <w:p w:rsidR="002E2F2C" w:rsidRPr="002E2F2C" w:rsidRDefault="002E2F2C" w:rsidP="002E2F2C">
            <w:pPr>
              <w:tabs>
                <w:tab w:val="left" w:pos="288"/>
                <w:tab w:val="left" w:pos="576"/>
                <w:tab w:val="left" w:pos="864"/>
                <w:tab w:val="left" w:pos="1152"/>
              </w:tabs>
              <w:suppressAutoHyphens/>
              <w:spacing w:before="40" w:after="40" w:line="210" w:lineRule="exact"/>
              <w:ind w:right="40"/>
              <w:jc w:val="right"/>
              <w:rPr>
                <w:sz w:val="17"/>
                <w:szCs w:val="24"/>
              </w:rPr>
            </w:pPr>
          </w:p>
        </w:tc>
        <w:tc>
          <w:tcPr>
            <w:tcW w:w="1503" w:type="dxa"/>
            <w:tcBorders>
              <w:top w:val="single" w:sz="12" w:space="0" w:color="auto"/>
            </w:tcBorders>
            <w:shd w:val="clear" w:color="auto" w:fill="auto"/>
            <w:vAlign w:val="bottom"/>
          </w:tcPr>
          <w:p w:rsidR="002E2F2C" w:rsidRPr="002E2F2C" w:rsidRDefault="002E2F2C" w:rsidP="002E2F2C">
            <w:pPr>
              <w:tabs>
                <w:tab w:val="left" w:pos="288"/>
                <w:tab w:val="left" w:pos="576"/>
                <w:tab w:val="left" w:pos="864"/>
                <w:tab w:val="left" w:pos="1152"/>
              </w:tabs>
              <w:suppressAutoHyphens/>
              <w:spacing w:before="40" w:after="40" w:line="210" w:lineRule="exact"/>
              <w:ind w:right="40"/>
              <w:jc w:val="right"/>
              <w:rPr>
                <w:sz w:val="17"/>
                <w:szCs w:val="24"/>
              </w:rPr>
            </w:pPr>
          </w:p>
        </w:tc>
      </w:tr>
      <w:tr w:rsidR="005E1E21" w:rsidRPr="002E2F2C" w:rsidTr="002E2F2C">
        <w:trPr>
          <w:trHeight w:val="240"/>
        </w:trPr>
        <w:tc>
          <w:tcPr>
            <w:tcW w:w="1245" w:type="dxa"/>
            <w:shd w:val="clear" w:color="auto" w:fill="auto"/>
            <w:vAlign w:val="bottom"/>
          </w:tcPr>
          <w:p w:rsidR="005E1E21" w:rsidRPr="002E2F2C" w:rsidRDefault="005E1E21"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0</w:t>
            </w:r>
            <w:r w:rsidR="001A4A8B" w:rsidRPr="002E2F2C">
              <w:rPr>
                <w:sz w:val="17"/>
                <w:szCs w:val="24"/>
              </w:rPr>
              <w:t>-</w:t>
            </w:r>
            <w:r w:rsidRPr="002E2F2C">
              <w:rPr>
                <w:sz w:val="17"/>
                <w:szCs w:val="24"/>
              </w:rPr>
              <w:t>4</w:t>
            </w:r>
          </w:p>
        </w:tc>
        <w:tc>
          <w:tcPr>
            <w:tcW w:w="1448" w:type="dxa"/>
            <w:shd w:val="clear" w:color="auto" w:fill="auto"/>
            <w:vAlign w:val="bottom"/>
          </w:tcPr>
          <w:p w:rsidR="005E1E21" w:rsidRPr="002E2F2C" w:rsidRDefault="005E1E21"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3 337 652</w:t>
            </w:r>
          </w:p>
        </w:tc>
        <w:tc>
          <w:tcPr>
            <w:tcW w:w="1710" w:type="dxa"/>
            <w:gridSpan w:val="2"/>
            <w:shd w:val="clear" w:color="auto" w:fill="auto"/>
            <w:vAlign w:val="bottom"/>
          </w:tcPr>
          <w:p w:rsidR="005E1E21" w:rsidRPr="002E2F2C" w:rsidRDefault="005E1E21"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1 697 972</w:t>
            </w:r>
          </w:p>
        </w:tc>
        <w:tc>
          <w:tcPr>
            <w:tcW w:w="1620" w:type="dxa"/>
            <w:shd w:val="clear" w:color="auto" w:fill="auto"/>
            <w:vAlign w:val="bottom"/>
          </w:tcPr>
          <w:p w:rsidR="005E1E21" w:rsidRPr="002E2F2C" w:rsidRDefault="005E1E21"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1 639 680</w:t>
            </w:r>
          </w:p>
        </w:tc>
        <w:tc>
          <w:tcPr>
            <w:tcW w:w="1503" w:type="dxa"/>
            <w:shd w:val="clear" w:color="auto" w:fill="auto"/>
            <w:vAlign w:val="bottom"/>
          </w:tcPr>
          <w:p w:rsidR="005E1E21" w:rsidRPr="002E2F2C" w:rsidRDefault="005E1E21"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103,6</w:t>
            </w:r>
          </w:p>
        </w:tc>
      </w:tr>
      <w:tr w:rsidR="005E1E21" w:rsidRPr="002E2F2C" w:rsidTr="002E2F2C">
        <w:trPr>
          <w:trHeight w:val="240"/>
        </w:trPr>
        <w:tc>
          <w:tcPr>
            <w:tcW w:w="1245" w:type="dxa"/>
            <w:shd w:val="clear" w:color="auto" w:fill="auto"/>
            <w:vAlign w:val="bottom"/>
          </w:tcPr>
          <w:p w:rsidR="005E1E21" w:rsidRPr="002E2F2C" w:rsidRDefault="005E1E21"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5-9</w:t>
            </w:r>
          </w:p>
        </w:tc>
        <w:tc>
          <w:tcPr>
            <w:tcW w:w="1448" w:type="dxa"/>
            <w:shd w:val="clear" w:color="auto" w:fill="auto"/>
            <w:vAlign w:val="bottom"/>
          </w:tcPr>
          <w:p w:rsidR="005E1E21" w:rsidRPr="002E2F2C" w:rsidRDefault="005E1E21"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3 381 219</w:t>
            </w:r>
          </w:p>
        </w:tc>
        <w:tc>
          <w:tcPr>
            <w:tcW w:w="1710" w:type="dxa"/>
            <w:gridSpan w:val="2"/>
            <w:shd w:val="clear" w:color="auto" w:fill="auto"/>
            <w:vAlign w:val="bottom"/>
          </w:tcPr>
          <w:p w:rsidR="005E1E21" w:rsidRPr="002E2F2C" w:rsidRDefault="005E1E21"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1 717 752</w:t>
            </w:r>
          </w:p>
        </w:tc>
        <w:tc>
          <w:tcPr>
            <w:tcW w:w="1620" w:type="dxa"/>
            <w:shd w:val="clear" w:color="auto" w:fill="auto"/>
            <w:vAlign w:val="bottom"/>
          </w:tcPr>
          <w:p w:rsidR="005E1E21" w:rsidRPr="002E2F2C" w:rsidRDefault="005E1E21"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1 663 467</w:t>
            </w:r>
          </w:p>
        </w:tc>
        <w:tc>
          <w:tcPr>
            <w:tcW w:w="1503" w:type="dxa"/>
            <w:shd w:val="clear" w:color="auto" w:fill="auto"/>
            <w:vAlign w:val="bottom"/>
          </w:tcPr>
          <w:p w:rsidR="005E1E21" w:rsidRPr="002E2F2C" w:rsidRDefault="005E1E21"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103,3</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10-14</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3 503 446</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1 779 372</w:t>
            </w:r>
          </w:p>
        </w:tc>
        <w:tc>
          <w:tcPr>
            <w:tcW w:w="1620" w:type="dxa"/>
            <w:shd w:val="clear" w:color="auto" w:fill="auto"/>
            <w:vAlign w:val="bottom"/>
          </w:tcPr>
          <w:p w:rsidR="00E02C45" w:rsidRPr="002E2F2C" w:rsidRDefault="00E02C45" w:rsidP="00FA0AE4">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1 724 074</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103,2</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15-19</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3 542 067</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1 785 061</w:t>
            </w:r>
          </w:p>
        </w:tc>
        <w:tc>
          <w:tcPr>
            <w:tcW w:w="1620"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1 757 006</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103,6</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20-24</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3 300 149</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1 648 456</w:t>
            </w:r>
          </w:p>
        </w:tc>
        <w:tc>
          <w:tcPr>
            <w:tcW w:w="1620"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1 651 693</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99,8</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25-29</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3 130 509</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1 552 106</w:t>
            </w:r>
          </w:p>
        </w:tc>
        <w:tc>
          <w:tcPr>
            <w:tcW w:w="1620"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1 578 403</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98,3</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30-34</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3 098 713</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1 523 342</w:t>
            </w:r>
          </w:p>
        </w:tc>
        <w:tc>
          <w:tcPr>
            <w:tcW w:w="1620"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1 575 371</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96,7</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35-39</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2 678 435</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1 311 528</w:t>
            </w:r>
          </w:p>
        </w:tc>
        <w:tc>
          <w:tcPr>
            <w:tcW w:w="1620"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1 366 907</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95,9</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40-44</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2 310 775</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1 125 887</w:t>
            </w:r>
          </w:p>
        </w:tc>
        <w:tc>
          <w:tcPr>
            <w:tcW w:w="1620"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1 184 888</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95,0</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45-49</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2 196 350</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1 067 468</w:t>
            </w:r>
          </w:p>
        </w:tc>
        <w:tc>
          <w:tcPr>
            <w:tcW w:w="1620"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1 128 882</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94,6</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50-54</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2 042 993</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986 196</w:t>
            </w:r>
          </w:p>
        </w:tc>
        <w:tc>
          <w:tcPr>
            <w:tcW w:w="1620"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1 056 797</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93,3</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55-59</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1 868 950</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893 570</w:t>
            </w:r>
          </w:p>
        </w:tc>
        <w:tc>
          <w:tcPr>
            <w:tcW w:w="1620"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975 380</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91,6</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60-64</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1 621 190</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760 914</w:t>
            </w:r>
          </w:p>
        </w:tc>
        <w:tc>
          <w:tcPr>
            <w:tcW w:w="1620"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860 276</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88,4</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65-69</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1 293 061</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588 569</w:t>
            </w:r>
          </w:p>
        </w:tc>
        <w:tc>
          <w:tcPr>
            <w:tcW w:w="1620" w:type="dxa"/>
            <w:shd w:val="clear" w:color="auto" w:fill="auto"/>
            <w:vAlign w:val="bottom"/>
          </w:tcPr>
          <w:p w:rsidR="00E02C45" w:rsidRPr="002E2F2C" w:rsidRDefault="00E02C45" w:rsidP="00FA0AE4">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704</w:t>
            </w:r>
            <w:r w:rsidR="00FA0AE4">
              <w:rPr>
                <w:sz w:val="17"/>
                <w:szCs w:val="24"/>
              </w:rPr>
              <w:t xml:space="preserve"> 4</w:t>
            </w:r>
            <w:r w:rsidRPr="002E2F2C">
              <w:rPr>
                <w:sz w:val="17"/>
                <w:szCs w:val="24"/>
              </w:rPr>
              <w:t>92</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83,5</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lastRenderedPageBreak/>
              <w:t>70-74</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1 015 897</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438 438</w:t>
            </w:r>
          </w:p>
        </w:tc>
        <w:tc>
          <w:tcPr>
            <w:tcW w:w="1620"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577 459</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75,9</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75-79</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801 659</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321 481</w:t>
            </w:r>
          </w:p>
        </w:tc>
        <w:tc>
          <w:tcPr>
            <w:tcW w:w="1620"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480 178</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67,0</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80-84</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565 916</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200 744</w:t>
            </w:r>
          </w:p>
        </w:tc>
        <w:tc>
          <w:tcPr>
            <w:tcW w:w="1620"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365 172</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55,0</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85-89</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298 337</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92 848</w:t>
            </w:r>
          </w:p>
        </w:tc>
        <w:tc>
          <w:tcPr>
            <w:tcW w:w="1620"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205 489</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45,2</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90-94</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102 808</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26 574</w:t>
            </w:r>
          </w:p>
        </w:tc>
        <w:tc>
          <w:tcPr>
            <w:tcW w:w="1620"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76 234</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34,9</w:t>
            </w:r>
          </w:p>
        </w:tc>
      </w:tr>
      <w:tr w:rsidR="005E1E21" w:rsidRPr="002E2F2C" w:rsidTr="002E2F2C">
        <w:trPr>
          <w:trHeight w:val="240"/>
        </w:trPr>
        <w:tc>
          <w:tcPr>
            <w:tcW w:w="1245"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95-99</w:t>
            </w:r>
          </w:p>
        </w:tc>
        <w:tc>
          <w:tcPr>
            <w:tcW w:w="1448"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23 483</w:t>
            </w:r>
          </w:p>
        </w:tc>
        <w:tc>
          <w:tcPr>
            <w:tcW w:w="1710" w:type="dxa"/>
            <w:gridSpan w:val="2"/>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4 704</w:t>
            </w:r>
          </w:p>
        </w:tc>
        <w:tc>
          <w:tcPr>
            <w:tcW w:w="1620" w:type="dxa"/>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18 779</w:t>
            </w:r>
          </w:p>
        </w:tc>
        <w:tc>
          <w:tcPr>
            <w:tcW w:w="1503" w:type="dxa"/>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25,0</w:t>
            </w:r>
          </w:p>
        </w:tc>
      </w:tr>
      <w:tr w:rsidR="005E1E21" w:rsidRPr="002E2F2C" w:rsidTr="00577955">
        <w:trPr>
          <w:trHeight w:val="240"/>
        </w:trPr>
        <w:tc>
          <w:tcPr>
            <w:tcW w:w="1245" w:type="dxa"/>
            <w:tcBorders>
              <w:bottom w:val="single" w:sz="4" w:space="0" w:color="auto"/>
            </w:tcBorders>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rPr>
                <w:sz w:val="17"/>
                <w:szCs w:val="24"/>
              </w:rPr>
            </w:pPr>
            <w:r w:rsidRPr="002E2F2C">
              <w:rPr>
                <w:sz w:val="17"/>
                <w:szCs w:val="24"/>
              </w:rPr>
              <w:t>100 et plus</w:t>
            </w:r>
          </w:p>
        </w:tc>
        <w:tc>
          <w:tcPr>
            <w:tcW w:w="1448" w:type="dxa"/>
            <w:tcBorders>
              <w:bottom w:val="single" w:sz="4" w:space="0" w:color="auto"/>
            </w:tcBorders>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b/>
                <w:sz w:val="17"/>
                <w:szCs w:val="24"/>
              </w:rPr>
            </w:pPr>
            <w:r w:rsidRPr="002E2F2C">
              <w:rPr>
                <w:b/>
                <w:sz w:val="17"/>
                <w:szCs w:val="24"/>
              </w:rPr>
              <w:t>3 487</w:t>
            </w:r>
          </w:p>
        </w:tc>
        <w:tc>
          <w:tcPr>
            <w:tcW w:w="1710" w:type="dxa"/>
            <w:gridSpan w:val="2"/>
            <w:tcBorders>
              <w:bottom w:val="single" w:sz="4" w:space="0" w:color="auto"/>
            </w:tcBorders>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784</w:t>
            </w:r>
          </w:p>
        </w:tc>
        <w:tc>
          <w:tcPr>
            <w:tcW w:w="1620" w:type="dxa"/>
            <w:tcBorders>
              <w:bottom w:val="single" w:sz="4" w:space="0" w:color="auto"/>
            </w:tcBorders>
            <w:shd w:val="clear" w:color="auto" w:fill="auto"/>
            <w:vAlign w:val="bottom"/>
          </w:tcPr>
          <w:p w:rsidR="00E02C45" w:rsidRPr="002E2F2C" w:rsidRDefault="00E02C45" w:rsidP="002E2F2C">
            <w:pPr>
              <w:tabs>
                <w:tab w:val="left" w:pos="288"/>
                <w:tab w:val="left" w:pos="576"/>
                <w:tab w:val="left" w:pos="864"/>
                <w:tab w:val="left" w:pos="1152"/>
              </w:tabs>
              <w:suppressAutoHyphens/>
              <w:spacing w:before="40" w:after="40" w:line="210" w:lineRule="exact"/>
              <w:ind w:right="40"/>
              <w:jc w:val="right"/>
              <w:rPr>
                <w:sz w:val="17"/>
                <w:szCs w:val="24"/>
              </w:rPr>
            </w:pPr>
            <w:r w:rsidRPr="002E2F2C">
              <w:rPr>
                <w:sz w:val="17"/>
                <w:szCs w:val="24"/>
              </w:rPr>
              <w:t>2 703</w:t>
            </w:r>
          </w:p>
        </w:tc>
        <w:tc>
          <w:tcPr>
            <w:tcW w:w="1503" w:type="dxa"/>
            <w:tcBorders>
              <w:bottom w:val="single" w:sz="4" w:space="0" w:color="auto"/>
            </w:tcBorders>
            <w:shd w:val="clear" w:color="auto" w:fill="auto"/>
            <w:vAlign w:val="bottom"/>
          </w:tcPr>
          <w:p w:rsidR="00E02C45" w:rsidRPr="002E2F2C" w:rsidRDefault="00E02C45" w:rsidP="007C5C03">
            <w:pPr>
              <w:tabs>
                <w:tab w:val="left" w:pos="288"/>
                <w:tab w:val="left" w:pos="576"/>
                <w:tab w:val="left" w:pos="864"/>
                <w:tab w:val="left" w:pos="1152"/>
              </w:tabs>
              <w:suppressAutoHyphens/>
              <w:spacing w:before="40" w:after="40" w:line="210" w:lineRule="exact"/>
              <w:jc w:val="right"/>
              <w:rPr>
                <w:sz w:val="17"/>
                <w:szCs w:val="24"/>
              </w:rPr>
            </w:pPr>
            <w:r w:rsidRPr="002E2F2C">
              <w:rPr>
                <w:sz w:val="17"/>
                <w:szCs w:val="24"/>
              </w:rPr>
              <w:t>29,0</w:t>
            </w:r>
          </w:p>
        </w:tc>
      </w:tr>
      <w:tr w:rsidR="005E1E21" w:rsidRPr="00A75E0B" w:rsidTr="00577955">
        <w:tc>
          <w:tcPr>
            <w:tcW w:w="1245" w:type="dxa"/>
            <w:tcBorders>
              <w:top w:val="single" w:sz="4" w:space="0" w:color="auto"/>
              <w:bottom w:val="single" w:sz="12" w:space="0" w:color="auto"/>
            </w:tcBorders>
            <w:shd w:val="clear" w:color="auto" w:fill="auto"/>
            <w:vAlign w:val="bottom"/>
          </w:tcPr>
          <w:p w:rsidR="00E02C45" w:rsidRPr="00A75E0B" w:rsidRDefault="001A4A8B" w:rsidP="002E2F2C">
            <w:pPr>
              <w:tabs>
                <w:tab w:val="left" w:pos="288"/>
                <w:tab w:val="left" w:pos="576"/>
                <w:tab w:val="left" w:pos="864"/>
                <w:tab w:val="left" w:pos="1152"/>
              </w:tabs>
              <w:suppressAutoHyphens/>
              <w:spacing w:before="81" w:after="81" w:line="210" w:lineRule="exact"/>
              <w:ind w:right="40"/>
              <w:rPr>
                <w:b/>
                <w:bCs/>
                <w:sz w:val="17"/>
                <w:szCs w:val="24"/>
              </w:rPr>
            </w:pPr>
            <w:r w:rsidRPr="00A75E0B">
              <w:rPr>
                <w:b/>
                <w:bCs/>
                <w:sz w:val="17"/>
                <w:szCs w:val="24"/>
              </w:rPr>
              <w:tab/>
              <w:t>T</w:t>
            </w:r>
            <w:r w:rsidR="00E02C45" w:rsidRPr="00A75E0B">
              <w:rPr>
                <w:b/>
                <w:bCs/>
                <w:sz w:val="17"/>
                <w:szCs w:val="24"/>
              </w:rPr>
              <w:t>otal</w:t>
            </w:r>
          </w:p>
        </w:tc>
        <w:tc>
          <w:tcPr>
            <w:tcW w:w="1448" w:type="dxa"/>
            <w:tcBorders>
              <w:top w:val="single" w:sz="4" w:space="0" w:color="auto"/>
              <w:bottom w:val="single" w:sz="12" w:space="0" w:color="auto"/>
            </w:tcBorders>
            <w:shd w:val="clear" w:color="auto" w:fill="auto"/>
            <w:vAlign w:val="bottom"/>
          </w:tcPr>
          <w:p w:rsidR="00E02C45" w:rsidRPr="00A75E0B" w:rsidRDefault="00E02C45" w:rsidP="002E2F2C">
            <w:pPr>
              <w:tabs>
                <w:tab w:val="left" w:pos="288"/>
                <w:tab w:val="left" w:pos="576"/>
                <w:tab w:val="left" w:pos="864"/>
                <w:tab w:val="left" w:pos="1152"/>
              </w:tabs>
              <w:suppressAutoHyphens/>
              <w:spacing w:before="81" w:after="81" w:line="210" w:lineRule="exact"/>
              <w:ind w:right="40"/>
              <w:jc w:val="right"/>
              <w:rPr>
                <w:b/>
                <w:bCs/>
                <w:sz w:val="17"/>
                <w:szCs w:val="24"/>
              </w:rPr>
            </w:pPr>
            <w:r w:rsidRPr="00A75E0B">
              <w:rPr>
                <w:b/>
                <w:bCs/>
                <w:sz w:val="17"/>
                <w:szCs w:val="24"/>
              </w:rPr>
              <w:t>40 117 096</w:t>
            </w:r>
          </w:p>
        </w:tc>
        <w:tc>
          <w:tcPr>
            <w:tcW w:w="1710" w:type="dxa"/>
            <w:gridSpan w:val="2"/>
            <w:tcBorders>
              <w:top w:val="single" w:sz="4" w:space="0" w:color="auto"/>
              <w:bottom w:val="single" w:sz="12" w:space="0" w:color="auto"/>
            </w:tcBorders>
            <w:shd w:val="clear" w:color="auto" w:fill="auto"/>
            <w:vAlign w:val="bottom"/>
          </w:tcPr>
          <w:p w:rsidR="00E02C45" w:rsidRPr="00A75E0B" w:rsidRDefault="00E02C45" w:rsidP="002E2F2C">
            <w:pPr>
              <w:tabs>
                <w:tab w:val="left" w:pos="288"/>
                <w:tab w:val="left" w:pos="576"/>
                <w:tab w:val="left" w:pos="864"/>
                <w:tab w:val="left" w:pos="1152"/>
              </w:tabs>
              <w:suppressAutoHyphens/>
              <w:spacing w:before="81" w:after="81" w:line="210" w:lineRule="exact"/>
              <w:ind w:right="40"/>
              <w:jc w:val="right"/>
              <w:rPr>
                <w:b/>
                <w:bCs/>
                <w:sz w:val="17"/>
                <w:szCs w:val="24"/>
              </w:rPr>
            </w:pPr>
            <w:r w:rsidRPr="00A75E0B">
              <w:rPr>
                <w:b/>
                <w:bCs/>
                <w:sz w:val="17"/>
                <w:szCs w:val="24"/>
              </w:rPr>
              <w:t>19 523 766</w:t>
            </w:r>
          </w:p>
        </w:tc>
        <w:tc>
          <w:tcPr>
            <w:tcW w:w="1620" w:type="dxa"/>
            <w:tcBorders>
              <w:top w:val="single" w:sz="4" w:space="0" w:color="auto"/>
              <w:bottom w:val="single" w:sz="12" w:space="0" w:color="auto"/>
            </w:tcBorders>
            <w:shd w:val="clear" w:color="auto" w:fill="auto"/>
            <w:vAlign w:val="bottom"/>
          </w:tcPr>
          <w:p w:rsidR="00E02C45" w:rsidRPr="00A75E0B" w:rsidRDefault="00E02C45" w:rsidP="002E2F2C">
            <w:pPr>
              <w:tabs>
                <w:tab w:val="left" w:pos="288"/>
                <w:tab w:val="left" w:pos="576"/>
                <w:tab w:val="left" w:pos="864"/>
                <w:tab w:val="left" w:pos="1152"/>
              </w:tabs>
              <w:suppressAutoHyphens/>
              <w:spacing w:before="81" w:after="81" w:line="210" w:lineRule="exact"/>
              <w:ind w:right="40"/>
              <w:jc w:val="right"/>
              <w:rPr>
                <w:b/>
                <w:bCs/>
                <w:sz w:val="17"/>
                <w:szCs w:val="24"/>
              </w:rPr>
            </w:pPr>
            <w:r w:rsidRPr="00A75E0B">
              <w:rPr>
                <w:b/>
                <w:bCs/>
                <w:sz w:val="17"/>
                <w:szCs w:val="24"/>
              </w:rPr>
              <w:t>20 593 330</w:t>
            </w:r>
          </w:p>
        </w:tc>
        <w:tc>
          <w:tcPr>
            <w:tcW w:w="1503" w:type="dxa"/>
            <w:tcBorders>
              <w:top w:val="single" w:sz="4" w:space="0" w:color="auto"/>
              <w:bottom w:val="single" w:sz="12" w:space="0" w:color="auto"/>
            </w:tcBorders>
            <w:shd w:val="clear" w:color="auto" w:fill="auto"/>
            <w:vAlign w:val="bottom"/>
          </w:tcPr>
          <w:p w:rsidR="00E02C45" w:rsidRPr="00A75E0B" w:rsidRDefault="00E02C45" w:rsidP="007C5C03">
            <w:pPr>
              <w:tabs>
                <w:tab w:val="left" w:pos="288"/>
                <w:tab w:val="left" w:pos="576"/>
                <w:tab w:val="left" w:pos="864"/>
                <w:tab w:val="left" w:pos="1152"/>
              </w:tabs>
              <w:suppressAutoHyphens/>
              <w:spacing w:before="81" w:after="81" w:line="210" w:lineRule="exact"/>
              <w:jc w:val="right"/>
              <w:rPr>
                <w:b/>
                <w:bCs/>
                <w:sz w:val="17"/>
                <w:szCs w:val="24"/>
              </w:rPr>
            </w:pPr>
            <w:r w:rsidRPr="00A75E0B">
              <w:rPr>
                <w:b/>
                <w:bCs/>
                <w:sz w:val="17"/>
                <w:szCs w:val="24"/>
              </w:rPr>
              <w:t>94,8</w:t>
            </w:r>
          </w:p>
        </w:tc>
      </w:tr>
    </w:tbl>
    <w:p w:rsidR="00E02C45" w:rsidRPr="00A75E0B" w:rsidRDefault="00E02C45" w:rsidP="007F3013">
      <w:pPr>
        <w:pStyle w:val="SingleTxt"/>
        <w:spacing w:after="0" w:line="120" w:lineRule="exact"/>
        <w:rPr>
          <w:sz w:val="10"/>
        </w:rPr>
      </w:pPr>
    </w:p>
    <w:p w:rsidR="007F3013" w:rsidRPr="00A75E0B" w:rsidRDefault="007F3013" w:rsidP="007F3013">
      <w:pPr>
        <w:pStyle w:val="FootnoteText"/>
        <w:tabs>
          <w:tab w:val="right" w:pos="1476"/>
          <w:tab w:val="left" w:pos="1548"/>
          <w:tab w:val="right" w:pos="1836"/>
          <w:tab w:val="left" w:pos="1908"/>
        </w:tabs>
        <w:ind w:left="1548" w:right="1267" w:hanging="288"/>
      </w:pPr>
      <w:r w:rsidRPr="00A75E0B">
        <w:rPr>
          <w:i/>
          <w:iCs/>
        </w:rPr>
        <w:t>Note </w:t>
      </w:r>
      <w:r w:rsidRPr="00A75E0B">
        <w:t>: La population totale inclut les sans-abri. Le rapport de masculinité est le nombre d</w:t>
      </w:r>
      <w:r w:rsidR="00FD740F">
        <w:t>’</w:t>
      </w:r>
      <w:r w:rsidRPr="00A75E0B">
        <w:t>hommes pour 100 femmes.</w:t>
      </w:r>
    </w:p>
    <w:p w:rsidR="007F3013" w:rsidRPr="00A75E0B" w:rsidRDefault="007F3013" w:rsidP="007F3013">
      <w:pPr>
        <w:pStyle w:val="FootnoteText"/>
        <w:tabs>
          <w:tab w:val="right" w:pos="1476"/>
          <w:tab w:val="left" w:pos="1548"/>
          <w:tab w:val="right" w:pos="1836"/>
          <w:tab w:val="left" w:pos="1908"/>
        </w:tabs>
        <w:ind w:left="1548" w:right="1267" w:hanging="288"/>
      </w:pPr>
      <w:r w:rsidRPr="00A75E0B">
        <w:rPr>
          <w:i/>
          <w:iCs/>
        </w:rPr>
        <w:t>Source </w:t>
      </w:r>
      <w:r w:rsidRPr="00A75E0B">
        <w:t>: INDEC. Recensement national de la population, des ménages et du logement, 2010.</w:t>
      </w:r>
    </w:p>
    <w:p w:rsidR="007F3013" w:rsidRPr="00A75E0B" w:rsidRDefault="007F3013" w:rsidP="007F3013">
      <w:pPr>
        <w:pStyle w:val="FootnoteText"/>
        <w:tabs>
          <w:tab w:val="right" w:pos="1476"/>
          <w:tab w:val="left" w:pos="1548"/>
          <w:tab w:val="right" w:pos="1836"/>
          <w:tab w:val="left" w:pos="1908"/>
        </w:tabs>
        <w:spacing w:line="120" w:lineRule="exact"/>
        <w:ind w:left="1548" w:right="1267" w:hanging="288"/>
        <w:rPr>
          <w:sz w:val="10"/>
        </w:rPr>
      </w:pPr>
    </w:p>
    <w:p w:rsidR="007F3013" w:rsidRPr="00A75E0B" w:rsidRDefault="007F3013" w:rsidP="007F3013">
      <w:pPr>
        <w:pStyle w:val="FootnoteText"/>
        <w:tabs>
          <w:tab w:val="right" w:pos="1476"/>
          <w:tab w:val="left" w:pos="1548"/>
          <w:tab w:val="right" w:pos="1836"/>
          <w:tab w:val="left" w:pos="1908"/>
        </w:tabs>
        <w:spacing w:line="120" w:lineRule="exact"/>
        <w:ind w:left="1548" w:right="1267" w:hanging="288"/>
        <w:rPr>
          <w:sz w:val="10"/>
        </w:rPr>
      </w:pPr>
    </w:p>
    <w:p w:rsidR="007F3013" w:rsidRPr="00A75E0B" w:rsidRDefault="007F3013" w:rsidP="007F3013">
      <w:pPr>
        <w:pStyle w:val="FootnoteText"/>
        <w:tabs>
          <w:tab w:val="right" w:pos="1476"/>
          <w:tab w:val="left" w:pos="1548"/>
          <w:tab w:val="right" w:pos="1836"/>
          <w:tab w:val="left" w:pos="1908"/>
        </w:tabs>
        <w:spacing w:line="120" w:lineRule="exact"/>
        <w:ind w:left="1548" w:right="1267" w:hanging="288"/>
        <w:rPr>
          <w:sz w:val="10"/>
        </w:rPr>
      </w:pPr>
    </w:p>
    <w:p w:rsidR="007F3013" w:rsidRPr="00A75E0B" w:rsidRDefault="007F3013" w:rsidP="007F30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r>
      <w:r w:rsidRPr="00A75E0B">
        <w:rPr>
          <w:b w:val="0"/>
        </w:rPr>
        <w:t xml:space="preserve">Tableau 4 </w:t>
      </w:r>
      <w:r w:rsidRPr="00A75E0B">
        <w:rPr>
          <w:b w:val="0"/>
        </w:rPr>
        <w:br/>
      </w:r>
      <w:r w:rsidRPr="00A75E0B">
        <w:t xml:space="preserve">Taux de dépendance (pourcentage de la population de moins de 15 ans </w:t>
      </w:r>
      <w:r w:rsidRPr="00A75E0B">
        <w:br/>
        <w:t>et de plus de 65 ans)</w:t>
      </w:r>
    </w:p>
    <w:p w:rsidR="007F3013" w:rsidRPr="00A75E0B" w:rsidRDefault="007F3013" w:rsidP="007F30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t xml:space="preserve">Taux de dépendance potentielle des jeunes et des personnes âgées. </w:t>
      </w:r>
      <w:r w:rsidRPr="00A75E0B">
        <w:br/>
        <w:t>Total</w:t>
      </w:r>
      <w:r w:rsidR="00204AF1">
        <w:t xml:space="preserve"> pour le pays.</w:t>
      </w:r>
      <w:r w:rsidRPr="00A75E0B">
        <w:t xml:space="preserve"> 1991</w:t>
      </w:r>
      <w:r w:rsidR="00204AF1">
        <w:t xml:space="preserve">, 2001, </w:t>
      </w:r>
      <w:r w:rsidRPr="00A75E0B">
        <w:t>2010</w:t>
      </w:r>
    </w:p>
    <w:p w:rsidR="007F3013" w:rsidRPr="00A75E0B" w:rsidRDefault="007F3013" w:rsidP="007F3013">
      <w:pPr>
        <w:pStyle w:val="SingleTxt"/>
        <w:spacing w:after="0" w:line="120" w:lineRule="exact"/>
        <w:rPr>
          <w:sz w:val="10"/>
        </w:rPr>
      </w:pPr>
    </w:p>
    <w:p w:rsidR="007F3013" w:rsidRPr="00A75E0B" w:rsidRDefault="007F3013" w:rsidP="007F3013">
      <w:pPr>
        <w:pStyle w:val="SingleTxt"/>
        <w:spacing w:after="0" w:line="120" w:lineRule="exact"/>
        <w:rPr>
          <w:sz w:val="10"/>
        </w:rPr>
      </w:pPr>
    </w:p>
    <w:tbl>
      <w:tblPr>
        <w:tblW w:w="7508" w:type="dxa"/>
        <w:tblInd w:w="1267" w:type="dxa"/>
        <w:tblLayout w:type="fixed"/>
        <w:tblCellMar>
          <w:left w:w="0" w:type="dxa"/>
          <w:right w:w="0" w:type="dxa"/>
        </w:tblCellMar>
        <w:tblLook w:val="01E0" w:firstRow="1" w:lastRow="1" w:firstColumn="1" w:lastColumn="1" w:noHBand="0" w:noVBand="0"/>
      </w:tblPr>
      <w:tblGrid>
        <w:gridCol w:w="1512"/>
        <w:gridCol w:w="1904"/>
        <w:gridCol w:w="1977"/>
        <w:gridCol w:w="2115"/>
      </w:tblGrid>
      <w:tr w:rsidR="002A4632" w:rsidRPr="00A75E0B" w:rsidTr="002A4632">
        <w:trPr>
          <w:trHeight w:val="240"/>
          <w:tblHeader/>
        </w:trPr>
        <w:tc>
          <w:tcPr>
            <w:tcW w:w="1512" w:type="dxa"/>
            <w:tcBorders>
              <w:top w:val="single" w:sz="4" w:space="0" w:color="auto"/>
              <w:bottom w:val="single" w:sz="12" w:space="0" w:color="auto"/>
            </w:tcBorders>
            <w:shd w:val="clear" w:color="auto" w:fill="auto"/>
            <w:vAlign w:val="bottom"/>
          </w:tcPr>
          <w:p w:rsidR="002A4632" w:rsidRPr="00A75E0B" w:rsidRDefault="002A4632" w:rsidP="002A4632">
            <w:pPr>
              <w:pStyle w:val="BodyText"/>
              <w:suppressAutoHyphens/>
              <w:spacing w:before="80" w:after="80" w:line="160" w:lineRule="exact"/>
              <w:ind w:right="43"/>
              <w:rPr>
                <w:i/>
                <w:sz w:val="14"/>
                <w:szCs w:val="24"/>
                <w:lang w:val="fr-CH"/>
              </w:rPr>
            </w:pPr>
          </w:p>
        </w:tc>
        <w:tc>
          <w:tcPr>
            <w:tcW w:w="1904" w:type="dxa"/>
            <w:tcBorders>
              <w:top w:val="single" w:sz="4" w:space="0" w:color="auto"/>
              <w:bottom w:val="single" w:sz="12" w:space="0" w:color="auto"/>
            </w:tcBorders>
            <w:shd w:val="clear" w:color="auto" w:fill="auto"/>
            <w:vAlign w:val="bottom"/>
          </w:tcPr>
          <w:p w:rsidR="002A4632" w:rsidRPr="00A75E0B" w:rsidRDefault="002A4632" w:rsidP="00204AF1">
            <w:pPr>
              <w:pStyle w:val="BodyText"/>
              <w:suppressAutoHyphens/>
              <w:spacing w:before="80" w:after="80" w:line="160" w:lineRule="exact"/>
              <w:ind w:right="43"/>
              <w:jc w:val="right"/>
              <w:rPr>
                <w:i/>
                <w:sz w:val="14"/>
                <w:szCs w:val="24"/>
                <w:lang w:val="fr-CH"/>
              </w:rPr>
            </w:pPr>
            <w:r w:rsidRPr="00A75E0B">
              <w:rPr>
                <w:i/>
                <w:sz w:val="14"/>
                <w:szCs w:val="24"/>
                <w:lang w:val="fr-CH"/>
              </w:rPr>
              <w:t>Total</w:t>
            </w:r>
            <w:r w:rsidR="00204AF1">
              <w:rPr>
                <w:i/>
                <w:sz w:val="14"/>
                <w:szCs w:val="24"/>
                <w:lang w:val="fr-CH"/>
              </w:rPr>
              <w:t xml:space="preserve"> (</w:t>
            </w:r>
            <w:r w:rsidRPr="00A75E0B">
              <w:rPr>
                <w:i/>
                <w:sz w:val="14"/>
                <w:szCs w:val="24"/>
                <w:lang w:val="fr-CH"/>
              </w:rPr>
              <w:t>%</w:t>
            </w:r>
            <w:r w:rsidR="00204AF1">
              <w:rPr>
                <w:i/>
                <w:sz w:val="14"/>
                <w:szCs w:val="24"/>
                <w:lang w:val="fr-CH"/>
              </w:rPr>
              <w:t>)</w:t>
            </w:r>
          </w:p>
        </w:tc>
        <w:tc>
          <w:tcPr>
            <w:tcW w:w="1977" w:type="dxa"/>
            <w:tcBorders>
              <w:top w:val="single" w:sz="4" w:space="0" w:color="auto"/>
              <w:bottom w:val="single" w:sz="12" w:space="0" w:color="auto"/>
            </w:tcBorders>
            <w:shd w:val="clear" w:color="auto" w:fill="auto"/>
            <w:vAlign w:val="bottom"/>
          </w:tcPr>
          <w:p w:rsidR="002A4632" w:rsidRPr="00A75E0B" w:rsidRDefault="002A4632" w:rsidP="002A4632">
            <w:pPr>
              <w:pStyle w:val="BodyText"/>
              <w:suppressAutoHyphens/>
              <w:spacing w:before="80" w:after="80" w:line="160" w:lineRule="exact"/>
              <w:ind w:right="43"/>
              <w:jc w:val="right"/>
              <w:rPr>
                <w:i/>
                <w:sz w:val="14"/>
                <w:szCs w:val="24"/>
                <w:lang w:val="fr-CH"/>
              </w:rPr>
            </w:pPr>
            <w:r w:rsidRPr="00A75E0B">
              <w:rPr>
                <w:i/>
                <w:sz w:val="14"/>
                <w:szCs w:val="24"/>
                <w:lang w:val="fr-CH"/>
              </w:rPr>
              <w:t xml:space="preserve">Jeunes </w:t>
            </w:r>
            <w:r w:rsidR="00204AF1">
              <w:rPr>
                <w:i/>
                <w:sz w:val="14"/>
                <w:szCs w:val="24"/>
                <w:lang w:val="fr-CH"/>
              </w:rPr>
              <w:t>(</w:t>
            </w:r>
            <w:r w:rsidRPr="00A75E0B">
              <w:rPr>
                <w:i/>
                <w:sz w:val="14"/>
                <w:szCs w:val="24"/>
                <w:lang w:val="fr-CH"/>
              </w:rPr>
              <w:t>%</w:t>
            </w:r>
            <w:r w:rsidR="00204AF1">
              <w:rPr>
                <w:i/>
                <w:sz w:val="14"/>
                <w:szCs w:val="24"/>
                <w:lang w:val="fr-CH"/>
              </w:rPr>
              <w:t>)</w:t>
            </w:r>
          </w:p>
        </w:tc>
        <w:tc>
          <w:tcPr>
            <w:tcW w:w="2115" w:type="dxa"/>
            <w:tcBorders>
              <w:top w:val="single" w:sz="4" w:space="0" w:color="auto"/>
              <w:bottom w:val="single" w:sz="12" w:space="0" w:color="auto"/>
            </w:tcBorders>
            <w:shd w:val="clear" w:color="auto" w:fill="auto"/>
            <w:vAlign w:val="bottom"/>
          </w:tcPr>
          <w:p w:rsidR="002A4632" w:rsidRPr="00A75E0B" w:rsidRDefault="002A4632" w:rsidP="007C5C03">
            <w:pPr>
              <w:pStyle w:val="BodyText"/>
              <w:suppressAutoHyphens/>
              <w:spacing w:before="80" w:after="80" w:line="160" w:lineRule="exact"/>
              <w:jc w:val="right"/>
              <w:rPr>
                <w:i/>
                <w:sz w:val="14"/>
                <w:szCs w:val="24"/>
                <w:lang w:val="fr-CH"/>
              </w:rPr>
            </w:pPr>
            <w:r w:rsidRPr="00A75E0B">
              <w:rPr>
                <w:i/>
                <w:sz w:val="14"/>
                <w:szCs w:val="24"/>
                <w:lang w:val="fr-CH"/>
              </w:rPr>
              <w:t xml:space="preserve">Personnes âgées </w:t>
            </w:r>
            <w:r w:rsidR="00204AF1">
              <w:rPr>
                <w:i/>
                <w:sz w:val="14"/>
                <w:szCs w:val="24"/>
                <w:lang w:val="fr-CH"/>
              </w:rPr>
              <w:t>(</w:t>
            </w:r>
            <w:r w:rsidRPr="00A75E0B">
              <w:rPr>
                <w:i/>
                <w:sz w:val="14"/>
                <w:szCs w:val="24"/>
                <w:lang w:val="fr-CH"/>
              </w:rPr>
              <w:t>%</w:t>
            </w:r>
            <w:r w:rsidR="00204AF1">
              <w:rPr>
                <w:i/>
                <w:sz w:val="14"/>
                <w:szCs w:val="24"/>
                <w:lang w:val="fr-CH"/>
              </w:rPr>
              <w:t>)</w:t>
            </w:r>
          </w:p>
        </w:tc>
      </w:tr>
      <w:tr w:rsidR="002A4632" w:rsidRPr="00A75E0B" w:rsidTr="002A4632">
        <w:trPr>
          <w:trHeight w:hRule="exact" w:val="115"/>
          <w:tblHeader/>
        </w:trPr>
        <w:tc>
          <w:tcPr>
            <w:tcW w:w="1512" w:type="dxa"/>
            <w:tcBorders>
              <w:top w:val="single" w:sz="12" w:space="0" w:color="auto"/>
            </w:tcBorders>
            <w:shd w:val="clear" w:color="auto" w:fill="auto"/>
            <w:vAlign w:val="bottom"/>
          </w:tcPr>
          <w:p w:rsidR="002A4632" w:rsidRPr="00A75E0B" w:rsidRDefault="002A4632" w:rsidP="002A4632">
            <w:pPr>
              <w:pStyle w:val="BodyText"/>
              <w:suppressAutoHyphens/>
              <w:spacing w:before="40" w:after="40" w:line="210" w:lineRule="exact"/>
              <w:ind w:right="40"/>
              <w:rPr>
                <w:sz w:val="17"/>
                <w:szCs w:val="24"/>
                <w:lang w:val="fr-CH"/>
              </w:rPr>
            </w:pPr>
          </w:p>
        </w:tc>
        <w:tc>
          <w:tcPr>
            <w:tcW w:w="1904" w:type="dxa"/>
            <w:tcBorders>
              <w:top w:val="single" w:sz="12" w:space="0" w:color="auto"/>
            </w:tcBorders>
            <w:shd w:val="clear" w:color="auto" w:fill="auto"/>
            <w:vAlign w:val="bottom"/>
          </w:tcPr>
          <w:p w:rsidR="002A4632" w:rsidRPr="00A75E0B" w:rsidRDefault="002A4632" w:rsidP="002A4632">
            <w:pPr>
              <w:pStyle w:val="BodyText"/>
              <w:suppressAutoHyphens/>
              <w:spacing w:before="40" w:after="40" w:line="210" w:lineRule="exact"/>
              <w:ind w:right="113"/>
              <w:jc w:val="right"/>
              <w:rPr>
                <w:sz w:val="17"/>
                <w:szCs w:val="24"/>
                <w:lang w:val="fr-CH"/>
              </w:rPr>
            </w:pPr>
          </w:p>
        </w:tc>
        <w:tc>
          <w:tcPr>
            <w:tcW w:w="1977" w:type="dxa"/>
            <w:tcBorders>
              <w:top w:val="single" w:sz="12" w:space="0" w:color="auto"/>
            </w:tcBorders>
            <w:shd w:val="clear" w:color="auto" w:fill="auto"/>
            <w:vAlign w:val="bottom"/>
          </w:tcPr>
          <w:p w:rsidR="002A4632" w:rsidRPr="00A75E0B" w:rsidRDefault="002A4632" w:rsidP="002A4632">
            <w:pPr>
              <w:pStyle w:val="BodyText"/>
              <w:suppressAutoHyphens/>
              <w:spacing w:before="40" w:after="40" w:line="210" w:lineRule="exact"/>
              <w:ind w:right="113"/>
              <w:jc w:val="right"/>
              <w:rPr>
                <w:sz w:val="17"/>
                <w:szCs w:val="24"/>
                <w:lang w:val="fr-CH"/>
              </w:rPr>
            </w:pPr>
          </w:p>
        </w:tc>
        <w:tc>
          <w:tcPr>
            <w:tcW w:w="2115" w:type="dxa"/>
            <w:tcBorders>
              <w:top w:val="single" w:sz="12" w:space="0" w:color="auto"/>
            </w:tcBorders>
            <w:shd w:val="clear" w:color="auto" w:fill="auto"/>
            <w:vAlign w:val="bottom"/>
          </w:tcPr>
          <w:p w:rsidR="002A4632" w:rsidRPr="00A75E0B" w:rsidRDefault="002A4632" w:rsidP="002A4632">
            <w:pPr>
              <w:pStyle w:val="BodyText"/>
              <w:suppressAutoHyphens/>
              <w:spacing w:before="40" w:after="40" w:line="210" w:lineRule="exact"/>
              <w:ind w:right="113"/>
              <w:jc w:val="right"/>
              <w:rPr>
                <w:sz w:val="17"/>
                <w:szCs w:val="24"/>
                <w:lang w:val="fr-CH"/>
              </w:rPr>
            </w:pPr>
          </w:p>
        </w:tc>
      </w:tr>
      <w:tr w:rsidR="002A4632" w:rsidRPr="00A75E0B" w:rsidTr="002A4632">
        <w:trPr>
          <w:trHeight w:val="240"/>
        </w:trPr>
        <w:tc>
          <w:tcPr>
            <w:tcW w:w="1512" w:type="dxa"/>
            <w:shd w:val="clear" w:color="auto" w:fill="auto"/>
            <w:vAlign w:val="bottom"/>
          </w:tcPr>
          <w:p w:rsidR="002A4632" w:rsidRPr="00A75E0B" w:rsidRDefault="002A4632" w:rsidP="002A4632">
            <w:pPr>
              <w:pStyle w:val="BodyText"/>
              <w:tabs>
                <w:tab w:val="left" w:pos="288"/>
                <w:tab w:val="left" w:pos="576"/>
                <w:tab w:val="left" w:pos="864"/>
                <w:tab w:val="left" w:pos="1152"/>
              </w:tabs>
              <w:suppressAutoHyphens/>
              <w:spacing w:before="40" w:after="40" w:line="210" w:lineRule="exact"/>
              <w:ind w:right="43"/>
              <w:rPr>
                <w:sz w:val="17"/>
                <w:szCs w:val="24"/>
                <w:lang w:val="fr-CH"/>
              </w:rPr>
            </w:pPr>
            <w:r w:rsidRPr="00A75E0B">
              <w:rPr>
                <w:sz w:val="17"/>
                <w:szCs w:val="24"/>
                <w:lang w:val="fr-CH"/>
              </w:rPr>
              <w:t>1991</w:t>
            </w:r>
          </w:p>
        </w:tc>
        <w:tc>
          <w:tcPr>
            <w:tcW w:w="1904" w:type="dxa"/>
            <w:shd w:val="clear" w:color="auto" w:fill="auto"/>
            <w:vAlign w:val="bottom"/>
          </w:tcPr>
          <w:p w:rsidR="002A4632" w:rsidRPr="00A75E0B" w:rsidRDefault="002A4632" w:rsidP="002A4632">
            <w:pPr>
              <w:pStyle w:val="BodyText"/>
              <w:tabs>
                <w:tab w:val="left" w:pos="288"/>
                <w:tab w:val="left" w:pos="576"/>
                <w:tab w:val="left" w:pos="864"/>
                <w:tab w:val="left" w:pos="1152"/>
              </w:tabs>
              <w:suppressAutoHyphens/>
              <w:spacing w:before="40" w:after="40" w:line="210" w:lineRule="exact"/>
              <w:ind w:right="43"/>
              <w:jc w:val="right"/>
              <w:rPr>
                <w:sz w:val="17"/>
                <w:szCs w:val="24"/>
                <w:lang w:val="fr-CH"/>
              </w:rPr>
            </w:pPr>
            <w:r w:rsidRPr="00A75E0B">
              <w:rPr>
                <w:sz w:val="17"/>
                <w:szCs w:val="24"/>
                <w:lang w:val="fr-CH"/>
              </w:rPr>
              <w:t>65,1</w:t>
            </w:r>
          </w:p>
        </w:tc>
        <w:tc>
          <w:tcPr>
            <w:tcW w:w="1977" w:type="dxa"/>
            <w:shd w:val="clear" w:color="auto" w:fill="auto"/>
            <w:vAlign w:val="bottom"/>
          </w:tcPr>
          <w:p w:rsidR="002A4632" w:rsidRPr="00A75E0B" w:rsidRDefault="002A4632" w:rsidP="002A4632">
            <w:pPr>
              <w:pStyle w:val="BodyText"/>
              <w:tabs>
                <w:tab w:val="left" w:pos="288"/>
                <w:tab w:val="left" w:pos="576"/>
                <w:tab w:val="left" w:pos="864"/>
                <w:tab w:val="left" w:pos="1152"/>
              </w:tabs>
              <w:suppressAutoHyphens/>
              <w:spacing w:before="40" w:after="40" w:line="210" w:lineRule="exact"/>
              <w:ind w:right="43"/>
              <w:jc w:val="right"/>
              <w:rPr>
                <w:sz w:val="17"/>
                <w:szCs w:val="24"/>
                <w:lang w:val="fr-CH"/>
              </w:rPr>
            </w:pPr>
            <w:r w:rsidRPr="00A75E0B">
              <w:rPr>
                <w:sz w:val="17"/>
                <w:szCs w:val="24"/>
                <w:lang w:val="fr-CH"/>
              </w:rPr>
              <w:t>50,5</w:t>
            </w:r>
          </w:p>
        </w:tc>
        <w:tc>
          <w:tcPr>
            <w:tcW w:w="2115" w:type="dxa"/>
            <w:shd w:val="clear" w:color="auto" w:fill="auto"/>
            <w:vAlign w:val="bottom"/>
          </w:tcPr>
          <w:p w:rsidR="002A4632" w:rsidRPr="00A75E0B" w:rsidRDefault="002A4632" w:rsidP="007C5C03">
            <w:pPr>
              <w:pStyle w:val="BodyText"/>
              <w:tabs>
                <w:tab w:val="left" w:pos="288"/>
                <w:tab w:val="left" w:pos="576"/>
                <w:tab w:val="left" w:pos="864"/>
                <w:tab w:val="left" w:pos="1152"/>
              </w:tabs>
              <w:suppressAutoHyphens/>
              <w:spacing w:before="40" w:after="40" w:line="210" w:lineRule="exact"/>
              <w:jc w:val="right"/>
              <w:rPr>
                <w:sz w:val="17"/>
                <w:szCs w:val="24"/>
                <w:lang w:val="fr-CH"/>
              </w:rPr>
            </w:pPr>
            <w:r w:rsidRPr="00A75E0B">
              <w:rPr>
                <w:sz w:val="17"/>
                <w:szCs w:val="24"/>
                <w:lang w:val="fr-CH"/>
              </w:rPr>
              <w:t>14,6</w:t>
            </w:r>
          </w:p>
        </w:tc>
      </w:tr>
      <w:tr w:rsidR="002A4632" w:rsidRPr="00A75E0B" w:rsidTr="002A4632">
        <w:trPr>
          <w:trHeight w:val="240"/>
        </w:trPr>
        <w:tc>
          <w:tcPr>
            <w:tcW w:w="1512" w:type="dxa"/>
            <w:shd w:val="clear" w:color="auto" w:fill="auto"/>
            <w:vAlign w:val="bottom"/>
          </w:tcPr>
          <w:p w:rsidR="002A4632" w:rsidRPr="00A75E0B" w:rsidRDefault="002A4632" w:rsidP="002A4632">
            <w:pPr>
              <w:pStyle w:val="BodyText"/>
              <w:tabs>
                <w:tab w:val="left" w:pos="288"/>
                <w:tab w:val="left" w:pos="576"/>
                <w:tab w:val="left" w:pos="864"/>
                <w:tab w:val="left" w:pos="1152"/>
              </w:tabs>
              <w:suppressAutoHyphens/>
              <w:spacing w:before="40" w:after="40" w:line="210" w:lineRule="exact"/>
              <w:ind w:right="43"/>
              <w:rPr>
                <w:sz w:val="17"/>
                <w:szCs w:val="24"/>
                <w:lang w:val="fr-CH"/>
              </w:rPr>
            </w:pPr>
            <w:r w:rsidRPr="00A75E0B">
              <w:rPr>
                <w:sz w:val="17"/>
                <w:szCs w:val="24"/>
                <w:lang w:val="fr-CH"/>
              </w:rPr>
              <w:t>2001</w:t>
            </w:r>
          </w:p>
        </w:tc>
        <w:tc>
          <w:tcPr>
            <w:tcW w:w="1904" w:type="dxa"/>
            <w:shd w:val="clear" w:color="auto" w:fill="auto"/>
            <w:vAlign w:val="bottom"/>
          </w:tcPr>
          <w:p w:rsidR="002A4632" w:rsidRPr="00A75E0B" w:rsidRDefault="002A4632" w:rsidP="002A4632">
            <w:pPr>
              <w:pStyle w:val="BodyText"/>
              <w:tabs>
                <w:tab w:val="left" w:pos="288"/>
                <w:tab w:val="left" w:pos="576"/>
                <w:tab w:val="left" w:pos="864"/>
                <w:tab w:val="left" w:pos="1152"/>
              </w:tabs>
              <w:suppressAutoHyphens/>
              <w:spacing w:before="40" w:after="40" w:line="210" w:lineRule="exact"/>
              <w:ind w:right="43"/>
              <w:jc w:val="right"/>
              <w:rPr>
                <w:sz w:val="17"/>
                <w:szCs w:val="24"/>
                <w:lang w:val="fr-CH"/>
              </w:rPr>
            </w:pPr>
            <w:r w:rsidRPr="00A75E0B">
              <w:rPr>
                <w:sz w:val="17"/>
                <w:szCs w:val="24"/>
                <w:lang w:val="fr-CH"/>
              </w:rPr>
              <w:t>61,7</w:t>
            </w:r>
          </w:p>
        </w:tc>
        <w:tc>
          <w:tcPr>
            <w:tcW w:w="1977" w:type="dxa"/>
            <w:shd w:val="clear" w:color="auto" w:fill="auto"/>
            <w:vAlign w:val="bottom"/>
          </w:tcPr>
          <w:p w:rsidR="002A4632" w:rsidRPr="00A75E0B" w:rsidRDefault="002A4632" w:rsidP="002A4632">
            <w:pPr>
              <w:pStyle w:val="BodyText"/>
              <w:tabs>
                <w:tab w:val="left" w:pos="288"/>
                <w:tab w:val="left" w:pos="576"/>
                <w:tab w:val="left" w:pos="864"/>
                <w:tab w:val="left" w:pos="1152"/>
              </w:tabs>
              <w:suppressAutoHyphens/>
              <w:spacing w:before="40" w:after="40" w:line="210" w:lineRule="exact"/>
              <w:ind w:right="43"/>
              <w:jc w:val="right"/>
              <w:rPr>
                <w:sz w:val="17"/>
                <w:szCs w:val="24"/>
                <w:lang w:val="fr-CH"/>
              </w:rPr>
            </w:pPr>
            <w:r w:rsidRPr="00A75E0B">
              <w:rPr>
                <w:sz w:val="17"/>
                <w:szCs w:val="24"/>
                <w:lang w:val="fr-CH"/>
              </w:rPr>
              <w:t>45,7</w:t>
            </w:r>
          </w:p>
        </w:tc>
        <w:tc>
          <w:tcPr>
            <w:tcW w:w="2115" w:type="dxa"/>
            <w:shd w:val="clear" w:color="auto" w:fill="auto"/>
            <w:vAlign w:val="bottom"/>
          </w:tcPr>
          <w:p w:rsidR="002A4632" w:rsidRPr="00A75E0B" w:rsidRDefault="002A4632" w:rsidP="007C5C03">
            <w:pPr>
              <w:pStyle w:val="BodyText"/>
              <w:tabs>
                <w:tab w:val="left" w:pos="288"/>
                <w:tab w:val="left" w:pos="576"/>
                <w:tab w:val="left" w:pos="864"/>
                <w:tab w:val="left" w:pos="1152"/>
              </w:tabs>
              <w:suppressAutoHyphens/>
              <w:spacing w:before="40" w:after="40" w:line="210" w:lineRule="exact"/>
              <w:jc w:val="right"/>
              <w:rPr>
                <w:sz w:val="17"/>
                <w:szCs w:val="24"/>
                <w:lang w:val="fr-CH"/>
              </w:rPr>
            </w:pPr>
            <w:r w:rsidRPr="00A75E0B">
              <w:rPr>
                <w:sz w:val="17"/>
                <w:szCs w:val="24"/>
                <w:lang w:val="fr-CH"/>
              </w:rPr>
              <w:t>16,0</w:t>
            </w:r>
          </w:p>
        </w:tc>
      </w:tr>
      <w:tr w:rsidR="002A4632" w:rsidRPr="00A75E0B" w:rsidTr="002A4632">
        <w:trPr>
          <w:trHeight w:val="240"/>
        </w:trPr>
        <w:tc>
          <w:tcPr>
            <w:tcW w:w="1512" w:type="dxa"/>
            <w:tcBorders>
              <w:bottom w:val="single" w:sz="12" w:space="0" w:color="auto"/>
            </w:tcBorders>
            <w:shd w:val="clear" w:color="auto" w:fill="auto"/>
            <w:vAlign w:val="bottom"/>
          </w:tcPr>
          <w:p w:rsidR="002A4632" w:rsidRPr="00A75E0B" w:rsidRDefault="002A4632" w:rsidP="002A4632">
            <w:pPr>
              <w:pStyle w:val="BodyText"/>
              <w:tabs>
                <w:tab w:val="left" w:pos="288"/>
                <w:tab w:val="left" w:pos="576"/>
                <w:tab w:val="left" w:pos="864"/>
                <w:tab w:val="left" w:pos="1152"/>
              </w:tabs>
              <w:suppressAutoHyphens/>
              <w:spacing w:before="40" w:after="40" w:line="210" w:lineRule="exact"/>
              <w:ind w:right="43"/>
              <w:rPr>
                <w:sz w:val="17"/>
                <w:szCs w:val="24"/>
                <w:lang w:val="fr-CH"/>
              </w:rPr>
            </w:pPr>
            <w:r w:rsidRPr="00A75E0B">
              <w:rPr>
                <w:sz w:val="17"/>
                <w:szCs w:val="24"/>
                <w:lang w:val="fr-CH"/>
              </w:rPr>
              <w:t>2010</w:t>
            </w:r>
          </w:p>
        </w:tc>
        <w:tc>
          <w:tcPr>
            <w:tcW w:w="1904" w:type="dxa"/>
            <w:tcBorders>
              <w:bottom w:val="single" w:sz="12" w:space="0" w:color="auto"/>
            </w:tcBorders>
            <w:shd w:val="clear" w:color="auto" w:fill="auto"/>
            <w:vAlign w:val="bottom"/>
          </w:tcPr>
          <w:p w:rsidR="002A4632" w:rsidRPr="00A75E0B" w:rsidRDefault="002A4632" w:rsidP="002A4632">
            <w:pPr>
              <w:pStyle w:val="BodyText"/>
              <w:tabs>
                <w:tab w:val="left" w:pos="288"/>
                <w:tab w:val="left" w:pos="576"/>
                <w:tab w:val="left" w:pos="864"/>
                <w:tab w:val="left" w:pos="1152"/>
              </w:tabs>
              <w:suppressAutoHyphens/>
              <w:spacing w:before="40" w:after="40" w:line="210" w:lineRule="exact"/>
              <w:ind w:right="43"/>
              <w:jc w:val="right"/>
              <w:rPr>
                <w:sz w:val="17"/>
                <w:szCs w:val="24"/>
                <w:lang w:val="fr-CH"/>
              </w:rPr>
            </w:pPr>
            <w:r w:rsidRPr="00A75E0B">
              <w:rPr>
                <w:sz w:val="17"/>
                <w:szCs w:val="24"/>
                <w:lang w:val="fr-CH"/>
              </w:rPr>
              <w:t>55,5</w:t>
            </w:r>
          </w:p>
        </w:tc>
        <w:tc>
          <w:tcPr>
            <w:tcW w:w="1977" w:type="dxa"/>
            <w:tcBorders>
              <w:bottom w:val="single" w:sz="12" w:space="0" w:color="auto"/>
            </w:tcBorders>
            <w:shd w:val="clear" w:color="auto" w:fill="auto"/>
            <w:vAlign w:val="bottom"/>
          </w:tcPr>
          <w:p w:rsidR="002A4632" w:rsidRPr="00A75E0B" w:rsidRDefault="002A4632" w:rsidP="002A4632">
            <w:pPr>
              <w:pStyle w:val="BodyText"/>
              <w:tabs>
                <w:tab w:val="left" w:pos="288"/>
                <w:tab w:val="left" w:pos="576"/>
                <w:tab w:val="left" w:pos="864"/>
                <w:tab w:val="left" w:pos="1152"/>
              </w:tabs>
              <w:suppressAutoHyphens/>
              <w:spacing w:before="40" w:after="40" w:line="210" w:lineRule="exact"/>
              <w:ind w:right="43"/>
              <w:jc w:val="right"/>
              <w:rPr>
                <w:sz w:val="17"/>
                <w:szCs w:val="24"/>
                <w:lang w:val="fr-CH"/>
              </w:rPr>
            </w:pPr>
            <w:r w:rsidRPr="00A75E0B">
              <w:rPr>
                <w:sz w:val="17"/>
                <w:szCs w:val="24"/>
                <w:lang w:val="fr-CH"/>
              </w:rPr>
              <w:t>39,6</w:t>
            </w:r>
          </w:p>
        </w:tc>
        <w:tc>
          <w:tcPr>
            <w:tcW w:w="2115" w:type="dxa"/>
            <w:tcBorders>
              <w:bottom w:val="single" w:sz="12" w:space="0" w:color="auto"/>
            </w:tcBorders>
            <w:shd w:val="clear" w:color="auto" w:fill="auto"/>
            <w:vAlign w:val="bottom"/>
          </w:tcPr>
          <w:p w:rsidR="002A4632" w:rsidRPr="00A75E0B" w:rsidRDefault="002A4632" w:rsidP="007C5C03">
            <w:pPr>
              <w:pStyle w:val="BodyText"/>
              <w:tabs>
                <w:tab w:val="left" w:pos="288"/>
                <w:tab w:val="left" w:pos="576"/>
                <w:tab w:val="left" w:pos="864"/>
                <w:tab w:val="left" w:pos="1152"/>
              </w:tabs>
              <w:suppressAutoHyphens/>
              <w:spacing w:before="40" w:after="40" w:line="210" w:lineRule="exact"/>
              <w:jc w:val="right"/>
              <w:rPr>
                <w:sz w:val="17"/>
                <w:szCs w:val="24"/>
                <w:lang w:val="fr-CH"/>
              </w:rPr>
            </w:pPr>
            <w:r w:rsidRPr="00A75E0B">
              <w:rPr>
                <w:sz w:val="17"/>
                <w:szCs w:val="24"/>
                <w:lang w:val="fr-CH"/>
              </w:rPr>
              <w:t>15,9</w:t>
            </w:r>
          </w:p>
        </w:tc>
      </w:tr>
    </w:tbl>
    <w:p w:rsidR="007F3013" w:rsidRPr="00A75E0B" w:rsidRDefault="007F3013" w:rsidP="002A4632">
      <w:pPr>
        <w:pStyle w:val="SingleTxt"/>
        <w:spacing w:after="0" w:line="120" w:lineRule="exact"/>
        <w:rPr>
          <w:sz w:val="10"/>
        </w:rPr>
      </w:pPr>
    </w:p>
    <w:p w:rsidR="002A4632" w:rsidRPr="00A75E0B" w:rsidRDefault="002A4632" w:rsidP="002A4632">
      <w:pPr>
        <w:pStyle w:val="FootnoteText"/>
        <w:tabs>
          <w:tab w:val="right" w:pos="1476"/>
          <w:tab w:val="left" w:pos="1548"/>
          <w:tab w:val="right" w:pos="1836"/>
          <w:tab w:val="left" w:pos="1908"/>
        </w:tabs>
        <w:ind w:left="1548" w:right="1267" w:hanging="288"/>
      </w:pPr>
      <w:r w:rsidRPr="00A75E0B">
        <w:rPr>
          <w:i/>
          <w:iCs/>
        </w:rPr>
        <w:t>Source </w:t>
      </w:r>
      <w:r w:rsidRPr="00A75E0B">
        <w:t xml:space="preserve">: INDEC. </w:t>
      </w:r>
      <w:r w:rsidR="00204AF1">
        <w:t xml:space="preserve">Recensement national de la population et du logement, 1991. </w:t>
      </w:r>
      <w:r w:rsidRPr="00A75E0B">
        <w:t>Recensement national de la population, des ménages et du logement, 1991 et 2010.</w:t>
      </w:r>
    </w:p>
    <w:p w:rsidR="002A4632" w:rsidRPr="00A75E0B" w:rsidRDefault="002A4632" w:rsidP="002A4632">
      <w:pPr>
        <w:pStyle w:val="FootnoteText"/>
        <w:tabs>
          <w:tab w:val="right" w:pos="1476"/>
          <w:tab w:val="left" w:pos="1548"/>
          <w:tab w:val="right" w:pos="1836"/>
          <w:tab w:val="left" w:pos="1908"/>
        </w:tabs>
        <w:spacing w:line="120" w:lineRule="exact"/>
        <w:ind w:left="1548" w:right="1267" w:hanging="288"/>
        <w:rPr>
          <w:sz w:val="10"/>
        </w:rPr>
      </w:pPr>
    </w:p>
    <w:p w:rsidR="002A4632" w:rsidRPr="00A75E0B" w:rsidRDefault="002A4632" w:rsidP="002A4632">
      <w:pPr>
        <w:pStyle w:val="FootnoteText"/>
        <w:tabs>
          <w:tab w:val="right" w:pos="1476"/>
          <w:tab w:val="left" w:pos="1548"/>
          <w:tab w:val="right" w:pos="1836"/>
          <w:tab w:val="left" w:pos="1908"/>
        </w:tabs>
        <w:spacing w:line="120" w:lineRule="exact"/>
        <w:ind w:left="1548" w:right="1267" w:hanging="288"/>
        <w:rPr>
          <w:sz w:val="10"/>
        </w:rPr>
      </w:pPr>
    </w:p>
    <w:p w:rsidR="002A4632" w:rsidRPr="00A75E0B" w:rsidRDefault="002A4632" w:rsidP="002A4632">
      <w:pPr>
        <w:pStyle w:val="FootnoteText"/>
        <w:tabs>
          <w:tab w:val="right" w:pos="1476"/>
          <w:tab w:val="left" w:pos="1548"/>
          <w:tab w:val="right" w:pos="1836"/>
          <w:tab w:val="left" w:pos="1908"/>
        </w:tabs>
        <w:spacing w:line="120" w:lineRule="exact"/>
        <w:ind w:left="1548" w:right="1267" w:hanging="288"/>
        <w:rPr>
          <w:sz w:val="10"/>
        </w:rPr>
      </w:pPr>
    </w:p>
    <w:p w:rsidR="002A4632" w:rsidRPr="00A75E0B" w:rsidRDefault="002A4632" w:rsidP="002A46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r>
      <w:r w:rsidRPr="00A75E0B">
        <w:rPr>
          <w:b w:val="0"/>
        </w:rPr>
        <w:t xml:space="preserve">Tableau 5 </w:t>
      </w:r>
      <w:r w:rsidRPr="00A75E0B">
        <w:rPr>
          <w:b w:val="0"/>
        </w:rPr>
        <w:br/>
      </w:r>
      <w:r w:rsidRPr="00A75E0B">
        <w:t>Taux de fécondité. Descendance finale moyenne, 2001 et 2010</w:t>
      </w:r>
    </w:p>
    <w:p w:rsidR="002A4632" w:rsidRPr="00A75E0B" w:rsidRDefault="002A4632" w:rsidP="002A4632">
      <w:pPr>
        <w:pStyle w:val="SingleTxt"/>
        <w:spacing w:after="0" w:line="120" w:lineRule="exact"/>
        <w:rPr>
          <w:sz w:val="10"/>
        </w:rPr>
      </w:pPr>
    </w:p>
    <w:p w:rsidR="002A4632" w:rsidRPr="00A75E0B" w:rsidRDefault="002A4632" w:rsidP="002A4632">
      <w:pPr>
        <w:pStyle w:val="SingleTxt"/>
        <w:spacing w:after="0" w:line="120" w:lineRule="exact"/>
        <w:rPr>
          <w:sz w:val="10"/>
        </w:rPr>
      </w:pPr>
    </w:p>
    <w:tbl>
      <w:tblPr>
        <w:tblW w:w="7502" w:type="dxa"/>
        <w:tblInd w:w="1267" w:type="dxa"/>
        <w:tblBorders>
          <w:top w:val="single" w:sz="4" w:space="0" w:color="auto"/>
        </w:tblBorders>
        <w:tblCellMar>
          <w:left w:w="0" w:type="dxa"/>
          <w:right w:w="0" w:type="dxa"/>
        </w:tblCellMar>
        <w:tblLook w:val="01E0" w:firstRow="1" w:lastRow="1" w:firstColumn="1" w:lastColumn="1" w:noHBand="0" w:noVBand="0"/>
      </w:tblPr>
      <w:tblGrid>
        <w:gridCol w:w="2304"/>
        <w:gridCol w:w="2513"/>
        <w:gridCol w:w="2685"/>
      </w:tblGrid>
      <w:tr w:rsidR="00960637" w:rsidRPr="00A75E0B" w:rsidTr="000013D1">
        <w:trPr>
          <w:trHeight w:val="240"/>
          <w:tblHeader/>
        </w:trPr>
        <w:tc>
          <w:tcPr>
            <w:tcW w:w="2316" w:type="dxa"/>
            <w:vMerge w:val="restart"/>
            <w:tcBorders>
              <w:top w:val="single" w:sz="4" w:space="0" w:color="auto"/>
              <w:bottom w:val="single" w:sz="12" w:space="0" w:color="auto"/>
            </w:tcBorders>
            <w:shd w:val="clear" w:color="auto" w:fill="auto"/>
            <w:vAlign w:val="bottom"/>
          </w:tcPr>
          <w:p w:rsidR="00960637" w:rsidRPr="00A75E0B" w:rsidRDefault="00960637" w:rsidP="000013D1">
            <w:pPr>
              <w:autoSpaceDE w:val="0"/>
              <w:autoSpaceDN w:val="0"/>
              <w:adjustRightInd w:val="0"/>
              <w:spacing w:before="80" w:after="80" w:line="160" w:lineRule="exact"/>
              <w:ind w:right="43"/>
              <w:rPr>
                <w:i/>
                <w:sz w:val="14"/>
                <w:szCs w:val="14"/>
              </w:rPr>
            </w:pPr>
          </w:p>
        </w:tc>
        <w:tc>
          <w:tcPr>
            <w:tcW w:w="5228" w:type="dxa"/>
            <w:gridSpan w:val="2"/>
            <w:tcBorders>
              <w:top w:val="single" w:sz="4" w:space="0" w:color="auto"/>
              <w:bottom w:val="single" w:sz="4" w:space="0" w:color="auto"/>
            </w:tcBorders>
            <w:shd w:val="clear" w:color="auto" w:fill="auto"/>
            <w:vAlign w:val="bottom"/>
          </w:tcPr>
          <w:p w:rsidR="00960637" w:rsidRPr="00A75E0B" w:rsidRDefault="00960637" w:rsidP="000013D1">
            <w:pPr>
              <w:autoSpaceDE w:val="0"/>
              <w:autoSpaceDN w:val="0"/>
              <w:adjustRightInd w:val="0"/>
              <w:spacing w:before="80" w:after="80" w:line="160" w:lineRule="exact"/>
              <w:ind w:right="43"/>
              <w:jc w:val="center"/>
              <w:rPr>
                <w:i/>
                <w:sz w:val="14"/>
                <w:szCs w:val="14"/>
              </w:rPr>
            </w:pPr>
            <w:r w:rsidRPr="00A75E0B">
              <w:rPr>
                <w:i/>
                <w:sz w:val="14"/>
                <w:szCs w:val="14"/>
              </w:rPr>
              <w:t>Descendance finale moyenne</w:t>
            </w:r>
          </w:p>
        </w:tc>
      </w:tr>
      <w:tr w:rsidR="00960637" w:rsidRPr="00A75E0B" w:rsidTr="000013D1">
        <w:trPr>
          <w:trHeight w:val="240"/>
          <w:tblHeader/>
        </w:trPr>
        <w:tc>
          <w:tcPr>
            <w:tcW w:w="2316" w:type="dxa"/>
            <w:vMerge/>
            <w:tcBorders>
              <w:top w:val="single" w:sz="12" w:space="0" w:color="auto"/>
              <w:bottom w:val="single" w:sz="12" w:space="0" w:color="auto"/>
            </w:tcBorders>
            <w:shd w:val="clear" w:color="auto" w:fill="auto"/>
            <w:vAlign w:val="bottom"/>
          </w:tcPr>
          <w:p w:rsidR="00960637" w:rsidRPr="00A75E0B" w:rsidRDefault="00960637" w:rsidP="000013D1">
            <w:pPr>
              <w:autoSpaceDE w:val="0"/>
              <w:autoSpaceDN w:val="0"/>
              <w:adjustRightInd w:val="0"/>
              <w:spacing w:before="80" w:after="80" w:line="160" w:lineRule="exact"/>
              <w:ind w:right="43"/>
              <w:rPr>
                <w:i/>
                <w:sz w:val="14"/>
                <w:szCs w:val="14"/>
              </w:rPr>
            </w:pPr>
          </w:p>
        </w:tc>
        <w:tc>
          <w:tcPr>
            <w:tcW w:w="2527" w:type="dxa"/>
            <w:tcBorders>
              <w:top w:val="single" w:sz="4" w:space="0" w:color="auto"/>
              <w:bottom w:val="single" w:sz="12" w:space="0" w:color="auto"/>
            </w:tcBorders>
            <w:shd w:val="clear" w:color="auto" w:fill="auto"/>
            <w:vAlign w:val="bottom"/>
          </w:tcPr>
          <w:p w:rsidR="00960637" w:rsidRPr="00A75E0B" w:rsidRDefault="00960637" w:rsidP="000013D1">
            <w:pPr>
              <w:autoSpaceDE w:val="0"/>
              <w:autoSpaceDN w:val="0"/>
              <w:adjustRightInd w:val="0"/>
              <w:spacing w:before="80" w:after="80" w:line="160" w:lineRule="exact"/>
              <w:ind w:right="43"/>
              <w:jc w:val="right"/>
              <w:rPr>
                <w:i/>
                <w:sz w:val="14"/>
                <w:szCs w:val="14"/>
              </w:rPr>
            </w:pPr>
            <w:r w:rsidRPr="00A75E0B">
              <w:rPr>
                <w:i/>
                <w:sz w:val="14"/>
                <w:szCs w:val="14"/>
              </w:rPr>
              <w:t>2001</w:t>
            </w:r>
          </w:p>
        </w:tc>
        <w:tc>
          <w:tcPr>
            <w:tcW w:w="2701" w:type="dxa"/>
            <w:tcBorders>
              <w:top w:val="single" w:sz="4" w:space="0" w:color="auto"/>
              <w:bottom w:val="single" w:sz="12" w:space="0" w:color="auto"/>
            </w:tcBorders>
            <w:shd w:val="clear" w:color="auto" w:fill="auto"/>
            <w:vAlign w:val="bottom"/>
          </w:tcPr>
          <w:p w:rsidR="00960637" w:rsidRPr="00A75E0B" w:rsidRDefault="00960637" w:rsidP="007C5C03">
            <w:pPr>
              <w:autoSpaceDE w:val="0"/>
              <w:autoSpaceDN w:val="0"/>
              <w:adjustRightInd w:val="0"/>
              <w:spacing w:before="80" w:after="80" w:line="160" w:lineRule="exact"/>
              <w:jc w:val="right"/>
              <w:rPr>
                <w:i/>
                <w:sz w:val="14"/>
                <w:szCs w:val="14"/>
              </w:rPr>
            </w:pPr>
            <w:r w:rsidRPr="00A75E0B">
              <w:rPr>
                <w:i/>
                <w:sz w:val="14"/>
                <w:szCs w:val="14"/>
              </w:rPr>
              <w:t>2010</w:t>
            </w:r>
          </w:p>
        </w:tc>
      </w:tr>
      <w:tr w:rsidR="00960637" w:rsidRPr="00A75E0B" w:rsidTr="000013D1">
        <w:tc>
          <w:tcPr>
            <w:tcW w:w="2316" w:type="dxa"/>
            <w:tcBorders>
              <w:top w:val="single" w:sz="12" w:space="0" w:color="auto"/>
              <w:bottom w:val="single" w:sz="12" w:space="0" w:color="auto"/>
            </w:tcBorders>
            <w:shd w:val="clear" w:color="auto" w:fill="auto"/>
            <w:vAlign w:val="bottom"/>
          </w:tcPr>
          <w:p w:rsidR="00960637" w:rsidRPr="00A75E0B" w:rsidRDefault="004C3678" w:rsidP="004C3678">
            <w:pPr>
              <w:tabs>
                <w:tab w:val="left" w:pos="288"/>
                <w:tab w:val="left" w:pos="576"/>
                <w:tab w:val="left" w:pos="864"/>
                <w:tab w:val="left" w:pos="1152"/>
              </w:tabs>
              <w:suppressAutoHyphens/>
              <w:spacing w:before="81" w:after="81" w:line="210" w:lineRule="exact"/>
              <w:ind w:right="43"/>
              <w:rPr>
                <w:b/>
                <w:bCs/>
                <w:sz w:val="17"/>
                <w:szCs w:val="17"/>
              </w:rPr>
            </w:pPr>
            <w:r w:rsidRPr="00A75E0B">
              <w:rPr>
                <w:b/>
                <w:bCs/>
                <w:sz w:val="17"/>
                <w:szCs w:val="17"/>
              </w:rPr>
              <w:tab/>
            </w:r>
            <w:r w:rsidR="00960637" w:rsidRPr="00A75E0B">
              <w:rPr>
                <w:b/>
                <w:bCs/>
                <w:sz w:val="17"/>
                <w:szCs w:val="17"/>
              </w:rPr>
              <w:t>Total</w:t>
            </w:r>
          </w:p>
        </w:tc>
        <w:tc>
          <w:tcPr>
            <w:tcW w:w="2527" w:type="dxa"/>
            <w:tcBorders>
              <w:top w:val="single" w:sz="12" w:space="0" w:color="auto"/>
              <w:bottom w:val="single" w:sz="12" w:space="0" w:color="auto"/>
            </w:tcBorders>
            <w:shd w:val="clear" w:color="auto" w:fill="auto"/>
            <w:vAlign w:val="bottom"/>
          </w:tcPr>
          <w:p w:rsidR="00960637" w:rsidRPr="00A75E0B" w:rsidRDefault="00960637" w:rsidP="00960637">
            <w:pPr>
              <w:autoSpaceDE w:val="0"/>
              <w:autoSpaceDN w:val="0"/>
              <w:adjustRightInd w:val="0"/>
              <w:spacing w:before="81" w:after="81" w:line="210" w:lineRule="exact"/>
              <w:ind w:right="43"/>
              <w:jc w:val="right"/>
              <w:rPr>
                <w:b/>
                <w:bCs/>
                <w:sz w:val="17"/>
                <w:szCs w:val="17"/>
              </w:rPr>
            </w:pPr>
            <w:r w:rsidRPr="00A75E0B">
              <w:rPr>
                <w:b/>
                <w:bCs/>
                <w:sz w:val="17"/>
                <w:szCs w:val="17"/>
              </w:rPr>
              <w:t>3,1</w:t>
            </w:r>
          </w:p>
        </w:tc>
        <w:tc>
          <w:tcPr>
            <w:tcW w:w="2701" w:type="dxa"/>
            <w:tcBorders>
              <w:top w:val="single" w:sz="12" w:space="0" w:color="auto"/>
              <w:bottom w:val="single" w:sz="12" w:space="0" w:color="auto"/>
            </w:tcBorders>
            <w:shd w:val="clear" w:color="auto" w:fill="auto"/>
            <w:vAlign w:val="bottom"/>
          </w:tcPr>
          <w:p w:rsidR="00960637" w:rsidRPr="00A75E0B" w:rsidRDefault="00960637" w:rsidP="007C5C03">
            <w:pPr>
              <w:autoSpaceDE w:val="0"/>
              <w:autoSpaceDN w:val="0"/>
              <w:adjustRightInd w:val="0"/>
              <w:spacing w:before="81" w:after="81" w:line="210" w:lineRule="exact"/>
              <w:jc w:val="right"/>
              <w:rPr>
                <w:b/>
                <w:bCs/>
                <w:sz w:val="17"/>
                <w:szCs w:val="17"/>
              </w:rPr>
            </w:pPr>
            <w:r w:rsidRPr="00A75E0B">
              <w:rPr>
                <w:b/>
                <w:bCs/>
                <w:sz w:val="17"/>
                <w:szCs w:val="17"/>
              </w:rPr>
              <w:t>2,9</w:t>
            </w:r>
          </w:p>
        </w:tc>
      </w:tr>
    </w:tbl>
    <w:p w:rsidR="00960637" w:rsidRPr="00A75E0B" w:rsidRDefault="00960637" w:rsidP="002A4632">
      <w:pPr>
        <w:pStyle w:val="SingleTxt"/>
        <w:spacing w:after="0" w:line="120" w:lineRule="exact"/>
        <w:rPr>
          <w:sz w:val="10"/>
        </w:rPr>
      </w:pPr>
    </w:p>
    <w:p w:rsidR="002A4632" w:rsidRPr="00A75E0B" w:rsidRDefault="00F20C65" w:rsidP="00F20C65">
      <w:pPr>
        <w:pStyle w:val="FootnoteText"/>
        <w:tabs>
          <w:tab w:val="right" w:pos="1476"/>
          <w:tab w:val="left" w:pos="1548"/>
          <w:tab w:val="right" w:pos="1836"/>
          <w:tab w:val="left" w:pos="1908"/>
        </w:tabs>
        <w:ind w:left="1548" w:right="1267" w:hanging="288"/>
      </w:pPr>
      <w:r w:rsidRPr="00A75E0B">
        <w:rPr>
          <w:i/>
          <w:iCs/>
        </w:rPr>
        <w:t>Note </w:t>
      </w:r>
      <w:r w:rsidRPr="00A75E0B">
        <w:t>: La descendance finale (parité finale) est calculée chez les femmes âgées de 45 à 49 ans, parvenues à la fin de leur vie féconde.</w:t>
      </w:r>
    </w:p>
    <w:p w:rsidR="00F20C65" w:rsidRPr="00A75E0B" w:rsidRDefault="00F20C65" w:rsidP="00F20C65">
      <w:pPr>
        <w:pStyle w:val="FootnoteText"/>
        <w:tabs>
          <w:tab w:val="right" w:pos="1476"/>
          <w:tab w:val="left" w:pos="1548"/>
          <w:tab w:val="right" w:pos="1836"/>
          <w:tab w:val="left" w:pos="1908"/>
        </w:tabs>
        <w:ind w:left="1548" w:hanging="288"/>
      </w:pPr>
      <w:r w:rsidRPr="00A75E0B">
        <w:rPr>
          <w:i/>
          <w:iCs/>
        </w:rPr>
        <w:t>Source </w:t>
      </w:r>
      <w:r w:rsidRPr="00A75E0B">
        <w:t>: INDEC. Recensement national de la population, des ménages et du logement, 1991 et 2010.</w:t>
      </w:r>
    </w:p>
    <w:p w:rsidR="00F20C65" w:rsidRPr="00A75E0B" w:rsidRDefault="00F20C65" w:rsidP="00F20C65">
      <w:pPr>
        <w:pStyle w:val="FootnoteText"/>
        <w:tabs>
          <w:tab w:val="right" w:pos="1476"/>
          <w:tab w:val="left" w:pos="1548"/>
          <w:tab w:val="right" w:pos="1836"/>
          <w:tab w:val="left" w:pos="1908"/>
        </w:tabs>
        <w:spacing w:line="120" w:lineRule="exact"/>
        <w:ind w:left="1548" w:hanging="288"/>
        <w:rPr>
          <w:sz w:val="10"/>
        </w:rPr>
      </w:pPr>
    </w:p>
    <w:p w:rsidR="00F20C65" w:rsidRPr="00A75E0B" w:rsidRDefault="00F20C65" w:rsidP="00F20C65">
      <w:pPr>
        <w:pStyle w:val="FootnoteText"/>
        <w:tabs>
          <w:tab w:val="right" w:pos="1476"/>
          <w:tab w:val="left" w:pos="1548"/>
          <w:tab w:val="right" w:pos="1836"/>
          <w:tab w:val="left" w:pos="1908"/>
        </w:tabs>
        <w:spacing w:line="120" w:lineRule="exact"/>
        <w:ind w:left="1548" w:hanging="288"/>
        <w:rPr>
          <w:sz w:val="10"/>
        </w:rPr>
      </w:pPr>
    </w:p>
    <w:p w:rsidR="00177DB9" w:rsidRPr="00A75E0B" w:rsidRDefault="00177DB9" w:rsidP="00177DB9">
      <w:pPr>
        <w:pStyle w:val="SingleTxt"/>
        <w:numPr>
          <w:ilvl w:val="0"/>
          <w:numId w:val="8"/>
        </w:numPr>
        <w:tabs>
          <w:tab w:val="clear" w:pos="475"/>
          <w:tab w:val="num" w:pos="1742"/>
        </w:tabs>
        <w:ind w:left="1267"/>
      </w:pPr>
      <w:r w:rsidRPr="00A75E0B">
        <w:t>La parité finale est une mesure de la fécondité. Elle est définie comme le rapport entre le nombre d</w:t>
      </w:r>
      <w:r w:rsidR="00FD740F">
        <w:t>’</w:t>
      </w:r>
      <w:r w:rsidRPr="00A75E0B">
        <w:t>enfants vivants nés des femmes âgées de 45 à 49 ans lorsqu</w:t>
      </w:r>
      <w:r w:rsidR="00FD740F">
        <w:t>’</w:t>
      </w:r>
      <w:r w:rsidRPr="00A75E0B">
        <w:t>elles étaient en âge de procréer (fécondité rétrospective) et le nombre total de femmes recensées dans ce groupe d</w:t>
      </w:r>
      <w:r w:rsidR="00FD740F">
        <w:t>’</w:t>
      </w:r>
      <w:r w:rsidRPr="00A75E0B">
        <w:t>âge.</w:t>
      </w:r>
    </w:p>
    <w:p w:rsidR="00177DB9" w:rsidRPr="00A75E0B" w:rsidRDefault="00177DB9" w:rsidP="00177DB9">
      <w:pPr>
        <w:pStyle w:val="SingleTxt"/>
        <w:numPr>
          <w:ilvl w:val="0"/>
          <w:numId w:val="8"/>
        </w:numPr>
        <w:tabs>
          <w:tab w:val="clear" w:pos="475"/>
          <w:tab w:val="num" w:pos="1742"/>
        </w:tabs>
        <w:ind w:left="1267"/>
      </w:pPr>
      <w:r w:rsidRPr="00A75E0B">
        <w:t xml:space="preserve">La descendance finale a baissé dans tout le pays et est passée de 3,1 enfants par femme en 2001 à 2,9 enfants par femme en 2010, ce qui montre une diminution de la fécondité au cours de la dernière décennie. Cette valeur atteint son niveau le plus bas dans la ville autonome de Buenos Aires, où elle était de 1,9 enfant par femme en 2010. Le taux relevé lors du recensement de 2001 demeure donc quasiment inchangé </w:t>
      </w:r>
      <w:r w:rsidRPr="00A75E0B">
        <w:lastRenderedPageBreak/>
        <w:t>(2</w:t>
      </w:r>
      <w:r w:rsidR="00204AF1">
        <w:t> </w:t>
      </w:r>
      <w:r w:rsidRPr="00A75E0B">
        <w:t>enfants par femme) et reste parmi l</w:t>
      </w:r>
      <w:r w:rsidR="00FD740F">
        <w:t>’</w:t>
      </w:r>
      <w:r w:rsidRPr="00A75E0B">
        <w:t>un des plus bas du pays. Les autres provinces se répartissent en deux catégories : celles où la valeur oscille entre deux et trois enfants par femme (quatre provinces) et celles où elle est supérieure à trois enfants par femme (19 provinces). Font partie de la première catégorie, la province de Terre de Feu, Antarctique et Îles de l</w:t>
      </w:r>
      <w:r w:rsidR="00FD740F">
        <w:t>’</w:t>
      </w:r>
      <w:r w:rsidRPr="00A75E0B">
        <w:t>Atlantique Sud, la province de Buenos Aires et les provinces de Córdoba et de Santa Fe; les provinces entrant dans la seconde catégorie sont celles de Misiones, de Santiago del Estero, de Chaco, de Formosa et de Salta.</w:t>
      </w:r>
    </w:p>
    <w:p w:rsidR="00177DB9" w:rsidRPr="00A75E0B" w:rsidRDefault="00177DB9" w:rsidP="00177DB9">
      <w:pPr>
        <w:pStyle w:val="SingleTxt"/>
        <w:numPr>
          <w:ilvl w:val="0"/>
          <w:numId w:val="8"/>
        </w:numPr>
        <w:tabs>
          <w:tab w:val="clear" w:pos="475"/>
          <w:tab w:val="num" w:pos="1742"/>
        </w:tabs>
        <w:ind w:left="1267"/>
      </w:pPr>
      <w:r w:rsidRPr="00A75E0B">
        <w:t>Il convient de signaler que selon les données issues du recensement de 2010, aucune province n</w:t>
      </w:r>
      <w:r w:rsidR="00FD740F">
        <w:t>’</w:t>
      </w:r>
      <w:r w:rsidRPr="00A75E0B">
        <w:t xml:space="preserve">a un taux de fécondité égal ou supérieur à quatre enfants par femme, alors que lors du recensement de 2001, </w:t>
      </w:r>
      <w:r w:rsidR="00413038" w:rsidRPr="00A75E0B">
        <w:t xml:space="preserve">ce taux avait été relevé dans cinq provinces : </w:t>
      </w:r>
      <w:r w:rsidRPr="00A75E0B">
        <w:t xml:space="preserve">Formosa, Jujuy, Misiones, </w:t>
      </w:r>
      <w:r w:rsidR="00413038" w:rsidRPr="00A75E0B">
        <w:t>Salta et</w:t>
      </w:r>
      <w:r w:rsidRPr="00A75E0B">
        <w:t xml:space="preserve"> Santiago del Estero.</w:t>
      </w:r>
    </w:p>
    <w:p w:rsidR="00177DB9" w:rsidRPr="00A75E0B" w:rsidRDefault="00177DB9" w:rsidP="00177DB9">
      <w:pPr>
        <w:pStyle w:val="SingleTxt"/>
        <w:numPr>
          <w:ilvl w:val="0"/>
          <w:numId w:val="8"/>
        </w:numPr>
        <w:tabs>
          <w:tab w:val="clear" w:pos="475"/>
          <w:tab w:val="num" w:pos="1742"/>
        </w:tabs>
        <w:ind w:left="1267"/>
      </w:pPr>
      <w:r w:rsidRPr="00A75E0B">
        <w:t>Il ressort du recensement de 2010 que le nombre moyen d</w:t>
      </w:r>
      <w:r w:rsidR="00FD740F">
        <w:t>’</w:t>
      </w:r>
      <w:r w:rsidRPr="00A75E0B">
        <w:t>enfants par femme a diminué dans le groupe d</w:t>
      </w:r>
      <w:r w:rsidR="00FD740F">
        <w:t>’</w:t>
      </w:r>
      <w:r w:rsidRPr="00A75E0B">
        <w:t>âge 25</w:t>
      </w:r>
      <w:r w:rsidR="00413038" w:rsidRPr="00A75E0B">
        <w:t>-</w:t>
      </w:r>
      <w:r w:rsidRPr="00A75E0B">
        <w:t>29 ans jusqu</w:t>
      </w:r>
      <w:r w:rsidR="00FD740F">
        <w:t>’</w:t>
      </w:r>
      <w:r w:rsidRPr="00A75E0B">
        <w:t>à la fin de la vie féconde (45</w:t>
      </w:r>
      <w:r w:rsidR="00413038" w:rsidRPr="00A75E0B">
        <w:t xml:space="preserve"> à </w:t>
      </w:r>
      <w:r w:rsidRPr="00A75E0B">
        <w:t>49</w:t>
      </w:r>
      <w:r w:rsidR="00413038" w:rsidRPr="00A75E0B">
        <w:t> </w:t>
      </w:r>
      <w:r w:rsidRPr="00A75E0B">
        <w:t>ans). À partir de 50</w:t>
      </w:r>
      <w:r w:rsidR="00413038" w:rsidRPr="00A75E0B">
        <w:t> </w:t>
      </w:r>
      <w:r w:rsidRPr="00A75E0B">
        <w:t>ans, les valeurs du recensement de 2010 sont similaires à celles enregistrées la décennie précédente.</w:t>
      </w:r>
    </w:p>
    <w:p w:rsidR="00413038" w:rsidRPr="00A75E0B" w:rsidRDefault="00413038" w:rsidP="00413038">
      <w:pPr>
        <w:pStyle w:val="SingleTxt"/>
        <w:tabs>
          <w:tab w:val="clear" w:pos="1742"/>
        </w:tabs>
        <w:spacing w:after="0" w:line="120" w:lineRule="exact"/>
        <w:rPr>
          <w:sz w:val="10"/>
        </w:rPr>
      </w:pPr>
    </w:p>
    <w:p w:rsidR="00177DB9" w:rsidRPr="00A75E0B" w:rsidRDefault="00413038" w:rsidP="004130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r>
      <w:r w:rsidR="00177DB9" w:rsidRPr="00A75E0B">
        <w:t>Répartition de la population par appartenance ethnique</w:t>
      </w:r>
    </w:p>
    <w:p w:rsidR="00177DB9" w:rsidRPr="00A75E0B" w:rsidRDefault="00177DB9" w:rsidP="00413038">
      <w:pPr>
        <w:pStyle w:val="FootnoteText"/>
        <w:tabs>
          <w:tab w:val="right" w:pos="1476"/>
          <w:tab w:val="left" w:pos="1548"/>
          <w:tab w:val="right" w:pos="1836"/>
          <w:tab w:val="left" w:pos="1908"/>
        </w:tabs>
        <w:spacing w:line="120" w:lineRule="exact"/>
        <w:ind w:left="1548" w:hanging="288"/>
        <w:rPr>
          <w:sz w:val="10"/>
        </w:rPr>
      </w:pPr>
    </w:p>
    <w:p w:rsidR="00177DB9" w:rsidRPr="00A75E0B" w:rsidRDefault="00413038" w:rsidP="0041303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r>
      <w:r w:rsidR="00177DB9" w:rsidRPr="00A75E0B">
        <w:t>Population autochtone</w:t>
      </w:r>
    </w:p>
    <w:p w:rsidR="00413038" w:rsidRPr="00A75E0B" w:rsidRDefault="00413038" w:rsidP="00413038">
      <w:pPr>
        <w:pStyle w:val="SingleTxt"/>
        <w:spacing w:after="0" w:line="120" w:lineRule="exact"/>
        <w:rPr>
          <w:sz w:val="10"/>
        </w:rPr>
      </w:pPr>
    </w:p>
    <w:p w:rsidR="00177DB9" w:rsidRPr="00A75E0B" w:rsidRDefault="00177DB9" w:rsidP="00177DB9">
      <w:pPr>
        <w:pStyle w:val="SingleTxt"/>
        <w:numPr>
          <w:ilvl w:val="0"/>
          <w:numId w:val="8"/>
        </w:numPr>
        <w:tabs>
          <w:tab w:val="clear" w:pos="475"/>
          <w:tab w:val="num" w:pos="1742"/>
        </w:tabs>
        <w:ind w:left="1267"/>
      </w:pPr>
      <w:r w:rsidRPr="00A75E0B">
        <w:t>On dénombre 955</w:t>
      </w:r>
      <w:r w:rsidR="00413038" w:rsidRPr="00A75E0B">
        <w:t> </w:t>
      </w:r>
      <w:r w:rsidRPr="00A75E0B">
        <w:t>032 personnes qui se déclarent autochtones, soit 2,4</w:t>
      </w:r>
      <w:r w:rsidR="00413038" w:rsidRPr="00A75E0B">
        <w:t> </w:t>
      </w:r>
      <w:r w:rsidRPr="00A75E0B">
        <w:t>% de la population totale.</w:t>
      </w:r>
    </w:p>
    <w:p w:rsidR="00F20C65" w:rsidRPr="00A75E0B" w:rsidRDefault="00413038" w:rsidP="00177DB9">
      <w:pPr>
        <w:pStyle w:val="SingleTxt"/>
        <w:numPr>
          <w:ilvl w:val="0"/>
          <w:numId w:val="8"/>
        </w:numPr>
        <w:tabs>
          <w:tab w:val="clear" w:pos="475"/>
          <w:tab w:val="num" w:pos="1742"/>
        </w:tabs>
        <w:ind w:left="1267"/>
      </w:pPr>
      <w:r w:rsidRPr="00A75E0B">
        <w:t>Sur ce nombre</w:t>
      </w:r>
      <w:r w:rsidR="00177DB9" w:rsidRPr="00A75E0B">
        <w:t>, 481</w:t>
      </w:r>
      <w:r w:rsidRPr="00A75E0B">
        <w:t> </w:t>
      </w:r>
      <w:r w:rsidR="00177DB9" w:rsidRPr="00A75E0B">
        <w:t xml:space="preserve">074 </w:t>
      </w:r>
      <w:r w:rsidRPr="00A75E0B">
        <w:t xml:space="preserve">personnes </w:t>
      </w:r>
      <w:r w:rsidR="00177DB9" w:rsidRPr="00A75E0B">
        <w:t>sont des hommes et 473</w:t>
      </w:r>
      <w:r w:rsidRPr="00A75E0B">
        <w:t> </w:t>
      </w:r>
      <w:r w:rsidR="00177DB9" w:rsidRPr="00A75E0B">
        <w:t>958 des femmes. Ces chiffres sont importants car leur comparaison avec ceux de la population totale montre une inversion de la proportion d</w:t>
      </w:r>
      <w:r w:rsidR="00FD740F">
        <w:t>’</w:t>
      </w:r>
      <w:r w:rsidR="00177DB9" w:rsidRPr="00A75E0B">
        <w:t>hommes et de femmes</w:t>
      </w:r>
      <w:r w:rsidRPr="00A75E0B">
        <w:t> </w:t>
      </w:r>
      <w:r w:rsidR="00177DB9" w:rsidRPr="00A75E0B">
        <w:t xml:space="preserve">: tandis que la population argentine </w:t>
      </w:r>
      <w:r w:rsidRPr="00A75E0B">
        <w:t xml:space="preserve">totale </w:t>
      </w:r>
      <w:r w:rsidR="00177DB9" w:rsidRPr="00A75E0B">
        <w:t>est composée de 48,7</w:t>
      </w:r>
      <w:r w:rsidRPr="00A75E0B">
        <w:t> </w:t>
      </w:r>
      <w:r w:rsidR="00177DB9" w:rsidRPr="00A75E0B">
        <w:t>% d</w:t>
      </w:r>
      <w:r w:rsidR="00FD740F">
        <w:t>’</w:t>
      </w:r>
      <w:r w:rsidR="00177DB9" w:rsidRPr="00A75E0B">
        <w:t>hommes et de 51,3</w:t>
      </w:r>
      <w:r w:rsidRPr="00A75E0B">
        <w:t> </w:t>
      </w:r>
      <w:r w:rsidR="00177DB9" w:rsidRPr="00A75E0B">
        <w:t>% de femmes, la population autochtone est composée de 50,4</w:t>
      </w:r>
      <w:r w:rsidRPr="00A75E0B">
        <w:t> </w:t>
      </w:r>
      <w:r w:rsidR="00177DB9" w:rsidRPr="00A75E0B">
        <w:t>% d</w:t>
      </w:r>
      <w:r w:rsidR="00FD740F">
        <w:t>’</w:t>
      </w:r>
      <w:r w:rsidR="00177DB9" w:rsidRPr="00A75E0B">
        <w:t>hommes et de 49,6</w:t>
      </w:r>
      <w:r w:rsidRPr="00A75E0B">
        <w:t> </w:t>
      </w:r>
      <w:r w:rsidR="00177DB9" w:rsidRPr="00A75E0B">
        <w:t>% de femmes.</w:t>
      </w:r>
    </w:p>
    <w:p w:rsidR="00B12DD9" w:rsidRPr="00A75E0B" w:rsidRDefault="00B12DD9" w:rsidP="00B12DD9">
      <w:pPr>
        <w:pStyle w:val="SingleTxt"/>
        <w:spacing w:after="0" w:line="120" w:lineRule="exact"/>
        <w:rPr>
          <w:sz w:val="10"/>
        </w:rPr>
      </w:pPr>
    </w:p>
    <w:p w:rsidR="00B12DD9" w:rsidRPr="00A75E0B" w:rsidRDefault="00B12DD9" w:rsidP="00B12D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r>
      <w:r w:rsidRPr="00A75E0B">
        <w:rPr>
          <w:b w:val="0"/>
        </w:rPr>
        <w:t xml:space="preserve">Tableau 6 </w:t>
      </w:r>
      <w:r w:rsidRPr="00A75E0B">
        <w:rPr>
          <w:b w:val="0"/>
        </w:rPr>
        <w:br/>
      </w:r>
      <w:r w:rsidR="006132C7" w:rsidRPr="00A75E0B">
        <w:t>Nombre total d</w:t>
      </w:r>
      <w:r w:rsidR="00FD740F">
        <w:t>’</w:t>
      </w:r>
      <w:r w:rsidR="006132C7" w:rsidRPr="00A75E0B">
        <w:t xml:space="preserve">autochtones ou de descendants de peuples autochtones vivant </w:t>
      </w:r>
      <w:r w:rsidR="006132C7" w:rsidRPr="00A75E0B">
        <w:br/>
        <w:t>dans des habitations privées, par sexe et par grands groupes d</w:t>
      </w:r>
      <w:r w:rsidR="00FD740F">
        <w:t>’</w:t>
      </w:r>
      <w:r w:rsidR="006132C7" w:rsidRPr="00A75E0B">
        <w:t>âge, 2010</w:t>
      </w:r>
    </w:p>
    <w:p w:rsidR="00B12DD9" w:rsidRPr="00A75E0B" w:rsidRDefault="00B12DD9" w:rsidP="00B12DD9">
      <w:pPr>
        <w:pStyle w:val="SingleTxt"/>
        <w:spacing w:after="0" w:line="120" w:lineRule="exact"/>
        <w:rPr>
          <w:sz w:val="10"/>
        </w:rPr>
      </w:pPr>
    </w:p>
    <w:p w:rsidR="00B12DD9" w:rsidRPr="00A75E0B" w:rsidRDefault="00B12DD9" w:rsidP="00B12DD9">
      <w:pPr>
        <w:pStyle w:val="SingleTxt"/>
        <w:spacing w:after="0" w:line="120" w:lineRule="exact"/>
        <w:rPr>
          <w:sz w:val="10"/>
        </w:rPr>
      </w:pPr>
    </w:p>
    <w:tbl>
      <w:tblPr>
        <w:tblW w:w="0" w:type="auto"/>
        <w:tblInd w:w="126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701"/>
        <w:gridCol w:w="1874"/>
        <w:gridCol w:w="1656"/>
      </w:tblGrid>
      <w:tr w:rsidR="006132C7" w:rsidRPr="00A75E0B" w:rsidTr="006132C7">
        <w:trPr>
          <w:trHeight w:val="240"/>
          <w:tblHeader/>
        </w:trPr>
        <w:tc>
          <w:tcPr>
            <w:tcW w:w="2268" w:type="dxa"/>
            <w:vMerge w:val="restart"/>
            <w:tcBorders>
              <w:top w:val="single" w:sz="4" w:space="0" w:color="auto"/>
            </w:tcBorders>
            <w:shd w:val="clear" w:color="auto" w:fill="auto"/>
            <w:vAlign w:val="bottom"/>
          </w:tcPr>
          <w:p w:rsidR="006132C7" w:rsidRPr="00A75E0B" w:rsidRDefault="001A4A8B" w:rsidP="006132C7">
            <w:pPr>
              <w:spacing w:before="80" w:after="80" w:line="160" w:lineRule="exact"/>
              <w:ind w:right="43"/>
              <w:rPr>
                <w:i/>
                <w:sz w:val="14"/>
                <w:szCs w:val="14"/>
              </w:rPr>
            </w:pPr>
            <w:r w:rsidRPr="00A75E0B">
              <w:rPr>
                <w:i/>
                <w:sz w:val="14"/>
                <w:szCs w:val="14"/>
              </w:rPr>
              <w:t>Groupe d</w:t>
            </w:r>
            <w:r w:rsidR="00FD740F">
              <w:rPr>
                <w:i/>
                <w:sz w:val="14"/>
                <w:szCs w:val="14"/>
              </w:rPr>
              <w:t>’</w:t>
            </w:r>
            <w:r w:rsidRPr="00A75E0B">
              <w:rPr>
                <w:i/>
                <w:sz w:val="14"/>
                <w:szCs w:val="14"/>
              </w:rPr>
              <w:t>âge</w:t>
            </w:r>
          </w:p>
        </w:tc>
        <w:tc>
          <w:tcPr>
            <w:tcW w:w="5231" w:type="dxa"/>
            <w:gridSpan w:val="3"/>
            <w:tcBorders>
              <w:top w:val="single" w:sz="4" w:space="0" w:color="auto"/>
              <w:bottom w:val="single" w:sz="4" w:space="0" w:color="auto"/>
            </w:tcBorders>
            <w:shd w:val="clear" w:color="auto" w:fill="auto"/>
            <w:vAlign w:val="bottom"/>
          </w:tcPr>
          <w:p w:rsidR="006132C7" w:rsidRPr="00A75E0B" w:rsidRDefault="006132C7" w:rsidP="006132C7">
            <w:pPr>
              <w:spacing w:before="80" w:after="80" w:line="160" w:lineRule="exact"/>
              <w:ind w:right="43"/>
              <w:jc w:val="center"/>
              <w:rPr>
                <w:i/>
                <w:sz w:val="14"/>
                <w:szCs w:val="14"/>
              </w:rPr>
            </w:pPr>
            <w:r w:rsidRPr="00A75E0B">
              <w:rPr>
                <w:i/>
                <w:sz w:val="14"/>
                <w:szCs w:val="14"/>
              </w:rPr>
              <w:t>Autochtones ou descendants de peuples autochtones</w:t>
            </w:r>
          </w:p>
        </w:tc>
      </w:tr>
      <w:tr w:rsidR="006132C7" w:rsidRPr="00A75E0B" w:rsidTr="00E05EF6">
        <w:trPr>
          <w:trHeight w:val="240"/>
        </w:trPr>
        <w:tc>
          <w:tcPr>
            <w:tcW w:w="2268" w:type="dxa"/>
            <w:vMerge/>
            <w:tcBorders>
              <w:bottom w:val="single" w:sz="12" w:space="0" w:color="auto"/>
            </w:tcBorders>
            <w:shd w:val="clear" w:color="auto" w:fill="auto"/>
          </w:tcPr>
          <w:p w:rsidR="006132C7" w:rsidRPr="00A75E0B" w:rsidRDefault="006132C7" w:rsidP="006132C7">
            <w:pPr>
              <w:spacing w:before="80" w:after="80" w:line="160" w:lineRule="exact"/>
              <w:ind w:right="43"/>
              <w:rPr>
                <w:i/>
                <w:sz w:val="14"/>
                <w:szCs w:val="14"/>
              </w:rPr>
            </w:pPr>
          </w:p>
        </w:tc>
        <w:tc>
          <w:tcPr>
            <w:tcW w:w="1701" w:type="dxa"/>
            <w:tcBorders>
              <w:top w:val="single" w:sz="4" w:space="0" w:color="auto"/>
              <w:bottom w:val="single" w:sz="12" w:space="0" w:color="auto"/>
            </w:tcBorders>
            <w:shd w:val="clear" w:color="auto" w:fill="auto"/>
            <w:vAlign w:val="bottom"/>
          </w:tcPr>
          <w:p w:rsidR="006132C7" w:rsidRPr="00A75E0B" w:rsidRDefault="006132C7" w:rsidP="006132C7">
            <w:pPr>
              <w:spacing w:before="80" w:after="80" w:line="160" w:lineRule="exact"/>
              <w:ind w:right="43"/>
              <w:jc w:val="right"/>
              <w:rPr>
                <w:b/>
                <w:bCs/>
                <w:i/>
                <w:sz w:val="14"/>
                <w:szCs w:val="14"/>
              </w:rPr>
            </w:pPr>
            <w:r w:rsidRPr="00A75E0B">
              <w:rPr>
                <w:b/>
                <w:bCs/>
                <w:i/>
                <w:sz w:val="14"/>
                <w:szCs w:val="14"/>
              </w:rPr>
              <w:t>Total</w:t>
            </w:r>
          </w:p>
        </w:tc>
        <w:tc>
          <w:tcPr>
            <w:tcW w:w="1874" w:type="dxa"/>
            <w:tcBorders>
              <w:top w:val="single" w:sz="4" w:space="0" w:color="auto"/>
              <w:bottom w:val="single" w:sz="12" w:space="0" w:color="auto"/>
            </w:tcBorders>
            <w:shd w:val="clear" w:color="auto" w:fill="auto"/>
            <w:vAlign w:val="bottom"/>
          </w:tcPr>
          <w:p w:rsidR="006132C7" w:rsidRPr="00A75E0B" w:rsidRDefault="00927DC6" w:rsidP="006132C7">
            <w:pPr>
              <w:spacing w:before="80" w:after="80" w:line="160" w:lineRule="exact"/>
              <w:ind w:right="43"/>
              <w:jc w:val="right"/>
              <w:rPr>
                <w:i/>
                <w:sz w:val="14"/>
                <w:szCs w:val="14"/>
              </w:rPr>
            </w:pPr>
            <w:r w:rsidRPr="00A75E0B">
              <w:rPr>
                <w:i/>
                <w:sz w:val="14"/>
                <w:szCs w:val="14"/>
              </w:rPr>
              <w:t>Hommes</w:t>
            </w:r>
          </w:p>
        </w:tc>
        <w:tc>
          <w:tcPr>
            <w:tcW w:w="1656" w:type="dxa"/>
            <w:tcBorders>
              <w:top w:val="single" w:sz="4" w:space="0" w:color="auto"/>
              <w:bottom w:val="single" w:sz="12" w:space="0" w:color="auto"/>
            </w:tcBorders>
            <w:shd w:val="clear" w:color="auto" w:fill="auto"/>
            <w:vAlign w:val="bottom"/>
          </w:tcPr>
          <w:p w:rsidR="006132C7" w:rsidRPr="00A75E0B" w:rsidRDefault="00927DC6" w:rsidP="00D45C4E">
            <w:pPr>
              <w:spacing w:before="80" w:after="80" w:line="160" w:lineRule="exact"/>
              <w:jc w:val="right"/>
              <w:rPr>
                <w:i/>
                <w:sz w:val="14"/>
                <w:szCs w:val="14"/>
              </w:rPr>
            </w:pPr>
            <w:r w:rsidRPr="00A75E0B">
              <w:rPr>
                <w:i/>
                <w:sz w:val="14"/>
                <w:szCs w:val="14"/>
              </w:rPr>
              <w:t>Femmes</w:t>
            </w:r>
          </w:p>
        </w:tc>
      </w:tr>
      <w:tr w:rsidR="006132C7" w:rsidRPr="00A75E0B" w:rsidTr="00E05EF6">
        <w:trPr>
          <w:trHeight w:val="240"/>
        </w:trPr>
        <w:tc>
          <w:tcPr>
            <w:tcW w:w="2268" w:type="dxa"/>
            <w:tcBorders>
              <w:top w:val="single" w:sz="12" w:space="0" w:color="auto"/>
              <w:bottom w:val="nil"/>
            </w:tcBorders>
            <w:shd w:val="clear" w:color="auto" w:fill="auto"/>
          </w:tcPr>
          <w:p w:rsidR="006132C7" w:rsidRPr="00A75E0B" w:rsidRDefault="001A4A8B" w:rsidP="001A4A8B">
            <w:pPr>
              <w:spacing w:before="40" w:after="40" w:line="210" w:lineRule="exact"/>
              <w:ind w:right="43"/>
              <w:rPr>
                <w:sz w:val="18"/>
              </w:rPr>
            </w:pPr>
            <w:r w:rsidRPr="00A75E0B">
              <w:rPr>
                <w:sz w:val="18"/>
              </w:rPr>
              <w:t>0-</w:t>
            </w:r>
            <w:r w:rsidR="006132C7" w:rsidRPr="00A75E0B">
              <w:rPr>
                <w:sz w:val="18"/>
              </w:rPr>
              <w:t>14</w:t>
            </w:r>
          </w:p>
        </w:tc>
        <w:tc>
          <w:tcPr>
            <w:tcW w:w="1701" w:type="dxa"/>
            <w:tcBorders>
              <w:top w:val="single" w:sz="12" w:space="0" w:color="auto"/>
              <w:bottom w:val="nil"/>
            </w:tcBorders>
            <w:shd w:val="clear" w:color="auto" w:fill="auto"/>
            <w:vAlign w:val="bottom"/>
          </w:tcPr>
          <w:p w:rsidR="006132C7" w:rsidRPr="00A75E0B" w:rsidRDefault="006132C7" w:rsidP="001A4A8B">
            <w:pPr>
              <w:spacing w:before="40" w:after="40" w:line="210" w:lineRule="exact"/>
              <w:ind w:right="43"/>
              <w:jc w:val="right"/>
              <w:rPr>
                <w:b/>
                <w:bCs/>
                <w:sz w:val="18"/>
              </w:rPr>
            </w:pPr>
            <w:r w:rsidRPr="00A75E0B">
              <w:rPr>
                <w:b/>
                <w:bCs/>
                <w:sz w:val="18"/>
              </w:rPr>
              <w:t>271</w:t>
            </w:r>
            <w:r w:rsidR="001A4A8B" w:rsidRPr="00A75E0B">
              <w:rPr>
                <w:b/>
                <w:bCs/>
                <w:sz w:val="18"/>
              </w:rPr>
              <w:t xml:space="preserve"> </w:t>
            </w:r>
            <w:r w:rsidRPr="00A75E0B">
              <w:rPr>
                <w:b/>
                <w:bCs/>
                <w:sz w:val="18"/>
              </w:rPr>
              <w:t>286</w:t>
            </w:r>
          </w:p>
        </w:tc>
        <w:tc>
          <w:tcPr>
            <w:tcW w:w="1874" w:type="dxa"/>
            <w:tcBorders>
              <w:top w:val="single" w:sz="12" w:space="0" w:color="auto"/>
              <w:bottom w:val="nil"/>
            </w:tcBorders>
            <w:shd w:val="clear" w:color="auto" w:fill="auto"/>
            <w:vAlign w:val="bottom"/>
          </w:tcPr>
          <w:p w:rsidR="006132C7" w:rsidRPr="00A75E0B" w:rsidRDefault="006132C7" w:rsidP="001A4A8B">
            <w:pPr>
              <w:spacing w:before="40" w:after="40" w:line="210" w:lineRule="exact"/>
              <w:ind w:right="43"/>
              <w:jc w:val="right"/>
              <w:rPr>
                <w:sz w:val="18"/>
              </w:rPr>
            </w:pPr>
            <w:r w:rsidRPr="00A75E0B">
              <w:rPr>
                <w:sz w:val="18"/>
              </w:rPr>
              <w:t>138</w:t>
            </w:r>
            <w:r w:rsidR="001A4A8B" w:rsidRPr="00A75E0B">
              <w:rPr>
                <w:sz w:val="18"/>
              </w:rPr>
              <w:t xml:space="preserve"> </w:t>
            </w:r>
            <w:r w:rsidRPr="00A75E0B">
              <w:rPr>
                <w:sz w:val="18"/>
              </w:rPr>
              <w:t>726</w:t>
            </w:r>
          </w:p>
        </w:tc>
        <w:tc>
          <w:tcPr>
            <w:tcW w:w="1656" w:type="dxa"/>
            <w:tcBorders>
              <w:top w:val="single" w:sz="12" w:space="0" w:color="auto"/>
              <w:bottom w:val="nil"/>
            </w:tcBorders>
            <w:shd w:val="clear" w:color="auto" w:fill="auto"/>
            <w:vAlign w:val="bottom"/>
          </w:tcPr>
          <w:p w:rsidR="006132C7" w:rsidRPr="00A75E0B" w:rsidRDefault="006132C7" w:rsidP="00D45C4E">
            <w:pPr>
              <w:spacing w:before="40" w:after="40" w:line="210" w:lineRule="exact"/>
              <w:jc w:val="right"/>
              <w:rPr>
                <w:sz w:val="18"/>
              </w:rPr>
            </w:pPr>
            <w:r w:rsidRPr="00A75E0B">
              <w:rPr>
                <w:sz w:val="18"/>
              </w:rPr>
              <w:t>132</w:t>
            </w:r>
            <w:r w:rsidR="001A4A8B" w:rsidRPr="00A75E0B">
              <w:rPr>
                <w:sz w:val="18"/>
              </w:rPr>
              <w:t xml:space="preserve"> </w:t>
            </w:r>
            <w:r w:rsidRPr="00A75E0B">
              <w:rPr>
                <w:sz w:val="18"/>
              </w:rPr>
              <w:t>560</w:t>
            </w:r>
          </w:p>
        </w:tc>
      </w:tr>
      <w:tr w:rsidR="006132C7" w:rsidRPr="00A75E0B" w:rsidTr="00E05EF6">
        <w:trPr>
          <w:trHeight w:val="240"/>
        </w:trPr>
        <w:tc>
          <w:tcPr>
            <w:tcW w:w="2268" w:type="dxa"/>
            <w:tcBorders>
              <w:top w:val="nil"/>
            </w:tcBorders>
            <w:shd w:val="clear" w:color="auto" w:fill="auto"/>
          </w:tcPr>
          <w:p w:rsidR="006132C7" w:rsidRPr="00A75E0B" w:rsidRDefault="006132C7" w:rsidP="001A4A8B">
            <w:pPr>
              <w:spacing w:before="40" w:after="40" w:line="210" w:lineRule="exact"/>
              <w:ind w:right="43"/>
              <w:rPr>
                <w:sz w:val="18"/>
              </w:rPr>
            </w:pPr>
            <w:r w:rsidRPr="00A75E0B">
              <w:rPr>
                <w:sz w:val="18"/>
              </w:rPr>
              <w:t>15</w:t>
            </w:r>
            <w:r w:rsidR="001A4A8B" w:rsidRPr="00A75E0B">
              <w:rPr>
                <w:sz w:val="18"/>
              </w:rPr>
              <w:t>-</w:t>
            </w:r>
            <w:r w:rsidRPr="00A75E0B">
              <w:rPr>
                <w:sz w:val="18"/>
              </w:rPr>
              <w:t>64</w:t>
            </w:r>
          </w:p>
        </w:tc>
        <w:tc>
          <w:tcPr>
            <w:tcW w:w="1701" w:type="dxa"/>
            <w:tcBorders>
              <w:top w:val="nil"/>
            </w:tcBorders>
            <w:shd w:val="clear" w:color="auto" w:fill="auto"/>
            <w:vAlign w:val="bottom"/>
          </w:tcPr>
          <w:p w:rsidR="006132C7" w:rsidRPr="00A75E0B" w:rsidRDefault="006132C7" w:rsidP="001A4A8B">
            <w:pPr>
              <w:spacing w:before="40" w:after="40" w:line="210" w:lineRule="exact"/>
              <w:ind w:right="43"/>
              <w:jc w:val="right"/>
              <w:rPr>
                <w:b/>
                <w:bCs/>
                <w:sz w:val="18"/>
              </w:rPr>
            </w:pPr>
            <w:r w:rsidRPr="00A75E0B">
              <w:rPr>
                <w:b/>
                <w:bCs/>
                <w:sz w:val="18"/>
              </w:rPr>
              <w:t>627</w:t>
            </w:r>
            <w:r w:rsidR="001A4A8B" w:rsidRPr="00A75E0B">
              <w:rPr>
                <w:b/>
                <w:bCs/>
                <w:sz w:val="18"/>
              </w:rPr>
              <w:t xml:space="preserve"> </w:t>
            </w:r>
            <w:r w:rsidRPr="00A75E0B">
              <w:rPr>
                <w:b/>
                <w:bCs/>
                <w:sz w:val="18"/>
              </w:rPr>
              <w:t>725</w:t>
            </w:r>
          </w:p>
        </w:tc>
        <w:tc>
          <w:tcPr>
            <w:tcW w:w="1874" w:type="dxa"/>
            <w:tcBorders>
              <w:top w:val="nil"/>
            </w:tcBorders>
            <w:shd w:val="clear" w:color="auto" w:fill="auto"/>
            <w:vAlign w:val="bottom"/>
          </w:tcPr>
          <w:p w:rsidR="006132C7" w:rsidRPr="00A75E0B" w:rsidRDefault="006132C7" w:rsidP="001A4A8B">
            <w:pPr>
              <w:spacing w:before="40" w:after="40" w:line="210" w:lineRule="exact"/>
              <w:ind w:right="43"/>
              <w:jc w:val="right"/>
              <w:rPr>
                <w:sz w:val="18"/>
              </w:rPr>
            </w:pPr>
            <w:r w:rsidRPr="00A75E0B">
              <w:rPr>
                <w:sz w:val="18"/>
              </w:rPr>
              <w:t>314</w:t>
            </w:r>
            <w:r w:rsidR="001A4A8B" w:rsidRPr="00A75E0B">
              <w:rPr>
                <w:sz w:val="18"/>
              </w:rPr>
              <w:t xml:space="preserve"> </w:t>
            </w:r>
            <w:r w:rsidRPr="00A75E0B">
              <w:rPr>
                <w:sz w:val="18"/>
              </w:rPr>
              <w:t>903</w:t>
            </w:r>
          </w:p>
        </w:tc>
        <w:tc>
          <w:tcPr>
            <w:tcW w:w="1656" w:type="dxa"/>
            <w:tcBorders>
              <w:top w:val="nil"/>
            </w:tcBorders>
            <w:shd w:val="clear" w:color="auto" w:fill="auto"/>
            <w:vAlign w:val="bottom"/>
          </w:tcPr>
          <w:p w:rsidR="006132C7" w:rsidRPr="00A75E0B" w:rsidRDefault="006132C7" w:rsidP="00D45C4E">
            <w:pPr>
              <w:spacing w:before="40" w:after="40" w:line="210" w:lineRule="exact"/>
              <w:jc w:val="right"/>
              <w:rPr>
                <w:sz w:val="18"/>
              </w:rPr>
            </w:pPr>
            <w:r w:rsidRPr="00A75E0B">
              <w:rPr>
                <w:sz w:val="18"/>
              </w:rPr>
              <w:t>312</w:t>
            </w:r>
            <w:r w:rsidR="001A4A8B" w:rsidRPr="00A75E0B">
              <w:rPr>
                <w:sz w:val="18"/>
              </w:rPr>
              <w:t xml:space="preserve"> </w:t>
            </w:r>
            <w:r w:rsidRPr="00A75E0B">
              <w:rPr>
                <w:sz w:val="18"/>
              </w:rPr>
              <w:t>822</w:t>
            </w:r>
          </w:p>
        </w:tc>
      </w:tr>
      <w:tr w:rsidR="006132C7" w:rsidRPr="00A75E0B" w:rsidTr="00E05EF6">
        <w:trPr>
          <w:trHeight w:val="240"/>
        </w:trPr>
        <w:tc>
          <w:tcPr>
            <w:tcW w:w="2268" w:type="dxa"/>
            <w:tcBorders>
              <w:bottom w:val="single" w:sz="4" w:space="0" w:color="auto"/>
            </w:tcBorders>
            <w:shd w:val="clear" w:color="auto" w:fill="auto"/>
          </w:tcPr>
          <w:p w:rsidR="006132C7" w:rsidRPr="00A75E0B" w:rsidRDefault="006132C7" w:rsidP="004C3678">
            <w:pPr>
              <w:spacing w:before="40" w:after="81" w:line="210" w:lineRule="exact"/>
              <w:ind w:right="43"/>
              <w:rPr>
                <w:sz w:val="18"/>
              </w:rPr>
            </w:pPr>
            <w:r w:rsidRPr="00A75E0B">
              <w:rPr>
                <w:sz w:val="18"/>
              </w:rPr>
              <w:t>65</w:t>
            </w:r>
            <w:r w:rsidR="001A4A8B" w:rsidRPr="00A75E0B">
              <w:rPr>
                <w:sz w:val="18"/>
              </w:rPr>
              <w:t xml:space="preserve"> ans et plus</w:t>
            </w:r>
          </w:p>
        </w:tc>
        <w:tc>
          <w:tcPr>
            <w:tcW w:w="1701" w:type="dxa"/>
            <w:tcBorders>
              <w:bottom w:val="single" w:sz="4" w:space="0" w:color="auto"/>
            </w:tcBorders>
            <w:shd w:val="clear" w:color="auto" w:fill="auto"/>
            <w:vAlign w:val="bottom"/>
          </w:tcPr>
          <w:p w:rsidR="006132C7" w:rsidRPr="00A75E0B" w:rsidRDefault="006132C7" w:rsidP="004C3678">
            <w:pPr>
              <w:spacing w:before="40" w:after="81" w:line="210" w:lineRule="exact"/>
              <w:ind w:right="43"/>
              <w:jc w:val="right"/>
              <w:rPr>
                <w:b/>
                <w:bCs/>
                <w:sz w:val="18"/>
              </w:rPr>
            </w:pPr>
            <w:r w:rsidRPr="00A75E0B">
              <w:rPr>
                <w:b/>
                <w:bCs/>
                <w:sz w:val="18"/>
              </w:rPr>
              <w:t>56</w:t>
            </w:r>
            <w:r w:rsidR="001A4A8B" w:rsidRPr="00A75E0B">
              <w:rPr>
                <w:b/>
                <w:bCs/>
                <w:sz w:val="18"/>
              </w:rPr>
              <w:t xml:space="preserve"> </w:t>
            </w:r>
            <w:r w:rsidRPr="00A75E0B">
              <w:rPr>
                <w:b/>
                <w:bCs/>
                <w:sz w:val="18"/>
              </w:rPr>
              <w:t>021</w:t>
            </w:r>
          </w:p>
        </w:tc>
        <w:tc>
          <w:tcPr>
            <w:tcW w:w="1874" w:type="dxa"/>
            <w:tcBorders>
              <w:bottom w:val="single" w:sz="4" w:space="0" w:color="auto"/>
            </w:tcBorders>
            <w:shd w:val="clear" w:color="auto" w:fill="auto"/>
            <w:vAlign w:val="bottom"/>
          </w:tcPr>
          <w:p w:rsidR="006132C7" w:rsidRPr="00A75E0B" w:rsidRDefault="006132C7" w:rsidP="004C3678">
            <w:pPr>
              <w:spacing w:before="40" w:after="81" w:line="210" w:lineRule="exact"/>
              <w:ind w:right="43"/>
              <w:jc w:val="right"/>
              <w:rPr>
                <w:sz w:val="18"/>
              </w:rPr>
            </w:pPr>
            <w:r w:rsidRPr="00A75E0B">
              <w:rPr>
                <w:sz w:val="18"/>
              </w:rPr>
              <w:t>27</w:t>
            </w:r>
            <w:r w:rsidR="001A4A8B" w:rsidRPr="00A75E0B">
              <w:rPr>
                <w:sz w:val="18"/>
              </w:rPr>
              <w:t xml:space="preserve"> </w:t>
            </w:r>
            <w:r w:rsidRPr="00A75E0B">
              <w:rPr>
                <w:sz w:val="18"/>
              </w:rPr>
              <w:t>445</w:t>
            </w:r>
          </w:p>
        </w:tc>
        <w:tc>
          <w:tcPr>
            <w:tcW w:w="1656" w:type="dxa"/>
            <w:tcBorders>
              <w:bottom w:val="single" w:sz="4" w:space="0" w:color="auto"/>
            </w:tcBorders>
            <w:shd w:val="clear" w:color="auto" w:fill="auto"/>
            <w:vAlign w:val="bottom"/>
          </w:tcPr>
          <w:p w:rsidR="006132C7" w:rsidRPr="00A75E0B" w:rsidRDefault="006132C7" w:rsidP="00D45C4E">
            <w:pPr>
              <w:spacing w:before="40" w:after="81" w:line="210" w:lineRule="exact"/>
              <w:jc w:val="right"/>
              <w:rPr>
                <w:sz w:val="18"/>
              </w:rPr>
            </w:pPr>
            <w:r w:rsidRPr="00A75E0B">
              <w:rPr>
                <w:sz w:val="18"/>
              </w:rPr>
              <w:t>28</w:t>
            </w:r>
            <w:r w:rsidR="001A4A8B" w:rsidRPr="00A75E0B">
              <w:rPr>
                <w:sz w:val="18"/>
              </w:rPr>
              <w:t xml:space="preserve"> </w:t>
            </w:r>
            <w:r w:rsidRPr="00A75E0B">
              <w:rPr>
                <w:sz w:val="18"/>
              </w:rPr>
              <w:t>576</w:t>
            </w:r>
          </w:p>
        </w:tc>
      </w:tr>
      <w:tr w:rsidR="006132C7" w:rsidRPr="00A75E0B" w:rsidTr="00E05EF6">
        <w:trPr>
          <w:trHeight w:val="240"/>
        </w:trPr>
        <w:tc>
          <w:tcPr>
            <w:tcW w:w="2268" w:type="dxa"/>
            <w:tcBorders>
              <w:top w:val="single" w:sz="4" w:space="0" w:color="auto"/>
              <w:bottom w:val="single" w:sz="12" w:space="0" w:color="auto"/>
            </w:tcBorders>
            <w:shd w:val="clear" w:color="auto" w:fill="auto"/>
          </w:tcPr>
          <w:p w:rsidR="006132C7" w:rsidRPr="00A75E0B" w:rsidRDefault="004C3678" w:rsidP="004C3678">
            <w:pPr>
              <w:tabs>
                <w:tab w:val="left" w:pos="288"/>
                <w:tab w:val="left" w:pos="576"/>
                <w:tab w:val="left" w:pos="864"/>
                <w:tab w:val="left" w:pos="1152"/>
              </w:tabs>
              <w:suppressAutoHyphens/>
              <w:spacing w:before="81" w:after="81" w:line="210" w:lineRule="exact"/>
              <w:ind w:right="43"/>
              <w:rPr>
                <w:b/>
                <w:bCs/>
                <w:sz w:val="18"/>
              </w:rPr>
            </w:pPr>
            <w:r w:rsidRPr="00A75E0B">
              <w:rPr>
                <w:b/>
                <w:bCs/>
                <w:sz w:val="18"/>
              </w:rPr>
              <w:tab/>
            </w:r>
            <w:r w:rsidR="006132C7" w:rsidRPr="00A75E0B">
              <w:rPr>
                <w:b/>
                <w:bCs/>
                <w:sz w:val="18"/>
              </w:rPr>
              <w:t>Total</w:t>
            </w:r>
          </w:p>
        </w:tc>
        <w:tc>
          <w:tcPr>
            <w:tcW w:w="1701" w:type="dxa"/>
            <w:tcBorders>
              <w:top w:val="single" w:sz="4" w:space="0" w:color="auto"/>
              <w:bottom w:val="single" w:sz="12" w:space="0" w:color="auto"/>
            </w:tcBorders>
            <w:shd w:val="clear" w:color="auto" w:fill="auto"/>
            <w:vAlign w:val="bottom"/>
          </w:tcPr>
          <w:p w:rsidR="006132C7" w:rsidRPr="00A75E0B" w:rsidRDefault="006132C7" w:rsidP="001A4A8B">
            <w:pPr>
              <w:tabs>
                <w:tab w:val="left" w:pos="288"/>
                <w:tab w:val="left" w:pos="576"/>
                <w:tab w:val="left" w:pos="864"/>
                <w:tab w:val="left" w:pos="1152"/>
              </w:tabs>
              <w:suppressAutoHyphens/>
              <w:spacing w:before="81" w:after="81" w:line="210" w:lineRule="exact"/>
              <w:ind w:left="284" w:right="40"/>
              <w:jc w:val="right"/>
              <w:rPr>
                <w:b/>
                <w:bCs/>
                <w:sz w:val="18"/>
              </w:rPr>
            </w:pPr>
            <w:r w:rsidRPr="00A75E0B">
              <w:rPr>
                <w:b/>
                <w:bCs/>
                <w:sz w:val="18"/>
              </w:rPr>
              <w:t>955</w:t>
            </w:r>
            <w:r w:rsidR="001A4A8B" w:rsidRPr="00A75E0B">
              <w:rPr>
                <w:b/>
                <w:bCs/>
                <w:sz w:val="18"/>
              </w:rPr>
              <w:t xml:space="preserve"> </w:t>
            </w:r>
            <w:r w:rsidRPr="00A75E0B">
              <w:rPr>
                <w:b/>
                <w:bCs/>
                <w:sz w:val="17"/>
                <w:szCs w:val="17"/>
              </w:rPr>
              <w:t>032</w:t>
            </w:r>
          </w:p>
        </w:tc>
        <w:tc>
          <w:tcPr>
            <w:tcW w:w="1874" w:type="dxa"/>
            <w:tcBorders>
              <w:top w:val="single" w:sz="4" w:space="0" w:color="auto"/>
              <w:bottom w:val="single" w:sz="12" w:space="0" w:color="auto"/>
            </w:tcBorders>
            <w:shd w:val="clear" w:color="auto" w:fill="auto"/>
            <w:vAlign w:val="bottom"/>
          </w:tcPr>
          <w:p w:rsidR="006132C7" w:rsidRPr="00A75E0B" w:rsidRDefault="006132C7" w:rsidP="001A4A8B">
            <w:pPr>
              <w:tabs>
                <w:tab w:val="left" w:pos="288"/>
                <w:tab w:val="left" w:pos="576"/>
                <w:tab w:val="left" w:pos="864"/>
                <w:tab w:val="left" w:pos="1152"/>
              </w:tabs>
              <w:suppressAutoHyphens/>
              <w:spacing w:before="81" w:after="81" w:line="210" w:lineRule="exact"/>
              <w:ind w:left="284" w:right="40"/>
              <w:jc w:val="right"/>
              <w:rPr>
                <w:b/>
                <w:bCs/>
                <w:sz w:val="18"/>
              </w:rPr>
            </w:pPr>
            <w:r w:rsidRPr="00A75E0B">
              <w:rPr>
                <w:b/>
                <w:bCs/>
                <w:sz w:val="18"/>
              </w:rPr>
              <w:t>481</w:t>
            </w:r>
            <w:r w:rsidR="001A4A8B" w:rsidRPr="00A75E0B">
              <w:rPr>
                <w:b/>
                <w:bCs/>
                <w:sz w:val="18"/>
              </w:rPr>
              <w:t xml:space="preserve"> </w:t>
            </w:r>
            <w:r w:rsidRPr="00A75E0B">
              <w:rPr>
                <w:b/>
                <w:bCs/>
                <w:sz w:val="17"/>
                <w:szCs w:val="17"/>
              </w:rPr>
              <w:t>074</w:t>
            </w:r>
          </w:p>
        </w:tc>
        <w:tc>
          <w:tcPr>
            <w:tcW w:w="1656" w:type="dxa"/>
            <w:tcBorders>
              <w:top w:val="single" w:sz="4" w:space="0" w:color="auto"/>
              <w:bottom w:val="single" w:sz="12" w:space="0" w:color="auto"/>
            </w:tcBorders>
            <w:shd w:val="clear" w:color="auto" w:fill="auto"/>
            <w:vAlign w:val="bottom"/>
          </w:tcPr>
          <w:p w:rsidR="006132C7" w:rsidRPr="00A75E0B" w:rsidRDefault="006132C7" w:rsidP="00D45C4E">
            <w:pPr>
              <w:tabs>
                <w:tab w:val="left" w:pos="288"/>
                <w:tab w:val="left" w:pos="576"/>
                <w:tab w:val="left" w:pos="864"/>
                <w:tab w:val="left" w:pos="1152"/>
              </w:tabs>
              <w:suppressAutoHyphens/>
              <w:spacing w:before="81" w:after="81" w:line="210" w:lineRule="exact"/>
              <w:ind w:left="288"/>
              <w:jc w:val="right"/>
              <w:rPr>
                <w:b/>
                <w:bCs/>
                <w:sz w:val="18"/>
              </w:rPr>
            </w:pPr>
            <w:r w:rsidRPr="00A75E0B">
              <w:rPr>
                <w:b/>
                <w:bCs/>
                <w:sz w:val="17"/>
                <w:szCs w:val="17"/>
              </w:rPr>
              <w:t>473</w:t>
            </w:r>
            <w:r w:rsidR="001A4A8B" w:rsidRPr="00A75E0B">
              <w:rPr>
                <w:b/>
                <w:bCs/>
                <w:sz w:val="18"/>
              </w:rPr>
              <w:t xml:space="preserve"> </w:t>
            </w:r>
            <w:r w:rsidRPr="00A75E0B">
              <w:rPr>
                <w:b/>
                <w:bCs/>
                <w:sz w:val="18"/>
              </w:rPr>
              <w:t>958</w:t>
            </w:r>
          </w:p>
        </w:tc>
      </w:tr>
    </w:tbl>
    <w:p w:rsidR="00B12DD9" w:rsidRPr="00A75E0B" w:rsidRDefault="00B12DD9" w:rsidP="00927DC6">
      <w:pPr>
        <w:pStyle w:val="SingleTxt"/>
        <w:spacing w:after="0" w:line="120" w:lineRule="exact"/>
        <w:rPr>
          <w:sz w:val="10"/>
        </w:rPr>
      </w:pPr>
    </w:p>
    <w:p w:rsidR="00927DC6" w:rsidRPr="00A75E0B" w:rsidRDefault="00927DC6" w:rsidP="00927DC6">
      <w:pPr>
        <w:pStyle w:val="FootnoteText"/>
        <w:tabs>
          <w:tab w:val="right" w:pos="1476"/>
          <w:tab w:val="left" w:pos="1548"/>
          <w:tab w:val="right" w:pos="1836"/>
          <w:tab w:val="left" w:pos="1908"/>
        </w:tabs>
        <w:ind w:left="1548" w:right="1267" w:hanging="288"/>
        <w:rPr>
          <w:szCs w:val="24"/>
        </w:rPr>
      </w:pPr>
      <w:r w:rsidRPr="00A75E0B">
        <w:rPr>
          <w:i/>
          <w:iCs/>
          <w:szCs w:val="24"/>
        </w:rPr>
        <w:t>Source </w:t>
      </w:r>
      <w:r w:rsidRPr="00A75E0B">
        <w:rPr>
          <w:szCs w:val="24"/>
        </w:rPr>
        <w:t xml:space="preserve">: INDEC. Institut national de </w:t>
      </w:r>
      <w:r w:rsidR="00E05EF6" w:rsidRPr="00A75E0B">
        <w:rPr>
          <w:szCs w:val="24"/>
        </w:rPr>
        <w:t xml:space="preserve">la </w:t>
      </w:r>
      <w:r w:rsidRPr="00A75E0B">
        <w:rPr>
          <w:szCs w:val="24"/>
        </w:rPr>
        <w:t>statistique et d</w:t>
      </w:r>
      <w:r w:rsidR="00E05EF6" w:rsidRPr="00A75E0B">
        <w:rPr>
          <w:szCs w:val="24"/>
        </w:rPr>
        <w:t>u</w:t>
      </w:r>
      <w:r w:rsidRPr="00A75E0B">
        <w:rPr>
          <w:szCs w:val="24"/>
        </w:rPr>
        <w:t xml:space="preserve"> recensement, 2010.</w:t>
      </w:r>
    </w:p>
    <w:p w:rsidR="00927DC6" w:rsidRPr="00A75E0B" w:rsidRDefault="00927DC6" w:rsidP="00927DC6">
      <w:pPr>
        <w:pStyle w:val="FootnoteText"/>
        <w:tabs>
          <w:tab w:val="right" w:pos="1476"/>
          <w:tab w:val="left" w:pos="1548"/>
          <w:tab w:val="right" w:pos="1836"/>
          <w:tab w:val="left" w:pos="1908"/>
        </w:tabs>
        <w:spacing w:line="120" w:lineRule="exact"/>
        <w:ind w:left="1548" w:right="1267" w:hanging="288"/>
        <w:rPr>
          <w:sz w:val="10"/>
          <w:szCs w:val="24"/>
        </w:rPr>
      </w:pPr>
    </w:p>
    <w:p w:rsidR="00927DC6" w:rsidRPr="00A75E0B" w:rsidRDefault="00927DC6" w:rsidP="00927DC6">
      <w:pPr>
        <w:pStyle w:val="FootnoteText"/>
        <w:tabs>
          <w:tab w:val="right" w:pos="1476"/>
          <w:tab w:val="left" w:pos="1548"/>
          <w:tab w:val="right" w:pos="1836"/>
          <w:tab w:val="left" w:pos="1908"/>
        </w:tabs>
        <w:spacing w:line="120" w:lineRule="exact"/>
        <w:ind w:left="1548" w:right="1267" w:hanging="288"/>
        <w:rPr>
          <w:sz w:val="10"/>
        </w:rPr>
      </w:pPr>
    </w:p>
    <w:p w:rsidR="00DD57F9" w:rsidRPr="00A75E0B" w:rsidRDefault="00DD57F9" w:rsidP="00DD57F9">
      <w:pPr>
        <w:pStyle w:val="SingleTxt"/>
        <w:numPr>
          <w:ilvl w:val="0"/>
          <w:numId w:val="8"/>
        </w:numPr>
        <w:tabs>
          <w:tab w:val="clear" w:pos="475"/>
          <w:tab w:val="num" w:pos="1742"/>
        </w:tabs>
        <w:ind w:left="1267"/>
      </w:pPr>
      <w:r w:rsidRPr="00A75E0B">
        <w:t>Les provinces ayant la plus forte proportion d</w:t>
      </w:r>
      <w:r w:rsidR="00FD740F">
        <w:t>’</w:t>
      </w:r>
      <w:r w:rsidRPr="00A75E0B">
        <w:t>autochtones sont celles de Chubut, Neuquén, Jujuy, R</w:t>
      </w:r>
      <w:r w:rsidR="009B3F5A" w:rsidRPr="00A75E0B">
        <w:t>í</w:t>
      </w:r>
      <w:r w:rsidRPr="00A75E0B">
        <w:t>o Negro, Salta, et Formosa, où elle varie de 8,7</w:t>
      </w:r>
      <w:r w:rsidR="00E05EF6" w:rsidRPr="00A75E0B">
        <w:t> </w:t>
      </w:r>
      <w:r w:rsidRPr="00A75E0B">
        <w:t>% à 6,1</w:t>
      </w:r>
      <w:r w:rsidR="00E05EF6" w:rsidRPr="00A75E0B">
        <w:t> </w:t>
      </w:r>
      <w:r w:rsidRPr="00A75E0B">
        <w:t>%.</w:t>
      </w:r>
    </w:p>
    <w:p w:rsidR="00DD57F9" w:rsidRPr="00A75E0B" w:rsidRDefault="00DD57F9" w:rsidP="00DD57F9">
      <w:pPr>
        <w:pStyle w:val="SingleTxt"/>
        <w:numPr>
          <w:ilvl w:val="0"/>
          <w:numId w:val="8"/>
        </w:numPr>
        <w:tabs>
          <w:tab w:val="clear" w:pos="475"/>
          <w:tab w:val="num" w:pos="1742"/>
        </w:tabs>
        <w:ind w:left="1267"/>
      </w:pPr>
      <w:r w:rsidRPr="00A75E0B">
        <w:t xml:space="preserve">Parmi ceux qui se considèrent autochtones ou descendants de peuples </w:t>
      </w:r>
      <w:r w:rsidR="00646C6A" w:rsidRPr="00A75E0B">
        <w:t>autochtones</w:t>
      </w:r>
      <w:r w:rsidRPr="00A75E0B">
        <w:t>, 21,5</w:t>
      </w:r>
      <w:r w:rsidR="009B3F5A" w:rsidRPr="00A75E0B">
        <w:t> </w:t>
      </w:r>
      <w:r w:rsidRPr="00A75E0B">
        <w:t>% revendiquent leur appartenance au peuple mapuche ou une ascendance mapuche, soit 205 009 personnes au total.</w:t>
      </w:r>
    </w:p>
    <w:p w:rsidR="00DD57F9" w:rsidRPr="00A75E0B" w:rsidRDefault="00DD57F9" w:rsidP="00DD57F9">
      <w:pPr>
        <w:pStyle w:val="SingleTxt"/>
        <w:numPr>
          <w:ilvl w:val="0"/>
          <w:numId w:val="8"/>
        </w:numPr>
        <w:tabs>
          <w:tab w:val="clear" w:pos="475"/>
          <w:tab w:val="num" w:pos="1742"/>
        </w:tabs>
        <w:ind w:left="1267"/>
      </w:pPr>
      <w:r w:rsidRPr="00A75E0B">
        <w:t xml:space="preserve">Les </w:t>
      </w:r>
      <w:r w:rsidR="00646C6A" w:rsidRPr="00A75E0B">
        <w:t>M</w:t>
      </w:r>
      <w:r w:rsidRPr="00A75E0B">
        <w:t xml:space="preserve">apuches, </w:t>
      </w:r>
      <w:r w:rsidR="00646C6A" w:rsidRPr="00A75E0B">
        <w:t>les T</w:t>
      </w:r>
      <w:r w:rsidRPr="00A75E0B">
        <w:t xml:space="preserve">obas et </w:t>
      </w:r>
      <w:r w:rsidR="00646C6A" w:rsidRPr="00A75E0B">
        <w:t>les G</w:t>
      </w:r>
      <w:r w:rsidRPr="00A75E0B">
        <w:t xml:space="preserve">uaranis sont les seuls </w:t>
      </w:r>
      <w:r w:rsidR="00646C6A" w:rsidRPr="00A75E0B">
        <w:t xml:space="preserve">peuples </w:t>
      </w:r>
      <w:r w:rsidRPr="00A75E0B">
        <w:t xml:space="preserve">à </w:t>
      </w:r>
      <w:r w:rsidR="00646C6A" w:rsidRPr="00A75E0B">
        <w:t xml:space="preserve">représenter plus de </w:t>
      </w:r>
      <w:r w:rsidRPr="00A75E0B">
        <w:t>10</w:t>
      </w:r>
      <w:r w:rsidR="009B3F5A" w:rsidRPr="00A75E0B">
        <w:t> </w:t>
      </w:r>
      <w:r w:rsidRPr="00A75E0B">
        <w:t>%</w:t>
      </w:r>
      <w:r w:rsidR="00646C6A" w:rsidRPr="00A75E0B">
        <w:t>; ensemble</w:t>
      </w:r>
      <w:r w:rsidRPr="00A75E0B">
        <w:t>, ils</w:t>
      </w:r>
      <w:r w:rsidR="00646C6A" w:rsidRPr="00A75E0B">
        <w:t xml:space="preserve"> constituent </w:t>
      </w:r>
      <w:r w:rsidRPr="00A75E0B">
        <w:t>45,9</w:t>
      </w:r>
      <w:r w:rsidR="009B3F5A" w:rsidRPr="00A75E0B">
        <w:t> </w:t>
      </w:r>
      <w:r w:rsidRPr="00A75E0B">
        <w:t>% des premiers habitants de l</w:t>
      </w:r>
      <w:r w:rsidR="00FD740F">
        <w:t>’</w:t>
      </w:r>
      <w:r w:rsidRPr="00A75E0B">
        <w:t>Argentine. Les Diaguitas, les Kollas, les Quechuas et les Wichís, auxquels appartiennent entre 5</w:t>
      </w:r>
      <w:r w:rsidR="009B3F5A" w:rsidRPr="00A75E0B">
        <w:t> </w:t>
      </w:r>
      <w:r w:rsidRPr="00A75E0B">
        <w:t>% et 10</w:t>
      </w:r>
      <w:r w:rsidR="009B3F5A" w:rsidRPr="00A75E0B">
        <w:t> </w:t>
      </w:r>
      <w:r w:rsidRPr="00A75E0B">
        <w:t>% des autochtones, représentent à eux quatre 25</w:t>
      </w:r>
      <w:r w:rsidR="009B3F5A" w:rsidRPr="00A75E0B">
        <w:t> </w:t>
      </w:r>
      <w:r w:rsidRPr="00A75E0B">
        <w:t xml:space="preserve">% des premiers habitants du pays. </w:t>
      </w:r>
      <w:r w:rsidRPr="00A75E0B">
        <w:lastRenderedPageBreak/>
        <w:t>Au total, 70</w:t>
      </w:r>
      <w:r w:rsidR="009B3F5A" w:rsidRPr="00A75E0B">
        <w:t> </w:t>
      </w:r>
      <w:r w:rsidRPr="00A75E0B">
        <w:t xml:space="preserve">% de la population autochtone argentine </w:t>
      </w:r>
      <w:r w:rsidR="00646C6A" w:rsidRPr="00A75E0B">
        <w:t xml:space="preserve">appartiennent aux </w:t>
      </w:r>
      <w:r w:rsidRPr="00A75E0B">
        <w:t>sept peuples susmentionnés.</w:t>
      </w:r>
    </w:p>
    <w:p w:rsidR="00DD57F9" w:rsidRPr="00A75E0B" w:rsidRDefault="005C3ED3" w:rsidP="00DD57F9">
      <w:pPr>
        <w:pStyle w:val="SingleTxt"/>
        <w:numPr>
          <w:ilvl w:val="0"/>
          <w:numId w:val="8"/>
        </w:numPr>
        <w:tabs>
          <w:tab w:val="clear" w:pos="475"/>
          <w:tab w:val="num" w:pos="1742"/>
        </w:tabs>
        <w:ind w:left="1267"/>
      </w:pPr>
      <w:r w:rsidRPr="00A75E0B">
        <w:t xml:space="preserve">En ce qui concerne </w:t>
      </w:r>
      <w:r w:rsidR="00DD57F9" w:rsidRPr="00A75E0B">
        <w:t>la composition de la population autochtone par âge</w:t>
      </w:r>
      <w:r w:rsidRPr="00A75E0B">
        <w:t xml:space="preserve"> (</w:t>
      </w:r>
      <w:r w:rsidR="00DD57F9" w:rsidRPr="00A75E0B">
        <w:t>15 à 64</w:t>
      </w:r>
      <w:r w:rsidRPr="00A75E0B">
        <w:t> </w:t>
      </w:r>
      <w:r w:rsidR="00DD57F9" w:rsidRPr="00A75E0B">
        <w:t>ans</w:t>
      </w:r>
      <w:r w:rsidRPr="00A75E0B">
        <w:t xml:space="preserve">). </w:t>
      </w:r>
      <w:r w:rsidR="00DD57F9" w:rsidRPr="00A75E0B">
        <w:t>65,7</w:t>
      </w:r>
      <w:r w:rsidRPr="00A75E0B">
        <w:t> </w:t>
      </w:r>
      <w:r w:rsidR="00DD57F9" w:rsidRPr="00A75E0B">
        <w:t xml:space="preserve">% des autochtones sont en âge de travailler. Ces </w:t>
      </w:r>
      <w:r w:rsidRPr="00A75E0B">
        <w:t>chiffres</w:t>
      </w:r>
      <w:r w:rsidR="00DD57F9" w:rsidRPr="00A75E0B">
        <w:t xml:space="preserve"> sont très similaires </w:t>
      </w:r>
      <w:r w:rsidR="00204AF1">
        <w:t>de</w:t>
      </w:r>
      <w:r w:rsidR="00DD57F9" w:rsidRPr="00A75E0B">
        <w:t xml:space="preserve"> </w:t>
      </w:r>
      <w:r w:rsidRPr="00A75E0B">
        <w:t>ceux</w:t>
      </w:r>
      <w:r w:rsidR="00DD57F9" w:rsidRPr="00A75E0B">
        <w:t xml:space="preserve"> de la population totale (64,3</w:t>
      </w:r>
      <w:r w:rsidRPr="00A75E0B">
        <w:t> </w:t>
      </w:r>
      <w:r w:rsidR="00DD57F9" w:rsidRPr="00A75E0B">
        <w:t>%).</w:t>
      </w:r>
    </w:p>
    <w:p w:rsidR="00DD57F9" w:rsidRPr="00A75E0B" w:rsidRDefault="00DD57F9" w:rsidP="00DD57F9">
      <w:pPr>
        <w:pStyle w:val="SingleTxt"/>
        <w:numPr>
          <w:ilvl w:val="0"/>
          <w:numId w:val="8"/>
        </w:numPr>
        <w:tabs>
          <w:tab w:val="clear" w:pos="475"/>
          <w:tab w:val="num" w:pos="1742"/>
        </w:tabs>
        <w:ind w:left="1267"/>
      </w:pPr>
      <w:r w:rsidRPr="00A75E0B">
        <w:t>L</w:t>
      </w:r>
      <w:r w:rsidR="00FD740F">
        <w:t>’</w:t>
      </w:r>
      <w:r w:rsidRPr="00A75E0B">
        <w:t>analyse des autres grands groupes d</w:t>
      </w:r>
      <w:r w:rsidR="00FD740F">
        <w:t>’</w:t>
      </w:r>
      <w:r w:rsidRPr="00A75E0B">
        <w:t>âge révèle des différences considérables par rapport à la moyenne nationale. La population autochtone compte une plus forte proportion de jeunes (28,4</w:t>
      </w:r>
      <w:r w:rsidR="0067151A" w:rsidRPr="00A75E0B">
        <w:t> </w:t>
      </w:r>
      <w:r w:rsidRPr="00A75E0B">
        <w:t>% contre 25,5</w:t>
      </w:r>
      <w:r w:rsidR="0067151A" w:rsidRPr="00A75E0B">
        <w:t> </w:t>
      </w:r>
      <w:r w:rsidRPr="00A75E0B">
        <w:t>%) et une proportion relativement plus faible de personnes âgées (5,9</w:t>
      </w:r>
      <w:r w:rsidR="0067151A" w:rsidRPr="00A75E0B">
        <w:t> </w:t>
      </w:r>
      <w:r w:rsidRPr="00A75E0B">
        <w:t>% contre 10,2</w:t>
      </w:r>
      <w:r w:rsidR="0067151A" w:rsidRPr="00A75E0B">
        <w:t> </w:t>
      </w:r>
      <w:r w:rsidRPr="00A75E0B">
        <w:t>%), ce qui en fait une population moins vieillissante que la population totale.</w:t>
      </w:r>
    </w:p>
    <w:p w:rsidR="00DD57F9" w:rsidRPr="00A75E0B" w:rsidRDefault="00DD57F9" w:rsidP="0067151A">
      <w:pPr>
        <w:pStyle w:val="SingleTxt"/>
        <w:spacing w:after="0" w:line="120" w:lineRule="exact"/>
        <w:rPr>
          <w:sz w:val="10"/>
        </w:rPr>
      </w:pPr>
    </w:p>
    <w:p w:rsidR="00DD57F9" w:rsidRPr="00A75E0B" w:rsidRDefault="0067151A" w:rsidP="0067151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r>
      <w:r w:rsidR="00DD57F9" w:rsidRPr="00A75E0B">
        <w:t>Population d</w:t>
      </w:r>
      <w:r w:rsidR="00FD740F">
        <w:t>’</w:t>
      </w:r>
      <w:r w:rsidR="00DD57F9" w:rsidRPr="00A75E0B">
        <w:t>ascendance africaine</w:t>
      </w:r>
    </w:p>
    <w:p w:rsidR="00DD57F9" w:rsidRPr="00A75E0B" w:rsidRDefault="00DD57F9" w:rsidP="0067151A">
      <w:pPr>
        <w:pStyle w:val="SingleTxt"/>
        <w:spacing w:after="0" w:line="120" w:lineRule="exact"/>
        <w:rPr>
          <w:sz w:val="10"/>
        </w:rPr>
      </w:pPr>
    </w:p>
    <w:p w:rsidR="00DD57F9" w:rsidRPr="00A75E0B" w:rsidRDefault="005863F2" w:rsidP="00DD57F9">
      <w:pPr>
        <w:pStyle w:val="SingleTxt"/>
        <w:numPr>
          <w:ilvl w:val="0"/>
          <w:numId w:val="8"/>
        </w:numPr>
        <w:tabs>
          <w:tab w:val="clear" w:pos="475"/>
          <w:tab w:val="num" w:pos="1742"/>
        </w:tabs>
        <w:ind w:left="1267"/>
      </w:pPr>
      <w:r w:rsidRPr="00A75E0B">
        <w:t>P</w:t>
      </w:r>
      <w:r w:rsidR="00DD57F9" w:rsidRPr="00A75E0B">
        <w:t>our la première fois dans l</w:t>
      </w:r>
      <w:r w:rsidR="00FD740F">
        <w:t>’</w:t>
      </w:r>
      <w:r w:rsidR="00DD57F9" w:rsidRPr="00A75E0B">
        <w:t xml:space="preserve">histoire statistique </w:t>
      </w:r>
      <w:r w:rsidRPr="00A75E0B">
        <w:t>de l</w:t>
      </w:r>
      <w:r w:rsidR="00FD740F">
        <w:t>’</w:t>
      </w:r>
      <w:r w:rsidRPr="00A75E0B">
        <w:t>A</w:t>
      </w:r>
      <w:r w:rsidR="00DD57F9" w:rsidRPr="00A75E0B">
        <w:t xml:space="preserve">rgentine, </w:t>
      </w:r>
      <w:r w:rsidRPr="00A75E0B">
        <w:t>le recen</w:t>
      </w:r>
      <w:r w:rsidR="00204AF1">
        <w:t>sement de</w:t>
      </w:r>
      <w:r w:rsidR="00D45C4E">
        <w:t> </w:t>
      </w:r>
      <w:r w:rsidR="00204AF1">
        <w:t>2010 a pris en compte</w:t>
      </w:r>
      <w:r w:rsidRPr="00A75E0B">
        <w:t xml:space="preserve"> </w:t>
      </w:r>
      <w:r w:rsidR="00DD57F9" w:rsidRPr="00A75E0B">
        <w:t>les personnes d</w:t>
      </w:r>
      <w:r w:rsidR="00FD740F">
        <w:t>’</w:t>
      </w:r>
      <w:r w:rsidR="00DD57F9" w:rsidRPr="00A75E0B">
        <w:t>ascendance africaine.</w:t>
      </w:r>
    </w:p>
    <w:p w:rsidR="00DD57F9" w:rsidRPr="00A75E0B" w:rsidRDefault="00DD57F9" w:rsidP="00DD57F9">
      <w:pPr>
        <w:pStyle w:val="SingleTxt"/>
        <w:numPr>
          <w:ilvl w:val="0"/>
          <w:numId w:val="8"/>
        </w:numPr>
        <w:tabs>
          <w:tab w:val="clear" w:pos="475"/>
          <w:tab w:val="num" w:pos="1742"/>
        </w:tabs>
        <w:ind w:left="1267"/>
      </w:pPr>
      <w:r w:rsidRPr="00A75E0B">
        <w:t xml:space="preserve">Entre 1700 et le début des années 1800, la Compagnie de Guinée a </w:t>
      </w:r>
      <w:r w:rsidR="005863F2" w:rsidRPr="00A75E0B">
        <w:t>fait entrer</w:t>
      </w:r>
      <w:r w:rsidRPr="00A75E0B">
        <w:t>, légalement ou non, des esclaves africains dans le port de Buenos Aires. Le recensement de 1778 rend compte de ce</w:t>
      </w:r>
      <w:r w:rsidR="005863F2" w:rsidRPr="00A75E0B">
        <w:t xml:space="preserve">tte </w:t>
      </w:r>
      <w:r w:rsidRPr="00A75E0B">
        <w:t>arriv</w:t>
      </w:r>
      <w:r w:rsidR="005863F2" w:rsidRPr="00A75E0B">
        <w:t>ée</w:t>
      </w:r>
      <w:r w:rsidRPr="00A75E0B">
        <w:t xml:space="preserve"> et fait état d</w:t>
      </w:r>
      <w:r w:rsidR="00FD740F">
        <w:t>’</w:t>
      </w:r>
      <w:r w:rsidRPr="00A75E0B">
        <w:t xml:space="preserve">une proportion importante </w:t>
      </w:r>
      <w:r w:rsidR="00D45C4E">
        <w:t>–</w:t>
      </w:r>
      <w:r w:rsidRPr="00A75E0B">
        <w:t xml:space="preserve"> plus de 30</w:t>
      </w:r>
      <w:r w:rsidR="005863F2" w:rsidRPr="00A75E0B">
        <w:t> </w:t>
      </w:r>
      <w:r w:rsidRPr="00A75E0B">
        <w:t xml:space="preserve">% </w:t>
      </w:r>
      <w:r w:rsidR="00D45C4E">
        <w:t>–</w:t>
      </w:r>
      <w:r w:rsidRPr="00A75E0B">
        <w:t xml:space="preserve"> d</w:t>
      </w:r>
      <w:r w:rsidR="00FD740F">
        <w:t>’</w:t>
      </w:r>
      <w:r w:rsidRPr="00A75E0B">
        <w:t>Africains et de personnes d</w:t>
      </w:r>
      <w:r w:rsidR="00FD740F">
        <w:t>’</w:t>
      </w:r>
      <w:r w:rsidRPr="00A75E0B">
        <w:t xml:space="preserve">ascendance africaine à Santiago del Estero, Catamarca, Salta, Córdoba, Tucumán et Buenos Aires. </w:t>
      </w:r>
      <w:r w:rsidR="005863F2" w:rsidRPr="00A75E0B">
        <w:t>À partir de 1801 l</w:t>
      </w:r>
      <w:r w:rsidR="00FD740F">
        <w:t>’</w:t>
      </w:r>
      <w:r w:rsidR="005863F2" w:rsidRPr="00A75E0B">
        <w:t xml:space="preserve">organisation des </w:t>
      </w:r>
      <w:r w:rsidRPr="00A75E0B">
        <w:t>milices composées de personnes d</w:t>
      </w:r>
      <w:r w:rsidR="00FD740F">
        <w:t>’</w:t>
      </w:r>
      <w:r w:rsidRPr="00A75E0B">
        <w:t xml:space="preserve">ascendance africaine </w:t>
      </w:r>
      <w:r w:rsidR="005863F2" w:rsidRPr="00A75E0B">
        <w:t>es</w:t>
      </w:r>
      <w:r w:rsidRPr="00A75E0B">
        <w:t xml:space="preserve">t </w:t>
      </w:r>
      <w:r w:rsidR="005863F2" w:rsidRPr="00A75E0B">
        <w:t xml:space="preserve">régie par un </w:t>
      </w:r>
      <w:r w:rsidRPr="00A75E0B">
        <w:t>r</w:t>
      </w:r>
      <w:r w:rsidR="005863F2" w:rsidRPr="00A75E0B">
        <w:t>è</w:t>
      </w:r>
      <w:r w:rsidRPr="00A75E0B">
        <w:t>glement</w:t>
      </w:r>
      <w:r w:rsidR="005863F2" w:rsidRPr="00A75E0B">
        <w:t>.</w:t>
      </w:r>
      <w:r w:rsidRPr="00A75E0B">
        <w:t xml:space="preserve"> Dans la période qui a suivi la </w:t>
      </w:r>
      <w:r w:rsidR="005863F2" w:rsidRPr="00A75E0B">
        <w:t>R</w:t>
      </w:r>
      <w:r w:rsidRPr="00A75E0B">
        <w:t xml:space="preserve">évolution de mai, des esclaves affranchis </w:t>
      </w:r>
      <w:r w:rsidR="005863F2" w:rsidRPr="00A75E0B">
        <w:t>« </w:t>
      </w:r>
      <w:r w:rsidRPr="00A75E0B">
        <w:t>sauvés</w:t>
      </w:r>
      <w:r w:rsidR="005863F2" w:rsidRPr="00A75E0B">
        <w:t> »</w:t>
      </w:r>
      <w:r w:rsidRPr="00A75E0B">
        <w:t xml:space="preserve"> par l</w:t>
      </w:r>
      <w:r w:rsidR="00FD740F">
        <w:t>’</w:t>
      </w:r>
      <w:r w:rsidRPr="00A75E0B">
        <w:t xml:space="preserve">État </w:t>
      </w:r>
      <w:r w:rsidR="005863F2" w:rsidRPr="00A75E0B">
        <w:t>avaient déjà é</w:t>
      </w:r>
      <w:r w:rsidRPr="00A75E0B">
        <w:t>té incorporés à l</w:t>
      </w:r>
      <w:r w:rsidR="00FD740F">
        <w:t>’</w:t>
      </w:r>
      <w:r w:rsidRPr="00A75E0B">
        <w:t>armée.</w:t>
      </w:r>
    </w:p>
    <w:p w:rsidR="00DD57F9" w:rsidRPr="00A75E0B" w:rsidRDefault="00DD57F9" w:rsidP="00DD57F9">
      <w:pPr>
        <w:pStyle w:val="SingleTxt"/>
        <w:numPr>
          <w:ilvl w:val="0"/>
          <w:numId w:val="8"/>
        </w:numPr>
        <w:tabs>
          <w:tab w:val="clear" w:pos="475"/>
          <w:tab w:val="num" w:pos="1742"/>
        </w:tabs>
        <w:ind w:left="1267"/>
      </w:pPr>
      <w:r w:rsidRPr="00A75E0B">
        <w:t>Selon les données issues du recensement de 2010, 62</w:t>
      </w:r>
      <w:r w:rsidR="005863F2" w:rsidRPr="00A75E0B">
        <w:t> </w:t>
      </w:r>
      <w:r w:rsidRPr="00A75E0B">
        <w:t>642 ménages comptaient au moins un membre d</w:t>
      </w:r>
      <w:r w:rsidR="00FD740F">
        <w:t>’</w:t>
      </w:r>
      <w:r w:rsidRPr="00A75E0B">
        <w:t>ascendance africaine, soit 0,5</w:t>
      </w:r>
      <w:r w:rsidR="005863F2" w:rsidRPr="00A75E0B">
        <w:t> </w:t>
      </w:r>
      <w:r w:rsidRPr="00A75E0B">
        <w:t>% du total des ménages du pays. La plupart vivent dans la province de Buenos Aires (39,1</w:t>
      </w:r>
      <w:r w:rsidR="005863F2" w:rsidRPr="00A75E0B">
        <w:t> </w:t>
      </w:r>
      <w:r w:rsidRPr="00A75E0B">
        <w:t>%), dont 25,6</w:t>
      </w:r>
      <w:r w:rsidR="005863F2" w:rsidRPr="00A75E0B">
        <w:t> </w:t>
      </w:r>
      <w:r w:rsidRPr="00A75E0B">
        <w:t>% dans les 24</w:t>
      </w:r>
      <w:r w:rsidR="00D45C4E">
        <w:t> </w:t>
      </w:r>
      <w:r w:rsidRPr="00A75E0B">
        <w:t>districts du Grand Buenos Aires et 13,5</w:t>
      </w:r>
      <w:r w:rsidR="005863F2" w:rsidRPr="00A75E0B">
        <w:t> </w:t>
      </w:r>
      <w:r w:rsidRPr="00A75E0B">
        <w:t xml:space="preserve">% ailleurs dans la province de Buenos Aires. La </w:t>
      </w:r>
      <w:r w:rsidR="005863F2" w:rsidRPr="00A75E0B">
        <w:t>v</w:t>
      </w:r>
      <w:r w:rsidRPr="00A75E0B">
        <w:t>ille autonome de Buenos Aires en compte 12,9</w:t>
      </w:r>
      <w:r w:rsidR="005863F2" w:rsidRPr="00A75E0B">
        <w:t> </w:t>
      </w:r>
      <w:r w:rsidRPr="00A75E0B">
        <w:t>%, tandis qu</w:t>
      </w:r>
      <w:r w:rsidR="00FD740F">
        <w:t>’</w:t>
      </w:r>
      <w:r w:rsidRPr="00A75E0B">
        <w:t>ils sont 7,7</w:t>
      </w:r>
      <w:r w:rsidR="005863F2" w:rsidRPr="00A75E0B">
        <w:t> </w:t>
      </w:r>
      <w:r w:rsidRPr="00A75E0B">
        <w:t>% dans la province d</w:t>
      </w:r>
      <w:r w:rsidR="00FD740F">
        <w:t>’</w:t>
      </w:r>
      <w:r w:rsidRPr="00A75E0B">
        <w:t>Entre R</w:t>
      </w:r>
      <w:r w:rsidR="005863F2" w:rsidRPr="00A75E0B">
        <w:t>í</w:t>
      </w:r>
      <w:r w:rsidRPr="00A75E0B">
        <w:t>os, 6,8</w:t>
      </w:r>
      <w:r w:rsidR="005863F2" w:rsidRPr="00A75E0B">
        <w:t> </w:t>
      </w:r>
      <w:r w:rsidRPr="00A75E0B">
        <w:t xml:space="preserve">% dans </w:t>
      </w:r>
      <w:r w:rsidR="005863F2" w:rsidRPr="00A75E0B">
        <w:t xml:space="preserve">la province </w:t>
      </w:r>
      <w:r w:rsidRPr="00A75E0B">
        <w:t>de Santa Fe et 6,2</w:t>
      </w:r>
      <w:r w:rsidR="005863F2" w:rsidRPr="00A75E0B">
        <w:t> </w:t>
      </w:r>
      <w:r w:rsidRPr="00A75E0B">
        <w:t xml:space="preserve">% dans </w:t>
      </w:r>
      <w:r w:rsidR="005863F2" w:rsidRPr="00A75E0B">
        <w:t xml:space="preserve">la province </w:t>
      </w:r>
      <w:r w:rsidRPr="00A75E0B">
        <w:t>de C</w:t>
      </w:r>
      <w:r w:rsidR="005863F2" w:rsidRPr="00A75E0B">
        <w:t>ó</w:t>
      </w:r>
      <w:r w:rsidRPr="00A75E0B">
        <w:t>rdoba. Le nombre total de personnes vivant dans des habitations privées qui se déclarent d</w:t>
      </w:r>
      <w:r w:rsidR="00FD740F">
        <w:t>’</w:t>
      </w:r>
      <w:r w:rsidRPr="00A75E0B">
        <w:t>ascendance africaine s</w:t>
      </w:r>
      <w:r w:rsidR="00FD740F">
        <w:t>’</w:t>
      </w:r>
      <w:r w:rsidRPr="00A75E0B">
        <w:t>élève à 149</w:t>
      </w:r>
      <w:r w:rsidR="005863F2" w:rsidRPr="00A75E0B">
        <w:t> </w:t>
      </w:r>
      <w:r w:rsidRPr="00A75E0B">
        <w:t>493, soit 0,4</w:t>
      </w:r>
      <w:r w:rsidR="005863F2" w:rsidRPr="00A75E0B">
        <w:t> </w:t>
      </w:r>
      <w:r w:rsidRPr="00A75E0B">
        <w:t>% de la population.</w:t>
      </w:r>
    </w:p>
    <w:p w:rsidR="00DD57F9" w:rsidRPr="00A75E0B" w:rsidRDefault="00DD57F9" w:rsidP="00DD57F9">
      <w:pPr>
        <w:pStyle w:val="SingleTxt"/>
        <w:numPr>
          <w:ilvl w:val="0"/>
          <w:numId w:val="8"/>
        </w:numPr>
        <w:tabs>
          <w:tab w:val="clear" w:pos="475"/>
          <w:tab w:val="num" w:pos="1742"/>
        </w:tabs>
        <w:ind w:left="1267"/>
      </w:pPr>
      <w:r w:rsidRPr="00A75E0B">
        <w:t>La population d</w:t>
      </w:r>
      <w:r w:rsidR="00FD740F">
        <w:t>’</w:t>
      </w:r>
      <w:r w:rsidRPr="00A75E0B">
        <w:t>ascendance africaine est composée de 76</w:t>
      </w:r>
      <w:r w:rsidR="005863F2" w:rsidRPr="00A75E0B">
        <w:t> </w:t>
      </w:r>
      <w:r w:rsidRPr="00A75E0B">
        <w:t>064 hommes et de 73</w:t>
      </w:r>
      <w:r w:rsidR="005863F2" w:rsidRPr="00A75E0B">
        <w:t> </w:t>
      </w:r>
      <w:r w:rsidRPr="00A75E0B">
        <w:t>429 femmes. Ces chiffres sont importants car leur comparaison avec ceux de la population totale montre une inversion de la proportion d</w:t>
      </w:r>
      <w:r w:rsidR="00FD740F">
        <w:t>’</w:t>
      </w:r>
      <w:r w:rsidRPr="00A75E0B">
        <w:t>hommes et de femmes</w:t>
      </w:r>
      <w:r w:rsidR="005863F2" w:rsidRPr="00A75E0B">
        <w:t> </w:t>
      </w:r>
      <w:r w:rsidRPr="00A75E0B">
        <w:t xml:space="preserve">: tandis que la population argentine </w:t>
      </w:r>
      <w:r w:rsidR="005863F2" w:rsidRPr="00A75E0B">
        <w:t xml:space="preserve">totale </w:t>
      </w:r>
      <w:r w:rsidRPr="00A75E0B">
        <w:t>est composée de 48,7</w:t>
      </w:r>
      <w:r w:rsidR="005863F2" w:rsidRPr="00A75E0B">
        <w:t> </w:t>
      </w:r>
      <w:r w:rsidRPr="00A75E0B">
        <w:t>% d</w:t>
      </w:r>
      <w:r w:rsidR="00FD740F">
        <w:t>’</w:t>
      </w:r>
      <w:r w:rsidRPr="00A75E0B">
        <w:t>hommes et de 51,3</w:t>
      </w:r>
      <w:r w:rsidR="005863F2" w:rsidRPr="00A75E0B">
        <w:t> </w:t>
      </w:r>
      <w:r w:rsidRPr="00A75E0B">
        <w:t>% de femmes, la population d</w:t>
      </w:r>
      <w:r w:rsidR="00FD740F">
        <w:t>’</w:t>
      </w:r>
      <w:r w:rsidRPr="00A75E0B">
        <w:t>ascendance africaine est composée à 51</w:t>
      </w:r>
      <w:r w:rsidR="005863F2" w:rsidRPr="00A75E0B">
        <w:t> </w:t>
      </w:r>
      <w:r w:rsidRPr="00A75E0B">
        <w:t>% d</w:t>
      </w:r>
      <w:r w:rsidR="00FD740F">
        <w:t>’</w:t>
      </w:r>
      <w:r w:rsidRPr="00A75E0B">
        <w:t>hommes et à 49</w:t>
      </w:r>
      <w:r w:rsidR="005863F2" w:rsidRPr="00A75E0B">
        <w:t> </w:t>
      </w:r>
      <w:r w:rsidRPr="00A75E0B">
        <w:t>% de femmes. Cette inversion est confirmée par l</w:t>
      </w:r>
      <w:r w:rsidR="00FD740F">
        <w:t>’</w:t>
      </w:r>
      <w:r w:rsidRPr="00A75E0B">
        <w:t xml:space="preserve">analyse </w:t>
      </w:r>
      <w:r w:rsidR="005863F2" w:rsidRPr="00A75E0B">
        <w:t xml:space="preserve">du rapport </w:t>
      </w:r>
      <w:r w:rsidRPr="00A75E0B">
        <w:t xml:space="preserve">de masculinité </w:t>
      </w:r>
      <w:r w:rsidR="005863F2" w:rsidRPr="00A75E0B">
        <w:t>chez l</w:t>
      </w:r>
      <w:r w:rsidRPr="00A75E0B">
        <w:t>es personnes d</w:t>
      </w:r>
      <w:r w:rsidR="00FD740F">
        <w:t>’</w:t>
      </w:r>
      <w:r w:rsidRPr="00A75E0B">
        <w:t>ascendance africaine, qui est de 103,6</w:t>
      </w:r>
      <w:r w:rsidR="005863F2" w:rsidRPr="00A75E0B">
        <w:t>, c</w:t>
      </w:r>
      <w:r w:rsidR="00FD740F">
        <w:t>’</w:t>
      </w:r>
      <w:r w:rsidR="005863F2" w:rsidRPr="00A75E0B">
        <w:t xml:space="preserve">est-à-dire </w:t>
      </w:r>
      <w:r w:rsidR="00204AF1">
        <w:t xml:space="preserve">que </w:t>
      </w:r>
      <w:r w:rsidRPr="00A75E0B">
        <w:t xml:space="preserve">ce groupe de population compte 103 hommes pour 100 femmes, alors que </w:t>
      </w:r>
      <w:r w:rsidR="005863F2" w:rsidRPr="00A75E0B">
        <w:t xml:space="preserve">le rapport </w:t>
      </w:r>
      <w:r w:rsidRPr="00A75E0B">
        <w:t xml:space="preserve">est de 94,8 pour la population totale, </w:t>
      </w:r>
      <w:r w:rsidR="005863F2" w:rsidRPr="00A75E0B">
        <w:t xml:space="preserve">soit environ </w:t>
      </w:r>
      <w:r w:rsidRPr="00A75E0B">
        <w:t>95 hommes pour 100</w:t>
      </w:r>
      <w:r w:rsidR="005863F2" w:rsidRPr="00A75E0B">
        <w:t> </w:t>
      </w:r>
      <w:r w:rsidRPr="00A75E0B">
        <w:t>femmes.</w:t>
      </w:r>
    </w:p>
    <w:p w:rsidR="00DD57F9" w:rsidRPr="00A75E0B" w:rsidRDefault="005863F2" w:rsidP="00DD57F9">
      <w:pPr>
        <w:pStyle w:val="SingleTxt"/>
        <w:numPr>
          <w:ilvl w:val="0"/>
          <w:numId w:val="8"/>
        </w:numPr>
        <w:tabs>
          <w:tab w:val="clear" w:pos="475"/>
          <w:tab w:val="num" w:pos="1742"/>
        </w:tabs>
        <w:ind w:left="1267"/>
      </w:pPr>
      <w:r w:rsidRPr="00A75E0B">
        <w:t xml:space="preserve">Chez les personnes </w:t>
      </w:r>
      <w:r w:rsidR="00DD57F9" w:rsidRPr="00A75E0B">
        <w:t>qui se déclarent autochtones ou descendants de peuples autochtones</w:t>
      </w:r>
      <w:r w:rsidRPr="00A75E0B">
        <w:t>, la proportion d</w:t>
      </w:r>
      <w:r w:rsidR="00FD740F">
        <w:t>’</w:t>
      </w:r>
      <w:r w:rsidRPr="00A75E0B">
        <w:t>analphabètes est de 3,7 %</w:t>
      </w:r>
      <w:r w:rsidR="00DD57F9" w:rsidRPr="00A75E0B">
        <w:t>. L</w:t>
      </w:r>
      <w:r w:rsidR="00FD740F">
        <w:t>’</w:t>
      </w:r>
      <w:r w:rsidR="00DD57F9" w:rsidRPr="00A75E0B">
        <w:t xml:space="preserve">analphabétisme a baissé de 2,3 points de pourcentage </w:t>
      </w:r>
      <w:r w:rsidRPr="00A75E0B">
        <w:t>entre</w:t>
      </w:r>
      <w:r w:rsidR="00DD57F9" w:rsidRPr="00A75E0B">
        <w:t xml:space="preserve"> 2005</w:t>
      </w:r>
      <w:r w:rsidRPr="00A75E0B">
        <w:t xml:space="preserve"> et </w:t>
      </w:r>
      <w:r w:rsidR="00DD57F9" w:rsidRPr="00A75E0B">
        <w:t>2010.</w:t>
      </w:r>
    </w:p>
    <w:p w:rsidR="00DD57F9" w:rsidRPr="00A75E0B" w:rsidRDefault="00DD57F9" w:rsidP="00DD57F9">
      <w:pPr>
        <w:pStyle w:val="SingleTxt"/>
        <w:numPr>
          <w:ilvl w:val="0"/>
          <w:numId w:val="8"/>
        </w:numPr>
        <w:tabs>
          <w:tab w:val="clear" w:pos="475"/>
          <w:tab w:val="num" w:pos="1742"/>
        </w:tabs>
        <w:ind w:left="1267"/>
      </w:pPr>
      <w:r w:rsidRPr="00A75E0B">
        <w:t>Les personnes d</w:t>
      </w:r>
      <w:r w:rsidR="00FD740F">
        <w:t>’</w:t>
      </w:r>
      <w:r w:rsidRPr="00A75E0B">
        <w:t>ascendance africaine âgées de 15 à 64</w:t>
      </w:r>
      <w:r w:rsidR="00D45C4E">
        <w:t> </w:t>
      </w:r>
      <w:r w:rsidRPr="00A75E0B">
        <w:t>ans, et donc en âge de travailler, représentent 67,9</w:t>
      </w:r>
      <w:r w:rsidR="005863F2" w:rsidRPr="00A75E0B">
        <w:t> </w:t>
      </w:r>
      <w:r w:rsidRPr="00A75E0B">
        <w:t>% du total de ce groupe de population, celles du groupe d</w:t>
      </w:r>
      <w:r w:rsidR="00FD740F">
        <w:t>’</w:t>
      </w:r>
      <w:r w:rsidRPr="00A75E0B">
        <w:t>âge 0-14</w:t>
      </w:r>
      <w:r w:rsidR="00D45C4E">
        <w:t> </w:t>
      </w:r>
      <w:r w:rsidRPr="00A75E0B">
        <w:t>ans en représentent 24,7</w:t>
      </w:r>
      <w:r w:rsidR="005863F2" w:rsidRPr="00A75E0B">
        <w:t> </w:t>
      </w:r>
      <w:r w:rsidRPr="00A75E0B">
        <w:t>% et les 65</w:t>
      </w:r>
      <w:r w:rsidR="005863F2" w:rsidRPr="00A75E0B">
        <w:t> </w:t>
      </w:r>
      <w:r w:rsidRPr="00A75E0B">
        <w:t>ans et plus, 7,4</w:t>
      </w:r>
      <w:r w:rsidR="005863F2" w:rsidRPr="00A75E0B">
        <w:t> </w:t>
      </w:r>
      <w:r w:rsidRPr="00A75E0B">
        <w:t>%. Le pourcentage de ce dernier groupe d</w:t>
      </w:r>
      <w:r w:rsidR="00FD740F">
        <w:t>’</w:t>
      </w:r>
      <w:r w:rsidRPr="00A75E0B">
        <w:t>âge étant inférieur à la moyenne nationale (10,3</w:t>
      </w:r>
      <w:r w:rsidR="005863F2" w:rsidRPr="00A75E0B">
        <w:t> </w:t>
      </w:r>
      <w:r w:rsidRPr="00A75E0B">
        <w:t>%), on en déduit que les personnes d</w:t>
      </w:r>
      <w:r w:rsidR="00FD740F">
        <w:t>’</w:t>
      </w:r>
      <w:r w:rsidRPr="00A75E0B">
        <w:t>ascendance africaine sont une population moins vieillissante que l</w:t>
      </w:r>
      <w:r w:rsidR="00FD740F">
        <w:t>’</w:t>
      </w:r>
      <w:r w:rsidRPr="00A75E0B">
        <w:t xml:space="preserve">ensemble de la population. </w:t>
      </w:r>
      <w:r w:rsidR="005863F2" w:rsidRPr="00A75E0B">
        <w:t xml:space="preserve">Pour ce qui est </w:t>
      </w:r>
      <w:r w:rsidRPr="00A75E0B">
        <w:t xml:space="preserve">de la répartition géographique des </w:t>
      </w:r>
      <w:r w:rsidRPr="00A75E0B">
        <w:lastRenderedPageBreak/>
        <w:t>personnes d</w:t>
      </w:r>
      <w:r w:rsidR="00FD740F">
        <w:t>’</w:t>
      </w:r>
      <w:r w:rsidRPr="00A75E0B">
        <w:t>ascendance africaine, 70,3</w:t>
      </w:r>
      <w:r w:rsidR="00D45C4E">
        <w:t> </w:t>
      </w:r>
      <w:r w:rsidRPr="00A75E0B">
        <w:t xml:space="preserve">% </w:t>
      </w:r>
      <w:r w:rsidR="005863F2" w:rsidRPr="00A75E0B">
        <w:t xml:space="preserve">sont concentrés </w:t>
      </w:r>
      <w:r w:rsidRPr="00A75E0B">
        <w:t>dans l</w:t>
      </w:r>
      <w:r w:rsidR="005863F2" w:rsidRPr="00A75E0B">
        <w:t>a</w:t>
      </w:r>
      <w:r w:rsidRPr="00A75E0B">
        <w:t xml:space="preserve"> province de Buenos Aires, dans la </w:t>
      </w:r>
      <w:r w:rsidR="005863F2" w:rsidRPr="00A75E0B">
        <w:t>v</w:t>
      </w:r>
      <w:r w:rsidRPr="00A75E0B">
        <w:t>ille autonome de Buenos Aires, et dans les provinces d</w:t>
      </w:r>
      <w:r w:rsidR="00FD740F">
        <w:t>’</w:t>
      </w:r>
      <w:r w:rsidRPr="00A75E0B">
        <w:t>Entre R</w:t>
      </w:r>
      <w:r w:rsidR="005863F2" w:rsidRPr="00A75E0B">
        <w:t>í</w:t>
      </w:r>
      <w:r w:rsidRPr="00A75E0B">
        <w:t>os, de Santa Fe, et de C</w:t>
      </w:r>
      <w:r w:rsidR="005863F2" w:rsidRPr="00A75E0B">
        <w:t>ó</w:t>
      </w:r>
      <w:r w:rsidRPr="00A75E0B">
        <w:t>rdoba.</w:t>
      </w:r>
    </w:p>
    <w:p w:rsidR="00DD57F9" w:rsidRPr="00A75E0B" w:rsidRDefault="00DD57F9" w:rsidP="005863F2">
      <w:pPr>
        <w:pStyle w:val="SingleTxt"/>
        <w:spacing w:after="0" w:line="120" w:lineRule="exact"/>
        <w:rPr>
          <w:sz w:val="10"/>
        </w:rPr>
      </w:pPr>
    </w:p>
    <w:p w:rsidR="00DD57F9" w:rsidRPr="00A75E0B" w:rsidRDefault="005863F2" w:rsidP="005863F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r>
      <w:r w:rsidR="00DD57F9" w:rsidRPr="00A75E0B">
        <w:t>Population étrangère</w:t>
      </w:r>
    </w:p>
    <w:p w:rsidR="00DD57F9" w:rsidRPr="00A75E0B" w:rsidRDefault="00DD57F9" w:rsidP="005863F2">
      <w:pPr>
        <w:pStyle w:val="SingleTxt"/>
        <w:spacing w:after="0" w:line="120" w:lineRule="exact"/>
        <w:rPr>
          <w:sz w:val="10"/>
        </w:rPr>
      </w:pPr>
    </w:p>
    <w:p w:rsidR="00DD57F9" w:rsidRPr="00A75E0B" w:rsidRDefault="005161B1" w:rsidP="00DD57F9">
      <w:pPr>
        <w:pStyle w:val="SingleTxt"/>
        <w:numPr>
          <w:ilvl w:val="0"/>
          <w:numId w:val="8"/>
        </w:numPr>
        <w:tabs>
          <w:tab w:val="clear" w:pos="475"/>
          <w:tab w:val="num" w:pos="1742"/>
        </w:tabs>
        <w:ind w:left="1267"/>
      </w:pPr>
      <w:r w:rsidRPr="00A75E0B">
        <w:t>D</w:t>
      </w:r>
      <w:r w:rsidR="00FD740F">
        <w:t>’</w:t>
      </w:r>
      <w:r w:rsidRPr="00A75E0B">
        <w:t xml:space="preserve">après le </w:t>
      </w:r>
      <w:r w:rsidR="00DD57F9" w:rsidRPr="00A75E0B">
        <w:t>recensement de 2010, le pays comptait 4,5</w:t>
      </w:r>
      <w:r w:rsidRPr="00A75E0B">
        <w:t> </w:t>
      </w:r>
      <w:r w:rsidR="00DD57F9" w:rsidRPr="00A75E0B">
        <w:t>% de personnes nées à l</w:t>
      </w:r>
      <w:r w:rsidR="00FD740F">
        <w:t>’</w:t>
      </w:r>
      <w:r w:rsidR="00DD57F9" w:rsidRPr="00A75E0B">
        <w:t>étranger, soit 1</w:t>
      </w:r>
      <w:r w:rsidRPr="00A75E0B">
        <w:t> </w:t>
      </w:r>
      <w:r w:rsidR="00DD57F9" w:rsidRPr="00A75E0B">
        <w:t>805</w:t>
      </w:r>
      <w:r w:rsidRPr="00A75E0B">
        <w:t> </w:t>
      </w:r>
      <w:r w:rsidR="00DD57F9" w:rsidRPr="00A75E0B">
        <w:t xml:space="preserve">957 </w:t>
      </w:r>
      <w:r w:rsidRPr="00A75E0B">
        <w:t>individus</w:t>
      </w:r>
      <w:r w:rsidR="00DD57F9" w:rsidRPr="00A75E0B">
        <w:t xml:space="preserve"> au total. Le schéma migratoire montre que la part d</w:t>
      </w:r>
      <w:r w:rsidR="00FD740F">
        <w:t>’</w:t>
      </w:r>
      <w:r w:rsidR="00DD57F9" w:rsidRPr="00A75E0B">
        <w:t>étrangers originaires de pays voisins (3,1</w:t>
      </w:r>
      <w:r w:rsidRPr="00A75E0B">
        <w:t> </w:t>
      </w:r>
      <w:r w:rsidR="00DD57F9" w:rsidRPr="00A75E0B">
        <w:t>%) dans la population totale n</w:t>
      </w:r>
      <w:r w:rsidR="00FD740F">
        <w:t>’</w:t>
      </w:r>
      <w:r w:rsidR="00DD57F9" w:rsidRPr="00A75E0B">
        <w:t xml:space="preserve">a jamais été aussi élevée. </w:t>
      </w:r>
      <w:r w:rsidRPr="00A75E0B">
        <w:t>Concrètement</w:t>
      </w:r>
      <w:r w:rsidR="00DD57F9" w:rsidRPr="00A75E0B">
        <w:t>, 77,7</w:t>
      </w:r>
      <w:r w:rsidRPr="00A75E0B">
        <w:t> </w:t>
      </w:r>
      <w:r w:rsidR="00DD57F9" w:rsidRPr="00A75E0B">
        <w:t xml:space="preserve">% des habitants étrangers </w:t>
      </w:r>
      <w:r w:rsidRPr="00A75E0B">
        <w:t>v</w:t>
      </w:r>
      <w:r w:rsidR="00DD57F9" w:rsidRPr="00A75E0B">
        <w:t>iennent de pays voisins et du Pérou. La plupart des personnes nées à l</w:t>
      </w:r>
      <w:r w:rsidR="00FD740F">
        <w:t>’</w:t>
      </w:r>
      <w:r w:rsidR="00DD57F9" w:rsidRPr="00A75E0B">
        <w:t>étranger sont des femmes (53,9</w:t>
      </w:r>
      <w:r w:rsidRPr="00A75E0B">
        <w:t> </w:t>
      </w:r>
      <w:r w:rsidR="00DD57F9" w:rsidRPr="00A75E0B">
        <w:t>%), un taux supérieur à la proportion de femmes nées dans le pays. En termes d</w:t>
      </w:r>
      <w:r w:rsidR="00FD740F">
        <w:t>’</w:t>
      </w:r>
      <w:r w:rsidR="00DD57F9" w:rsidRPr="00A75E0B">
        <w:t>âge, la population née à l</w:t>
      </w:r>
      <w:r w:rsidR="00FD740F">
        <w:t>’</w:t>
      </w:r>
      <w:r w:rsidR="00DD57F9" w:rsidRPr="00A75E0B">
        <w:t>étranger compte davantage de personnes en âge de travailler (15</w:t>
      </w:r>
      <w:r w:rsidRPr="00A75E0B">
        <w:t xml:space="preserve"> à </w:t>
      </w:r>
      <w:r w:rsidR="00DD57F9" w:rsidRPr="00A75E0B">
        <w:t>64</w:t>
      </w:r>
      <w:r w:rsidRPr="00A75E0B">
        <w:t> </w:t>
      </w:r>
      <w:r w:rsidR="00DD57F9" w:rsidRPr="00A75E0B">
        <w:t>ans) et de personnes âgées (65</w:t>
      </w:r>
      <w:r w:rsidRPr="00A75E0B">
        <w:t> </w:t>
      </w:r>
      <w:r w:rsidR="00DD57F9" w:rsidRPr="00A75E0B">
        <w:t>ans et plus) que la population argentine. Les étrangers en âge de travailler sont en majeure partie originaires de pays voisins et du Pérou (1</w:t>
      </w:r>
      <w:r w:rsidRPr="00A75E0B">
        <w:t> </w:t>
      </w:r>
      <w:r w:rsidR="00DD57F9" w:rsidRPr="00A75E0B">
        <w:t>114</w:t>
      </w:r>
      <w:r w:rsidRPr="00A75E0B">
        <w:t> </w:t>
      </w:r>
      <w:r w:rsidR="00DD57F9" w:rsidRPr="00A75E0B">
        <w:t>346 personnes, soit 86,4</w:t>
      </w:r>
      <w:r w:rsidRPr="00A75E0B">
        <w:t> </w:t>
      </w:r>
      <w:r w:rsidR="00DD57F9" w:rsidRPr="00A75E0B">
        <w:t>% de ce groupe d</w:t>
      </w:r>
      <w:r w:rsidR="00FD740F">
        <w:t>’</w:t>
      </w:r>
      <w:r w:rsidR="00DD57F9" w:rsidRPr="00A75E0B">
        <w:t>âge), tandis qu</w:t>
      </w:r>
      <w:r w:rsidR="00FD740F">
        <w:t>’</w:t>
      </w:r>
      <w:r w:rsidRPr="00A75E0B">
        <w:t xml:space="preserve">un grand </w:t>
      </w:r>
      <w:r w:rsidRPr="0083743B">
        <w:rPr>
          <w:spacing w:val="2"/>
        </w:rPr>
        <w:t xml:space="preserve">nombre de </w:t>
      </w:r>
      <w:r w:rsidR="00DD57F9" w:rsidRPr="0083743B">
        <w:rPr>
          <w:spacing w:val="2"/>
        </w:rPr>
        <w:t>personnes âgées étrangères sont italiennes et espagnoles (165</w:t>
      </w:r>
      <w:r w:rsidRPr="0083743B">
        <w:rPr>
          <w:spacing w:val="2"/>
        </w:rPr>
        <w:t> </w:t>
      </w:r>
      <w:r w:rsidR="00DD57F9" w:rsidRPr="0083743B">
        <w:rPr>
          <w:spacing w:val="2"/>
        </w:rPr>
        <w:t>637 personnes</w:t>
      </w:r>
      <w:r w:rsidR="00DD57F9" w:rsidRPr="00A75E0B">
        <w:t>, soit 44</w:t>
      </w:r>
      <w:r w:rsidRPr="00A75E0B">
        <w:t> </w:t>
      </w:r>
      <w:r w:rsidR="00DD57F9" w:rsidRPr="00A75E0B">
        <w:t>% de ce groupe d</w:t>
      </w:r>
      <w:r w:rsidR="00FD740F">
        <w:t>’</w:t>
      </w:r>
      <w:r w:rsidR="00DD57F9" w:rsidRPr="00A75E0B">
        <w:t>âge).</w:t>
      </w:r>
    </w:p>
    <w:p w:rsidR="00DD57F9" w:rsidRPr="00A75E0B" w:rsidRDefault="00DD57F9" w:rsidP="00DD57F9">
      <w:pPr>
        <w:pStyle w:val="SingleTxt"/>
        <w:numPr>
          <w:ilvl w:val="0"/>
          <w:numId w:val="8"/>
        </w:numPr>
        <w:tabs>
          <w:tab w:val="clear" w:pos="475"/>
          <w:tab w:val="num" w:pos="1742"/>
        </w:tabs>
        <w:ind w:left="1267"/>
      </w:pPr>
      <w:r w:rsidRPr="00A75E0B">
        <w:t xml:space="preserve">Le Paraguay est, selon le recensement de 2010, le pays dont est originaire la majorité des étrangers </w:t>
      </w:r>
      <w:r w:rsidR="005161B1" w:rsidRPr="00A75E0B">
        <w:t xml:space="preserve">qui </w:t>
      </w:r>
      <w:r w:rsidRPr="00A75E0B">
        <w:t>viv</w:t>
      </w:r>
      <w:r w:rsidR="005161B1" w:rsidRPr="00A75E0B">
        <w:t>e</w:t>
      </w:r>
      <w:r w:rsidRPr="00A75E0B">
        <w:t xml:space="preserve">nt en Argentine. </w:t>
      </w:r>
      <w:r w:rsidR="005161B1" w:rsidRPr="00A75E0B">
        <w:t xml:space="preserve">Avec </w:t>
      </w:r>
      <w:r w:rsidRPr="00A75E0B">
        <w:t>550</w:t>
      </w:r>
      <w:r w:rsidR="005161B1" w:rsidRPr="00A75E0B">
        <w:t> </w:t>
      </w:r>
      <w:r w:rsidRPr="00A75E0B">
        <w:t>713 ressortissants, les Paraguayens représentent 30,5</w:t>
      </w:r>
      <w:r w:rsidR="005161B1" w:rsidRPr="00A75E0B">
        <w:t> </w:t>
      </w:r>
      <w:r w:rsidRPr="00A75E0B">
        <w:t>% des personnes nées à l</w:t>
      </w:r>
      <w:r w:rsidR="00FD740F">
        <w:t>’</w:t>
      </w:r>
      <w:r w:rsidRPr="00A75E0B">
        <w:t xml:space="preserve">étranger, </w:t>
      </w:r>
      <w:r w:rsidR="005161B1" w:rsidRPr="00A75E0B">
        <w:t xml:space="preserve">avec une </w:t>
      </w:r>
      <w:r w:rsidRPr="00A75E0B">
        <w:t xml:space="preserve">tendance </w:t>
      </w:r>
      <w:r w:rsidR="005161B1" w:rsidRPr="00A75E0B">
        <w:t xml:space="preserve">ascendante dans les </w:t>
      </w:r>
      <w:r w:rsidRPr="00A75E0B">
        <w:t>deux derniers recensements. Viennent ensuite la Bolivie, avec 345</w:t>
      </w:r>
      <w:r w:rsidR="005161B1" w:rsidRPr="00A75E0B">
        <w:t> </w:t>
      </w:r>
      <w:r w:rsidRPr="00A75E0B">
        <w:t>272 ressortissants (19,1</w:t>
      </w:r>
      <w:r w:rsidR="005161B1" w:rsidRPr="00A75E0B">
        <w:t> </w:t>
      </w:r>
      <w:r w:rsidRPr="00A75E0B">
        <w:t>%), le Chili, avec 191</w:t>
      </w:r>
      <w:r w:rsidR="00204AF1">
        <w:t> </w:t>
      </w:r>
      <w:r w:rsidRPr="00A75E0B">
        <w:t>147 ressortissants (10,6</w:t>
      </w:r>
      <w:r w:rsidR="005161B1" w:rsidRPr="00A75E0B">
        <w:t> </w:t>
      </w:r>
      <w:r w:rsidRPr="00A75E0B">
        <w:t>%) et le Pérou, avec 157</w:t>
      </w:r>
      <w:r w:rsidR="005161B1" w:rsidRPr="00A75E0B">
        <w:t> </w:t>
      </w:r>
      <w:r w:rsidRPr="00A75E0B">
        <w:t>514 ressortissants (8,7</w:t>
      </w:r>
      <w:r w:rsidR="005161B1" w:rsidRPr="00A75E0B">
        <w:t> </w:t>
      </w:r>
      <w:r w:rsidRPr="00A75E0B">
        <w:t>%)</w:t>
      </w:r>
      <w:r w:rsidR="005161B1" w:rsidRPr="00A75E0B">
        <w:t>;</w:t>
      </w:r>
      <w:r w:rsidRPr="00A75E0B">
        <w:t xml:space="preserve"> 68,9</w:t>
      </w:r>
      <w:r w:rsidR="005161B1" w:rsidRPr="00A75E0B">
        <w:t> </w:t>
      </w:r>
      <w:r w:rsidRPr="00A75E0B">
        <w:t xml:space="preserve">% </w:t>
      </w:r>
      <w:r w:rsidR="005161B1" w:rsidRPr="00A75E0B">
        <w:t xml:space="preserve">des immigrés proviennent </w:t>
      </w:r>
      <w:r w:rsidRPr="00A75E0B">
        <w:t>de ces quatre pays.</w:t>
      </w:r>
    </w:p>
    <w:p w:rsidR="00DD57F9" w:rsidRPr="00A75E0B" w:rsidRDefault="00DD57F9" w:rsidP="00DD57F9">
      <w:pPr>
        <w:pStyle w:val="SingleTxt"/>
        <w:numPr>
          <w:ilvl w:val="0"/>
          <w:numId w:val="8"/>
        </w:numPr>
        <w:tabs>
          <w:tab w:val="clear" w:pos="475"/>
          <w:tab w:val="num" w:pos="1742"/>
        </w:tabs>
        <w:ind w:left="1267"/>
      </w:pPr>
      <w:r w:rsidRPr="00A75E0B">
        <w:t>L</w:t>
      </w:r>
      <w:r w:rsidR="00FD740F">
        <w:t>’</w:t>
      </w:r>
      <w:r w:rsidRPr="00A75E0B">
        <w:t>Italie et l</w:t>
      </w:r>
      <w:r w:rsidR="00FD740F">
        <w:t>’</w:t>
      </w:r>
      <w:r w:rsidRPr="00A75E0B">
        <w:t>Espagne sont les pays européens qui fournissent les plus gros contingents d</w:t>
      </w:r>
      <w:r w:rsidR="00FD740F">
        <w:t>’</w:t>
      </w:r>
      <w:r w:rsidRPr="00A75E0B">
        <w:t>étrangers, m</w:t>
      </w:r>
      <w:r w:rsidR="005161B1" w:rsidRPr="00A75E0B">
        <w:t>ais pour l</w:t>
      </w:r>
      <w:r w:rsidR="00FD740F">
        <w:t>’</w:t>
      </w:r>
      <w:r w:rsidR="005161B1" w:rsidRPr="00A75E0B">
        <w:t>une et l</w:t>
      </w:r>
      <w:r w:rsidR="00FD740F">
        <w:t>’</w:t>
      </w:r>
      <w:r w:rsidR="005161B1" w:rsidRPr="00A75E0B">
        <w:t xml:space="preserve">autre </w:t>
      </w:r>
      <w:r w:rsidRPr="00A75E0B">
        <w:t>cette tendance a connu une baisse relative ces dernières décennies, ce qui est en partie imputable à la diminution du flux migratoire</w:t>
      </w:r>
      <w:r w:rsidR="005161B1" w:rsidRPr="00A75E0B">
        <w:t xml:space="preserve"> d</w:t>
      </w:r>
      <w:r w:rsidR="00FD740F">
        <w:t>’</w:t>
      </w:r>
      <w:r w:rsidR="005161B1" w:rsidRPr="00A75E0B">
        <w:t xml:space="preserve">outre-mer </w:t>
      </w:r>
      <w:r w:rsidRPr="00A75E0B">
        <w:t>et au décès d</w:t>
      </w:r>
      <w:r w:rsidR="00FD740F">
        <w:t>’</w:t>
      </w:r>
      <w:r w:rsidRPr="00A75E0B">
        <w:t>Italiens et d</w:t>
      </w:r>
      <w:r w:rsidR="00FD740F">
        <w:t>’</w:t>
      </w:r>
      <w:r w:rsidRPr="00A75E0B">
        <w:t>Espagnols âgés.</w:t>
      </w:r>
    </w:p>
    <w:p w:rsidR="00DD57F9" w:rsidRPr="00A75E0B" w:rsidRDefault="00DD57F9" w:rsidP="00DD57F9">
      <w:pPr>
        <w:pStyle w:val="SingleTxt"/>
        <w:numPr>
          <w:ilvl w:val="0"/>
          <w:numId w:val="8"/>
        </w:numPr>
        <w:tabs>
          <w:tab w:val="clear" w:pos="475"/>
          <w:tab w:val="num" w:pos="1742"/>
        </w:tabs>
        <w:ind w:left="1267"/>
      </w:pPr>
      <w:r w:rsidRPr="00A75E0B">
        <w:t>L</w:t>
      </w:r>
      <w:r w:rsidR="005161B1" w:rsidRPr="00A75E0B">
        <w:t xml:space="preserve">es centres urbains les plus attirants </w:t>
      </w:r>
      <w:r w:rsidRPr="00A75E0B">
        <w:t>pour les étrangers sont les 24 districts d</w:t>
      </w:r>
      <w:r w:rsidR="005161B1" w:rsidRPr="00A75E0B">
        <w:t>u</w:t>
      </w:r>
      <w:r w:rsidRPr="00A75E0B">
        <w:t xml:space="preserve"> </w:t>
      </w:r>
      <w:r w:rsidR="005161B1" w:rsidRPr="00A75E0B">
        <w:t xml:space="preserve">Grand </w:t>
      </w:r>
      <w:r w:rsidRPr="00A75E0B">
        <w:t xml:space="preserve">Buenos Aires et la </w:t>
      </w:r>
      <w:r w:rsidR="005161B1" w:rsidRPr="00A75E0B">
        <w:t>v</w:t>
      </w:r>
      <w:r w:rsidRPr="00A75E0B">
        <w:t>ille autonome de Buenos Aires, où vivent 62,2</w:t>
      </w:r>
      <w:r w:rsidR="005161B1" w:rsidRPr="00A75E0B">
        <w:t> </w:t>
      </w:r>
      <w:r w:rsidRPr="00A75E0B">
        <w:t>% des personnes nées à l</w:t>
      </w:r>
      <w:r w:rsidR="00FD740F">
        <w:t>’</w:t>
      </w:r>
      <w:r w:rsidRPr="00A75E0B">
        <w:t>étranger. Suivent, par ordre décroissant, l</w:t>
      </w:r>
      <w:r w:rsidR="00FD740F">
        <w:t>’</w:t>
      </w:r>
      <w:r w:rsidRPr="00A75E0B">
        <w:t>intérieur de la province de Buenos Aires et les provinces de Mendoza, de C</w:t>
      </w:r>
      <w:r w:rsidR="005161B1" w:rsidRPr="00A75E0B">
        <w:t>ó</w:t>
      </w:r>
      <w:r w:rsidRPr="00A75E0B">
        <w:t xml:space="preserve">rdoba, </w:t>
      </w:r>
      <w:r w:rsidR="00204AF1">
        <w:t xml:space="preserve">de </w:t>
      </w:r>
      <w:r w:rsidRPr="00A75E0B">
        <w:t>R</w:t>
      </w:r>
      <w:r w:rsidR="005161B1" w:rsidRPr="00A75E0B">
        <w:t>í</w:t>
      </w:r>
      <w:r w:rsidRPr="00A75E0B">
        <w:t xml:space="preserve">o </w:t>
      </w:r>
      <w:r w:rsidR="00204AF1">
        <w:t>N</w:t>
      </w:r>
      <w:r w:rsidRPr="00A75E0B">
        <w:t>egro, de Misiones et de Santa Fe, où ils sont plus de 2</w:t>
      </w:r>
      <w:r w:rsidR="005161B1" w:rsidRPr="00A75E0B">
        <w:t> </w:t>
      </w:r>
      <w:r w:rsidRPr="00A75E0B">
        <w:t>%.</w:t>
      </w:r>
    </w:p>
    <w:p w:rsidR="00DD57F9" w:rsidRPr="00A75E0B" w:rsidRDefault="00DD57F9" w:rsidP="00DD57F9">
      <w:pPr>
        <w:pStyle w:val="SingleTxt"/>
        <w:numPr>
          <w:ilvl w:val="0"/>
          <w:numId w:val="8"/>
        </w:numPr>
        <w:tabs>
          <w:tab w:val="clear" w:pos="475"/>
          <w:tab w:val="num" w:pos="1742"/>
        </w:tabs>
        <w:ind w:left="1267"/>
      </w:pPr>
      <w:r w:rsidRPr="00A75E0B">
        <w:t xml:space="preserve">On </w:t>
      </w:r>
      <w:r w:rsidR="005161B1" w:rsidRPr="00A75E0B">
        <w:t>notera</w:t>
      </w:r>
      <w:r w:rsidRPr="00A75E0B">
        <w:t xml:space="preserve"> que 29,4</w:t>
      </w:r>
      <w:r w:rsidR="005161B1" w:rsidRPr="00A75E0B">
        <w:t> </w:t>
      </w:r>
      <w:r w:rsidRPr="00A75E0B">
        <w:t>% des étrangers sont arrivés dans le pays entre 2002 et 2010. Plus de la moitié déclare bénéficier d</w:t>
      </w:r>
      <w:r w:rsidR="00FD740F">
        <w:t>’</w:t>
      </w:r>
      <w:r w:rsidRPr="00A75E0B">
        <w:t>une forme de couverture santé et 85,5</w:t>
      </w:r>
      <w:r w:rsidR="005161B1" w:rsidRPr="00A75E0B">
        <w:t> </w:t>
      </w:r>
      <w:r w:rsidRPr="00A75E0B">
        <w:t xml:space="preserve">% des </w:t>
      </w:r>
      <w:r w:rsidR="005161B1" w:rsidRPr="00A75E0B">
        <w:t xml:space="preserve">personnes de </w:t>
      </w:r>
      <w:r w:rsidRPr="00A75E0B">
        <w:t>65</w:t>
      </w:r>
      <w:r w:rsidR="005161B1" w:rsidRPr="00A75E0B">
        <w:t> </w:t>
      </w:r>
      <w:r w:rsidRPr="00A75E0B">
        <w:t>ans et plus d</w:t>
      </w:r>
      <w:r w:rsidR="00FD740F">
        <w:t>’</w:t>
      </w:r>
      <w:r w:rsidRPr="00A75E0B">
        <w:t>une pension de retraite.</w:t>
      </w:r>
    </w:p>
    <w:p w:rsidR="00DD57F9" w:rsidRPr="00A75E0B" w:rsidRDefault="00DD57F9" w:rsidP="005161B1">
      <w:pPr>
        <w:pStyle w:val="FootnoteText"/>
        <w:tabs>
          <w:tab w:val="right" w:pos="1476"/>
          <w:tab w:val="left" w:pos="1548"/>
          <w:tab w:val="right" w:pos="1836"/>
          <w:tab w:val="left" w:pos="1908"/>
        </w:tabs>
        <w:spacing w:line="120" w:lineRule="exact"/>
        <w:ind w:left="1548" w:right="1267" w:hanging="288"/>
        <w:rPr>
          <w:b/>
          <w:sz w:val="10"/>
        </w:rPr>
      </w:pPr>
    </w:p>
    <w:p w:rsidR="00DD57F9" w:rsidRPr="00A75E0B" w:rsidRDefault="005161B1" w:rsidP="005161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00DD57F9" w:rsidRPr="00A75E0B">
        <w:t>2.</w:t>
      </w:r>
      <w:r w:rsidR="00DD57F9" w:rsidRPr="00A75E0B">
        <w:tab/>
        <w:t>Niveau de vie de</w:t>
      </w:r>
      <w:r w:rsidRPr="00A75E0B">
        <w:t>s</w:t>
      </w:r>
      <w:r w:rsidR="00DD57F9" w:rsidRPr="00A75E0B">
        <w:t xml:space="preserve"> différents secteurs de la population selon </w:t>
      </w:r>
      <w:r w:rsidRPr="00A75E0B">
        <w:br/>
      </w:r>
      <w:r w:rsidR="00DD57F9" w:rsidRPr="00A75E0B">
        <w:t>les indicateurs suivants</w:t>
      </w:r>
    </w:p>
    <w:p w:rsidR="005161B1" w:rsidRPr="00A75E0B" w:rsidRDefault="005161B1" w:rsidP="005161B1">
      <w:pPr>
        <w:pStyle w:val="FootnoteText"/>
        <w:tabs>
          <w:tab w:val="right" w:pos="1476"/>
          <w:tab w:val="left" w:pos="1548"/>
          <w:tab w:val="right" w:pos="1836"/>
          <w:tab w:val="left" w:pos="1908"/>
        </w:tabs>
        <w:spacing w:line="120" w:lineRule="exact"/>
        <w:ind w:left="1548" w:right="1267" w:hanging="288"/>
        <w:rPr>
          <w:sz w:val="10"/>
        </w:rPr>
      </w:pPr>
    </w:p>
    <w:p w:rsidR="00DD57F9" w:rsidRPr="00A75E0B" w:rsidRDefault="00DD57F9" w:rsidP="005161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rPr>
          <w:b w:val="0"/>
        </w:rPr>
        <w:tab/>
      </w:r>
      <w:r w:rsidR="005161B1" w:rsidRPr="00A75E0B">
        <w:rPr>
          <w:b w:val="0"/>
        </w:rPr>
        <w:tab/>
      </w:r>
      <w:r w:rsidRPr="00A75E0B">
        <w:rPr>
          <w:b w:val="0"/>
        </w:rPr>
        <w:t>Tableau 7</w:t>
      </w:r>
      <w:r w:rsidR="005161B1" w:rsidRPr="00A75E0B">
        <w:rPr>
          <w:b w:val="0"/>
        </w:rPr>
        <w:t xml:space="preserve"> </w:t>
      </w:r>
      <w:r w:rsidR="005161B1" w:rsidRPr="00A75E0B">
        <w:rPr>
          <w:b w:val="0"/>
        </w:rPr>
        <w:br/>
      </w:r>
      <w:r w:rsidRPr="00A75E0B">
        <w:t>Taux de mortalité infantile, 2009</w:t>
      </w:r>
    </w:p>
    <w:p w:rsidR="005161B1" w:rsidRPr="00A75E0B" w:rsidRDefault="005161B1" w:rsidP="005161B1">
      <w:pPr>
        <w:pStyle w:val="SingleTxt"/>
        <w:spacing w:after="0" w:line="120" w:lineRule="exact"/>
        <w:rPr>
          <w:sz w:val="10"/>
        </w:rPr>
      </w:pPr>
    </w:p>
    <w:p w:rsidR="005161B1" w:rsidRPr="00A75E0B" w:rsidRDefault="005161B1" w:rsidP="005161B1">
      <w:pPr>
        <w:pStyle w:val="SingleTxt"/>
        <w:spacing w:after="0" w:line="120" w:lineRule="exact"/>
        <w:rPr>
          <w:sz w:val="10"/>
        </w:rPr>
      </w:pPr>
    </w:p>
    <w:tbl>
      <w:tblPr>
        <w:tblW w:w="7502" w:type="dxa"/>
        <w:tblInd w:w="1267" w:type="dxa"/>
        <w:tblCellMar>
          <w:left w:w="0" w:type="dxa"/>
          <w:right w:w="0" w:type="dxa"/>
        </w:tblCellMar>
        <w:tblLook w:val="0000" w:firstRow="0" w:lastRow="0" w:firstColumn="0" w:lastColumn="0" w:noHBand="0" w:noVBand="0"/>
      </w:tblPr>
      <w:tblGrid>
        <w:gridCol w:w="3686"/>
        <w:gridCol w:w="3855"/>
      </w:tblGrid>
      <w:tr w:rsidR="00DD57F9" w:rsidRPr="00A75E0B" w:rsidTr="005161B1">
        <w:trPr>
          <w:trHeight w:val="240"/>
          <w:tblHeader/>
        </w:trPr>
        <w:tc>
          <w:tcPr>
            <w:tcW w:w="3686"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DD57F9" w:rsidRPr="00A75E0B" w:rsidRDefault="00DD57F9" w:rsidP="00BF2B0B">
            <w:pPr>
              <w:pStyle w:val="FootnoteText"/>
              <w:tabs>
                <w:tab w:val="right" w:pos="1476"/>
                <w:tab w:val="left" w:pos="1548"/>
                <w:tab w:val="right" w:pos="1836"/>
                <w:tab w:val="left" w:pos="1908"/>
              </w:tabs>
              <w:suppressAutoHyphens/>
              <w:spacing w:before="100" w:beforeAutospacing="1" w:after="80" w:line="160" w:lineRule="exact"/>
              <w:ind w:right="43"/>
              <w:jc w:val="both"/>
              <w:rPr>
                <w:bCs/>
                <w:i/>
                <w:sz w:val="14"/>
              </w:rPr>
            </w:pPr>
            <w:r w:rsidRPr="00A75E0B">
              <w:rPr>
                <w:bCs/>
                <w:i/>
                <w:sz w:val="14"/>
              </w:rPr>
              <w:t>Pays</w:t>
            </w:r>
          </w:p>
        </w:tc>
        <w:tc>
          <w:tcPr>
            <w:tcW w:w="3855"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DD57F9" w:rsidRPr="00A75E0B" w:rsidRDefault="00DD57F9" w:rsidP="00D45C4E">
            <w:pPr>
              <w:pStyle w:val="FootnoteText"/>
              <w:tabs>
                <w:tab w:val="right" w:pos="1476"/>
                <w:tab w:val="left" w:pos="1548"/>
                <w:tab w:val="right" w:pos="1836"/>
                <w:tab w:val="left" w:pos="1908"/>
              </w:tabs>
              <w:suppressAutoHyphens/>
              <w:spacing w:before="100" w:beforeAutospacing="1" w:after="80" w:line="160" w:lineRule="exact"/>
              <w:jc w:val="right"/>
              <w:rPr>
                <w:bCs/>
                <w:i/>
                <w:sz w:val="14"/>
              </w:rPr>
            </w:pPr>
            <w:r w:rsidRPr="00A75E0B">
              <w:rPr>
                <w:bCs/>
                <w:i/>
                <w:sz w:val="14"/>
              </w:rPr>
              <w:t>Taux de mortalité infantile pour mille naissances vivantes</w:t>
            </w:r>
          </w:p>
        </w:tc>
      </w:tr>
      <w:tr w:rsidR="005161B1" w:rsidRPr="00A75E0B" w:rsidTr="005161B1">
        <w:trPr>
          <w:trHeight w:hRule="exact" w:val="115"/>
          <w:tblHeader/>
        </w:trPr>
        <w:tc>
          <w:tcPr>
            <w:tcW w:w="3686" w:type="dxa"/>
            <w:tcBorders>
              <w:top w:val="single" w:sz="12" w:space="0" w:color="auto"/>
            </w:tcBorders>
            <w:shd w:val="clear" w:color="auto" w:fill="auto"/>
            <w:noWrap/>
            <w:tcMar>
              <w:top w:w="15" w:type="dxa"/>
              <w:left w:w="15" w:type="dxa"/>
              <w:bottom w:w="0" w:type="dxa"/>
              <w:right w:w="15" w:type="dxa"/>
            </w:tcMar>
            <w:vAlign w:val="bottom"/>
          </w:tcPr>
          <w:p w:rsidR="005161B1" w:rsidRPr="00A75E0B" w:rsidRDefault="005161B1" w:rsidP="00BF2B0B">
            <w:pPr>
              <w:pStyle w:val="FootnoteText"/>
              <w:tabs>
                <w:tab w:val="right" w:pos="1476"/>
                <w:tab w:val="left" w:pos="1548"/>
                <w:tab w:val="right" w:pos="1836"/>
                <w:tab w:val="left" w:pos="1908"/>
              </w:tabs>
              <w:suppressAutoHyphens/>
              <w:spacing w:before="100" w:beforeAutospacing="1" w:after="40"/>
              <w:ind w:right="43"/>
              <w:jc w:val="both"/>
              <w:rPr>
                <w:bCs/>
              </w:rPr>
            </w:pPr>
          </w:p>
        </w:tc>
        <w:tc>
          <w:tcPr>
            <w:tcW w:w="3855" w:type="dxa"/>
            <w:tcBorders>
              <w:top w:val="single" w:sz="12" w:space="0" w:color="auto"/>
            </w:tcBorders>
            <w:shd w:val="clear" w:color="auto" w:fill="auto"/>
            <w:noWrap/>
            <w:tcMar>
              <w:top w:w="15" w:type="dxa"/>
              <w:left w:w="15" w:type="dxa"/>
              <w:bottom w:w="0" w:type="dxa"/>
              <w:right w:w="15" w:type="dxa"/>
            </w:tcMar>
            <w:vAlign w:val="bottom"/>
          </w:tcPr>
          <w:p w:rsidR="005161B1" w:rsidRPr="00A75E0B" w:rsidRDefault="005161B1" w:rsidP="00BF2B0B">
            <w:pPr>
              <w:pStyle w:val="FootnoteText"/>
              <w:tabs>
                <w:tab w:val="right" w:pos="1476"/>
                <w:tab w:val="left" w:pos="1548"/>
                <w:tab w:val="right" w:pos="1836"/>
                <w:tab w:val="left" w:pos="1908"/>
              </w:tabs>
              <w:suppressAutoHyphens/>
              <w:spacing w:before="100" w:beforeAutospacing="1" w:after="40"/>
              <w:ind w:right="43"/>
              <w:jc w:val="right"/>
              <w:rPr>
                <w:bCs/>
              </w:rPr>
            </w:pPr>
          </w:p>
        </w:tc>
      </w:tr>
      <w:tr w:rsidR="00DD57F9" w:rsidRPr="00A75E0B" w:rsidTr="005161B1">
        <w:trPr>
          <w:trHeight w:val="240"/>
        </w:trPr>
        <w:tc>
          <w:tcPr>
            <w:tcW w:w="3686" w:type="dxa"/>
            <w:tcBorders>
              <w:bottom w:val="single" w:sz="12" w:space="0" w:color="auto"/>
            </w:tcBorders>
            <w:shd w:val="clear" w:color="auto" w:fill="auto"/>
            <w:noWrap/>
            <w:tcMar>
              <w:top w:w="15" w:type="dxa"/>
              <w:left w:w="15" w:type="dxa"/>
              <w:bottom w:w="0" w:type="dxa"/>
              <w:right w:w="15" w:type="dxa"/>
            </w:tcMar>
            <w:vAlign w:val="bottom"/>
          </w:tcPr>
          <w:p w:rsidR="00DD57F9" w:rsidRPr="00A75E0B" w:rsidRDefault="00DD57F9" w:rsidP="00BF2B0B">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jc w:val="both"/>
              <w:rPr>
                <w:bCs/>
              </w:rPr>
            </w:pPr>
            <w:r w:rsidRPr="00A75E0B">
              <w:rPr>
                <w:bCs/>
              </w:rPr>
              <w:t>République argentine</w:t>
            </w:r>
          </w:p>
        </w:tc>
        <w:tc>
          <w:tcPr>
            <w:tcW w:w="3855" w:type="dxa"/>
            <w:tcBorders>
              <w:bottom w:val="single" w:sz="12" w:space="0" w:color="auto"/>
            </w:tcBorders>
            <w:shd w:val="clear" w:color="auto" w:fill="auto"/>
            <w:noWrap/>
            <w:tcMar>
              <w:top w:w="15" w:type="dxa"/>
              <w:left w:w="15" w:type="dxa"/>
              <w:bottom w:w="0" w:type="dxa"/>
              <w:right w:w="15" w:type="dxa"/>
            </w:tcMar>
            <w:vAlign w:val="bottom"/>
          </w:tcPr>
          <w:p w:rsidR="00DD57F9" w:rsidRPr="00A75E0B" w:rsidRDefault="00DD57F9" w:rsidP="00D45C4E">
            <w:pPr>
              <w:pStyle w:val="FootnoteText"/>
              <w:tabs>
                <w:tab w:val="left" w:pos="288"/>
                <w:tab w:val="left" w:pos="576"/>
                <w:tab w:val="left" w:pos="864"/>
                <w:tab w:val="left" w:pos="1152"/>
                <w:tab w:val="right" w:pos="1476"/>
                <w:tab w:val="left" w:pos="1548"/>
                <w:tab w:val="right" w:pos="1836"/>
                <w:tab w:val="left" w:pos="1908"/>
              </w:tabs>
              <w:suppressAutoHyphens/>
              <w:spacing w:before="40" w:after="40"/>
              <w:jc w:val="right"/>
              <w:rPr>
                <w:bCs/>
              </w:rPr>
            </w:pPr>
            <w:r w:rsidRPr="00A75E0B">
              <w:rPr>
                <w:bCs/>
              </w:rPr>
              <w:t>12,1</w:t>
            </w:r>
          </w:p>
        </w:tc>
      </w:tr>
    </w:tbl>
    <w:p w:rsidR="005161B1" w:rsidRPr="00A75E0B" w:rsidRDefault="005161B1" w:rsidP="005161B1">
      <w:pPr>
        <w:pStyle w:val="FootnoteText"/>
        <w:tabs>
          <w:tab w:val="right" w:pos="1476"/>
          <w:tab w:val="left" w:pos="1548"/>
          <w:tab w:val="right" w:pos="1836"/>
          <w:tab w:val="left" w:pos="1908"/>
        </w:tabs>
        <w:spacing w:line="120" w:lineRule="exact"/>
        <w:ind w:left="1548" w:right="1267" w:hanging="288"/>
        <w:rPr>
          <w:i/>
          <w:iCs/>
          <w:sz w:val="10"/>
        </w:rPr>
      </w:pPr>
    </w:p>
    <w:p w:rsidR="00DD57F9" w:rsidRPr="00A75E0B" w:rsidRDefault="00DD57F9" w:rsidP="005161B1">
      <w:pPr>
        <w:pStyle w:val="FootnoteText"/>
        <w:tabs>
          <w:tab w:val="right" w:pos="1476"/>
          <w:tab w:val="left" w:pos="1548"/>
          <w:tab w:val="right" w:pos="1836"/>
          <w:tab w:val="left" w:pos="1908"/>
        </w:tabs>
        <w:ind w:left="1548" w:right="1267" w:hanging="288"/>
      </w:pPr>
      <w:r w:rsidRPr="00A75E0B">
        <w:rPr>
          <w:i/>
          <w:iCs/>
        </w:rPr>
        <w:t>Source</w:t>
      </w:r>
      <w:r w:rsidR="00BF2B0B" w:rsidRPr="00A75E0B">
        <w:rPr>
          <w:i/>
          <w:iCs/>
        </w:rPr>
        <w:t> </w:t>
      </w:r>
      <w:r w:rsidRPr="00A75E0B">
        <w:t xml:space="preserve">: Direction de </w:t>
      </w:r>
      <w:r w:rsidR="00BF2B0B" w:rsidRPr="00A75E0B">
        <w:t xml:space="preserve">la </w:t>
      </w:r>
      <w:r w:rsidRPr="00A75E0B">
        <w:t>statistique et d</w:t>
      </w:r>
      <w:r w:rsidR="00BF2B0B" w:rsidRPr="00A75E0B">
        <w:t>e l</w:t>
      </w:r>
      <w:r w:rsidR="00FD740F">
        <w:t>’</w:t>
      </w:r>
      <w:r w:rsidRPr="00A75E0B">
        <w:t>information sur la santé, Ministère de la santé.</w:t>
      </w:r>
    </w:p>
    <w:p w:rsidR="00BF2B0B" w:rsidRPr="00A75E0B" w:rsidRDefault="00BF2B0B" w:rsidP="00BF2B0B">
      <w:pPr>
        <w:pStyle w:val="FootnoteText"/>
        <w:tabs>
          <w:tab w:val="right" w:pos="1476"/>
          <w:tab w:val="left" w:pos="1548"/>
          <w:tab w:val="right" w:pos="1836"/>
          <w:tab w:val="left" w:pos="1908"/>
        </w:tabs>
        <w:spacing w:line="120" w:lineRule="exact"/>
        <w:ind w:left="1548" w:right="1267" w:hanging="288"/>
        <w:rPr>
          <w:sz w:val="10"/>
        </w:rPr>
      </w:pPr>
    </w:p>
    <w:p w:rsidR="00BF2B0B" w:rsidRPr="00A75E0B" w:rsidRDefault="00BF2B0B" w:rsidP="00BF2B0B">
      <w:pPr>
        <w:pStyle w:val="FootnoteText"/>
        <w:tabs>
          <w:tab w:val="right" w:pos="1476"/>
          <w:tab w:val="left" w:pos="1548"/>
          <w:tab w:val="right" w:pos="1836"/>
          <w:tab w:val="left" w:pos="1908"/>
        </w:tabs>
        <w:spacing w:line="120" w:lineRule="exact"/>
        <w:ind w:left="1548" w:right="1267" w:hanging="288"/>
        <w:rPr>
          <w:sz w:val="10"/>
        </w:rPr>
      </w:pPr>
    </w:p>
    <w:p w:rsidR="00BF2B0B" w:rsidRPr="00A75E0B" w:rsidRDefault="00BF2B0B" w:rsidP="00BF2B0B">
      <w:pPr>
        <w:pStyle w:val="FootnoteText"/>
        <w:tabs>
          <w:tab w:val="right" w:pos="1476"/>
          <w:tab w:val="left" w:pos="1548"/>
          <w:tab w:val="right" w:pos="1836"/>
          <w:tab w:val="left" w:pos="1908"/>
        </w:tabs>
        <w:spacing w:line="120" w:lineRule="exact"/>
        <w:ind w:left="1548" w:right="1267" w:hanging="288"/>
        <w:rPr>
          <w:sz w:val="10"/>
        </w:rPr>
      </w:pPr>
    </w:p>
    <w:p w:rsidR="00DD57F9" w:rsidRPr="00A75E0B" w:rsidRDefault="00BF2B0B" w:rsidP="00D45C4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lastRenderedPageBreak/>
        <w:tab/>
      </w:r>
      <w:r w:rsidRPr="00A75E0B">
        <w:tab/>
        <w:t>Note technique </w:t>
      </w:r>
      <w:r w:rsidRPr="00A75E0B">
        <w:rPr>
          <w:i w:val="0"/>
        </w:rPr>
        <w:t>:</w:t>
      </w:r>
    </w:p>
    <w:p w:rsidR="00BF2B0B" w:rsidRPr="00A75E0B" w:rsidRDefault="00BF2B0B" w:rsidP="00D45C4E">
      <w:pPr>
        <w:pStyle w:val="FootnoteText"/>
        <w:keepNext/>
        <w:keepLines/>
        <w:tabs>
          <w:tab w:val="right" w:pos="1476"/>
          <w:tab w:val="left" w:pos="1548"/>
          <w:tab w:val="right" w:pos="1836"/>
          <w:tab w:val="left" w:pos="1908"/>
        </w:tabs>
        <w:spacing w:line="120" w:lineRule="exact"/>
        <w:ind w:left="1548" w:right="1267" w:hanging="288"/>
        <w:rPr>
          <w:sz w:val="10"/>
        </w:rPr>
      </w:pPr>
    </w:p>
    <w:p w:rsidR="00DD57F9" w:rsidRPr="00A75E0B" w:rsidRDefault="00DD57F9" w:rsidP="00D45C4E">
      <w:pPr>
        <w:pStyle w:val="SingleTxt"/>
        <w:keepNext/>
        <w:keepLines/>
        <w:numPr>
          <w:ilvl w:val="0"/>
          <w:numId w:val="8"/>
        </w:numPr>
        <w:tabs>
          <w:tab w:val="clear" w:pos="475"/>
          <w:tab w:val="num" w:pos="1742"/>
        </w:tabs>
        <w:ind w:left="1267"/>
      </w:pPr>
      <w:r w:rsidRPr="00A75E0B">
        <w:t xml:space="preserve">Le taux de mortalité infantile est le </w:t>
      </w:r>
      <w:r w:rsidR="00CE2D0E" w:rsidRPr="00A75E0B">
        <w:t xml:space="preserve">rapport entre le </w:t>
      </w:r>
      <w:r w:rsidRPr="00A75E0B">
        <w:t>nombre d</w:t>
      </w:r>
      <w:r w:rsidR="00FD740F">
        <w:t>’</w:t>
      </w:r>
      <w:r w:rsidRPr="00A75E0B">
        <w:t>enfants déc</w:t>
      </w:r>
      <w:r w:rsidR="00CE2D0E" w:rsidRPr="00A75E0B">
        <w:t xml:space="preserve">édés </w:t>
      </w:r>
      <w:r w:rsidRPr="00A75E0B">
        <w:t>avant d</w:t>
      </w:r>
      <w:r w:rsidR="00FD740F">
        <w:t>’</w:t>
      </w:r>
      <w:r w:rsidRPr="00A75E0B">
        <w:t>atteindre l</w:t>
      </w:r>
      <w:r w:rsidR="00FD740F">
        <w:t>’</w:t>
      </w:r>
      <w:r w:rsidRPr="00A75E0B">
        <w:t>âge d</w:t>
      </w:r>
      <w:r w:rsidR="00CE2D0E" w:rsidRPr="00A75E0B">
        <w:t>e 1 </w:t>
      </w:r>
      <w:r w:rsidRPr="00A75E0B">
        <w:t xml:space="preserve">an </w:t>
      </w:r>
      <w:r w:rsidR="00CE2D0E" w:rsidRPr="00A75E0B">
        <w:t>et l</w:t>
      </w:r>
      <w:r w:rsidR="00FD740F">
        <w:t>’</w:t>
      </w:r>
      <w:r w:rsidR="00CE2D0E" w:rsidRPr="00A75E0B">
        <w:t>ensemble des enfants nés viva</w:t>
      </w:r>
      <w:r w:rsidRPr="00A75E0B">
        <w:t>nt</w:t>
      </w:r>
      <w:r w:rsidR="00CE2D0E" w:rsidRPr="00A75E0B">
        <w:t xml:space="preserve">s </w:t>
      </w:r>
      <w:r w:rsidRPr="00A75E0B">
        <w:t>au cours d</w:t>
      </w:r>
      <w:r w:rsidR="00FD740F">
        <w:t>’</w:t>
      </w:r>
      <w:r w:rsidRPr="00A75E0B">
        <w:t>une année donnée.</w:t>
      </w:r>
      <w:r w:rsidR="00CE2D0E" w:rsidRPr="00A75E0B">
        <w:t xml:space="preserve"> Il est exprimé pour 1 000 naissances vivantes.</w:t>
      </w:r>
    </w:p>
    <w:p w:rsidR="00CE2D0E" w:rsidRPr="00A75E0B" w:rsidRDefault="005F799B" w:rsidP="004335A6">
      <w:pPr>
        <w:pStyle w:val="SingleTxt"/>
        <w:tabs>
          <w:tab w:val="clear" w:pos="3182"/>
          <w:tab w:val="left" w:pos="3600"/>
        </w:tabs>
        <w:spacing w:after="0"/>
        <w:ind w:firstLine="1267"/>
        <w:jc w:val="center"/>
      </w:pPr>
      <w:r>
        <w:tab/>
      </w:r>
      <w:r>
        <w:tab/>
      </w:r>
      <w:r w:rsidR="00CE2D0E" w:rsidRPr="00A75E0B">
        <w:t>Nombre d</w:t>
      </w:r>
      <w:r w:rsidR="00FD740F">
        <w:t>’</w:t>
      </w:r>
      <w:r w:rsidR="00CE2D0E" w:rsidRPr="00A75E0B">
        <w:t xml:space="preserve">enfants décédés à moins de 1 an </w:t>
      </w:r>
      <w:r w:rsidR="00CE2D0E" w:rsidRPr="00A75E0B">
        <w:br/>
      </w:r>
      <w:r>
        <w:tab/>
      </w:r>
      <w:r>
        <w:tab/>
      </w:r>
      <w:r>
        <w:tab/>
      </w:r>
      <w:r w:rsidR="00AC722F">
        <w:tab/>
      </w:r>
      <w:r w:rsidR="00CE2D0E" w:rsidRPr="00A75E0B">
        <w:t>dans la population d</w:t>
      </w:r>
      <w:r w:rsidR="00FD740F">
        <w:t>’</w:t>
      </w:r>
      <w:r w:rsidR="00CE2D0E" w:rsidRPr="00A75E0B">
        <w:t xml:space="preserve">une zone géographique </w:t>
      </w:r>
      <w:r w:rsidR="00CE2D0E" w:rsidRPr="00A75E0B">
        <w:br/>
      </w:r>
      <w:r>
        <w:tab/>
      </w:r>
      <w:r>
        <w:tab/>
      </w:r>
      <w:r>
        <w:tab/>
      </w:r>
      <w:r w:rsidR="00AC722F">
        <w:tab/>
      </w:r>
      <w:r w:rsidR="00CE2D0E" w:rsidRPr="00A75E0B">
        <w:t>déterminée pendant une année donnée</w:t>
      </w:r>
    </w:p>
    <w:p w:rsidR="00CE2D0E" w:rsidRPr="00A75E0B" w:rsidRDefault="00CE2D0E" w:rsidP="004335A6">
      <w:pPr>
        <w:pStyle w:val="SingleTxt"/>
        <w:spacing w:after="0"/>
        <w:jc w:val="left"/>
      </w:pPr>
      <w:r w:rsidRPr="00A75E0B">
        <w:rPr>
          <w:spacing w:val="-2"/>
        </w:rPr>
        <w:t>Taux annuel de mortalité infantile</w:t>
      </w:r>
      <w:r w:rsidRPr="00A75E0B">
        <w:rPr>
          <w:sz w:val="24"/>
          <w:szCs w:val="24"/>
          <w:vertAlign w:val="subscript"/>
        </w:rPr>
        <w:t xml:space="preserve"> =</w:t>
      </w:r>
      <w:r w:rsidRPr="00A75E0B">
        <w:t xml:space="preserve"> </w:t>
      </w:r>
      <w:r w:rsidRPr="00A75E0B">
        <w:rPr>
          <w:vertAlign w:val="superscript"/>
        </w:rPr>
        <w:t>_____________________________________________________</w:t>
      </w:r>
      <w:r w:rsidRPr="00A75E0B">
        <w:t xml:space="preserve"> x 1 000</w:t>
      </w:r>
    </w:p>
    <w:p w:rsidR="00CE2D0E" w:rsidRPr="00A75E0B" w:rsidRDefault="00AC722F" w:rsidP="00AC722F">
      <w:pPr>
        <w:pStyle w:val="SingleTxt"/>
        <w:tabs>
          <w:tab w:val="clear" w:pos="3182"/>
          <w:tab w:val="left" w:pos="3600"/>
        </w:tabs>
        <w:ind w:firstLine="1267"/>
        <w:jc w:val="center"/>
      </w:pPr>
      <w:r>
        <w:tab/>
      </w:r>
      <w:r>
        <w:tab/>
      </w:r>
      <w:r w:rsidR="00CE2D0E" w:rsidRPr="00A75E0B">
        <w:t>Nombre de naissances vivantes enregistrées</w:t>
      </w:r>
      <w:r w:rsidR="00CE2D0E" w:rsidRPr="00A75E0B">
        <w:br/>
      </w:r>
      <w:r>
        <w:tab/>
      </w:r>
      <w:r>
        <w:tab/>
      </w:r>
      <w:r>
        <w:tab/>
      </w:r>
      <w:r>
        <w:tab/>
      </w:r>
      <w:r w:rsidR="00CE2D0E" w:rsidRPr="00A75E0B">
        <w:t>dans la population d</w:t>
      </w:r>
      <w:r w:rsidR="00FD740F">
        <w:t>’</w:t>
      </w:r>
      <w:r w:rsidR="00CE2D0E" w:rsidRPr="00A75E0B">
        <w:t xml:space="preserve">une zone géographique </w:t>
      </w:r>
      <w:r w:rsidR="00CE2D0E" w:rsidRPr="00A75E0B">
        <w:br/>
      </w:r>
      <w:r>
        <w:tab/>
      </w:r>
      <w:r>
        <w:tab/>
      </w:r>
      <w:r>
        <w:tab/>
      </w:r>
      <w:r>
        <w:tab/>
      </w:r>
      <w:r w:rsidR="00CE2D0E" w:rsidRPr="00A75E0B">
        <w:t>déterminée pendant la même année</w:t>
      </w:r>
    </w:p>
    <w:p w:rsidR="00DD57F9" w:rsidRPr="00A75E0B" w:rsidRDefault="00DD57F9" w:rsidP="004A66F8">
      <w:pPr>
        <w:pStyle w:val="SingleTxt"/>
        <w:numPr>
          <w:ilvl w:val="0"/>
          <w:numId w:val="8"/>
        </w:numPr>
        <w:tabs>
          <w:tab w:val="clear" w:pos="475"/>
          <w:tab w:val="num" w:pos="1742"/>
        </w:tabs>
        <w:spacing w:before="120"/>
        <w:ind w:left="1267"/>
      </w:pPr>
      <w:r w:rsidRPr="00A75E0B">
        <w:t xml:space="preserve">Les naissances vivantes comptabilisées sont celles </w:t>
      </w:r>
      <w:r w:rsidR="00E23026" w:rsidRPr="00A75E0B">
        <w:t xml:space="preserve">qui sont </w:t>
      </w:r>
      <w:r w:rsidRPr="00A75E0B">
        <w:t>enregistrées pendant une année donnée et l</w:t>
      </w:r>
      <w:r w:rsidR="00FD740F">
        <w:t>’</w:t>
      </w:r>
      <w:r w:rsidRPr="00A75E0B">
        <w:t>année précédant celle-ci.</w:t>
      </w:r>
    </w:p>
    <w:p w:rsidR="00DD57F9" w:rsidRPr="00A75E0B" w:rsidRDefault="00DD57F9" w:rsidP="00E23026">
      <w:pPr>
        <w:pStyle w:val="FootnoteText"/>
        <w:tabs>
          <w:tab w:val="right" w:pos="1476"/>
          <w:tab w:val="left" w:pos="1548"/>
          <w:tab w:val="right" w:pos="1836"/>
          <w:tab w:val="left" w:pos="1908"/>
        </w:tabs>
        <w:spacing w:line="120" w:lineRule="exact"/>
        <w:ind w:left="1548" w:right="1267" w:hanging="288"/>
        <w:rPr>
          <w:sz w:val="10"/>
        </w:rPr>
      </w:pPr>
    </w:p>
    <w:p w:rsidR="00DD57F9" w:rsidRPr="00A75E0B" w:rsidRDefault="00DD57F9" w:rsidP="00E23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r>
      <w:r w:rsidRPr="00A75E0B">
        <w:rPr>
          <w:b w:val="0"/>
        </w:rPr>
        <w:t>Tableau 8</w:t>
      </w:r>
      <w:r w:rsidR="00E23026" w:rsidRPr="00A75E0B">
        <w:rPr>
          <w:b w:val="0"/>
        </w:rPr>
        <w:t xml:space="preserve"> </w:t>
      </w:r>
      <w:r w:rsidR="00E23026" w:rsidRPr="00A75E0B">
        <w:rPr>
          <w:b w:val="0"/>
        </w:rPr>
        <w:br/>
      </w:r>
      <w:r w:rsidRPr="00A75E0B">
        <w:t>Mortalité maternelle. Taux de mortalité maternelle, 2009</w:t>
      </w:r>
    </w:p>
    <w:p w:rsidR="00E23026" w:rsidRPr="00A75E0B" w:rsidRDefault="00E23026" w:rsidP="00E23026">
      <w:pPr>
        <w:pStyle w:val="SingleTxt"/>
        <w:spacing w:after="0" w:line="120" w:lineRule="exact"/>
        <w:rPr>
          <w:sz w:val="10"/>
        </w:rPr>
      </w:pPr>
    </w:p>
    <w:p w:rsidR="00E23026" w:rsidRPr="00A75E0B" w:rsidRDefault="00E23026" w:rsidP="00E23026">
      <w:pPr>
        <w:pStyle w:val="SingleTxt"/>
        <w:spacing w:after="0" w:line="120" w:lineRule="exact"/>
        <w:rPr>
          <w:sz w:val="10"/>
        </w:rPr>
      </w:pPr>
    </w:p>
    <w:tbl>
      <w:tblPr>
        <w:tblW w:w="0" w:type="auto"/>
        <w:tblInd w:w="1267" w:type="dxa"/>
        <w:tblLayout w:type="fixed"/>
        <w:tblCellMar>
          <w:left w:w="0" w:type="dxa"/>
          <w:right w:w="113" w:type="dxa"/>
        </w:tblCellMar>
        <w:tblLook w:val="0000" w:firstRow="0" w:lastRow="0" w:firstColumn="0" w:lastColumn="0" w:noHBand="0" w:noVBand="0"/>
      </w:tblPr>
      <w:tblGrid>
        <w:gridCol w:w="3428"/>
        <w:gridCol w:w="4086"/>
      </w:tblGrid>
      <w:tr w:rsidR="00DD57F9" w:rsidRPr="00A75E0B" w:rsidTr="00E23026">
        <w:trPr>
          <w:trHeight w:val="240"/>
          <w:tblHeader/>
        </w:trPr>
        <w:tc>
          <w:tcPr>
            <w:tcW w:w="3428"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DD57F9" w:rsidRPr="00A75E0B" w:rsidRDefault="00DD57F9" w:rsidP="00E23026">
            <w:pPr>
              <w:pStyle w:val="FootnoteText"/>
              <w:tabs>
                <w:tab w:val="right" w:pos="1476"/>
                <w:tab w:val="left" w:pos="1548"/>
                <w:tab w:val="right" w:pos="1836"/>
                <w:tab w:val="left" w:pos="1908"/>
              </w:tabs>
              <w:suppressAutoHyphens/>
              <w:spacing w:before="80" w:after="80" w:line="160" w:lineRule="exact"/>
              <w:ind w:right="43"/>
              <w:rPr>
                <w:bCs/>
                <w:i/>
                <w:sz w:val="14"/>
              </w:rPr>
            </w:pPr>
            <w:r w:rsidRPr="00A75E0B">
              <w:rPr>
                <w:bCs/>
                <w:i/>
                <w:sz w:val="14"/>
              </w:rPr>
              <w:t>Pays</w:t>
            </w:r>
          </w:p>
        </w:tc>
        <w:tc>
          <w:tcPr>
            <w:tcW w:w="4086"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DD57F9" w:rsidRPr="00A75E0B" w:rsidRDefault="00DD57F9" w:rsidP="00D45C4E">
            <w:pPr>
              <w:pStyle w:val="FootnoteText"/>
              <w:tabs>
                <w:tab w:val="right" w:pos="1476"/>
                <w:tab w:val="left" w:pos="1548"/>
                <w:tab w:val="right" w:pos="1836"/>
                <w:tab w:val="left" w:pos="1908"/>
              </w:tabs>
              <w:suppressAutoHyphens/>
              <w:spacing w:before="80" w:after="80" w:line="160" w:lineRule="exact"/>
              <w:jc w:val="right"/>
              <w:rPr>
                <w:bCs/>
                <w:i/>
                <w:sz w:val="14"/>
              </w:rPr>
            </w:pPr>
            <w:r w:rsidRPr="00A75E0B">
              <w:rPr>
                <w:bCs/>
                <w:i/>
                <w:sz w:val="14"/>
              </w:rPr>
              <w:t>Taux de m</w:t>
            </w:r>
            <w:r w:rsidRPr="00A75E0B">
              <w:rPr>
                <w:i/>
                <w:sz w:val="14"/>
              </w:rPr>
              <w:t>ortalité maternelle pour 10 000 naissances vivantes</w:t>
            </w:r>
          </w:p>
        </w:tc>
      </w:tr>
      <w:tr w:rsidR="00E23026" w:rsidRPr="00A75E0B" w:rsidTr="00E23026">
        <w:trPr>
          <w:trHeight w:hRule="exact" w:val="115"/>
          <w:tblHeader/>
        </w:trPr>
        <w:tc>
          <w:tcPr>
            <w:tcW w:w="3428" w:type="dxa"/>
            <w:tcBorders>
              <w:top w:val="single" w:sz="12" w:space="0" w:color="auto"/>
            </w:tcBorders>
            <w:shd w:val="clear" w:color="auto" w:fill="auto"/>
            <w:noWrap/>
            <w:tcMar>
              <w:top w:w="15" w:type="dxa"/>
              <w:left w:w="15" w:type="dxa"/>
              <w:bottom w:w="0" w:type="dxa"/>
              <w:right w:w="15" w:type="dxa"/>
            </w:tcMar>
            <w:vAlign w:val="bottom"/>
          </w:tcPr>
          <w:p w:rsidR="00E23026" w:rsidRPr="00A75E0B" w:rsidRDefault="00E23026" w:rsidP="00E23026">
            <w:pPr>
              <w:pStyle w:val="FootnoteText"/>
              <w:tabs>
                <w:tab w:val="right" w:pos="1476"/>
                <w:tab w:val="left" w:pos="1548"/>
                <w:tab w:val="right" w:pos="1836"/>
                <w:tab w:val="left" w:pos="1908"/>
              </w:tabs>
              <w:suppressAutoHyphens/>
              <w:spacing w:before="40" w:after="40"/>
              <w:ind w:right="43"/>
              <w:rPr>
                <w:bCs/>
              </w:rPr>
            </w:pPr>
          </w:p>
        </w:tc>
        <w:tc>
          <w:tcPr>
            <w:tcW w:w="4086" w:type="dxa"/>
            <w:tcBorders>
              <w:top w:val="single" w:sz="12" w:space="0" w:color="auto"/>
            </w:tcBorders>
            <w:shd w:val="clear" w:color="auto" w:fill="auto"/>
            <w:noWrap/>
            <w:tcMar>
              <w:top w:w="15" w:type="dxa"/>
              <w:left w:w="15" w:type="dxa"/>
              <w:bottom w:w="0" w:type="dxa"/>
              <w:right w:w="15" w:type="dxa"/>
            </w:tcMar>
            <w:vAlign w:val="bottom"/>
          </w:tcPr>
          <w:p w:rsidR="00E23026" w:rsidRPr="00A75E0B" w:rsidRDefault="00E23026" w:rsidP="00E23026">
            <w:pPr>
              <w:pStyle w:val="FootnoteText"/>
              <w:tabs>
                <w:tab w:val="right" w:pos="1476"/>
                <w:tab w:val="left" w:pos="1548"/>
                <w:tab w:val="right" w:pos="1836"/>
                <w:tab w:val="left" w:pos="1908"/>
              </w:tabs>
              <w:suppressAutoHyphens/>
              <w:spacing w:before="40" w:after="40"/>
              <w:ind w:right="43"/>
              <w:jc w:val="right"/>
              <w:rPr>
                <w:bCs/>
              </w:rPr>
            </w:pPr>
          </w:p>
        </w:tc>
      </w:tr>
      <w:tr w:rsidR="00DD57F9" w:rsidRPr="00A75E0B" w:rsidTr="00E23026">
        <w:trPr>
          <w:trHeight w:val="240"/>
        </w:trPr>
        <w:tc>
          <w:tcPr>
            <w:tcW w:w="3428" w:type="dxa"/>
            <w:tcBorders>
              <w:bottom w:val="single" w:sz="12" w:space="0" w:color="auto"/>
            </w:tcBorders>
            <w:shd w:val="clear" w:color="auto" w:fill="auto"/>
            <w:noWrap/>
            <w:tcMar>
              <w:top w:w="15" w:type="dxa"/>
              <w:left w:w="15" w:type="dxa"/>
              <w:bottom w:w="0" w:type="dxa"/>
              <w:right w:w="15" w:type="dxa"/>
            </w:tcMar>
            <w:vAlign w:val="bottom"/>
          </w:tcPr>
          <w:p w:rsidR="00DD57F9" w:rsidRPr="00A75E0B" w:rsidRDefault="00DD57F9" w:rsidP="00E23026">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rPr>
                <w:bCs/>
              </w:rPr>
            </w:pPr>
            <w:r w:rsidRPr="00A75E0B">
              <w:rPr>
                <w:bCs/>
              </w:rPr>
              <w:t>République argentine</w:t>
            </w:r>
          </w:p>
        </w:tc>
        <w:tc>
          <w:tcPr>
            <w:tcW w:w="4086" w:type="dxa"/>
            <w:tcBorders>
              <w:bottom w:val="single" w:sz="12" w:space="0" w:color="auto"/>
            </w:tcBorders>
            <w:shd w:val="clear" w:color="auto" w:fill="auto"/>
            <w:noWrap/>
            <w:tcMar>
              <w:top w:w="15" w:type="dxa"/>
              <w:left w:w="15" w:type="dxa"/>
              <w:bottom w:w="0" w:type="dxa"/>
              <w:right w:w="15" w:type="dxa"/>
            </w:tcMar>
            <w:vAlign w:val="bottom"/>
          </w:tcPr>
          <w:p w:rsidR="00DD57F9" w:rsidRPr="00A75E0B" w:rsidRDefault="00DD57F9" w:rsidP="00D45C4E">
            <w:pPr>
              <w:pStyle w:val="FootnoteText"/>
              <w:tabs>
                <w:tab w:val="left" w:pos="288"/>
                <w:tab w:val="left" w:pos="576"/>
                <w:tab w:val="left" w:pos="864"/>
                <w:tab w:val="left" w:pos="1152"/>
                <w:tab w:val="right" w:pos="1476"/>
                <w:tab w:val="left" w:pos="1548"/>
                <w:tab w:val="right" w:pos="1836"/>
                <w:tab w:val="left" w:pos="1908"/>
              </w:tabs>
              <w:suppressAutoHyphens/>
              <w:spacing w:before="40" w:after="40"/>
              <w:jc w:val="right"/>
              <w:rPr>
                <w:bCs/>
              </w:rPr>
            </w:pPr>
            <w:r w:rsidRPr="00A75E0B">
              <w:rPr>
                <w:bCs/>
              </w:rPr>
              <w:t>5,5</w:t>
            </w:r>
          </w:p>
        </w:tc>
      </w:tr>
    </w:tbl>
    <w:p w:rsidR="00E23026" w:rsidRPr="00A75E0B" w:rsidRDefault="00E23026" w:rsidP="00E23026">
      <w:pPr>
        <w:pStyle w:val="FootnoteText"/>
        <w:tabs>
          <w:tab w:val="right" w:pos="1476"/>
          <w:tab w:val="left" w:pos="1548"/>
          <w:tab w:val="right" w:pos="1836"/>
          <w:tab w:val="left" w:pos="1908"/>
        </w:tabs>
        <w:spacing w:line="120" w:lineRule="exact"/>
        <w:ind w:left="1548" w:right="1267" w:hanging="288"/>
        <w:rPr>
          <w:i/>
          <w:iCs/>
          <w:sz w:val="10"/>
        </w:rPr>
      </w:pPr>
    </w:p>
    <w:p w:rsidR="00DD57F9" w:rsidRPr="00A75E0B" w:rsidRDefault="00DD57F9" w:rsidP="00E23026">
      <w:pPr>
        <w:pStyle w:val="FootnoteText"/>
        <w:tabs>
          <w:tab w:val="right" w:pos="1476"/>
          <w:tab w:val="left" w:pos="1548"/>
          <w:tab w:val="right" w:pos="1836"/>
          <w:tab w:val="left" w:pos="1908"/>
        </w:tabs>
        <w:ind w:left="1548" w:right="1267" w:hanging="288"/>
      </w:pPr>
      <w:r w:rsidRPr="00A75E0B">
        <w:rPr>
          <w:i/>
          <w:iCs/>
        </w:rPr>
        <w:t>Source</w:t>
      </w:r>
      <w:r w:rsidR="00AB4AC5" w:rsidRPr="00A75E0B">
        <w:rPr>
          <w:i/>
          <w:iCs/>
        </w:rPr>
        <w:t> </w:t>
      </w:r>
      <w:r w:rsidRPr="00A75E0B">
        <w:t xml:space="preserve">: Direction de </w:t>
      </w:r>
      <w:r w:rsidR="00E23026" w:rsidRPr="00A75E0B">
        <w:t xml:space="preserve">la </w:t>
      </w:r>
      <w:r w:rsidRPr="00A75E0B">
        <w:t>statistique et d</w:t>
      </w:r>
      <w:r w:rsidR="00E23026" w:rsidRPr="00A75E0B">
        <w:t>e l</w:t>
      </w:r>
      <w:r w:rsidR="00FD740F">
        <w:t>’</w:t>
      </w:r>
      <w:r w:rsidRPr="00A75E0B">
        <w:t>information sur la santé, Ministère de la santé.</w:t>
      </w:r>
    </w:p>
    <w:p w:rsidR="00E23026" w:rsidRPr="00A75E0B" w:rsidRDefault="00E23026" w:rsidP="00E23026">
      <w:pPr>
        <w:pStyle w:val="FootnoteText"/>
        <w:tabs>
          <w:tab w:val="right" w:pos="1476"/>
          <w:tab w:val="left" w:pos="1548"/>
          <w:tab w:val="right" w:pos="1836"/>
          <w:tab w:val="left" w:pos="1908"/>
        </w:tabs>
        <w:spacing w:line="120" w:lineRule="exact"/>
        <w:ind w:left="1548" w:right="1267" w:hanging="288"/>
        <w:rPr>
          <w:sz w:val="10"/>
        </w:rPr>
      </w:pPr>
    </w:p>
    <w:p w:rsidR="00E23026" w:rsidRPr="00A75E0B" w:rsidRDefault="00E23026" w:rsidP="00E23026">
      <w:pPr>
        <w:pStyle w:val="FootnoteText"/>
        <w:tabs>
          <w:tab w:val="right" w:pos="1476"/>
          <w:tab w:val="left" w:pos="1548"/>
          <w:tab w:val="right" w:pos="1836"/>
          <w:tab w:val="left" w:pos="1908"/>
        </w:tabs>
        <w:spacing w:line="120" w:lineRule="exact"/>
        <w:ind w:left="1548" w:right="1267" w:hanging="288"/>
        <w:rPr>
          <w:sz w:val="10"/>
        </w:rPr>
      </w:pPr>
    </w:p>
    <w:p w:rsidR="00E23026" w:rsidRPr="00A75E0B" w:rsidRDefault="00E23026" w:rsidP="00E23026">
      <w:pPr>
        <w:pStyle w:val="FootnoteText"/>
        <w:tabs>
          <w:tab w:val="right" w:pos="1476"/>
          <w:tab w:val="left" w:pos="1548"/>
          <w:tab w:val="right" w:pos="1836"/>
          <w:tab w:val="left" w:pos="1908"/>
        </w:tabs>
        <w:spacing w:line="120" w:lineRule="exact"/>
        <w:ind w:left="1548" w:right="1267" w:hanging="288"/>
        <w:rPr>
          <w:sz w:val="10"/>
        </w:rPr>
      </w:pPr>
    </w:p>
    <w:p w:rsidR="00DD57F9" w:rsidRPr="00A75E0B" w:rsidRDefault="00E23026" w:rsidP="00E2302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rPr>
      </w:pPr>
      <w:r w:rsidRPr="00A75E0B">
        <w:tab/>
      </w:r>
      <w:r w:rsidRPr="00A75E0B">
        <w:tab/>
      </w:r>
      <w:r w:rsidR="00DD57F9" w:rsidRPr="00A75E0B">
        <w:t>Note technique</w:t>
      </w:r>
      <w:r w:rsidRPr="00A75E0B">
        <w:t> </w:t>
      </w:r>
      <w:r w:rsidRPr="00A75E0B">
        <w:rPr>
          <w:i w:val="0"/>
        </w:rPr>
        <w:t>:</w:t>
      </w:r>
    </w:p>
    <w:p w:rsidR="00E23026" w:rsidRPr="00A75E0B" w:rsidRDefault="00E23026" w:rsidP="00E23026">
      <w:pPr>
        <w:pStyle w:val="SingleTxt"/>
        <w:spacing w:after="0" w:line="120" w:lineRule="exact"/>
        <w:rPr>
          <w:sz w:val="10"/>
        </w:rPr>
      </w:pPr>
    </w:p>
    <w:p w:rsidR="00DD57F9" w:rsidRPr="00A75E0B" w:rsidRDefault="00DD57F9" w:rsidP="00CE2D0E">
      <w:pPr>
        <w:pStyle w:val="SingleTxt"/>
        <w:numPr>
          <w:ilvl w:val="0"/>
          <w:numId w:val="8"/>
        </w:numPr>
        <w:tabs>
          <w:tab w:val="clear" w:pos="475"/>
          <w:tab w:val="num" w:pos="1742"/>
        </w:tabs>
        <w:ind w:left="1267"/>
      </w:pPr>
      <w:r w:rsidRPr="00A75E0B">
        <w:t xml:space="preserve">Le taux de mortalité maternelle reflète le risque de décès des femmes </w:t>
      </w:r>
      <w:r w:rsidR="00E23026" w:rsidRPr="00A75E0B">
        <w:t xml:space="preserve">lié à </w:t>
      </w:r>
      <w:r w:rsidRPr="00A75E0B">
        <w:t xml:space="preserve">la grossesse, </w:t>
      </w:r>
      <w:r w:rsidR="00E23026" w:rsidRPr="00A75E0B">
        <w:t xml:space="preserve">à </w:t>
      </w:r>
      <w:r w:rsidRPr="00A75E0B">
        <w:t>l</w:t>
      </w:r>
      <w:r w:rsidR="00FD740F">
        <w:t>’</w:t>
      </w:r>
      <w:r w:rsidRPr="00A75E0B">
        <w:t xml:space="preserve">accouchement et </w:t>
      </w:r>
      <w:r w:rsidR="00E23026" w:rsidRPr="00A75E0B">
        <w:t>à ses suites</w:t>
      </w:r>
      <w:r w:rsidRPr="00A75E0B">
        <w:t>.</w:t>
      </w:r>
    </w:p>
    <w:p w:rsidR="00DD57F9" w:rsidRPr="00A75E0B" w:rsidRDefault="00DD57F9" w:rsidP="00CE2D0E">
      <w:pPr>
        <w:pStyle w:val="SingleTxt"/>
        <w:numPr>
          <w:ilvl w:val="0"/>
          <w:numId w:val="8"/>
        </w:numPr>
        <w:tabs>
          <w:tab w:val="clear" w:pos="475"/>
          <w:tab w:val="num" w:pos="1742"/>
        </w:tabs>
        <w:ind w:left="1267"/>
      </w:pPr>
      <w:r w:rsidRPr="00A75E0B">
        <w:t xml:space="preserve">Le nombre de naissances vivantes sert de dénominateur pour </w:t>
      </w:r>
      <w:r w:rsidR="00E23026" w:rsidRPr="00A75E0B">
        <w:t xml:space="preserve">obtenir une </w:t>
      </w:r>
      <w:r w:rsidRPr="00A75E0B">
        <w:t>approximati</w:t>
      </w:r>
      <w:r w:rsidR="00E23026" w:rsidRPr="00A75E0B">
        <w:t xml:space="preserve">on du </w:t>
      </w:r>
      <w:r w:rsidRPr="00A75E0B">
        <w:t xml:space="preserve">nombre de femmes </w:t>
      </w:r>
      <w:r w:rsidR="00E23026" w:rsidRPr="00A75E0B">
        <w:t>exposées à un risque de décès lié à la grossesse</w:t>
      </w:r>
      <w:r w:rsidRPr="00A75E0B">
        <w:t>, à l</w:t>
      </w:r>
      <w:r w:rsidR="00FD740F">
        <w:t>’</w:t>
      </w:r>
      <w:r w:rsidRPr="00A75E0B">
        <w:t>accouchement et aux suites de l</w:t>
      </w:r>
      <w:r w:rsidR="00FD740F">
        <w:t>’</w:t>
      </w:r>
      <w:r w:rsidRPr="00A75E0B">
        <w:t>accouchement. Il s</w:t>
      </w:r>
      <w:r w:rsidR="00FD740F">
        <w:t>’</w:t>
      </w:r>
      <w:r w:rsidRPr="00A75E0B">
        <w:t>exprime pour 10</w:t>
      </w:r>
      <w:r w:rsidR="00A73D60" w:rsidRPr="00A75E0B">
        <w:t> </w:t>
      </w:r>
      <w:r w:rsidRPr="00A75E0B">
        <w:t>000</w:t>
      </w:r>
      <w:r w:rsidR="00A73D60" w:rsidRPr="00A75E0B">
        <w:t xml:space="preserve"> </w:t>
      </w:r>
      <w:r w:rsidRPr="00A75E0B">
        <w:t>naissances vivantes.</w:t>
      </w:r>
    </w:p>
    <w:p w:rsidR="00E23026" w:rsidRPr="00A75E0B" w:rsidRDefault="00AC722F" w:rsidP="004335A6">
      <w:pPr>
        <w:pStyle w:val="SingleTxt"/>
        <w:tabs>
          <w:tab w:val="clear" w:pos="3182"/>
          <w:tab w:val="left" w:pos="3600"/>
        </w:tabs>
        <w:spacing w:after="0"/>
        <w:ind w:firstLine="1267"/>
        <w:jc w:val="center"/>
      </w:pPr>
      <w:r>
        <w:tab/>
      </w:r>
      <w:r>
        <w:tab/>
      </w:r>
      <w:r w:rsidR="00E23026" w:rsidRPr="00A75E0B">
        <w:t xml:space="preserve">Nombre de décès liés à la maternité survenus </w:t>
      </w:r>
      <w:r w:rsidR="00E23026" w:rsidRPr="00A75E0B">
        <w:br/>
      </w:r>
      <w:r>
        <w:tab/>
      </w:r>
      <w:r>
        <w:tab/>
      </w:r>
      <w:r>
        <w:tab/>
      </w:r>
      <w:r>
        <w:tab/>
      </w:r>
      <w:r w:rsidR="00E23026" w:rsidRPr="00A75E0B">
        <w:t>dans la population féminine d</w:t>
      </w:r>
      <w:r w:rsidR="00FD740F">
        <w:t>’</w:t>
      </w:r>
      <w:r w:rsidR="00E23026" w:rsidRPr="00A75E0B">
        <w:t xml:space="preserve">une zone </w:t>
      </w:r>
      <w:r w:rsidR="003E2E01">
        <w:br/>
      </w:r>
      <w:r w:rsidR="003E2E01">
        <w:tab/>
      </w:r>
      <w:r w:rsidR="003E2E01">
        <w:tab/>
      </w:r>
      <w:r w:rsidR="003E2E01">
        <w:tab/>
      </w:r>
      <w:r w:rsidR="003E2E01">
        <w:tab/>
      </w:r>
      <w:r w:rsidR="00E23026" w:rsidRPr="00A75E0B">
        <w:t xml:space="preserve">géographique déterminée pendant </w:t>
      </w:r>
      <w:r w:rsidR="003E2E01">
        <w:br/>
      </w:r>
      <w:r w:rsidR="003E2E01">
        <w:tab/>
      </w:r>
      <w:r w:rsidR="003E2E01">
        <w:tab/>
      </w:r>
      <w:r w:rsidR="003E2E01">
        <w:tab/>
      </w:r>
      <w:r w:rsidR="003E2E01">
        <w:tab/>
      </w:r>
      <w:r w:rsidR="00E23026" w:rsidRPr="00A75E0B">
        <w:t>une année donnée</w:t>
      </w:r>
    </w:p>
    <w:p w:rsidR="00E23026" w:rsidRPr="00A75E0B" w:rsidRDefault="00E23026" w:rsidP="004335A6">
      <w:pPr>
        <w:pStyle w:val="SingleTxt"/>
        <w:spacing w:after="0"/>
        <w:jc w:val="left"/>
      </w:pPr>
      <w:r w:rsidRPr="00A75E0B">
        <w:rPr>
          <w:spacing w:val="-2"/>
        </w:rPr>
        <w:t xml:space="preserve">Taux annuel de mortalité </w:t>
      </w:r>
      <w:r w:rsidR="00AC722F">
        <w:rPr>
          <w:spacing w:val="-2"/>
        </w:rPr>
        <w:t>maternelle</w:t>
      </w:r>
      <w:r w:rsidRPr="00A75E0B">
        <w:rPr>
          <w:sz w:val="24"/>
          <w:szCs w:val="24"/>
          <w:vertAlign w:val="subscript"/>
        </w:rPr>
        <w:t xml:space="preserve"> =</w:t>
      </w:r>
      <w:r w:rsidRPr="00A75E0B">
        <w:t xml:space="preserve"> </w:t>
      </w:r>
      <w:r w:rsidRPr="00A75E0B">
        <w:rPr>
          <w:vertAlign w:val="superscript"/>
        </w:rPr>
        <w:t>__________________________________________________</w:t>
      </w:r>
      <w:r w:rsidRPr="00A75E0B">
        <w:t xml:space="preserve"> x 1 000</w:t>
      </w:r>
    </w:p>
    <w:p w:rsidR="00E23026" w:rsidRPr="00A75E0B" w:rsidRDefault="00AC722F" w:rsidP="00AC722F">
      <w:pPr>
        <w:pStyle w:val="SingleTxt"/>
        <w:tabs>
          <w:tab w:val="clear" w:pos="3182"/>
          <w:tab w:val="left" w:pos="3600"/>
        </w:tabs>
        <w:ind w:firstLine="1267"/>
        <w:jc w:val="center"/>
      </w:pPr>
      <w:r>
        <w:tab/>
      </w:r>
      <w:r>
        <w:tab/>
      </w:r>
      <w:r w:rsidR="00E23026" w:rsidRPr="00A75E0B">
        <w:t xml:space="preserve">Nombre de naissances vivantes enregistrées </w:t>
      </w:r>
      <w:r w:rsidR="00E23026" w:rsidRPr="00A75E0B">
        <w:br/>
      </w:r>
      <w:r>
        <w:tab/>
      </w:r>
      <w:r>
        <w:tab/>
      </w:r>
      <w:r>
        <w:tab/>
      </w:r>
      <w:r>
        <w:tab/>
      </w:r>
      <w:r w:rsidR="00E23026" w:rsidRPr="00A75E0B">
        <w:t>dans la population d</w:t>
      </w:r>
      <w:r w:rsidR="00FD740F">
        <w:t>’</w:t>
      </w:r>
      <w:r w:rsidR="00E23026" w:rsidRPr="00A75E0B">
        <w:t xml:space="preserve">une zone géographique </w:t>
      </w:r>
      <w:r w:rsidR="00E23026" w:rsidRPr="00A75E0B">
        <w:br/>
      </w:r>
      <w:r>
        <w:tab/>
      </w:r>
      <w:r>
        <w:tab/>
      </w:r>
      <w:r>
        <w:tab/>
      </w:r>
      <w:r>
        <w:tab/>
      </w:r>
      <w:r w:rsidR="00E23026" w:rsidRPr="00A75E0B">
        <w:t>déterminée pendant la même année</w:t>
      </w:r>
    </w:p>
    <w:p w:rsidR="00DD57F9" w:rsidRPr="00A75E0B" w:rsidRDefault="00DD57F9" w:rsidP="004A66F8">
      <w:pPr>
        <w:pStyle w:val="SingleTxt"/>
        <w:numPr>
          <w:ilvl w:val="0"/>
          <w:numId w:val="8"/>
        </w:numPr>
        <w:tabs>
          <w:tab w:val="clear" w:pos="475"/>
          <w:tab w:val="num" w:pos="1742"/>
        </w:tabs>
        <w:spacing w:before="120"/>
        <w:ind w:left="1267"/>
      </w:pPr>
      <w:r w:rsidRPr="00A75E0B">
        <w:t>En 2001, une question a été ajoutée aux formulaires statistiques de déclaration de décès</w:t>
      </w:r>
      <w:r w:rsidR="004A66F8" w:rsidRPr="00A75E0B">
        <w:t xml:space="preserve">, afin de </w:t>
      </w:r>
      <w:r w:rsidRPr="00A75E0B">
        <w:t xml:space="preserve">mieux identifier les cas de décès maternels et, par conséquent, </w:t>
      </w:r>
      <w:r w:rsidR="004A66F8" w:rsidRPr="00A75E0B">
        <w:t xml:space="preserve">de connaître </w:t>
      </w:r>
      <w:r w:rsidRPr="00A75E0B">
        <w:t xml:space="preserve">plus précisément </w:t>
      </w:r>
      <w:r w:rsidR="004A66F8" w:rsidRPr="00A75E0B">
        <w:t>l</w:t>
      </w:r>
      <w:r w:rsidR="00FD740F">
        <w:t>’</w:t>
      </w:r>
      <w:r w:rsidR="004A66F8" w:rsidRPr="00A75E0B">
        <w:t xml:space="preserve">ampleur du </w:t>
      </w:r>
      <w:r w:rsidRPr="00A75E0B">
        <w:t>taux de mortalité maternelle.</w:t>
      </w:r>
    </w:p>
    <w:p w:rsidR="00DD57F9" w:rsidRPr="00A75E0B" w:rsidRDefault="00103526" w:rsidP="00CE2D0E">
      <w:pPr>
        <w:pStyle w:val="SingleTxt"/>
        <w:numPr>
          <w:ilvl w:val="0"/>
          <w:numId w:val="8"/>
        </w:numPr>
        <w:tabs>
          <w:tab w:val="clear" w:pos="475"/>
          <w:tab w:val="num" w:pos="1742"/>
        </w:tabs>
        <w:ind w:left="1267"/>
      </w:pPr>
      <w:r w:rsidRPr="00A75E0B">
        <w:t>Avec cet outil</w:t>
      </w:r>
      <w:r w:rsidR="00DD57F9" w:rsidRPr="00A75E0B">
        <w:t>, le système des statistiques sanitaires s</w:t>
      </w:r>
      <w:r w:rsidR="00FD740F">
        <w:t>’</w:t>
      </w:r>
      <w:r w:rsidR="00DD57F9" w:rsidRPr="00A75E0B">
        <w:t>e</w:t>
      </w:r>
      <w:r w:rsidRPr="00A75E0B">
        <w:t>fforce chaque année d</w:t>
      </w:r>
      <w:r w:rsidR="00FD740F">
        <w:t>’</w:t>
      </w:r>
      <w:r w:rsidR="00DD57F9" w:rsidRPr="00A75E0B">
        <w:t>améliorer la qualité de</w:t>
      </w:r>
      <w:r w:rsidRPr="00A75E0B">
        <w:t xml:space="preserve"> l</w:t>
      </w:r>
      <w:r w:rsidR="00FD740F">
        <w:t>’</w:t>
      </w:r>
      <w:r w:rsidR="00DD57F9" w:rsidRPr="00A75E0B">
        <w:t xml:space="preserve">information et </w:t>
      </w:r>
      <w:r w:rsidRPr="00A75E0B">
        <w:t>d</w:t>
      </w:r>
      <w:r w:rsidR="00FD740F">
        <w:t>’</w:t>
      </w:r>
      <w:r w:rsidR="00DD57F9" w:rsidRPr="00A75E0B">
        <w:t>éviter que les cas de mortalité maternelle ne soient pas pris en compte.</w:t>
      </w:r>
    </w:p>
    <w:p w:rsidR="00DD57F9" w:rsidRDefault="00103526" w:rsidP="00CE2D0E">
      <w:pPr>
        <w:pStyle w:val="SingleTxt"/>
        <w:numPr>
          <w:ilvl w:val="0"/>
          <w:numId w:val="8"/>
        </w:numPr>
        <w:tabs>
          <w:tab w:val="clear" w:pos="475"/>
          <w:tab w:val="num" w:pos="1742"/>
        </w:tabs>
        <w:ind w:left="1267"/>
      </w:pPr>
      <w:r w:rsidRPr="00A75E0B">
        <w:t>D</w:t>
      </w:r>
      <w:r w:rsidR="00DD57F9" w:rsidRPr="00A75E0B">
        <w:t xml:space="preserve">es </w:t>
      </w:r>
      <w:r w:rsidRPr="00A75E0B">
        <w:t>recherches</w:t>
      </w:r>
      <w:r w:rsidR="00DD57F9" w:rsidRPr="00A75E0B">
        <w:t xml:space="preserve"> réalisées par </w:t>
      </w:r>
      <w:r w:rsidR="00906016">
        <w:t>la Direction</w:t>
      </w:r>
      <w:r w:rsidR="00DD57F9" w:rsidRPr="00A75E0B">
        <w:t xml:space="preserve"> de </w:t>
      </w:r>
      <w:r w:rsidRPr="00A75E0B">
        <w:t xml:space="preserve">la </w:t>
      </w:r>
      <w:r w:rsidR="00DD57F9" w:rsidRPr="00A75E0B">
        <w:t>statistique et d</w:t>
      </w:r>
      <w:r w:rsidRPr="00A75E0B">
        <w:t>e l</w:t>
      </w:r>
      <w:r w:rsidR="00FD740F">
        <w:t>’</w:t>
      </w:r>
      <w:r w:rsidR="00DD57F9" w:rsidRPr="00A75E0B">
        <w:t xml:space="preserve">information sur la santé dans les années 2000-2001 et 2005-2006 ont </w:t>
      </w:r>
      <w:r w:rsidRPr="00A75E0B">
        <w:t xml:space="preserve">démontré que dans un certain nombre de </w:t>
      </w:r>
      <w:r w:rsidR="00DD57F9" w:rsidRPr="00A75E0B">
        <w:t xml:space="preserve">juridictions </w:t>
      </w:r>
      <w:r w:rsidRPr="00A75E0B">
        <w:t xml:space="preserve">les autorités compétentes </w:t>
      </w:r>
      <w:r w:rsidR="00DD57F9" w:rsidRPr="00A75E0B">
        <w:t>n</w:t>
      </w:r>
      <w:r w:rsidR="00FD740F">
        <w:t>’</w:t>
      </w:r>
      <w:r w:rsidR="00DD57F9" w:rsidRPr="00A75E0B">
        <w:t xml:space="preserve">avaient pas </w:t>
      </w:r>
      <w:r w:rsidRPr="00A75E0B">
        <w:t>i</w:t>
      </w:r>
      <w:r w:rsidR="00DD57F9" w:rsidRPr="00A75E0B">
        <w:t xml:space="preserve">nscrit les naissances vivantes </w:t>
      </w:r>
      <w:r w:rsidRPr="00A75E0B">
        <w:t>au registre d</w:t>
      </w:r>
      <w:r w:rsidR="00FD740F">
        <w:t>’</w:t>
      </w:r>
      <w:r w:rsidRPr="00A75E0B">
        <w:t xml:space="preserve">état civil </w:t>
      </w:r>
      <w:r w:rsidR="00DD57F9" w:rsidRPr="00A75E0B">
        <w:t xml:space="preserve">ni </w:t>
      </w:r>
      <w:r w:rsidRPr="00A75E0B">
        <w:t xml:space="preserve">établi </w:t>
      </w:r>
      <w:r w:rsidR="00DD57F9" w:rsidRPr="00A75E0B">
        <w:t>de statistique. Les décrets n</w:t>
      </w:r>
      <w:r w:rsidRPr="00A75E0B">
        <w:rPr>
          <w:vertAlign w:val="superscript"/>
        </w:rPr>
        <w:t>os</w:t>
      </w:r>
      <w:r w:rsidRPr="00A75E0B">
        <w:t> </w:t>
      </w:r>
      <w:r w:rsidR="00DD57F9" w:rsidRPr="00A75E0B">
        <w:t xml:space="preserve">262/03, 832/04 et 819/05, relatifs à la délivrance </w:t>
      </w:r>
      <w:r w:rsidRPr="00A75E0B">
        <w:t xml:space="preserve">gratuite </w:t>
      </w:r>
      <w:r w:rsidR="00DD57F9" w:rsidRPr="00A75E0B">
        <w:t>d</w:t>
      </w:r>
      <w:r w:rsidR="00FD740F">
        <w:t>’</w:t>
      </w:r>
      <w:r w:rsidR="00DD57F9" w:rsidRPr="00A75E0B">
        <w:t>une carte nationale d</w:t>
      </w:r>
      <w:r w:rsidR="00FD740F">
        <w:t>’</w:t>
      </w:r>
      <w:r w:rsidR="00DD57F9" w:rsidRPr="00A75E0B">
        <w:t xml:space="preserve">identité à la </w:t>
      </w:r>
      <w:r w:rsidR="00DD57F9" w:rsidRPr="00A75E0B">
        <w:lastRenderedPageBreak/>
        <w:t xml:space="preserve">naissance, </w:t>
      </w:r>
      <w:r w:rsidR="00D45C4E">
        <w:t>et la loi n</w:t>
      </w:r>
      <w:r w:rsidR="00D45C4E" w:rsidRPr="00D45C4E">
        <w:rPr>
          <w:vertAlign w:val="superscript"/>
        </w:rPr>
        <w:t>o</w:t>
      </w:r>
      <w:r w:rsidR="00D45C4E">
        <w:t> </w:t>
      </w:r>
      <w:r w:rsidR="00DD57F9" w:rsidRPr="00A75E0B">
        <w:t xml:space="preserve">26061/05, mise en œuvre par le décret </w:t>
      </w:r>
      <w:r w:rsidRPr="00A75E0B">
        <w:t>n</w:t>
      </w:r>
      <w:r w:rsidRPr="00A75E0B">
        <w:rPr>
          <w:vertAlign w:val="superscript"/>
        </w:rPr>
        <w:t>o</w:t>
      </w:r>
      <w:r w:rsidRPr="00A75E0B">
        <w:t> </w:t>
      </w:r>
      <w:r w:rsidR="00DD57F9" w:rsidRPr="00A75E0B">
        <w:t>415/06, qui institue le principe de</w:t>
      </w:r>
      <w:r w:rsidRPr="00A75E0B">
        <w:t xml:space="preserve"> la</w:t>
      </w:r>
      <w:r w:rsidR="00DD57F9" w:rsidRPr="00A75E0B">
        <w:t xml:space="preserve"> gratuité de la première carte nationale d</w:t>
      </w:r>
      <w:r w:rsidR="00FD740F">
        <w:t>’</w:t>
      </w:r>
      <w:r w:rsidR="00DD57F9" w:rsidRPr="00A75E0B">
        <w:t>identité pour tous les enfants et adolescents nés en Argentine, ont permis d</w:t>
      </w:r>
      <w:r w:rsidR="00FD740F">
        <w:t>’</w:t>
      </w:r>
      <w:r w:rsidR="00DD57F9" w:rsidRPr="00A75E0B">
        <w:t>améliorer l</w:t>
      </w:r>
      <w:r w:rsidR="00FD740F">
        <w:t>’</w:t>
      </w:r>
      <w:r w:rsidR="00DD57F9" w:rsidRPr="00A75E0B">
        <w:t>enregistrement des naissances vivant</w:t>
      </w:r>
      <w:r w:rsidRPr="00A75E0B">
        <w:t>es, en particulier depuis 2004.</w:t>
      </w:r>
    </w:p>
    <w:p w:rsidR="00D45C4E" w:rsidRPr="00D45C4E" w:rsidRDefault="00D45C4E" w:rsidP="00D45C4E">
      <w:pPr>
        <w:pStyle w:val="SingleTxt"/>
        <w:tabs>
          <w:tab w:val="clear" w:pos="1742"/>
        </w:tabs>
        <w:spacing w:after="0" w:line="120" w:lineRule="exact"/>
        <w:rPr>
          <w:sz w:val="10"/>
        </w:rPr>
      </w:pPr>
    </w:p>
    <w:p w:rsidR="00DD57F9" w:rsidRPr="00A75E0B" w:rsidRDefault="00BE3F3D" w:rsidP="00BE3F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r>
      <w:r w:rsidR="00DD57F9" w:rsidRPr="00A75E0B">
        <w:rPr>
          <w:b w:val="0"/>
        </w:rPr>
        <w:t>Tableau 9</w:t>
      </w:r>
      <w:r w:rsidRPr="00A75E0B">
        <w:rPr>
          <w:b w:val="0"/>
        </w:rPr>
        <w:t xml:space="preserve"> </w:t>
      </w:r>
      <w:r w:rsidRPr="00A75E0B">
        <w:rPr>
          <w:b w:val="0"/>
        </w:rPr>
        <w:br/>
      </w:r>
      <w:r w:rsidR="00DD57F9" w:rsidRPr="00A75E0B">
        <w:t>Indicateurs relatifs à la délinquance et à l</w:t>
      </w:r>
      <w:r w:rsidR="00FD740F">
        <w:t>’</w:t>
      </w:r>
      <w:r w:rsidR="00DD57F9" w:rsidRPr="00A75E0B">
        <w:t>administration de la justice</w:t>
      </w:r>
      <w:r w:rsidR="00D45C4E">
        <w:t> </w:t>
      </w:r>
      <w:r w:rsidR="00DD57F9" w:rsidRPr="00A75E0B">
        <w:t xml:space="preserve">: </w:t>
      </w:r>
      <w:r w:rsidRPr="00A75E0B">
        <w:br/>
      </w:r>
      <w:r w:rsidR="00DD57F9" w:rsidRPr="00A75E0B">
        <w:t>statistiques criminelles</w:t>
      </w:r>
    </w:p>
    <w:p w:rsidR="00BE3F3D" w:rsidRPr="00A75E0B" w:rsidRDefault="00BE3F3D" w:rsidP="00BE3F3D">
      <w:pPr>
        <w:pStyle w:val="SingleTxt"/>
        <w:spacing w:after="0" w:line="120" w:lineRule="exact"/>
        <w:rPr>
          <w:sz w:val="10"/>
        </w:rPr>
      </w:pPr>
    </w:p>
    <w:p w:rsidR="00DD57F9" w:rsidRPr="00A75E0B" w:rsidRDefault="00DD57F9" w:rsidP="00BE3F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t>1.</w:t>
      </w:r>
      <w:r w:rsidR="00BE3F3D" w:rsidRPr="00A75E0B">
        <w:tab/>
      </w:r>
      <w:r w:rsidRPr="00A75E0B">
        <w:t>Données fournies par le Système national d</w:t>
      </w:r>
      <w:r w:rsidR="00FD740F">
        <w:t>’</w:t>
      </w:r>
      <w:r w:rsidRPr="00A75E0B">
        <w:t>information criminelle (SNIC)</w:t>
      </w:r>
    </w:p>
    <w:p w:rsidR="00BE3F3D" w:rsidRPr="00D45C4E" w:rsidRDefault="00BE3F3D" w:rsidP="00D45C4E">
      <w:pPr>
        <w:pStyle w:val="SingleTxt"/>
        <w:spacing w:after="0" w:line="120" w:lineRule="exact"/>
        <w:rPr>
          <w:sz w:val="10"/>
        </w:rPr>
      </w:pPr>
    </w:p>
    <w:p w:rsidR="00D45C4E" w:rsidRPr="00A75E0B" w:rsidRDefault="00D45C4E" w:rsidP="00BE3F3D">
      <w:pPr>
        <w:pStyle w:val="SingleTxt"/>
        <w:spacing w:after="0" w:line="120" w:lineRule="exact"/>
        <w:rPr>
          <w:sz w:val="10"/>
        </w:rPr>
      </w:pPr>
    </w:p>
    <w:tbl>
      <w:tblPr>
        <w:tblW w:w="0" w:type="auto"/>
        <w:tblInd w:w="1267" w:type="dxa"/>
        <w:tblLayout w:type="fixed"/>
        <w:tblCellMar>
          <w:left w:w="0" w:type="dxa"/>
          <w:right w:w="0" w:type="dxa"/>
        </w:tblCellMar>
        <w:tblLook w:val="01E0" w:firstRow="1" w:lastRow="1" w:firstColumn="1" w:lastColumn="1" w:noHBand="0" w:noVBand="0"/>
      </w:tblPr>
      <w:tblGrid>
        <w:gridCol w:w="1757"/>
        <w:gridCol w:w="2319"/>
        <w:gridCol w:w="3441"/>
      </w:tblGrid>
      <w:tr w:rsidR="00DD57F9" w:rsidRPr="00A75E0B" w:rsidTr="00187384">
        <w:trPr>
          <w:trHeight w:val="240"/>
          <w:tblHeader/>
        </w:trPr>
        <w:tc>
          <w:tcPr>
            <w:tcW w:w="1757" w:type="dxa"/>
            <w:tcBorders>
              <w:top w:val="single" w:sz="4" w:space="0" w:color="auto"/>
              <w:bottom w:val="single" w:sz="12" w:space="0" w:color="auto"/>
            </w:tcBorders>
            <w:shd w:val="clear" w:color="auto" w:fill="auto"/>
            <w:vAlign w:val="bottom"/>
          </w:tcPr>
          <w:p w:rsidR="00DD57F9" w:rsidRPr="00A75E0B" w:rsidRDefault="00DD57F9" w:rsidP="00BE3F3D">
            <w:pPr>
              <w:pStyle w:val="FootnoteText"/>
              <w:tabs>
                <w:tab w:val="right" w:pos="1476"/>
                <w:tab w:val="left" w:pos="1548"/>
                <w:tab w:val="right" w:pos="1836"/>
                <w:tab w:val="left" w:pos="1908"/>
              </w:tabs>
              <w:suppressAutoHyphens/>
              <w:spacing w:before="80" w:after="80" w:line="160" w:lineRule="exact"/>
              <w:ind w:right="43"/>
              <w:rPr>
                <w:i/>
                <w:sz w:val="14"/>
              </w:rPr>
            </w:pPr>
            <w:r w:rsidRPr="00A75E0B">
              <w:rPr>
                <w:i/>
                <w:sz w:val="14"/>
              </w:rPr>
              <w:t>Année</w:t>
            </w:r>
          </w:p>
        </w:tc>
        <w:tc>
          <w:tcPr>
            <w:tcW w:w="2319" w:type="dxa"/>
            <w:tcBorders>
              <w:top w:val="single" w:sz="4" w:space="0" w:color="auto"/>
              <w:bottom w:val="single" w:sz="12" w:space="0" w:color="auto"/>
            </w:tcBorders>
            <w:shd w:val="clear" w:color="auto" w:fill="auto"/>
            <w:vAlign w:val="bottom"/>
          </w:tcPr>
          <w:p w:rsidR="00DD57F9" w:rsidRPr="00A75E0B" w:rsidRDefault="00DD57F9" w:rsidP="00BE3F3D">
            <w:pPr>
              <w:pStyle w:val="FootnoteText"/>
              <w:tabs>
                <w:tab w:val="right" w:pos="1476"/>
                <w:tab w:val="left" w:pos="1548"/>
                <w:tab w:val="right" w:pos="1836"/>
                <w:tab w:val="left" w:pos="1908"/>
              </w:tabs>
              <w:suppressAutoHyphens/>
              <w:spacing w:before="80" w:after="80" w:line="160" w:lineRule="exact"/>
              <w:ind w:right="43"/>
              <w:jc w:val="right"/>
              <w:rPr>
                <w:i/>
                <w:sz w:val="14"/>
              </w:rPr>
            </w:pPr>
            <w:r w:rsidRPr="00A75E0B">
              <w:rPr>
                <w:i/>
                <w:sz w:val="14"/>
              </w:rPr>
              <w:t>Nombre d</w:t>
            </w:r>
            <w:r w:rsidR="00FD740F">
              <w:rPr>
                <w:i/>
                <w:sz w:val="14"/>
              </w:rPr>
              <w:t>’</w:t>
            </w:r>
            <w:r w:rsidRPr="00A75E0B">
              <w:rPr>
                <w:i/>
                <w:sz w:val="14"/>
              </w:rPr>
              <w:t>homicides intentionnels</w:t>
            </w:r>
          </w:p>
        </w:tc>
        <w:tc>
          <w:tcPr>
            <w:tcW w:w="3441" w:type="dxa"/>
            <w:tcBorders>
              <w:top w:val="single" w:sz="4" w:space="0" w:color="auto"/>
              <w:bottom w:val="single" w:sz="12" w:space="0" w:color="auto"/>
            </w:tcBorders>
            <w:shd w:val="clear" w:color="auto" w:fill="auto"/>
            <w:vAlign w:val="bottom"/>
          </w:tcPr>
          <w:p w:rsidR="00DD57F9" w:rsidRPr="00A75E0B" w:rsidRDefault="00550E71" w:rsidP="00D45C4E">
            <w:pPr>
              <w:pStyle w:val="FootnoteText"/>
              <w:tabs>
                <w:tab w:val="right" w:pos="1476"/>
                <w:tab w:val="left" w:pos="1548"/>
                <w:tab w:val="right" w:pos="1836"/>
                <w:tab w:val="left" w:pos="1908"/>
              </w:tabs>
              <w:suppressAutoHyphens/>
              <w:spacing w:before="80" w:after="80" w:line="160" w:lineRule="exact"/>
              <w:jc w:val="right"/>
              <w:rPr>
                <w:i/>
                <w:sz w:val="14"/>
              </w:rPr>
            </w:pPr>
            <w:r w:rsidRPr="00A75E0B">
              <w:rPr>
                <w:i/>
                <w:sz w:val="14"/>
              </w:rPr>
              <w:t>Nombre de cas</w:t>
            </w:r>
            <w:r w:rsidR="00DD57F9" w:rsidRPr="00A75E0B">
              <w:rPr>
                <w:i/>
                <w:sz w:val="14"/>
              </w:rPr>
              <w:t xml:space="preserve"> pour 100 000 habitants</w:t>
            </w:r>
          </w:p>
        </w:tc>
      </w:tr>
      <w:tr w:rsidR="00BE3F3D" w:rsidRPr="00A75E0B" w:rsidTr="00187384">
        <w:trPr>
          <w:trHeight w:hRule="exact" w:val="115"/>
          <w:tblHeader/>
        </w:trPr>
        <w:tc>
          <w:tcPr>
            <w:tcW w:w="1757" w:type="dxa"/>
            <w:tcBorders>
              <w:top w:val="single" w:sz="12" w:space="0" w:color="auto"/>
            </w:tcBorders>
            <w:shd w:val="clear" w:color="auto" w:fill="auto"/>
            <w:vAlign w:val="bottom"/>
          </w:tcPr>
          <w:p w:rsidR="00BE3F3D" w:rsidRPr="00A75E0B" w:rsidRDefault="00BE3F3D" w:rsidP="00BE3F3D">
            <w:pPr>
              <w:pStyle w:val="FootnoteText"/>
              <w:tabs>
                <w:tab w:val="right" w:pos="1476"/>
                <w:tab w:val="left" w:pos="1548"/>
                <w:tab w:val="right" w:pos="1836"/>
                <w:tab w:val="left" w:pos="1908"/>
              </w:tabs>
              <w:suppressAutoHyphens/>
              <w:spacing w:before="40" w:after="40"/>
              <w:ind w:right="43"/>
            </w:pPr>
          </w:p>
        </w:tc>
        <w:tc>
          <w:tcPr>
            <w:tcW w:w="2319" w:type="dxa"/>
            <w:tcBorders>
              <w:top w:val="single" w:sz="12" w:space="0" w:color="auto"/>
            </w:tcBorders>
            <w:shd w:val="clear" w:color="auto" w:fill="auto"/>
            <w:vAlign w:val="bottom"/>
          </w:tcPr>
          <w:p w:rsidR="00BE3F3D" w:rsidRPr="00A75E0B" w:rsidRDefault="00BE3F3D" w:rsidP="00BE3F3D">
            <w:pPr>
              <w:pStyle w:val="FootnoteText"/>
              <w:tabs>
                <w:tab w:val="right" w:pos="1476"/>
                <w:tab w:val="left" w:pos="1548"/>
                <w:tab w:val="right" w:pos="1836"/>
                <w:tab w:val="left" w:pos="1908"/>
              </w:tabs>
              <w:suppressAutoHyphens/>
              <w:spacing w:before="40" w:after="40"/>
              <w:ind w:right="43"/>
              <w:jc w:val="right"/>
            </w:pPr>
          </w:p>
        </w:tc>
        <w:tc>
          <w:tcPr>
            <w:tcW w:w="3441" w:type="dxa"/>
            <w:tcBorders>
              <w:top w:val="single" w:sz="12" w:space="0" w:color="auto"/>
            </w:tcBorders>
            <w:shd w:val="clear" w:color="auto" w:fill="auto"/>
            <w:vAlign w:val="bottom"/>
          </w:tcPr>
          <w:p w:rsidR="00BE3F3D" w:rsidRPr="00A75E0B" w:rsidRDefault="00BE3F3D" w:rsidP="00BE3F3D">
            <w:pPr>
              <w:pStyle w:val="FootnoteText"/>
              <w:tabs>
                <w:tab w:val="right" w:pos="1476"/>
                <w:tab w:val="left" w:pos="1548"/>
                <w:tab w:val="right" w:pos="1836"/>
                <w:tab w:val="left" w:pos="1908"/>
              </w:tabs>
              <w:suppressAutoHyphens/>
              <w:spacing w:before="40" w:after="40"/>
              <w:ind w:right="43"/>
              <w:jc w:val="right"/>
            </w:pPr>
          </w:p>
        </w:tc>
      </w:tr>
      <w:tr w:rsidR="00DD57F9" w:rsidRPr="00A75E0B" w:rsidTr="00187384">
        <w:trPr>
          <w:trHeight w:val="240"/>
        </w:trPr>
        <w:tc>
          <w:tcPr>
            <w:tcW w:w="1757" w:type="dxa"/>
            <w:shd w:val="clear" w:color="auto" w:fill="auto"/>
            <w:vAlign w:val="bottom"/>
          </w:tcPr>
          <w:p w:rsidR="00DD57F9" w:rsidRPr="00A75E0B" w:rsidRDefault="00DD57F9" w:rsidP="00BE3F3D">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pPr>
            <w:r w:rsidRPr="00A75E0B">
              <w:t>2008</w:t>
            </w:r>
          </w:p>
        </w:tc>
        <w:tc>
          <w:tcPr>
            <w:tcW w:w="2319" w:type="dxa"/>
            <w:shd w:val="clear" w:color="auto" w:fill="auto"/>
            <w:vAlign w:val="bottom"/>
          </w:tcPr>
          <w:p w:rsidR="00DD57F9" w:rsidRPr="00A75E0B" w:rsidRDefault="00DD57F9" w:rsidP="00BE3F3D">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jc w:val="right"/>
            </w:pPr>
            <w:r w:rsidRPr="00A75E0B">
              <w:t>2 305</w:t>
            </w:r>
          </w:p>
        </w:tc>
        <w:tc>
          <w:tcPr>
            <w:tcW w:w="3441" w:type="dxa"/>
            <w:shd w:val="clear" w:color="auto" w:fill="auto"/>
            <w:vAlign w:val="bottom"/>
          </w:tcPr>
          <w:p w:rsidR="00DD57F9" w:rsidRPr="00A75E0B" w:rsidRDefault="00DD57F9" w:rsidP="004E608A">
            <w:pPr>
              <w:pStyle w:val="FootnoteText"/>
              <w:tabs>
                <w:tab w:val="left" w:pos="288"/>
                <w:tab w:val="left" w:pos="576"/>
                <w:tab w:val="left" w:pos="864"/>
                <w:tab w:val="left" w:pos="1152"/>
                <w:tab w:val="right" w:pos="1476"/>
                <w:tab w:val="left" w:pos="1548"/>
                <w:tab w:val="right" w:pos="1836"/>
                <w:tab w:val="left" w:pos="1908"/>
              </w:tabs>
              <w:suppressAutoHyphens/>
              <w:spacing w:before="40" w:after="40"/>
              <w:jc w:val="right"/>
            </w:pPr>
            <w:r w:rsidRPr="00A75E0B">
              <w:t>5,8</w:t>
            </w:r>
          </w:p>
        </w:tc>
      </w:tr>
      <w:tr w:rsidR="00DD57F9" w:rsidRPr="00A75E0B" w:rsidTr="00187384">
        <w:trPr>
          <w:trHeight w:val="240"/>
        </w:trPr>
        <w:tc>
          <w:tcPr>
            <w:tcW w:w="1757" w:type="dxa"/>
            <w:shd w:val="clear" w:color="auto" w:fill="auto"/>
            <w:vAlign w:val="bottom"/>
          </w:tcPr>
          <w:p w:rsidR="00DD57F9" w:rsidRPr="00A75E0B" w:rsidRDefault="00DD57F9" w:rsidP="00BE3F3D">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pPr>
            <w:r w:rsidRPr="00A75E0B">
              <w:t>2007</w:t>
            </w:r>
          </w:p>
        </w:tc>
        <w:tc>
          <w:tcPr>
            <w:tcW w:w="2319" w:type="dxa"/>
            <w:shd w:val="clear" w:color="auto" w:fill="auto"/>
            <w:vAlign w:val="bottom"/>
          </w:tcPr>
          <w:p w:rsidR="00DD57F9" w:rsidRPr="00A75E0B" w:rsidRDefault="00DD57F9" w:rsidP="00BE3F3D">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jc w:val="right"/>
            </w:pPr>
            <w:r w:rsidRPr="00A75E0B">
              <w:t>2 071</w:t>
            </w:r>
          </w:p>
        </w:tc>
        <w:tc>
          <w:tcPr>
            <w:tcW w:w="3441" w:type="dxa"/>
            <w:shd w:val="clear" w:color="auto" w:fill="auto"/>
            <w:vAlign w:val="bottom"/>
          </w:tcPr>
          <w:p w:rsidR="00DD57F9" w:rsidRPr="00A75E0B" w:rsidRDefault="00DD57F9" w:rsidP="004E608A">
            <w:pPr>
              <w:pStyle w:val="FootnoteText"/>
              <w:tabs>
                <w:tab w:val="left" w:pos="288"/>
                <w:tab w:val="left" w:pos="576"/>
                <w:tab w:val="left" w:pos="864"/>
                <w:tab w:val="left" w:pos="1152"/>
                <w:tab w:val="right" w:pos="1476"/>
                <w:tab w:val="left" w:pos="1548"/>
                <w:tab w:val="right" w:pos="1836"/>
                <w:tab w:val="left" w:pos="1908"/>
              </w:tabs>
              <w:suppressAutoHyphens/>
              <w:spacing w:before="40" w:after="40"/>
              <w:jc w:val="right"/>
            </w:pPr>
            <w:r w:rsidRPr="00A75E0B">
              <w:t>5,2</w:t>
            </w:r>
          </w:p>
        </w:tc>
      </w:tr>
      <w:tr w:rsidR="00DD57F9" w:rsidRPr="00A75E0B" w:rsidTr="00187384">
        <w:trPr>
          <w:trHeight w:val="240"/>
        </w:trPr>
        <w:tc>
          <w:tcPr>
            <w:tcW w:w="1757" w:type="dxa"/>
            <w:shd w:val="clear" w:color="auto" w:fill="auto"/>
            <w:vAlign w:val="bottom"/>
          </w:tcPr>
          <w:p w:rsidR="00DD57F9" w:rsidRPr="00A75E0B" w:rsidRDefault="00DD57F9" w:rsidP="00BE3F3D">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pPr>
            <w:r w:rsidRPr="00A75E0B">
              <w:t>2006</w:t>
            </w:r>
          </w:p>
        </w:tc>
        <w:tc>
          <w:tcPr>
            <w:tcW w:w="2319" w:type="dxa"/>
            <w:shd w:val="clear" w:color="auto" w:fill="auto"/>
            <w:vAlign w:val="bottom"/>
          </w:tcPr>
          <w:p w:rsidR="00DD57F9" w:rsidRPr="00A75E0B" w:rsidRDefault="00DD57F9" w:rsidP="00BE3F3D">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jc w:val="right"/>
            </w:pPr>
            <w:r w:rsidRPr="00A75E0B">
              <w:t>2 052</w:t>
            </w:r>
          </w:p>
        </w:tc>
        <w:tc>
          <w:tcPr>
            <w:tcW w:w="3441" w:type="dxa"/>
            <w:shd w:val="clear" w:color="auto" w:fill="auto"/>
            <w:vAlign w:val="bottom"/>
          </w:tcPr>
          <w:p w:rsidR="00DD57F9" w:rsidRPr="00A75E0B" w:rsidRDefault="00DD57F9" w:rsidP="004E608A">
            <w:pPr>
              <w:pStyle w:val="FootnoteText"/>
              <w:tabs>
                <w:tab w:val="left" w:pos="288"/>
                <w:tab w:val="left" w:pos="576"/>
                <w:tab w:val="left" w:pos="864"/>
                <w:tab w:val="left" w:pos="1152"/>
                <w:tab w:val="right" w:pos="1476"/>
                <w:tab w:val="left" w:pos="1548"/>
                <w:tab w:val="right" w:pos="1836"/>
                <w:tab w:val="left" w:pos="1908"/>
              </w:tabs>
              <w:suppressAutoHyphens/>
              <w:spacing w:before="40" w:after="40"/>
              <w:jc w:val="right"/>
            </w:pPr>
            <w:r w:rsidRPr="00A75E0B">
              <w:t>5,2</w:t>
            </w:r>
          </w:p>
        </w:tc>
      </w:tr>
      <w:tr w:rsidR="00DD57F9" w:rsidRPr="00A75E0B" w:rsidTr="00187384">
        <w:trPr>
          <w:trHeight w:val="240"/>
        </w:trPr>
        <w:tc>
          <w:tcPr>
            <w:tcW w:w="1757" w:type="dxa"/>
            <w:tcBorders>
              <w:bottom w:val="single" w:sz="12" w:space="0" w:color="auto"/>
            </w:tcBorders>
            <w:shd w:val="clear" w:color="auto" w:fill="auto"/>
            <w:vAlign w:val="bottom"/>
          </w:tcPr>
          <w:p w:rsidR="00DD57F9" w:rsidRPr="00A75E0B" w:rsidRDefault="00DD57F9" w:rsidP="00BE3F3D">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pPr>
            <w:r w:rsidRPr="00A75E0B">
              <w:t>2005</w:t>
            </w:r>
          </w:p>
        </w:tc>
        <w:tc>
          <w:tcPr>
            <w:tcW w:w="2319" w:type="dxa"/>
            <w:tcBorders>
              <w:bottom w:val="single" w:sz="12" w:space="0" w:color="auto"/>
            </w:tcBorders>
            <w:shd w:val="clear" w:color="auto" w:fill="auto"/>
            <w:vAlign w:val="bottom"/>
          </w:tcPr>
          <w:p w:rsidR="00DD57F9" w:rsidRPr="00A75E0B" w:rsidRDefault="00DD57F9" w:rsidP="00BE3F3D">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jc w:val="right"/>
            </w:pPr>
            <w:r w:rsidRPr="00A75E0B">
              <w:t>2 115</w:t>
            </w:r>
          </w:p>
        </w:tc>
        <w:tc>
          <w:tcPr>
            <w:tcW w:w="3441" w:type="dxa"/>
            <w:tcBorders>
              <w:bottom w:val="single" w:sz="12" w:space="0" w:color="auto"/>
            </w:tcBorders>
            <w:shd w:val="clear" w:color="auto" w:fill="auto"/>
            <w:vAlign w:val="bottom"/>
          </w:tcPr>
          <w:p w:rsidR="00DD57F9" w:rsidRPr="00A75E0B" w:rsidRDefault="00DD57F9" w:rsidP="004E608A">
            <w:pPr>
              <w:pStyle w:val="FootnoteText"/>
              <w:tabs>
                <w:tab w:val="left" w:pos="288"/>
                <w:tab w:val="left" w:pos="576"/>
                <w:tab w:val="left" w:pos="864"/>
                <w:tab w:val="left" w:pos="1152"/>
                <w:tab w:val="right" w:pos="1476"/>
                <w:tab w:val="left" w:pos="1548"/>
                <w:tab w:val="right" w:pos="1836"/>
                <w:tab w:val="left" w:pos="1908"/>
              </w:tabs>
              <w:suppressAutoHyphens/>
              <w:spacing w:before="40" w:after="40"/>
              <w:jc w:val="right"/>
            </w:pPr>
            <w:r w:rsidRPr="00A75E0B">
              <w:t>5,8</w:t>
            </w:r>
          </w:p>
        </w:tc>
      </w:tr>
    </w:tbl>
    <w:p w:rsidR="00DD57F9" w:rsidRPr="00A75E0B" w:rsidRDefault="00DD57F9" w:rsidP="00BE3F3D">
      <w:pPr>
        <w:pStyle w:val="FootnoteText"/>
        <w:tabs>
          <w:tab w:val="right" w:pos="1476"/>
          <w:tab w:val="left" w:pos="1548"/>
          <w:tab w:val="right" w:pos="1836"/>
          <w:tab w:val="left" w:pos="1908"/>
        </w:tabs>
        <w:spacing w:line="120" w:lineRule="exact"/>
        <w:ind w:left="1548" w:right="1267" w:hanging="288"/>
        <w:rPr>
          <w:sz w:val="10"/>
        </w:rPr>
      </w:pPr>
    </w:p>
    <w:p w:rsidR="00BE3F3D" w:rsidRPr="00A75E0B" w:rsidRDefault="00BE3F3D" w:rsidP="00550E71">
      <w:pPr>
        <w:pStyle w:val="FootnoteText"/>
        <w:tabs>
          <w:tab w:val="right" w:pos="1476"/>
          <w:tab w:val="left" w:pos="1548"/>
          <w:tab w:val="right" w:pos="1836"/>
          <w:tab w:val="left" w:pos="1908"/>
        </w:tabs>
        <w:spacing w:line="120" w:lineRule="exact"/>
        <w:ind w:left="1548" w:right="1267" w:hanging="288"/>
        <w:rPr>
          <w:sz w:val="10"/>
        </w:rPr>
      </w:pPr>
    </w:p>
    <w:p w:rsidR="00550E71" w:rsidRPr="00A75E0B" w:rsidRDefault="00550E71" w:rsidP="00BE3F3D">
      <w:pPr>
        <w:pStyle w:val="FootnoteText"/>
        <w:tabs>
          <w:tab w:val="right" w:pos="1476"/>
          <w:tab w:val="left" w:pos="1548"/>
          <w:tab w:val="right" w:pos="1836"/>
          <w:tab w:val="left" w:pos="1908"/>
        </w:tabs>
        <w:spacing w:line="120" w:lineRule="exact"/>
        <w:ind w:left="1548" w:right="1267" w:hanging="288"/>
        <w:rPr>
          <w:sz w:val="10"/>
        </w:rPr>
      </w:pPr>
    </w:p>
    <w:tbl>
      <w:tblPr>
        <w:tblW w:w="0" w:type="auto"/>
        <w:tblInd w:w="1267" w:type="dxa"/>
        <w:tblLayout w:type="fixed"/>
        <w:tblCellMar>
          <w:left w:w="0" w:type="dxa"/>
          <w:right w:w="0" w:type="dxa"/>
        </w:tblCellMar>
        <w:tblLook w:val="01E0" w:firstRow="1" w:lastRow="1" w:firstColumn="1" w:lastColumn="1" w:noHBand="0" w:noVBand="0"/>
      </w:tblPr>
      <w:tblGrid>
        <w:gridCol w:w="1739"/>
        <w:gridCol w:w="2323"/>
        <w:gridCol w:w="3455"/>
      </w:tblGrid>
      <w:tr w:rsidR="00DD57F9" w:rsidRPr="00A75E0B" w:rsidTr="00187384">
        <w:trPr>
          <w:trHeight w:val="240"/>
          <w:tblHeader/>
        </w:trPr>
        <w:tc>
          <w:tcPr>
            <w:tcW w:w="1739" w:type="dxa"/>
            <w:tcBorders>
              <w:top w:val="single" w:sz="4" w:space="0" w:color="auto"/>
              <w:bottom w:val="single" w:sz="12" w:space="0" w:color="auto"/>
            </w:tcBorders>
            <w:shd w:val="clear" w:color="auto" w:fill="auto"/>
            <w:vAlign w:val="bottom"/>
          </w:tcPr>
          <w:p w:rsidR="00DD57F9" w:rsidRPr="00A75E0B" w:rsidRDefault="00550E71" w:rsidP="00550E71">
            <w:pPr>
              <w:pStyle w:val="FootnoteText"/>
              <w:tabs>
                <w:tab w:val="right" w:pos="1476"/>
                <w:tab w:val="left" w:pos="1548"/>
                <w:tab w:val="right" w:pos="1836"/>
                <w:tab w:val="left" w:pos="1908"/>
              </w:tabs>
              <w:suppressAutoHyphens/>
              <w:spacing w:before="80" w:after="80" w:line="160" w:lineRule="exact"/>
              <w:ind w:right="43"/>
              <w:rPr>
                <w:i/>
                <w:sz w:val="14"/>
              </w:rPr>
            </w:pPr>
            <w:r w:rsidRPr="00A75E0B">
              <w:rPr>
                <w:i/>
                <w:sz w:val="14"/>
              </w:rPr>
              <w:t>Année</w:t>
            </w:r>
          </w:p>
        </w:tc>
        <w:tc>
          <w:tcPr>
            <w:tcW w:w="2323" w:type="dxa"/>
            <w:tcBorders>
              <w:top w:val="single" w:sz="4" w:space="0" w:color="auto"/>
              <w:bottom w:val="single" w:sz="12" w:space="0" w:color="auto"/>
            </w:tcBorders>
            <w:shd w:val="clear" w:color="auto" w:fill="auto"/>
            <w:vAlign w:val="bottom"/>
          </w:tcPr>
          <w:p w:rsidR="00DD57F9" w:rsidRPr="00A75E0B" w:rsidRDefault="00DD57F9" w:rsidP="00550E71">
            <w:pPr>
              <w:pStyle w:val="FootnoteText"/>
              <w:tabs>
                <w:tab w:val="right" w:pos="1476"/>
                <w:tab w:val="left" w:pos="1548"/>
                <w:tab w:val="right" w:pos="1836"/>
                <w:tab w:val="left" w:pos="1908"/>
              </w:tabs>
              <w:suppressAutoHyphens/>
              <w:spacing w:before="80" w:after="80" w:line="160" w:lineRule="exact"/>
              <w:ind w:right="43"/>
              <w:jc w:val="right"/>
              <w:rPr>
                <w:i/>
                <w:sz w:val="14"/>
              </w:rPr>
            </w:pPr>
            <w:r w:rsidRPr="00A75E0B">
              <w:rPr>
                <w:i/>
                <w:sz w:val="14"/>
              </w:rPr>
              <w:t>Nombre d</w:t>
            </w:r>
            <w:r w:rsidR="00FD740F">
              <w:rPr>
                <w:i/>
                <w:sz w:val="14"/>
              </w:rPr>
              <w:t>’</w:t>
            </w:r>
            <w:r w:rsidRPr="00A75E0B">
              <w:rPr>
                <w:i/>
                <w:sz w:val="14"/>
              </w:rPr>
              <w:t xml:space="preserve">homicides </w:t>
            </w:r>
            <w:r w:rsidR="00550E71" w:rsidRPr="00A75E0B">
              <w:rPr>
                <w:i/>
                <w:sz w:val="14"/>
              </w:rPr>
              <w:t xml:space="preserve">involontaires </w:t>
            </w:r>
            <w:r w:rsidR="00550E71" w:rsidRPr="00A75E0B">
              <w:rPr>
                <w:i/>
                <w:sz w:val="14"/>
              </w:rPr>
              <w:br/>
              <w:t>commis par des automobilistes</w:t>
            </w:r>
          </w:p>
        </w:tc>
        <w:tc>
          <w:tcPr>
            <w:tcW w:w="3455" w:type="dxa"/>
            <w:tcBorders>
              <w:top w:val="single" w:sz="4" w:space="0" w:color="auto"/>
              <w:bottom w:val="single" w:sz="12" w:space="0" w:color="auto"/>
            </w:tcBorders>
            <w:shd w:val="clear" w:color="auto" w:fill="auto"/>
            <w:vAlign w:val="bottom"/>
          </w:tcPr>
          <w:p w:rsidR="00DD57F9" w:rsidRPr="00A75E0B" w:rsidRDefault="00550E71" w:rsidP="00D45C4E">
            <w:pPr>
              <w:pStyle w:val="FootnoteText"/>
              <w:tabs>
                <w:tab w:val="right" w:pos="1476"/>
                <w:tab w:val="left" w:pos="1548"/>
                <w:tab w:val="right" w:pos="1836"/>
                <w:tab w:val="left" w:pos="1908"/>
              </w:tabs>
              <w:suppressAutoHyphens/>
              <w:spacing w:before="80" w:after="80" w:line="160" w:lineRule="exact"/>
              <w:jc w:val="right"/>
              <w:rPr>
                <w:i/>
                <w:sz w:val="14"/>
              </w:rPr>
            </w:pPr>
            <w:r w:rsidRPr="00A75E0B">
              <w:rPr>
                <w:i/>
                <w:sz w:val="14"/>
              </w:rPr>
              <w:t>Nombre de cas</w:t>
            </w:r>
            <w:r w:rsidR="00DD57F9" w:rsidRPr="00A75E0B">
              <w:rPr>
                <w:i/>
                <w:sz w:val="14"/>
              </w:rPr>
              <w:t xml:space="preserve"> pour</w:t>
            </w:r>
            <w:r w:rsidRPr="00A75E0B">
              <w:rPr>
                <w:i/>
                <w:sz w:val="14"/>
              </w:rPr>
              <w:t xml:space="preserve"> </w:t>
            </w:r>
            <w:r w:rsidR="00DD57F9" w:rsidRPr="00A75E0B">
              <w:rPr>
                <w:i/>
                <w:sz w:val="14"/>
              </w:rPr>
              <w:t>100 000 habitants</w:t>
            </w:r>
          </w:p>
        </w:tc>
      </w:tr>
      <w:tr w:rsidR="00550E71" w:rsidRPr="00A75E0B" w:rsidTr="00187384">
        <w:trPr>
          <w:trHeight w:hRule="exact" w:val="115"/>
          <w:tblHeader/>
        </w:trPr>
        <w:tc>
          <w:tcPr>
            <w:tcW w:w="1739" w:type="dxa"/>
            <w:tcBorders>
              <w:top w:val="single" w:sz="12" w:space="0" w:color="auto"/>
            </w:tcBorders>
            <w:shd w:val="clear" w:color="auto" w:fill="auto"/>
            <w:vAlign w:val="bottom"/>
          </w:tcPr>
          <w:p w:rsidR="00550E71" w:rsidRPr="00A75E0B" w:rsidRDefault="00550E71" w:rsidP="00550E71">
            <w:pPr>
              <w:pStyle w:val="FootnoteText"/>
              <w:tabs>
                <w:tab w:val="right" w:pos="1476"/>
                <w:tab w:val="left" w:pos="1548"/>
                <w:tab w:val="right" w:pos="1836"/>
                <w:tab w:val="left" w:pos="1908"/>
              </w:tabs>
              <w:suppressAutoHyphens/>
              <w:spacing w:before="40" w:after="40"/>
              <w:ind w:right="43"/>
            </w:pPr>
          </w:p>
        </w:tc>
        <w:tc>
          <w:tcPr>
            <w:tcW w:w="2323" w:type="dxa"/>
            <w:tcBorders>
              <w:top w:val="single" w:sz="12" w:space="0" w:color="auto"/>
            </w:tcBorders>
            <w:shd w:val="clear" w:color="auto" w:fill="auto"/>
            <w:vAlign w:val="bottom"/>
          </w:tcPr>
          <w:p w:rsidR="00550E71" w:rsidRPr="00A75E0B" w:rsidRDefault="00550E71" w:rsidP="00550E71">
            <w:pPr>
              <w:pStyle w:val="FootnoteText"/>
              <w:tabs>
                <w:tab w:val="right" w:pos="1476"/>
                <w:tab w:val="left" w:pos="1548"/>
                <w:tab w:val="right" w:pos="1836"/>
                <w:tab w:val="left" w:pos="1908"/>
              </w:tabs>
              <w:suppressAutoHyphens/>
              <w:spacing w:before="40" w:after="40"/>
              <w:ind w:right="43"/>
              <w:jc w:val="right"/>
            </w:pPr>
          </w:p>
        </w:tc>
        <w:tc>
          <w:tcPr>
            <w:tcW w:w="3455" w:type="dxa"/>
            <w:tcBorders>
              <w:top w:val="single" w:sz="12" w:space="0" w:color="auto"/>
            </w:tcBorders>
            <w:shd w:val="clear" w:color="auto" w:fill="auto"/>
            <w:vAlign w:val="bottom"/>
          </w:tcPr>
          <w:p w:rsidR="00550E71" w:rsidRPr="00A75E0B" w:rsidRDefault="00550E71" w:rsidP="00550E71">
            <w:pPr>
              <w:pStyle w:val="FootnoteText"/>
              <w:tabs>
                <w:tab w:val="right" w:pos="1476"/>
                <w:tab w:val="left" w:pos="1548"/>
                <w:tab w:val="right" w:pos="1836"/>
                <w:tab w:val="left" w:pos="1908"/>
              </w:tabs>
              <w:suppressAutoHyphens/>
              <w:spacing w:before="40" w:after="40"/>
              <w:ind w:right="43"/>
              <w:jc w:val="right"/>
            </w:pPr>
          </w:p>
        </w:tc>
      </w:tr>
      <w:tr w:rsidR="00DD57F9" w:rsidRPr="00A75E0B" w:rsidTr="00187384">
        <w:trPr>
          <w:trHeight w:val="240"/>
        </w:trPr>
        <w:tc>
          <w:tcPr>
            <w:tcW w:w="1739" w:type="dxa"/>
            <w:shd w:val="clear" w:color="auto" w:fill="auto"/>
            <w:vAlign w:val="bottom"/>
          </w:tcPr>
          <w:p w:rsidR="00DD57F9" w:rsidRPr="00A75E0B" w:rsidRDefault="00DD57F9" w:rsidP="00550E71">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pPr>
            <w:r w:rsidRPr="00A75E0B">
              <w:t>2008</w:t>
            </w:r>
          </w:p>
        </w:tc>
        <w:tc>
          <w:tcPr>
            <w:tcW w:w="2323" w:type="dxa"/>
            <w:shd w:val="clear" w:color="auto" w:fill="auto"/>
            <w:vAlign w:val="bottom"/>
          </w:tcPr>
          <w:p w:rsidR="00DD57F9" w:rsidRPr="00A75E0B" w:rsidRDefault="00DD57F9" w:rsidP="00550E71">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jc w:val="right"/>
            </w:pPr>
            <w:r w:rsidRPr="00A75E0B">
              <w:t>3 988</w:t>
            </w:r>
          </w:p>
        </w:tc>
        <w:tc>
          <w:tcPr>
            <w:tcW w:w="3455" w:type="dxa"/>
            <w:shd w:val="clear" w:color="auto" w:fill="auto"/>
            <w:vAlign w:val="bottom"/>
          </w:tcPr>
          <w:p w:rsidR="00DD57F9" w:rsidRPr="00A75E0B" w:rsidRDefault="00DD57F9" w:rsidP="004E608A">
            <w:pPr>
              <w:pStyle w:val="FootnoteText"/>
              <w:tabs>
                <w:tab w:val="left" w:pos="288"/>
                <w:tab w:val="left" w:pos="576"/>
                <w:tab w:val="left" w:pos="864"/>
                <w:tab w:val="left" w:pos="1152"/>
                <w:tab w:val="right" w:pos="1476"/>
                <w:tab w:val="left" w:pos="1548"/>
                <w:tab w:val="right" w:pos="1836"/>
                <w:tab w:val="left" w:pos="1908"/>
              </w:tabs>
              <w:suppressAutoHyphens/>
              <w:spacing w:before="40" w:after="40"/>
              <w:jc w:val="right"/>
            </w:pPr>
            <w:r w:rsidRPr="00A75E0B">
              <w:t>10</w:t>
            </w:r>
          </w:p>
        </w:tc>
      </w:tr>
      <w:tr w:rsidR="00DD57F9" w:rsidRPr="00A75E0B" w:rsidTr="00187384">
        <w:trPr>
          <w:trHeight w:val="240"/>
        </w:trPr>
        <w:tc>
          <w:tcPr>
            <w:tcW w:w="1739" w:type="dxa"/>
            <w:shd w:val="clear" w:color="auto" w:fill="auto"/>
            <w:vAlign w:val="bottom"/>
          </w:tcPr>
          <w:p w:rsidR="00DD57F9" w:rsidRPr="00A75E0B" w:rsidRDefault="00DD57F9" w:rsidP="00550E71">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pPr>
            <w:r w:rsidRPr="00A75E0B">
              <w:t>2007</w:t>
            </w:r>
          </w:p>
        </w:tc>
        <w:tc>
          <w:tcPr>
            <w:tcW w:w="2323" w:type="dxa"/>
            <w:shd w:val="clear" w:color="auto" w:fill="auto"/>
            <w:vAlign w:val="bottom"/>
          </w:tcPr>
          <w:p w:rsidR="00DD57F9" w:rsidRPr="00A75E0B" w:rsidRDefault="00DD57F9" w:rsidP="00550E71">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jc w:val="right"/>
            </w:pPr>
            <w:r w:rsidRPr="00A75E0B">
              <w:t>3 783</w:t>
            </w:r>
          </w:p>
        </w:tc>
        <w:tc>
          <w:tcPr>
            <w:tcW w:w="3455" w:type="dxa"/>
            <w:shd w:val="clear" w:color="auto" w:fill="auto"/>
            <w:vAlign w:val="bottom"/>
          </w:tcPr>
          <w:p w:rsidR="00DD57F9" w:rsidRPr="00A75E0B" w:rsidRDefault="00DD57F9" w:rsidP="004E608A">
            <w:pPr>
              <w:pStyle w:val="FootnoteText"/>
              <w:tabs>
                <w:tab w:val="left" w:pos="288"/>
                <w:tab w:val="left" w:pos="576"/>
                <w:tab w:val="left" w:pos="864"/>
                <w:tab w:val="left" w:pos="1152"/>
                <w:tab w:val="right" w:pos="1476"/>
                <w:tab w:val="left" w:pos="1548"/>
                <w:tab w:val="right" w:pos="1836"/>
                <w:tab w:val="left" w:pos="1908"/>
              </w:tabs>
              <w:suppressAutoHyphens/>
              <w:spacing w:before="40" w:after="40"/>
              <w:jc w:val="right"/>
            </w:pPr>
            <w:r w:rsidRPr="00A75E0B">
              <w:t>9,6</w:t>
            </w:r>
          </w:p>
        </w:tc>
      </w:tr>
      <w:tr w:rsidR="00DD57F9" w:rsidRPr="00A75E0B" w:rsidTr="00187384">
        <w:trPr>
          <w:trHeight w:val="240"/>
        </w:trPr>
        <w:tc>
          <w:tcPr>
            <w:tcW w:w="1739" w:type="dxa"/>
            <w:shd w:val="clear" w:color="auto" w:fill="auto"/>
            <w:vAlign w:val="bottom"/>
          </w:tcPr>
          <w:p w:rsidR="00DD57F9" w:rsidRPr="00A75E0B" w:rsidRDefault="00DD57F9" w:rsidP="00550E71">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pPr>
            <w:r w:rsidRPr="00A75E0B">
              <w:t>2006</w:t>
            </w:r>
          </w:p>
        </w:tc>
        <w:tc>
          <w:tcPr>
            <w:tcW w:w="2323" w:type="dxa"/>
            <w:shd w:val="clear" w:color="auto" w:fill="auto"/>
            <w:vAlign w:val="bottom"/>
          </w:tcPr>
          <w:p w:rsidR="00DD57F9" w:rsidRPr="00A75E0B" w:rsidRDefault="00DD57F9" w:rsidP="00550E71">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jc w:val="right"/>
            </w:pPr>
            <w:r w:rsidRPr="00A75E0B">
              <w:t>3 692</w:t>
            </w:r>
          </w:p>
        </w:tc>
        <w:tc>
          <w:tcPr>
            <w:tcW w:w="3455" w:type="dxa"/>
            <w:shd w:val="clear" w:color="auto" w:fill="auto"/>
            <w:vAlign w:val="bottom"/>
          </w:tcPr>
          <w:p w:rsidR="00DD57F9" w:rsidRPr="00A75E0B" w:rsidRDefault="00DD57F9" w:rsidP="004E608A">
            <w:pPr>
              <w:pStyle w:val="FootnoteText"/>
              <w:tabs>
                <w:tab w:val="left" w:pos="288"/>
                <w:tab w:val="left" w:pos="576"/>
                <w:tab w:val="left" w:pos="864"/>
                <w:tab w:val="left" w:pos="1152"/>
                <w:tab w:val="right" w:pos="1476"/>
                <w:tab w:val="left" w:pos="1548"/>
                <w:tab w:val="right" w:pos="1836"/>
                <w:tab w:val="left" w:pos="1908"/>
              </w:tabs>
              <w:suppressAutoHyphens/>
              <w:spacing w:before="40" w:after="40"/>
              <w:jc w:val="right"/>
            </w:pPr>
            <w:r w:rsidRPr="00A75E0B">
              <w:t>9,5</w:t>
            </w:r>
          </w:p>
        </w:tc>
      </w:tr>
      <w:tr w:rsidR="00DD57F9" w:rsidRPr="00A75E0B" w:rsidTr="00187384">
        <w:trPr>
          <w:trHeight w:val="240"/>
        </w:trPr>
        <w:tc>
          <w:tcPr>
            <w:tcW w:w="1739" w:type="dxa"/>
            <w:tcBorders>
              <w:bottom w:val="single" w:sz="12" w:space="0" w:color="auto"/>
            </w:tcBorders>
            <w:shd w:val="clear" w:color="auto" w:fill="auto"/>
            <w:vAlign w:val="bottom"/>
          </w:tcPr>
          <w:p w:rsidR="00DD57F9" w:rsidRPr="00A75E0B" w:rsidRDefault="00DD57F9" w:rsidP="00550E71">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pPr>
            <w:r w:rsidRPr="00A75E0B">
              <w:t>2005</w:t>
            </w:r>
          </w:p>
        </w:tc>
        <w:tc>
          <w:tcPr>
            <w:tcW w:w="2323" w:type="dxa"/>
            <w:tcBorders>
              <w:bottom w:val="single" w:sz="12" w:space="0" w:color="auto"/>
            </w:tcBorders>
            <w:shd w:val="clear" w:color="auto" w:fill="auto"/>
            <w:vAlign w:val="bottom"/>
          </w:tcPr>
          <w:p w:rsidR="00DD57F9" w:rsidRPr="00A75E0B" w:rsidRDefault="00DD57F9" w:rsidP="00550E71">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jc w:val="right"/>
            </w:pPr>
            <w:r w:rsidRPr="00A75E0B">
              <w:t>3 443</w:t>
            </w:r>
          </w:p>
        </w:tc>
        <w:tc>
          <w:tcPr>
            <w:tcW w:w="3455" w:type="dxa"/>
            <w:tcBorders>
              <w:bottom w:val="single" w:sz="12" w:space="0" w:color="auto"/>
            </w:tcBorders>
            <w:shd w:val="clear" w:color="auto" w:fill="auto"/>
            <w:vAlign w:val="bottom"/>
          </w:tcPr>
          <w:p w:rsidR="00DD57F9" w:rsidRPr="00A75E0B" w:rsidRDefault="00DD57F9" w:rsidP="004E608A">
            <w:pPr>
              <w:pStyle w:val="FootnoteText"/>
              <w:tabs>
                <w:tab w:val="left" w:pos="288"/>
                <w:tab w:val="left" w:pos="576"/>
                <w:tab w:val="left" w:pos="864"/>
                <w:tab w:val="left" w:pos="1152"/>
                <w:tab w:val="right" w:pos="1476"/>
                <w:tab w:val="left" w:pos="1548"/>
                <w:tab w:val="right" w:pos="1836"/>
                <w:tab w:val="left" w:pos="1908"/>
              </w:tabs>
              <w:suppressAutoHyphens/>
              <w:spacing w:before="40" w:after="40"/>
              <w:jc w:val="right"/>
            </w:pPr>
            <w:r w:rsidRPr="00A75E0B">
              <w:t>9,5</w:t>
            </w:r>
          </w:p>
        </w:tc>
      </w:tr>
    </w:tbl>
    <w:p w:rsidR="00DD57F9" w:rsidRPr="00A75E0B" w:rsidRDefault="00DD57F9" w:rsidP="00550E71">
      <w:pPr>
        <w:pStyle w:val="FootnoteText"/>
        <w:tabs>
          <w:tab w:val="right" w:pos="1476"/>
          <w:tab w:val="left" w:pos="1548"/>
          <w:tab w:val="right" w:pos="1836"/>
          <w:tab w:val="left" w:pos="1908"/>
        </w:tabs>
        <w:spacing w:line="120" w:lineRule="exact"/>
        <w:ind w:left="1548" w:right="1267" w:hanging="288"/>
        <w:rPr>
          <w:sz w:val="10"/>
        </w:rPr>
      </w:pPr>
    </w:p>
    <w:p w:rsidR="00550E71" w:rsidRPr="00A75E0B" w:rsidRDefault="00550E71" w:rsidP="00550E71">
      <w:pPr>
        <w:pStyle w:val="FootnoteText"/>
        <w:tabs>
          <w:tab w:val="right" w:pos="1476"/>
          <w:tab w:val="left" w:pos="1548"/>
          <w:tab w:val="right" w:pos="1836"/>
          <w:tab w:val="left" w:pos="1908"/>
        </w:tabs>
        <w:spacing w:line="120" w:lineRule="exact"/>
        <w:ind w:left="1548" w:right="1267" w:hanging="288"/>
        <w:rPr>
          <w:sz w:val="10"/>
        </w:rPr>
      </w:pPr>
    </w:p>
    <w:p w:rsidR="00550E71" w:rsidRPr="00A75E0B" w:rsidRDefault="00550E71" w:rsidP="00550E71">
      <w:pPr>
        <w:pStyle w:val="FootnoteText"/>
        <w:tabs>
          <w:tab w:val="right" w:pos="1476"/>
          <w:tab w:val="left" w:pos="1548"/>
          <w:tab w:val="right" w:pos="1836"/>
          <w:tab w:val="left" w:pos="1908"/>
        </w:tabs>
        <w:spacing w:line="120" w:lineRule="exact"/>
        <w:ind w:left="1548" w:right="1267" w:hanging="288"/>
        <w:rPr>
          <w:sz w:val="10"/>
        </w:rPr>
      </w:pPr>
    </w:p>
    <w:tbl>
      <w:tblPr>
        <w:tblW w:w="0" w:type="auto"/>
        <w:tblInd w:w="1267" w:type="dxa"/>
        <w:tblLayout w:type="fixed"/>
        <w:tblCellMar>
          <w:left w:w="0" w:type="dxa"/>
          <w:right w:w="0" w:type="dxa"/>
        </w:tblCellMar>
        <w:tblLook w:val="01E0" w:firstRow="1" w:lastRow="1" w:firstColumn="1" w:lastColumn="1" w:noHBand="0" w:noVBand="0"/>
      </w:tblPr>
      <w:tblGrid>
        <w:gridCol w:w="1739"/>
        <w:gridCol w:w="2322"/>
        <w:gridCol w:w="3456"/>
      </w:tblGrid>
      <w:tr w:rsidR="00DD57F9" w:rsidRPr="00A75E0B" w:rsidTr="00187384">
        <w:trPr>
          <w:trHeight w:val="240"/>
          <w:tblHeader/>
        </w:trPr>
        <w:tc>
          <w:tcPr>
            <w:tcW w:w="1739" w:type="dxa"/>
            <w:tcBorders>
              <w:top w:val="single" w:sz="4" w:space="0" w:color="auto"/>
              <w:bottom w:val="single" w:sz="12" w:space="0" w:color="auto"/>
            </w:tcBorders>
            <w:shd w:val="clear" w:color="auto" w:fill="auto"/>
            <w:vAlign w:val="bottom"/>
          </w:tcPr>
          <w:p w:rsidR="00DD57F9" w:rsidRPr="00A75E0B" w:rsidRDefault="00550E71" w:rsidP="00550E71">
            <w:pPr>
              <w:pStyle w:val="FootnoteText"/>
              <w:tabs>
                <w:tab w:val="right" w:pos="1476"/>
                <w:tab w:val="left" w:pos="1548"/>
                <w:tab w:val="right" w:pos="1836"/>
                <w:tab w:val="left" w:pos="1908"/>
              </w:tabs>
              <w:suppressAutoHyphens/>
              <w:spacing w:before="80" w:after="80" w:line="160" w:lineRule="exact"/>
              <w:ind w:right="43"/>
              <w:rPr>
                <w:i/>
                <w:sz w:val="14"/>
              </w:rPr>
            </w:pPr>
            <w:r w:rsidRPr="00A75E0B">
              <w:rPr>
                <w:i/>
                <w:sz w:val="14"/>
              </w:rPr>
              <w:t>Année</w:t>
            </w:r>
          </w:p>
        </w:tc>
        <w:tc>
          <w:tcPr>
            <w:tcW w:w="2322" w:type="dxa"/>
            <w:tcBorders>
              <w:top w:val="single" w:sz="4" w:space="0" w:color="auto"/>
              <w:bottom w:val="single" w:sz="12" w:space="0" w:color="auto"/>
            </w:tcBorders>
            <w:shd w:val="clear" w:color="auto" w:fill="auto"/>
            <w:vAlign w:val="bottom"/>
          </w:tcPr>
          <w:p w:rsidR="00DD57F9" w:rsidRPr="00A75E0B" w:rsidRDefault="00550E71" w:rsidP="00550E71">
            <w:pPr>
              <w:pStyle w:val="FootnoteText"/>
              <w:tabs>
                <w:tab w:val="right" w:pos="1476"/>
                <w:tab w:val="left" w:pos="1548"/>
                <w:tab w:val="right" w:pos="1836"/>
                <w:tab w:val="left" w:pos="1908"/>
              </w:tabs>
              <w:suppressAutoHyphens/>
              <w:spacing w:before="80" w:after="80" w:line="160" w:lineRule="exact"/>
              <w:ind w:right="43"/>
              <w:jc w:val="right"/>
              <w:rPr>
                <w:i/>
                <w:sz w:val="14"/>
              </w:rPr>
            </w:pPr>
            <w:r w:rsidRPr="00A75E0B">
              <w:rPr>
                <w:i/>
                <w:sz w:val="14"/>
              </w:rPr>
              <w:t>Atteintes à</w:t>
            </w:r>
            <w:r w:rsidR="00DD57F9" w:rsidRPr="00A75E0B">
              <w:rPr>
                <w:i/>
                <w:sz w:val="14"/>
              </w:rPr>
              <w:t xml:space="preserve"> l</w:t>
            </w:r>
            <w:r w:rsidR="00FD740F">
              <w:rPr>
                <w:i/>
                <w:sz w:val="14"/>
              </w:rPr>
              <w:t>’</w:t>
            </w:r>
            <w:r w:rsidR="00DD57F9" w:rsidRPr="00A75E0B">
              <w:rPr>
                <w:i/>
                <w:sz w:val="14"/>
              </w:rPr>
              <w:t>intégrité sexuelle</w:t>
            </w:r>
          </w:p>
        </w:tc>
        <w:tc>
          <w:tcPr>
            <w:tcW w:w="3456" w:type="dxa"/>
            <w:tcBorders>
              <w:top w:val="single" w:sz="4" w:space="0" w:color="auto"/>
              <w:bottom w:val="single" w:sz="12" w:space="0" w:color="auto"/>
            </w:tcBorders>
            <w:shd w:val="clear" w:color="auto" w:fill="auto"/>
            <w:vAlign w:val="bottom"/>
          </w:tcPr>
          <w:p w:rsidR="00DD57F9" w:rsidRPr="00A75E0B" w:rsidRDefault="00550E71" w:rsidP="00D45C4E">
            <w:pPr>
              <w:pStyle w:val="FootnoteText"/>
              <w:tabs>
                <w:tab w:val="right" w:pos="1476"/>
                <w:tab w:val="left" w:pos="1548"/>
                <w:tab w:val="right" w:pos="1836"/>
                <w:tab w:val="left" w:pos="1908"/>
              </w:tabs>
              <w:suppressAutoHyphens/>
              <w:spacing w:before="80" w:after="80" w:line="160" w:lineRule="exact"/>
              <w:jc w:val="right"/>
              <w:rPr>
                <w:i/>
                <w:sz w:val="14"/>
              </w:rPr>
            </w:pPr>
            <w:r w:rsidRPr="00A75E0B">
              <w:rPr>
                <w:i/>
                <w:sz w:val="14"/>
              </w:rPr>
              <w:t>Nombre de cas</w:t>
            </w:r>
            <w:r w:rsidR="00DD57F9" w:rsidRPr="00A75E0B">
              <w:rPr>
                <w:i/>
                <w:sz w:val="14"/>
              </w:rPr>
              <w:t xml:space="preserve"> pour</w:t>
            </w:r>
            <w:r w:rsidRPr="00A75E0B">
              <w:rPr>
                <w:i/>
                <w:sz w:val="14"/>
              </w:rPr>
              <w:t xml:space="preserve"> </w:t>
            </w:r>
            <w:r w:rsidR="00DD57F9" w:rsidRPr="00A75E0B">
              <w:rPr>
                <w:i/>
                <w:sz w:val="14"/>
              </w:rPr>
              <w:t>100 000 habitants</w:t>
            </w:r>
          </w:p>
        </w:tc>
      </w:tr>
      <w:tr w:rsidR="00550E71" w:rsidRPr="00A75E0B" w:rsidTr="00187384">
        <w:trPr>
          <w:trHeight w:hRule="exact" w:val="115"/>
          <w:tblHeader/>
        </w:trPr>
        <w:tc>
          <w:tcPr>
            <w:tcW w:w="1739" w:type="dxa"/>
            <w:tcBorders>
              <w:top w:val="single" w:sz="12" w:space="0" w:color="auto"/>
            </w:tcBorders>
            <w:shd w:val="clear" w:color="auto" w:fill="auto"/>
            <w:vAlign w:val="bottom"/>
          </w:tcPr>
          <w:p w:rsidR="00550E71" w:rsidRPr="00A75E0B" w:rsidRDefault="00550E71" w:rsidP="00550E71">
            <w:pPr>
              <w:pStyle w:val="FootnoteText"/>
              <w:tabs>
                <w:tab w:val="right" w:pos="1476"/>
                <w:tab w:val="left" w:pos="1548"/>
                <w:tab w:val="right" w:pos="1836"/>
                <w:tab w:val="left" w:pos="1908"/>
              </w:tabs>
              <w:suppressAutoHyphens/>
              <w:spacing w:before="40" w:after="40"/>
              <w:ind w:right="43"/>
            </w:pPr>
          </w:p>
        </w:tc>
        <w:tc>
          <w:tcPr>
            <w:tcW w:w="2322" w:type="dxa"/>
            <w:tcBorders>
              <w:top w:val="single" w:sz="12" w:space="0" w:color="auto"/>
            </w:tcBorders>
            <w:shd w:val="clear" w:color="auto" w:fill="auto"/>
            <w:vAlign w:val="bottom"/>
          </w:tcPr>
          <w:p w:rsidR="00550E71" w:rsidRPr="00A75E0B" w:rsidRDefault="00550E71" w:rsidP="00550E71">
            <w:pPr>
              <w:pStyle w:val="FootnoteText"/>
              <w:tabs>
                <w:tab w:val="right" w:pos="1476"/>
                <w:tab w:val="left" w:pos="1548"/>
                <w:tab w:val="right" w:pos="1836"/>
                <w:tab w:val="left" w:pos="1908"/>
              </w:tabs>
              <w:suppressAutoHyphens/>
              <w:spacing w:before="40" w:after="40"/>
              <w:ind w:right="43"/>
              <w:jc w:val="right"/>
            </w:pPr>
          </w:p>
        </w:tc>
        <w:tc>
          <w:tcPr>
            <w:tcW w:w="3456" w:type="dxa"/>
            <w:tcBorders>
              <w:top w:val="single" w:sz="12" w:space="0" w:color="auto"/>
            </w:tcBorders>
            <w:shd w:val="clear" w:color="auto" w:fill="auto"/>
            <w:vAlign w:val="bottom"/>
          </w:tcPr>
          <w:p w:rsidR="00550E71" w:rsidRPr="00A75E0B" w:rsidRDefault="00550E71" w:rsidP="00550E71">
            <w:pPr>
              <w:pStyle w:val="FootnoteText"/>
              <w:tabs>
                <w:tab w:val="right" w:pos="1476"/>
                <w:tab w:val="left" w:pos="1548"/>
                <w:tab w:val="right" w:pos="1836"/>
                <w:tab w:val="left" w:pos="1908"/>
              </w:tabs>
              <w:suppressAutoHyphens/>
              <w:spacing w:before="40" w:after="40"/>
              <w:ind w:right="43"/>
              <w:jc w:val="right"/>
            </w:pPr>
          </w:p>
        </w:tc>
      </w:tr>
      <w:tr w:rsidR="00DD57F9" w:rsidRPr="00A75E0B" w:rsidTr="00187384">
        <w:trPr>
          <w:trHeight w:val="240"/>
        </w:trPr>
        <w:tc>
          <w:tcPr>
            <w:tcW w:w="1739" w:type="dxa"/>
            <w:shd w:val="clear" w:color="auto" w:fill="auto"/>
            <w:vAlign w:val="bottom"/>
          </w:tcPr>
          <w:p w:rsidR="00DD57F9" w:rsidRPr="00A75E0B" w:rsidRDefault="00DD57F9" w:rsidP="00550E71">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pPr>
            <w:r w:rsidRPr="00A75E0B">
              <w:t>2008</w:t>
            </w:r>
          </w:p>
        </w:tc>
        <w:tc>
          <w:tcPr>
            <w:tcW w:w="2322" w:type="dxa"/>
            <w:shd w:val="clear" w:color="auto" w:fill="auto"/>
            <w:vAlign w:val="bottom"/>
          </w:tcPr>
          <w:p w:rsidR="00DD57F9" w:rsidRPr="00A75E0B" w:rsidRDefault="00DD57F9" w:rsidP="00550E71">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jc w:val="right"/>
            </w:pPr>
            <w:r w:rsidRPr="00A75E0B">
              <w:t>3 988</w:t>
            </w:r>
          </w:p>
        </w:tc>
        <w:tc>
          <w:tcPr>
            <w:tcW w:w="3456" w:type="dxa"/>
            <w:shd w:val="clear" w:color="auto" w:fill="auto"/>
            <w:vAlign w:val="bottom"/>
          </w:tcPr>
          <w:p w:rsidR="00DD57F9" w:rsidRPr="00A75E0B" w:rsidRDefault="00DD57F9" w:rsidP="004E608A">
            <w:pPr>
              <w:pStyle w:val="FootnoteText"/>
              <w:tabs>
                <w:tab w:val="left" w:pos="288"/>
                <w:tab w:val="left" w:pos="576"/>
                <w:tab w:val="left" w:pos="864"/>
                <w:tab w:val="left" w:pos="1152"/>
                <w:tab w:val="right" w:pos="1476"/>
                <w:tab w:val="left" w:pos="1548"/>
                <w:tab w:val="right" w:pos="1836"/>
                <w:tab w:val="left" w:pos="1908"/>
              </w:tabs>
              <w:suppressAutoHyphens/>
              <w:spacing w:before="40" w:after="40"/>
              <w:jc w:val="right"/>
            </w:pPr>
            <w:r w:rsidRPr="00A75E0B">
              <w:t>10</w:t>
            </w:r>
          </w:p>
        </w:tc>
      </w:tr>
      <w:tr w:rsidR="00DD57F9" w:rsidRPr="00A75E0B" w:rsidTr="00187384">
        <w:trPr>
          <w:trHeight w:val="240"/>
        </w:trPr>
        <w:tc>
          <w:tcPr>
            <w:tcW w:w="1739" w:type="dxa"/>
            <w:tcBorders>
              <w:bottom w:val="single" w:sz="12" w:space="0" w:color="auto"/>
            </w:tcBorders>
            <w:shd w:val="clear" w:color="auto" w:fill="auto"/>
            <w:vAlign w:val="bottom"/>
          </w:tcPr>
          <w:p w:rsidR="00DD57F9" w:rsidRPr="00A75E0B" w:rsidRDefault="00DD57F9" w:rsidP="00550E71">
            <w:pPr>
              <w:pStyle w:val="FootnoteText"/>
              <w:tabs>
                <w:tab w:val="right" w:pos="1476"/>
                <w:tab w:val="left" w:pos="1548"/>
                <w:tab w:val="right" w:pos="1836"/>
                <w:tab w:val="left" w:pos="1908"/>
              </w:tabs>
              <w:suppressAutoHyphens/>
              <w:spacing w:before="40" w:after="40"/>
              <w:ind w:right="43"/>
            </w:pPr>
            <w:r w:rsidRPr="00A75E0B">
              <w:t>2007</w:t>
            </w:r>
          </w:p>
        </w:tc>
        <w:tc>
          <w:tcPr>
            <w:tcW w:w="2322" w:type="dxa"/>
            <w:tcBorders>
              <w:bottom w:val="single" w:sz="12" w:space="0" w:color="auto"/>
            </w:tcBorders>
            <w:shd w:val="clear" w:color="auto" w:fill="auto"/>
            <w:vAlign w:val="bottom"/>
          </w:tcPr>
          <w:p w:rsidR="00DD57F9" w:rsidRPr="00A75E0B" w:rsidRDefault="00DD57F9" w:rsidP="00550E71">
            <w:pPr>
              <w:pStyle w:val="FootnoteText"/>
              <w:tabs>
                <w:tab w:val="right" w:pos="1476"/>
                <w:tab w:val="left" w:pos="1548"/>
                <w:tab w:val="right" w:pos="1836"/>
                <w:tab w:val="left" w:pos="1908"/>
              </w:tabs>
              <w:suppressAutoHyphens/>
              <w:spacing w:before="40" w:after="40"/>
              <w:ind w:right="43"/>
              <w:jc w:val="right"/>
            </w:pPr>
            <w:r w:rsidRPr="00A75E0B">
              <w:t>3 783</w:t>
            </w:r>
          </w:p>
        </w:tc>
        <w:tc>
          <w:tcPr>
            <w:tcW w:w="3456" w:type="dxa"/>
            <w:tcBorders>
              <w:bottom w:val="single" w:sz="12" w:space="0" w:color="auto"/>
            </w:tcBorders>
            <w:shd w:val="clear" w:color="auto" w:fill="auto"/>
            <w:vAlign w:val="bottom"/>
          </w:tcPr>
          <w:p w:rsidR="00DD57F9" w:rsidRPr="00A75E0B" w:rsidRDefault="00DD57F9" w:rsidP="004E608A">
            <w:pPr>
              <w:pStyle w:val="FootnoteText"/>
              <w:tabs>
                <w:tab w:val="left" w:pos="288"/>
                <w:tab w:val="left" w:pos="576"/>
                <w:tab w:val="left" w:pos="864"/>
                <w:tab w:val="left" w:pos="1152"/>
                <w:tab w:val="right" w:pos="1476"/>
                <w:tab w:val="left" w:pos="1548"/>
                <w:tab w:val="right" w:pos="1836"/>
                <w:tab w:val="left" w:pos="1908"/>
              </w:tabs>
              <w:suppressAutoHyphens/>
              <w:spacing w:before="40" w:after="40"/>
              <w:jc w:val="right"/>
            </w:pPr>
            <w:r w:rsidRPr="00A75E0B">
              <w:t>9,6</w:t>
            </w:r>
          </w:p>
        </w:tc>
      </w:tr>
    </w:tbl>
    <w:p w:rsidR="00DD57F9" w:rsidRPr="00A75E0B" w:rsidRDefault="00DD57F9" w:rsidP="00550E71">
      <w:pPr>
        <w:pStyle w:val="FootnoteText"/>
        <w:tabs>
          <w:tab w:val="right" w:pos="1476"/>
          <w:tab w:val="left" w:pos="1548"/>
          <w:tab w:val="right" w:pos="1836"/>
          <w:tab w:val="left" w:pos="1908"/>
        </w:tabs>
        <w:spacing w:line="120" w:lineRule="exact"/>
        <w:ind w:left="1548" w:right="1267" w:hanging="288"/>
        <w:rPr>
          <w:sz w:val="10"/>
        </w:rPr>
      </w:pPr>
    </w:p>
    <w:p w:rsidR="00550E71" w:rsidRPr="00A75E0B" w:rsidRDefault="00550E71" w:rsidP="00550E71">
      <w:pPr>
        <w:pStyle w:val="FootnoteText"/>
        <w:tabs>
          <w:tab w:val="right" w:pos="1476"/>
          <w:tab w:val="left" w:pos="1548"/>
          <w:tab w:val="right" w:pos="1836"/>
          <w:tab w:val="left" w:pos="1908"/>
        </w:tabs>
        <w:spacing w:line="120" w:lineRule="exact"/>
        <w:ind w:left="1548" w:right="1267" w:hanging="288"/>
        <w:rPr>
          <w:sz w:val="10"/>
        </w:rPr>
      </w:pPr>
    </w:p>
    <w:p w:rsidR="00550E71" w:rsidRPr="00A75E0B" w:rsidRDefault="00550E71" w:rsidP="00550E71">
      <w:pPr>
        <w:pStyle w:val="FootnoteText"/>
        <w:tabs>
          <w:tab w:val="right" w:pos="1476"/>
          <w:tab w:val="left" w:pos="1548"/>
          <w:tab w:val="right" w:pos="1836"/>
          <w:tab w:val="left" w:pos="1908"/>
        </w:tabs>
        <w:spacing w:line="120" w:lineRule="exact"/>
        <w:ind w:left="1548" w:right="1267" w:hanging="288"/>
        <w:rPr>
          <w:sz w:val="10"/>
        </w:rPr>
      </w:pPr>
    </w:p>
    <w:p w:rsidR="00DD57F9" w:rsidRPr="00A75E0B" w:rsidRDefault="00550E71" w:rsidP="00550E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00DD57F9" w:rsidRPr="00A75E0B">
        <w:t>2.</w:t>
      </w:r>
      <w:r w:rsidR="00DD57F9" w:rsidRPr="00A75E0B">
        <w:tab/>
        <w:t>Données fournies par le Système national de statistiques sur l</w:t>
      </w:r>
      <w:r w:rsidR="00FD740F">
        <w:t>’</w:t>
      </w:r>
      <w:r w:rsidR="00DD57F9" w:rsidRPr="00A75E0B">
        <w:t xml:space="preserve">exécution </w:t>
      </w:r>
      <w:r w:rsidRPr="00A75E0B">
        <w:br/>
      </w:r>
      <w:r w:rsidR="00187384" w:rsidRPr="00A75E0B">
        <w:t xml:space="preserve">des peines, relatives à la population </w:t>
      </w:r>
      <w:r w:rsidR="00DD57F9" w:rsidRPr="00A75E0B">
        <w:t>carcéral</w:t>
      </w:r>
      <w:r w:rsidR="00187384" w:rsidRPr="00A75E0B">
        <w:t>e</w:t>
      </w:r>
    </w:p>
    <w:p w:rsidR="00550E71" w:rsidRPr="00C51184" w:rsidRDefault="00550E71" w:rsidP="00C51184">
      <w:pPr>
        <w:pStyle w:val="SingleTxt"/>
        <w:spacing w:after="0" w:line="120" w:lineRule="exact"/>
        <w:rPr>
          <w:sz w:val="10"/>
        </w:rPr>
      </w:pPr>
    </w:p>
    <w:p w:rsidR="00C51184" w:rsidRPr="00A75E0B" w:rsidRDefault="00C51184" w:rsidP="00550E71">
      <w:pPr>
        <w:pStyle w:val="SingleTxt"/>
        <w:spacing w:after="0" w:line="120" w:lineRule="exact"/>
        <w:rPr>
          <w:sz w:val="10"/>
        </w:rPr>
      </w:pPr>
    </w:p>
    <w:tbl>
      <w:tblPr>
        <w:tblW w:w="0" w:type="auto"/>
        <w:tblInd w:w="1267" w:type="dxa"/>
        <w:tblLayout w:type="fixed"/>
        <w:tblCellMar>
          <w:left w:w="0" w:type="dxa"/>
          <w:right w:w="0" w:type="dxa"/>
        </w:tblCellMar>
        <w:tblLook w:val="01E0" w:firstRow="1" w:lastRow="1" w:firstColumn="1" w:lastColumn="1" w:noHBand="0" w:noVBand="0"/>
      </w:tblPr>
      <w:tblGrid>
        <w:gridCol w:w="1757"/>
        <w:gridCol w:w="2286"/>
        <w:gridCol w:w="3456"/>
      </w:tblGrid>
      <w:tr w:rsidR="00DD57F9" w:rsidRPr="00A75E0B" w:rsidTr="00187384">
        <w:trPr>
          <w:trHeight w:val="240"/>
          <w:tblHeader/>
        </w:trPr>
        <w:tc>
          <w:tcPr>
            <w:tcW w:w="1757" w:type="dxa"/>
            <w:tcBorders>
              <w:top w:val="single" w:sz="4" w:space="0" w:color="auto"/>
              <w:bottom w:val="single" w:sz="12" w:space="0" w:color="auto"/>
            </w:tcBorders>
            <w:shd w:val="clear" w:color="auto" w:fill="auto"/>
            <w:vAlign w:val="bottom"/>
          </w:tcPr>
          <w:p w:rsidR="00DD57F9" w:rsidRPr="00A75E0B" w:rsidRDefault="00DD57F9" w:rsidP="00550E71">
            <w:pPr>
              <w:pStyle w:val="FootnoteText"/>
              <w:tabs>
                <w:tab w:val="right" w:pos="1476"/>
                <w:tab w:val="left" w:pos="1548"/>
                <w:tab w:val="right" w:pos="1836"/>
                <w:tab w:val="left" w:pos="1908"/>
              </w:tabs>
              <w:suppressAutoHyphens/>
              <w:spacing w:before="80" w:after="80" w:line="160" w:lineRule="exact"/>
              <w:ind w:right="43"/>
              <w:rPr>
                <w:i/>
                <w:sz w:val="14"/>
              </w:rPr>
            </w:pPr>
            <w:r w:rsidRPr="00A75E0B">
              <w:rPr>
                <w:i/>
                <w:sz w:val="14"/>
              </w:rPr>
              <w:t>Année</w:t>
            </w:r>
          </w:p>
        </w:tc>
        <w:tc>
          <w:tcPr>
            <w:tcW w:w="2286" w:type="dxa"/>
            <w:tcBorders>
              <w:top w:val="single" w:sz="4" w:space="0" w:color="auto"/>
              <w:bottom w:val="single" w:sz="12" w:space="0" w:color="auto"/>
            </w:tcBorders>
            <w:shd w:val="clear" w:color="auto" w:fill="auto"/>
            <w:vAlign w:val="bottom"/>
          </w:tcPr>
          <w:p w:rsidR="00DD57F9" w:rsidRPr="00A75E0B" w:rsidRDefault="00DD57F9" w:rsidP="00550E71">
            <w:pPr>
              <w:pStyle w:val="FootnoteText"/>
              <w:tabs>
                <w:tab w:val="right" w:pos="1476"/>
                <w:tab w:val="left" w:pos="1548"/>
                <w:tab w:val="right" w:pos="1836"/>
                <w:tab w:val="left" w:pos="1908"/>
              </w:tabs>
              <w:suppressAutoHyphens/>
              <w:spacing w:before="80" w:after="80" w:line="160" w:lineRule="exact"/>
              <w:ind w:right="43"/>
              <w:jc w:val="right"/>
              <w:rPr>
                <w:i/>
                <w:sz w:val="14"/>
              </w:rPr>
            </w:pPr>
            <w:r w:rsidRPr="00A75E0B">
              <w:rPr>
                <w:i/>
                <w:sz w:val="14"/>
              </w:rPr>
              <w:t>Personnes privées de liberté</w:t>
            </w:r>
          </w:p>
        </w:tc>
        <w:tc>
          <w:tcPr>
            <w:tcW w:w="3456" w:type="dxa"/>
            <w:tcBorders>
              <w:top w:val="single" w:sz="4" w:space="0" w:color="auto"/>
              <w:bottom w:val="single" w:sz="12" w:space="0" w:color="auto"/>
            </w:tcBorders>
            <w:shd w:val="clear" w:color="auto" w:fill="auto"/>
            <w:vAlign w:val="bottom"/>
          </w:tcPr>
          <w:p w:rsidR="00DD57F9" w:rsidRPr="00A75E0B" w:rsidRDefault="00187384" w:rsidP="00550E71">
            <w:pPr>
              <w:pStyle w:val="FootnoteText"/>
              <w:tabs>
                <w:tab w:val="right" w:pos="1476"/>
                <w:tab w:val="left" w:pos="1548"/>
                <w:tab w:val="right" w:pos="1836"/>
                <w:tab w:val="left" w:pos="1908"/>
              </w:tabs>
              <w:suppressAutoHyphens/>
              <w:spacing w:before="80" w:after="80" w:line="160" w:lineRule="exact"/>
              <w:ind w:right="43"/>
              <w:jc w:val="right"/>
              <w:rPr>
                <w:i/>
                <w:sz w:val="14"/>
              </w:rPr>
            </w:pPr>
            <w:r w:rsidRPr="00A75E0B">
              <w:rPr>
                <w:i/>
                <w:sz w:val="14"/>
              </w:rPr>
              <w:t>Taux d</w:t>
            </w:r>
            <w:r w:rsidR="00FD740F">
              <w:rPr>
                <w:i/>
                <w:sz w:val="14"/>
              </w:rPr>
              <w:t>’</w:t>
            </w:r>
            <w:r w:rsidRPr="00A75E0B">
              <w:rPr>
                <w:i/>
                <w:sz w:val="14"/>
              </w:rPr>
              <w:t>incarcération</w:t>
            </w:r>
            <w:r w:rsidR="00DD57F9" w:rsidRPr="00A75E0B">
              <w:rPr>
                <w:i/>
                <w:sz w:val="14"/>
              </w:rPr>
              <w:t xml:space="preserve"> pour 100 000 habitants</w:t>
            </w:r>
          </w:p>
        </w:tc>
      </w:tr>
      <w:tr w:rsidR="00550E71" w:rsidRPr="00A75E0B" w:rsidTr="00187384">
        <w:trPr>
          <w:trHeight w:hRule="exact" w:val="115"/>
          <w:tblHeader/>
        </w:trPr>
        <w:tc>
          <w:tcPr>
            <w:tcW w:w="1757" w:type="dxa"/>
            <w:tcBorders>
              <w:top w:val="single" w:sz="12" w:space="0" w:color="auto"/>
            </w:tcBorders>
            <w:shd w:val="clear" w:color="auto" w:fill="auto"/>
            <w:vAlign w:val="bottom"/>
          </w:tcPr>
          <w:p w:rsidR="00550E71" w:rsidRPr="00A75E0B" w:rsidRDefault="00550E71" w:rsidP="00550E71">
            <w:pPr>
              <w:pStyle w:val="FootnoteText"/>
              <w:tabs>
                <w:tab w:val="right" w:pos="1476"/>
                <w:tab w:val="left" w:pos="1548"/>
                <w:tab w:val="right" w:pos="1836"/>
                <w:tab w:val="left" w:pos="1908"/>
              </w:tabs>
              <w:suppressAutoHyphens/>
              <w:spacing w:before="40" w:after="40"/>
              <w:ind w:right="43"/>
            </w:pPr>
          </w:p>
        </w:tc>
        <w:tc>
          <w:tcPr>
            <w:tcW w:w="2286" w:type="dxa"/>
            <w:tcBorders>
              <w:top w:val="single" w:sz="12" w:space="0" w:color="auto"/>
            </w:tcBorders>
            <w:shd w:val="clear" w:color="auto" w:fill="auto"/>
            <w:vAlign w:val="bottom"/>
          </w:tcPr>
          <w:p w:rsidR="00550E71" w:rsidRPr="00A75E0B" w:rsidRDefault="00550E71" w:rsidP="00550E71">
            <w:pPr>
              <w:pStyle w:val="FootnoteText"/>
              <w:tabs>
                <w:tab w:val="right" w:pos="1476"/>
                <w:tab w:val="left" w:pos="1548"/>
                <w:tab w:val="right" w:pos="1836"/>
                <w:tab w:val="left" w:pos="1908"/>
              </w:tabs>
              <w:suppressAutoHyphens/>
              <w:spacing w:before="40" w:after="40"/>
              <w:ind w:right="43"/>
              <w:jc w:val="right"/>
            </w:pPr>
          </w:p>
        </w:tc>
        <w:tc>
          <w:tcPr>
            <w:tcW w:w="3456" w:type="dxa"/>
            <w:tcBorders>
              <w:top w:val="single" w:sz="12" w:space="0" w:color="auto"/>
            </w:tcBorders>
            <w:shd w:val="clear" w:color="auto" w:fill="auto"/>
            <w:vAlign w:val="bottom"/>
          </w:tcPr>
          <w:p w:rsidR="00550E71" w:rsidRPr="00A75E0B" w:rsidRDefault="00550E71" w:rsidP="00550E71">
            <w:pPr>
              <w:pStyle w:val="FootnoteText"/>
              <w:tabs>
                <w:tab w:val="right" w:pos="1476"/>
                <w:tab w:val="left" w:pos="1548"/>
                <w:tab w:val="right" w:pos="1836"/>
                <w:tab w:val="left" w:pos="1908"/>
              </w:tabs>
              <w:suppressAutoHyphens/>
              <w:spacing w:before="40" w:after="40"/>
              <w:ind w:right="43"/>
              <w:jc w:val="right"/>
            </w:pPr>
          </w:p>
        </w:tc>
      </w:tr>
      <w:tr w:rsidR="00DD57F9" w:rsidRPr="00A75E0B" w:rsidTr="00187384">
        <w:trPr>
          <w:trHeight w:val="240"/>
        </w:trPr>
        <w:tc>
          <w:tcPr>
            <w:tcW w:w="1757" w:type="dxa"/>
            <w:shd w:val="clear" w:color="auto" w:fill="auto"/>
            <w:vAlign w:val="bottom"/>
          </w:tcPr>
          <w:p w:rsidR="00DD57F9" w:rsidRPr="00A75E0B" w:rsidRDefault="00DD57F9" w:rsidP="00550E71">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pPr>
            <w:r w:rsidRPr="00A75E0B">
              <w:t>2008</w:t>
            </w:r>
          </w:p>
        </w:tc>
        <w:tc>
          <w:tcPr>
            <w:tcW w:w="2286" w:type="dxa"/>
            <w:shd w:val="clear" w:color="auto" w:fill="auto"/>
            <w:vAlign w:val="bottom"/>
          </w:tcPr>
          <w:p w:rsidR="00DD57F9" w:rsidRPr="00A75E0B" w:rsidRDefault="00DD57F9" w:rsidP="00550E71">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jc w:val="right"/>
            </w:pPr>
            <w:r w:rsidRPr="00A75E0B">
              <w:t>54 537</w:t>
            </w:r>
          </w:p>
        </w:tc>
        <w:tc>
          <w:tcPr>
            <w:tcW w:w="3456" w:type="dxa"/>
            <w:shd w:val="clear" w:color="auto" w:fill="auto"/>
            <w:vAlign w:val="bottom"/>
          </w:tcPr>
          <w:p w:rsidR="00DD57F9" w:rsidRPr="00A75E0B" w:rsidRDefault="00DD57F9" w:rsidP="004E608A">
            <w:pPr>
              <w:pStyle w:val="FootnoteText"/>
              <w:tabs>
                <w:tab w:val="left" w:pos="288"/>
                <w:tab w:val="left" w:pos="576"/>
                <w:tab w:val="left" w:pos="864"/>
                <w:tab w:val="left" w:pos="1152"/>
                <w:tab w:val="right" w:pos="1476"/>
                <w:tab w:val="left" w:pos="1548"/>
                <w:tab w:val="right" w:pos="1836"/>
                <w:tab w:val="left" w:pos="1908"/>
              </w:tabs>
              <w:suppressAutoHyphens/>
              <w:spacing w:before="40" w:after="40"/>
              <w:jc w:val="right"/>
            </w:pPr>
            <w:r w:rsidRPr="00A75E0B">
              <w:t>137,2</w:t>
            </w:r>
          </w:p>
        </w:tc>
      </w:tr>
      <w:tr w:rsidR="00DD57F9" w:rsidRPr="00A75E0B" w:rsidTr="00187384">
        <w:trPr>
          <w:trHeight w:val="240"/>
        </w:trPr>
        <w:tc>
          <w:tcPr>
            <w:tcW w:w="1757" w:type="dxa"/>
            <w:shd w:val="clear" w:color="auto" w:fill="auto"/>
            <w:vAlign w:val="bottom"/>
          </w:tcPr>
          <w:p w:rsidR="00DD57F9" w:rsidRPr="00A75E0B" w:rsidRDefault="00DD57F9" w:rsidP="00550E71">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pPr>
            <w:r w:rsidRPr="00A75E0B">
              <w:t>2007</w:t>
            </w:r>
          </w:p>
        </w:tc>
        <w:tc>
          <w:tcPr>
            <w:tcW w:w="2286" w:type="dxa"/>
            <w:shd w:val="clear" w:color="auto" w:fill="auto"/>
            <w:vAlign w:val="bottom"/>
          </w:tcPr>
          <w:p w:rsidR="00DD57F9" w:rsidRPr="00A75E0B" w:rsidRDefault="00DD57F9" w:rsidP="00550E71">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jc w:val="right"/>
            </w:pPr>
            <w:r w:rsidRPr="00A75E0B">
              <w:t>52 457</w:t>
            </w:r>
          </w:p>
        </w:tc>
        <w:tc>
          <w:tcPr>
            <w:tcW w:w="3456" w:type="dxa"/>
            <w:shd w:val="clear" w:color="auto" w:fill="auto"/>
            <w:vAlign w:val="bottom"/>
          </w:tcPr>
          <w:p w:rsidR="00DD57F9" w:rsidRPr="00A75E0B" w:rsidRDefault="00DD57F9" w:rsidP="004E608A">
            <w:pPr>
              <w:pStyle w:val="FootnoteText"/>
              <w:tabs>
                <w:tab w:val="left" w:pos="288"/>
                <w:tab w:val="left" w:pos="576"/>
                <w:tab w:val="left" w:pos="864"/>
                <w:tab w:val="left" w:pos="1152"/>
                <w:tab w:val="right" w:pos="1476"/>
                <w:tab w:val="left" w:pos="1548"/>
                <w:tab w:val="right" w:pos="1836"/>
                <w:tab w:val="left" w:pos="1908"/>
              </w:tabs>
              <w:suppressAutoHyphens/>
              <w:spacing w:before="40" w:after="40"/>
              <w:jc w:val="right"/>
            </w:pPr>
            <w:r w:rsidRPr="00A75E0B">
              <w:t>134,6</w:t>
            </w:r>
          </w:p>
        </w:tc>
      </w:tr>
      <w:tr w:rsidR="00DD57F9" w:rsidRPr="00A75E0B" w:rsidTr="00187384">
        <w:trPr>
          <w:trHeight w:val="240"/>
        </w:trPr>
        <w:tc>
          <w:tcPr>
            <w:tcW w:w="1757" w:type="dxa"/>
            <w:tcBorders>
              <w:bottom w:val="single" w:sz="12" w:space="0" w:color="auto"/>
            </w:tcBorders>
            <w:shd w:val="clear" w:color="auto" w:fill="auto"/>
            <w:vAlign w:val="bottom"/>
          </w:tcPr>
          <w:p w:rsidR="00DD57F9" w:rsidRPr="00A75E0B" w:rsidRDefault="00DD57F9" w:rsidP="00550E71">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pPr>
            <w:r w:rsidRPr="00A75E0B">
              <w:t>2006</w:t>
            </w:r>
          </w:p>
        </w:tc>
        <w:tc>
          <w:tcPr>
            <w:tcW w:w="2286" w:type="dxa"/>
            <w:tcBorders>
              <w:bottom w:val="single" w:sz="12" w:space="0" w:color="auto"/>
            </w:tcBorders>
            <w:shd w:val="clear" w:color="auto" w:fill="auto"/>
            <w:vAlign w:val="bottom"/>
          </w:tcPr>
          <w:p w:rsidR="00DD57F9" w:rsidRPr="00A75E0B" w:rsidRDefault="00DD57F9" w:rsidP="00550E71">
            <w:pPr>
              <w:pStyle w:val="FootnoteText"/>
              <w:tabs>
                <w:tab w:val="left" w:pos="288"/>
                <w:tab w:val="left" w:pos="576"/>
                <w:tab w:val="left" w:pos="864"/>
                <w:tab w:val="left" w:pos="1152"/>
                <w:tab w:val="right" w:pos="1476"/>
                <w:tab w:val="left" w:pos="1548"/>
                <w:tab w:val="right" w:pos="1836"/>
                <w:tab w:val="left" w:pos="1908"/>
              </w:tabs>
              <w:suppressAutoHyphens/>
              <w:spacing w:before="40" w:after="40"/>
              <w:ind w:right="43"/>
              <w:jc w:val="right"/>
            </w:pPr>
            <w:r w:rsidRPr="00A75E0B">
              <w:t>54 000</w:t>
            </w:r>
          </w:p>
        </w:tc>
        <w:tc>
          <w:tcPr>
            <w:tcW w:w="3456" w:type="dxa"/>
            <w:tcBorders>
              <w:bottom w:val="single" w:sz="12" w:space="0" w:color="auto"/>
            </w:tcBorders>
            <w:shd w:val="clear" w:color="auto" w:fill="auto"/>
            <w:vAlign w:val="bottom"/>
          </w:tcPr>
          <w:p w:rsidR="00DD57F9" w:rsidRPr="00A75E0B" w:rsidRDefault="00DD57F9" w:rsidP="004E608A">
            <w:pPr>
              <w:pStyle w:val="FootnoteText"/>
              <w:tabs>
                <w:tab w:val="left" w:pos="288"/>
                <w:tab w:val="left" w:pos="576"/>
                <w:tab w:val="left" w:pos="864"/>
                <w:tab w:val="left" w:pos="1152"/>
                <w:tab w:val="right" w:pos="1476"/>
                <w:tab w:val="left" w:pos="1548"/>
                <w:tab w:val="right" w:pos="1836"/>
                <w:tab w:val="left" w:pos="1908"/>
              </w:tabs>
              <w:suppressAutoHyphens/>
              <w:spacing w:before="40" w:after="40"/>
              <w:jc w:val="right"/>
            </w:pPr>
            <w:r w:rsidRPr="00A75E0B">
              <w:t>139</w:t>
            </w:r>
          </w:p>
        </w:tc>
      </w:tr>
    </w:tbl>
    <w:p w:rsidR="00550E71" w:rsidRPr="00A75E0B" w:rsidRDefault="00550E71" w:rsidP="00550E71">
      <w:pPr>
        <w:pStyle w:val="FootnoteText"/>
        <w:tabs>
          <w:tab w:val="right" w:pos="1476"/>
          <w:tab w:val="left" w:pos="1548"/>
          <w:tab w:val="right" w:pos="1836"/>
          <w:tab w:val="left" w:pos="1908"/>
        </w:tabs>
        <w:spacing w:line="120" w:lineRule="exact"/>
        <w:ind w:left="1548" w:right="1267" w:hanging="288"/>
        <w:rPr>
          <w:i/>
          <w:iCs/>
          <w:sz w:val="10"/>
        </w:rPr>
      </w:pPr>
    </w:p>
    <w:p w:rsidR="00DD57F9" w:rsidRPr="00A75E0B" w:rsidRDefault="00DD57F9" w:rsidP="00550E71">
      <w:pPr>
        <w:pStyle w:val="FootnoteText"/>
        <w:tabs>
          <w:tab w:val="right" w:pos="1476"/>
          <w:tab w:val="left" w:pos="1548"/>
          <w:tab w:val="right" w:pos="1836"/>
          <w:tab w:val="left" w:pos="1908"/>
        </w:tabs>
        <w:ind w:left="1548" w:right="1267" w:hanging="288"/>
      </w:pPr>
      <w:r w:rsidRPr="00A75E0B">
        <w:rPr>
          <w:i/>
          <w:iCs/>
        </w:rPr>
        <w:t>Note</w:t>
      </w:r>
      <w:r w:rsidR="00550E71" w:rsidRPr="00A75E0B">
        <w:rPr>
          <w:i/>
          <w:iCs/>
        </w:rPr>
        <w:t> </w:t>
      </w:r>
      <w:r w:rsidRPr="00A75E0B">
        <w:t>:</w:t>
      </w:r>
      <w:r w:rsidR="00550E71" w:rsidRPr="00A75E0B">
        <w:t xml:space="preserve"> </w:t>
      </w:r>
      <w:r w:rsidRPr="00A75E0B">
        <w:t xml:space="preserve">Ces chiffres </w:t>
      </w:r>
      <w:r w:rsidR="00187384" w:rsidRPr="00A75E0B">
        <w:t xml:space="preserve">couvrent </w:t>
      </w:r>
      <w:r w:rsidRPr="00A75E0B">
        <w:t xml:space="preserve">les personnes détenues dans un établissement pénitentiaire mais </w:t>
      </w:r>
      <w:r w:rsidR="00187384" w:rsidRPr="00A75E0B">
        <w:t xml:space="preserve">ne couvrent pas les personnes gardées à vue </w:t>
      </w:r>
      <w:r w:rsidRPr="00A75E0B">
        <w:t>ou placées dans un centre de détention pour mineurs.</w:t>
      </w:r>
    </w:p>
    <w:p w:rsidR="00187384" w:rsidRPr="00A75E0B" w:rsidRDefault="00187384" w:rsidP="00187384">
      <w:pPr>
        <w:pStyle w:val="FootnoteText"/>
        <w:tabs>
          <w:tab w:val="right" w:pos="1476"/>
          <w:tab w:val="left" w:pos="1548"/>
          <w:tab w:val="right" w:pos="1836"/>
          <w:tab w:val="left" w:pos="1908"/>
        </w:tabs>
        <w:spacing w:line="120" w:lineRule="exact"/>
        <w:ind w:left="1548" w:right="1267" w:hanging="288"/>
        <w:rPr>
          <w:sz w:val="10"/>
        </w:rPr>
      </w:pPr>
    </w:p>
    <w:p w:rsidR="00187384" w:rsidRPr="00A75E0B" w:rsidRDefault="00187384" w:rsidP="00187384">
      <w:pPr>
        <w:pStyle w:val="FootnoteText"/>
        <w:tabs>
          <w:tab w:val="right" w:pos="1476"/>
          <w:tab w:val="left" w:pos="1548"/>
          <w:tab w:val="right" w:pos="1836"/>
          <w:tab w:val="left" w:pos="1908"/>
        </w:tabs>
        <w:spacing w:line="120" w:lineRule="exact"/>
        <w:ind w:left="1548" w:right="1267" w:hanging="288"/>
        <w:rPr>
          <w:sz w:val="10"/>
        </w:rPr>
      </w:pPr>
    </w:p>
    <w:p w:rsidR="00DD57F9" w:rsidRPr="00A75E0B" w:rsidRDefault="00DD57F9" w:rsidP="00187384">
      <w:pPr>
        <w:pStyle w:val="SingleTxt"/>
        <w:numPr>
          <w:ilvl w:val="0"/>
          <w:numId w:val="8"/>
        </w:numPr>
        <w:tabs>
          <w:tab w:val="clear" w:pos="475"/>
          <w:tab w:val="num" w:pos="1742"/>
        </w:tabs>
        <w:ind w:left="1267"/>
      </w:pPr>
      <w:r w:rsidRPr="00A75E0B">
        <w:t xml:space="preserve">En Argentine, la </w:t>
      </w:r>
      <w:r w:rsidR="002733E0" w:rsidRPr="00A75E0B">
        <w:t xml:space="preserve">durée de la </w:t>
      </w:r>
      <w:r w:rsidRPr="00A75E0B">
        <w:t xml:space="preserve">détention provisoire </w:t>
      </w:r>
      <w:r w:rsidR="002733E0" w:rsidRPr="00A75E0B">
        <w:t xml:space="preserve">est de </w:t>
      </w:r>
      <w:r w:rsidRPr="00A75E0B">
        <w:t xml:space="preserve">deux </w:t>
      </w:r>
      <w:r w:rsidR="002733E0" w:rsidRPr="00A75E0B">
        <w:t>à</w:t>
      </w:r>
      <w:r w:rsidRPr="00A75E0B">
        <w:t xml:space="preserve"> trois ans</w:t>
      </w:r>
      <w:r w:rsidR="002733E0" w:rsidRPr="00A75E0B">
        <w:t xml:space="preserve"> environ</w:t>
      </w:r>
      <w:r w:rsidRPr="00A75E0B">
        <w:t>.</w:t>
      </w:r>
    </w:p>
    <w:p w:rsidR="00DD57F9" w:rsidRPr="00A75E0B" w:rsidRDefault="00DD57F9" w:rsidP="00187384">
      <w:pPr>
        <w:pStyle w:val="SingleTxt"/>
        <w:numPr>
          <w:ilvl w:val="0"/>
          <w:numId w:val="8"/>
        </w:numPr>
        <w:tabs>
          <w:tab w:val="clear" w:pos="475"/>
          <w:tab w:val="num" w:pos="1742"/>
        </w:tabs>
        <w:ind w:left="1267"/>
      </w:pPr>
      <w:r w:rsidRPr="00A75E0B">
        <w:t>L</w:t>
      </w:r>
      <w:r w:rsidR="00FD740F">
        <w:t>’</w:t>
      </w:r>
      <w:r w:rsidRPr="00A75E0B">
        <w:t>Argentine n</w:t>
      </w:r>
      <w:r w:rsidR="00FD740F">
        <w:t>’</w:t>
      </w:r>
      <w:r w:rsidRPr="00A75E0B">
        <w:t>applique pas la peine capitale.</w:t>
      </w:r>
    </w:p>
    <w:p w:rsidR="00DD57F9" w:rsidRPr="00A75E0B" w:rsidRDefault="00DD57F9" w:rsidP="00187384">
      <w:pPr>
        <w:pStyle w:val="SingleTxt"/>
        <w:numPr>
          <w:ilvl w:val="0"/>
          <w:numId w:val="8"/>
        </w:numPr>
        <w:tabs>
          <w:tab w:val="clear" w:pos="475"/>
          <w:tab w:val="num" w:pos="1742"/>
        </w:tabs>
        <w:ind w:left="1267"/>
      </w:pPr>
      <w:r w:rsidRPr="00A75E0B">
        <w:t>Selon le rapport de 2008 du Système national</w:t>
      </w:r>
      <w:r w:rsidR="002733E0" w:rsidRPr="00A75E0B">
        <w:t xml:space="preserve"> de</w:t>
      </w:r>
      <w:r w:rsidRPr="00A75E0B">
        <w:t xml:space="preserve"> statistique</w:t>
      </w:r>
      <w:r w:rsidR="002733E0" w:rsidRPr="00A75E0B">
        <w:t>s</w:t>
      </w:r>
      <w:r w:rsidRPr="00A75E0B">
        <w:t xml:space="preserve"> sur l</w:t>
      </w:r>
      <w:r w:rsidR="00FD740F">
        <w:t>’</w:t>
      </w:r>
      <w:r w:rsidRPr="00A75E0B">
        <w:t>exécution des peines, la plupart des personnes incarcérées l</w:t>
      </w:r>
      <w:r w:rsidR="00FD740F">
        <w:t>’</w:t>
      </w:r>
      <w:r w:rsidRPr="00A75E0B">
        <w:t xml:space="preserve">étaient depuis moins de trois ans et </w:t>
      </w:r>
      <w:r w:rsidR="002733E0" w:rsidRPr="00A75E0B">
        <w:t xml:space="preserve">dans la plupart des cas </w:t>
      </w:r>
      <w:r w:rsidRPr="00A75E0B">
        <w:t>n</w:t>
      </w:r>
      <w:r w:rsidR="00FD740F">
        <w:t>’</w:t>
      </w:r>
      <w:r w:rsidRPr="00A75E0B">
        <w:t xml:space="preserve">avaient pas encore été condamnées </w:t>
      </w:r>
      <w:r w:rsidR="002733E0" w:rsidRPr="00A75E0B">
        <w:t xml:space="preserve">définitivement </w:t>
      </w:r>
      <w:r w:rsidRPr="00A75E0B">
        <w:t>(</w:t>
      </w:r>
      <w:r w:rsidR="002733E0" w:rsidRPr="00A75E0B">
        <w:t xml:space="preserve">dans </w:t>
      </w:r>
      <w:r w:rsidRPr="00A75E0B">
        <w:t>59</w:t>
      </w:r>
      <w:r w:rsidR="002733E0" w:rsidRPr="00A75E0B">
        <w:t> </w:t>
      </w:r>
      <w:r w:rsidRPr="00A75E0B">
        <w:t xml:space="preserve">% </w:t>
      </w:r>
      <w:r w:rsidR="002733E0" w:rsidRPr="00A75E0B">
        <w:t>des cas la procédure était en cours et la condamnation définitive n</w:t>
      </w:r>
      <w:r w:rsidR="00FD740F">
        <w:t>’</w:t>
      </w:r>
      <w:r w:rsidR="002733E0" w:rsidRPr="00A75E0B">
        <w:t>avait pas été prononcée</w:t>
      </w:r>
      <w:r w:rsidRPr="00A75E0B">
        <w:t>).</w:t>
      </w:r>
    </w:p>
    <w:p w:rsidR="00DD57F9" w:rsidRPr="00A75E0B" w:rsidRDefault="00DD57F9" w:rsidP="00187384">
      <w:pPr>
        <w:pStyle w:val="SingleTxt"/>
        <w:numPr>
          <w:ilvl w:val="0"/>
          <w:numId w:val="8"/>
        </w:numPr>
        <w:tabs>
          <w:tab w:val="clear" w:pos="475"/>
          <w:tab w:val="num" w:pos="1742"/>
        </w:tabs>
        <w:ind w:left="1267"/>
      </w:pPr>
      <w:r w:rsidRPr="00A75E0B">
        <w:lastRenderedPageBreak/>
        <w:t xml:space="preserve">En outre, la durée de la peine prononcée </w:t>
      </w:r>
      <w:r w:rsidR="0047652C" w:rsidRPr="00A75E0B">
        <w:t>pour l</w:t>
      </w:r>
      <w:r w:rsidRPr="00A75E0B">
        <w:t xml:space="preserve">es détenus </w:t>
      </w:r>
      <w:r w:rsidR="0047652C" w:rsidRPr="00A75E0B">
        <w:t>condamnés allait de trois à six</w:t>
      </w:r>
      <w:r w:rsidRPr="00A75E0B">
        <w:t xml:space="preserve"> ans dans 34</w:t>
      </w:r>
      <w:r w:rsidR="002733E0" w:rsidRPr="00A75E0B">
        <w:t> </w:t>
      </w:r>
      <w:r w:rsidRPr="00A75E0B">
        <w:t xml:space="preserve">% des cas et </w:t>
      </w:r>
      <w:r w:rsidR="0047652C" w:rsidRPr="00A75E0B">
        <w:t>d</w:t>
      </w:r>
      <w:r w:rsidRPr="00A75E0B">
        <w:t xml:space="preserve">e </w:t>
      </w:r>
      <w:r w:rsidR="0047652C" w:rsidRPr="00A75E0B">
        <w:t xml:space="preserve">six à neuf </w:t>
      </w:r>
      <w:r w:rsidRPr="00A75E0B">
        <w:t>ans dans 26</w:t>
      </w:r>
      <w:r w:rsidR="002733E0" w:rsidRPr="00A75E0B">
        <w:t> </w:t>
      </w:r>
      <w:r w:rsidRPr="00A75E0B">
        <w:t>% des cas</w:t>
      </w:r>
      <w:r w:rsidR="0047652C" w:rsidRPr="00A75E0B">
        <w:t xml:space="preserve">; </w:t>
      </w:r>
      <w:r w:rsidRPr="00A75E0B">
        <w:t>20,4</w:t>
      </w:r>
      <w:r w:rsidR="002733E0" w:rsidRPr="00A75E0B">
        <w:t> </w:t>
      </w:r>
      <w:r w:rsidRPr="00A75E0B">
        <w:t>% des condamnés étaient récidivistes (12,3</w:t>
      </w:r>
      <w:r w:rsidR="002733E0" w:rsidRPr="00A75E0B">
        <w:t> </w:t>
      </w:r>
      <w:r w:rsidR="0047652C" w:rsidRPr="00A75E0B">
        <w:t>%</w:t>
      </w:r>
      <w:r w:rsidRPr="00A75E0B">
        <w:t xml:space="preserve"> multirécidivistes) et 2</w:t>
      </w:r>
      <w:r w:rsidR="002733E0" w:rsidRPr="00A75E0B">
        <w:t> </w:t>
      </w:r>
      <w:r w:rsidRPr="00A75E0B">
        <w:t>% faisaient l</w:t>
      </w:r>
      <w:r w:rsidR="00FD740F">
        <w:t>’</w:t>
      </w:r>
      <w:r w:rsidRPr="00A75E0B">
        <w:t xml:space="preserve">objet de mesures de </w:t>
      </w:r>
      <w:r w:rsidR="0047652C" w:rsidRPr="00A75E0B">
        <w:t>sûreté</w:t>
      </w:r>
      <w:r w:rsidRPr="00A75E0B">
        <w:t>.</w:t>
      </w:r>
    </w:p>
    <w:p w:rsidR="00DD57F9" w:rsidRPr="00A75E0B" w:rsidRDefault="00DD57F9" w:rsidP="00187384">
      <w:pPr>
        <w:pStyle w:val="SingleTxt"/>
        <w:numPr>
          <w:ilvl w:val="0"/>
          <w:numId w:val="8"/>
        </w:numPr>
        <w:tabs>
          <w:tab w:val="clear" w:pos="475"/>
          <w:tab w:val="num" w:pos="1742"/>
        </w:tabs>
        <w:ind w:left="1267"/>
      </w:pPr>
      <w:r w:rsidRPr="00A75E0B">
        <w:t xml:space="preserve">Enfin, la plupart des détenus </w:t>
      </w:r>
      <w:r w:rsidR="004371C4">
        <w:t xml:space="preserve">étaient </w:t>
      </w:r>
      <w:r w:rsidR="000921C7" w:rsidRPr="00A75E0B">
        <w:t xml:space="preserve">emprisonnés pour </w:t>
      </w:r>
      <w:r w:rsidRPr="00A75E0B">
        <w:t>atteinte aux biens (</w:t>
      </w:r>
      <w:r w:rsidR="000921C7" w:rsidRPr="00A75E0B">
        <w:t>vol simple et vol qualifié</w:t>
      </w:r>
      <w:r w:rsidRPr="00A75E0B">
        <w:t xml:space="preserve">). </w:t>
      </w:r>
      <w:r w:rsidR="000921C7" w:rsidRPr="00A75E0B">
        <w:t xml:space="preserve">Il y avait 7 839 personnes détenues pour </w:t>
      </w:r>
      <w:r w:rsidRPr="00A75E0B">
        <w:t xml:space="preserve">homicide volontaire </w:t>
      </w:r>
      <w:r w:rsidR="000921C7" w:rsidRPr="00A75E0B">
        <w:t xml:space="preserve">et </w:t>
      </w:r>
      <w:r w:rsidRPr="00A75E0B">
        <w:t>3</w:t>
      </w:r>
      <w:r w:rsidR="004E608A">
        <w:t> </w:t>
      </w:r>
      <w:r w:rsidRPr="00A75E0B">
        <w:t>252</w:t>
      </w:r>
      <w:r w:rsidR="000921C7" w:rsidRPr="00A75E0B">
        <w:t xml:space="preserve"> détenues pour viol</w:t>
      </w:r>
      <w:r w:rsidRPr="00A75E0B">
        <w:t>.</w:t>
      </w:r>
    </w:p>
    <w:p w:rsidR="000921C7" w:rsidRPr="00A75E0B" w:rsidRDefault="000921C7" w:rsidP="000921C7">
      <w:pPr>
        <w:pStyle w:val="SingleTxt"/>
        <w:spacing w:after="0" w:line="120" w:lineRule="exact"/>
        <w:rPr>
          <w:sz w:val="10"/>
        </w:rPr>
      </w:pPr>
    </w:p>
    <w:p w:rsidR="000921C7" w:rsidRPr="00A75E0B" w:rsidRDefault="000921C7" w:rsidP="000921C7">
      <w:pPr>
        <w:pStyle w:val="SingleTxt"/>
        <w:spacing w:after="0" w:line="120" w:lineRule="exact"/>
        <w:rPr>
          <w:sz w:val="10"/>
        </w:rPr>
      </w:pPr>
    </w:p>
    <w:p w:rsidR="000921C7" w:rsidRPr="00A75E0B" w:rsidRDefault="000921C7" w:rsidP="000921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t>B.</w:t>
      </w:r>
      <w:r w:rsidRPr="00A75E0B">
        <w:tab/>
        <w:t>Structure constitutionnelle, politique et juridique</w:t>
      </w:r>
    </w:p>
    <w:p w:rsidR="000921C7" w:rsidRPr="00A75E0B" w:rsidRDefault="000921C7" w:rsidP="000921C7">
      <w:pPr>
        <w:pStyle w:val="SingleTxt"/>
        <w:spacing w:after="0" w:line="120" w:lineRule="exact"/>
        <w:rPr>
          <w:sz w:val="10"/>
        </w:rPr>
      </w:pPr>
    </w:p>
    <w:p w:rsidR="000921C7" w:rsidRPr="00A75E0B" w:rsidRDefault="000921C7" w:rsidP="000921C7">
      <w:pPr>
        <w:pStyle w:val="SingleTxt"/>
        <w:spacing w:after="0" w:line="120" w:lineRule="exact"/>
        <w:rPr>
          <w:sz w:val="10"/>
        </w:rPr>
      </w:pPr>
    </w:p>
    <w:p w:rsidR="000921C7" w:rsidRPr="00A75E0B" w:rsidRDefault="000921C7" w:rsidP="000921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t>1.</w:t>
      </w:r>
      <w:r w:rsidRPr="00A75E0B">
        <w:tab/>
        <w:t>Forme républicaine de gouvernement</w:t>
      </w:r>
    </w:p>
    <w:p w:rsidR="000921C7" w:rsidRPr="00A75E0B" w:rsidRDefault="000921C7" w:rsidP="000921C7">
      <w:pPr>
        <w:pStyle w:val="SingleTxt"/>
        <w:spacing w:after="0" w:line="120" w:lineRule="exact"/>
        <w:rPr>
          <w:sz w:val="10"/>
        </w:rPr>
      </w:pPr>
    </w:p>
    <w:p w:rsidR="000921C7" w:rsidRPr="00A75E0B" w:rsidRDefault="000921C7" w:rsidP="000921C7">
      <w:pPr>
        <w:pStyle w:val="SingleTxt"/>
        <w:numPr>
          <w:ilvl w:val="0"/>
          <w:numId w:val="8"/>
        </w:numPr>
        <w:tabs>
          <w:tab w:val="clear" w:pos="475"/>
          <w:tab w:val="num" w:pos="1742"/>
        </w:tabs>
        <w:ind w:left="1267"/>
      </w:pPr>
      <w:r w:rsidRPr="00A75E0B">
        <w:t>L</w:t>
      </w:r>
      <w:r w:rsidR="00FD740F">
        <w:t>’</w:t>
      </w:r>
      <w:r w:rsidRPr="00A75E0B">
        <w:t>organisation politique de l</w:t>
      </w:r>
      <w:r w:rsidR="00FD740F">
        <w:t>’</w:t>
      </w:r>
      <w:r w:rsidRPr="00A75E0B">
        <w:t>Argentine est fondée sur le régime représentatif, républicain et fédéral, consacré dans la Constitution adoptée en 1853 par le Congrès général constituant de la Confédération argentine. La Constitution a été modifiée en 1860, essentiellement en raison de l</w:t>
      </w:r>
      <w:r w:rsidR="00FD740F">
        <w:t>’</w:t>
      </w:r>
      <w:r w:rsidRPr="00A75E0B">
        <w:t>intégration de la province de Buenos Aires, qui ne faisait pas partie de la Confédération argentine entre 1853 et 1860. En 1949, une convention constituante a remplacé le texte de 1853/1860 par un nouveau texte qui est resté lettre morte, le Gouvernement provisoire ayant rétabli en 1956 le texte antérieur. Le 22 août 1994, la Convention nationale constituante a adopté la révision de la Constitution, qui est entrée en vigueur le 24</w:t>
      </w:r>
      <w:r w:rsidR="0083743B">
        <w:t> </w:t>
      </w:r>
      <w:r w:rsidRPr="00A75E0B">
        <w:t>août 1994. Ces réformes concernent essentiellement la partie dispositive de la Constitution.</w:t>
      </w:r>
    </w:p>
    <w:p w:rsidR="000921C7" w:rsidRPr="00A75E0B" w:rsidRDefault="000921C7" w:rsidP="000921C7">
      <w:pPr>
        <w:pStyle w:val="SingleTxt"/>
        <w:numPr>
          <w:ilvl w:val="0"/>
          <w:numId w:val="8"/>
        </w:numPr>
        <w:tabs>
          <w:tab w:val="clear" w:pos="475"/>
          <w:tab w:val="num" w:pos="1742"/>
        </w:tabs>
        <w:ind w:left="1267"/>
      </w:pPr>
      <w:r w:rsidRPr="00A75E0B">
        <w:t>Le régime politique est présidentiel et se caractérise par la séparation des pouvoirs législatif, exécutif et judiciaire. Le pouvoir exécutif appartient au Président de la Nation.</w:t>
      </w:r>
    </w:p>
    <w:p w:rsidR="000921C7" w:rsidRPr="00A75E0B" w:rsidRDefault="000921C7" w:rsidP="000921C7">
      <w:pPr>
        <w:pStyle w:val="SingleTxt"/>
        <w:numPr>
          <w:ilvl w:val="0"/>
          <w:numId w:val="8"/>
        </w:numPr>
        <w:tabs>
          <w:tab w:val="clear" w:pos="475"/>
          <w:tab w:val="num" w:pos="1742"/>
        </w:tabs>
        <w:ind w:left="1267"/>
      </w:pPr>
      <w:r w:rsidRPr="00A75E0B">
        <w:t xml:space="preserve">La République argentine est constituée de la ville autonome de Buenos Aires et </w:t>
      </w:r>
      <w:r w:rsidRPr="004E608A">
        <w:rPr>
          <w:spacing w:val="2"/>
        </w:rPr>
        <w:t xml:space="preserve">de 23 provinces : Catamarca, Corrientes, Córdoba, Chaco, Chubut, Entre Ríos, Formosa, Jujuy, La Pampa, La Rioja, Mendoza, Misiones, Neuquén, Río Negro, Salta, San Juan, San Luis, Santa </w:t>
      </w:r>
      <w:r w:rsidRPr="00A75E0B">
        <w:t>Cruz, Santa Fe, Santiago del Estero, Tucumán et Terre de Feu</w:t>
      </w:r>
      <w:r w:rsidRPr="00A75E0B">
        <w:rPr>
          <w:rStyle w:val="FootnoteReference"/>
        </w:rPr>
        <w:footnoteReference w:id="4"/>
      </w:r>
      <w:r w:rsidRPr="00A75E0B">
        <w:t>.</w:t>
      </w:r>
    </w:p>
    <w:p w:rsidR="000921C7" w:rsidRPr="00A75E0B" w:rsidRDefault="000921C7" w:rsidP="000921C7">
      <w:pPr>
        <w:pStyle w:val="SingleTxt"/>
        <w:numPr>
          <w:ilvl w:val="0"/>
          <w:numId w:val="8"/>
        </w:numPr>
        <w:tabs>
          <w:tab w:val="clear" w:pos="475"/>
          <w:tab w:val="num" w:pos="1742"/>
        </w:tabs>
        <w:ind w:left="1267"/>
      </w:pPr>
      <w:r w:rsidRPr="00A75E0B">
        <w:t>Étant donné que l</w:t>
      </w:r>
      <w:r w:rsidR="00FD740F">
        <w:t>’</w:t>
      </w:r>
      <w:r w:rsidRPr="00A75E0B">
        <w:t xml:space="preserve">Argentine est une République fédérale, les provinces sont autonomes pour ce qui est de leur droit </w:t>
      </w:r>
      <w:r w:rsidR="004371C4">
        <w:t>d’</w:t>
      </w:r>
      <w:r w:rsidRPr="00A75E0B">
        <w:t>ordre juridique, conformément à la Constitution. Chaque province rédige sa propre constitution, qui doit assurer l</w:t>
      </w:r>
      <w:r w:rsidR="00FD740F">
        <w:t>’</w:t>
      </w:r>
      <w:r w:rsidRPr="00A75E0B">
        <w:t>administration de la justice et l</w:t>
      </w:r>
      <w:r w:rsidR="00FD740F">
        <w:t>’</w:t>
      </w:r>
      <w:r w:rsidRPr="00A75E0B">
        <w:t>autonomie des organes locaux, et règle en détail tout ce qui concerne son organisation institutionnelle, politique, administrative, économique et financière. Les provinces désignent leurs autorités</w:t>
      </w:r>
      <w:r w:rsidR="00AB4AC5" w:rsidRPr="00A75E0B">
        <w:t xml:space="preserve"> </w:t>
      </w:r>
      <w:r w:rsidRPr="00A75E0B">
        <w:t xml:space="preserve">: le gouverneur, les législateurs et les </w:t>
      </w:r>
      <w:r w:rsidR="00A75E0B" w:rsidRPr="00A75E0B">
        <w:t>fonctionnaires</w:t>
      </w:r>
      <w:r w:rsidRPr="00A75E0B">
        <w:t>. Elles adoptent leur propre législation et sont habilitées à conclure des accords internationaux, pour autant que ceux-ci ne soient pas incompatibles avec la politique extérieure du pays, n</w:t>
      </w:r>
      <w:r w:rsidR="00FD740F">
        <w:t>’</w:t>
      </w:r>
      <w:r w:rsidRPr="00A75E0B">
        <w:t>empiètent pas sur les attributions déléguées au Gouvernement fédéral et ne portent pas atteinte au crédit de la Nation. Les provinces peuvent aussi conclure des traités partiels, à des fins d</w:t>
      </w:r>
      <w:r w:rsidR="00FD740F">
        <w:t>’</w:t>
      </w:r>
      <w:r w:rsidRPr="00A75E0B">
        <w:t>administration de la justice, d</w:t>
      </w:r>
      <w:r w:rsidR="00FD740F">
        <w:t>’</w:t>
      </w:r>
      <w:r w:rsidRPr="00A75E0B">
        <w:t>intérêts économiques et de travaux d</w:t>
      </w:r>
      <w:r w:rsidR="00FD740F">
        <w:t>’</w:t>
      </w:r>
      <w:r w:rsidRPr="00A75E0B">
        <w:t>intérêt commun, sous réserve d</w:t>
      </w:r>
      <w:r w:rsidR="00FD740F">
        <w:t>’</w:t>
      </w:r>
      <w:r w:rsidRPr="00A75E0B">
        <w:t>en informer le Congrès fédéral.</w:t>
      </w:r>
    </w:p>
    <w:p w:rsidR="000921C7" w:rsidRPr="00A75E0B" w:rsidRDefault="000921C7" w:rsidP="000921C7">
      <w:pPr>
        <w:pStyle w:val="SingleTxt"/>
        <w:spacing w:after="0" w:line="120" w:lineRule="exact"/>
        <w:rPr>
          <w:sz w:val="10"/>
        </w:rPr>
      </w:pPr>
    </w:p>
    <w:p w:rsidR="000921C7" w:rsidRPr="00A75E0B" w:rsidRDefault="000921C7" w:rsidP="000921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t>2.</w:t>
      </w:r>
      <w:r w:rsidRPr="00A75E0B">
        <w:tab/>
        <w:t>Autorités nationales</w:t>
      </w:r>
      <w:r w:rsidR="00AB4AC5" w:rsidRPr="00A75E0B">
        <w:t xml:space="preserve"> </w:t>
      </w:r>
      <w:r w:rsidRPr="00A75E0B">
        <w:t>: Gouvernement fédéral</w:t>
      </w:r>
    </w:p>
    <w:p w:rsidR="000921C7" w:rsidRPr="00A75E0B" w:rsidRDefault="000921C7" w:rsidP="000921C7">
      <w:pPr>
        <w:pStyle w:val="SingleTxt"/>
        <w:spacing w:after="0" w:line="120" w:lineRule="exact"/>
        <w:rPr>
          <w:sz w:val="10"/>
        </w:rPr>
      </w:pPr>
    </w:p>
    <w:p w:rsidR="000921C7" w:rsidRPr="00A75E0B" w:rsidRDefault="000921C7" w:rsidP="00897D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t>Pouvoir législatif</w:t>
      </w:r>
    </w:p>
    <w:p w:rsidR="000921C7" w:rsidRPr="00A75E0B" w:rsidRDefault="000921C7" w:rsidP="000921C7">
      <w:pPr>
        <w:pStyle w:val="SingleTxt"/>
        <w:spacing w:after="0" w:line="120" w:lineRule="exact"/>
        <w:rPr>
          <w:sz w:val="10"/>
        </w:rPr>
      </w:pPr>
    </w:p>
    <w:p w:rsidR="000921C7" w:rsidRPr="00A75E0B" w:rsidRDefault="000921C7" w:rsidP="000921C7">
      <w:pPr>
        <w:pStyle w:val="SingleTxt"/>
        <w:numPr>
          <w:ilvl w:val="0"/>
          <w:numId w:val="8"/>
        </w:numPr>
        <w:tabs>
          <w:tab w:val="clear" w:pos="475"/>
          <w:tab w:val="num" w:pos="1742"/>
        </w:tabs>
        <w:ind w:left="1267"/>
      </w:pPr>
      <w:r w:rsidRPr="00A75E0B">
        <w:t>Conformément à la Constitution en vigueur, le pouvoir législatif est exercé par un Congrès composé de deux chambres</w:t>
      </w:r>
      <w:r w:rsidR="0083743B">
        <w:t> </w:t>
      </w:r>
      <w:r w:rsidRPr="00A75E0B">
        <w:t xml:space="preserve">: la Chambre des députés et le Sénat </w:t>
      </w:r>
      <w:r w:rsidRPr="00A75E0B">
        <w:lastRenderedPageBreak/>
        <w:t>(Constitution, art. 44). La première se compose de représentants élus directement par le peuple des provinces et de la ville de Buenos Aires, dont le nombre est fonction du nombre d</w:t>
      </w:r>
      <w:r w:rsidR="00FD740F">
        <w:t>’</w:t>
      </w:r>
      <w:r w:rsidRPr="00A75E0B">
        <w:t>habitants. Aux fins électorales, le pays est divisé en districts, dont chacun élit ses candidats proportionnellement au nombre d</w:t>
      </w:r>
      <w:r w:rsidR="00FD740F">
        <w:t>’</w:t>
      </w:r>
      <w:r w:rsidRPr="00A75E0B">
        <w:t>habitants. Les députés ont un mandat de quatre ans et peuvent être réélus; la Chambre se renouvelle par moitié tous les deux ans (art.</w:t>
      </w:r>
      <w:r w:rsidR="00897DCE" w:rsidRPr="00A75E0B">
        <w:t> </w:t>
      </w:r>
      <w:r w:rsidRPr="00A75E0B">
        <w:t>50).</w:t>
      </w:r>
    </w:p>
    <w:p w:rsidR="000921C7" w:rsidRPr="00A75E0B" w:rsidRDefault="000921C7" w:rsidP="000921C7">
      <w:pPr>
        <w:pStyle w:val="SingleTxt"/>
        <w:numPr>
          <w:ilvl w:val="0"/>
          <w:numId w:val="8"/>
        </w:numPr>
        <w:tabs>
          <w:tab w:val="clear" w:pos="475"/>
          <w:tab w:val="num" w:pos="1742"/>
        </w:tabs>
        <w:ind w:left="1267"/>
      </w:pPr>
      <w:r w:rsidRPr="00A75E0B">
        <w:t>Le Sénat est composé de trois sénateurs de chaque province et de trois sénateurs pour la ville de Buenos Aires, qui sont élus directement et conjointement; deux sièges de sénateurs reviennent au parti politique qui obtient le plus de suffrages et le troisième est attribué au parti qui arrive en deuxième position. Les sénateurs ont un mandat de six ans et sont rééligibles indéfiniment. Le renouvellement de la Chambre est partiel, un tiers des membres étant renouvelé tous les deux ans (art.</w:t>
      </w:r>
      <w:r w:rsidR="00897DCE" w:rsidRPr="00A75E0B">
        <w:t> </w:t>
      </w:r>
      <w:r w:rsidRPr="00A75E0B">
        <w:t>56).</w:t>
      </w:r>
    </w:p>
    <w:p w:rsidR="000921C7" w:rsidRPr="00A75E0B" w:rsidRDefault="000921C7" w:rsidP="000921C7">
      <w:pPr>
        <w:pStyle w:val="SingleTxt"/>
        <w:numPr>
          <w:ilvl w:val="0"/>
          <w:numId w:val="8"/>
        </w:numPr>
        <w:tabs>
          <w:tab w:val="clear" w:pos="475"/>
          <w:tab w:val="num" w:pos="1742"/>
        </w:tabs>
        <w:ind w:left="1267"/>
      </w:pPr>
      <w:r w:rsidRPr="00A75E0B">
        <w:t>L</w:t>
      </w:r>
      <w:r w:rsidR="00FD740F">
        <w:t>’</w:t>
      </w:r>
      <w:r w:rsidRPr="00A75E0B">
        <w:t>élaboration et l</w:t>
      </w:r>
      <w:r w:rsidR="00FD740F">
        <w:t>’</w:t>
      </w:r>
      <w:r w:rsidRPr="00A75E0B">
        <w:t>adoption des lois appartiennent au pouvoir législatif. Le Congrès a également le pouvoir de déclarer en état de siège une ou plusieurs parties du territoire en cas de troubles intérieurs et d</w:t>
      </w:r>
      <w:r w:rsidR="00FD740F">
        <w:t>’</w:t>
      </w:r>
      <w:r w:rsidRPr="00A75E0B">
        <w:t>approuver ou d</w:t>
      </w:r>
      <w:r w:rsidR="00FD740F">
        <w:t>’</w:t>
      </w:r>
      <w:r w:rsidRPr="00A75E0B">
        <w:t>annuler l</w:t>
      </w:r>
      <w:r w:rsidR="00FD740F">
        <w:t>’</w:t>
      </w:r>
      <w:r w:rsidRPr="00A75E0B">
        <w:t>état de siège proclamé par le pouvoir exécutif pendant une intersessions.</w:t>
      </w:r>
    </w:p>
    <w:p w:rsidR="000921C7" w:rsidRPr="00A75E0B" w:rsidRDefault="000921C7" w:rsidP="000921C7">
      <w:pPr>
        <w:pStyle w:val="SingleTxt"/>
        <w:numPr>
          <w:ilvl w:val="0"/>
          <w:numId w:val="8"/>
        </w:numPr>
        <w:tabs>
          <w:tab w:val="clear" w:pos="475"/>
          <w:tab w:val="num" w:pos="1742"/>
        </w:tabs>
        <w:ind w:left="1267"/>
      </w:pPr>
      <w:r w:rsidRPr="00A75E0B">
        <w:t>La Cour générale des comptes et le Bureau du Défenseur du peuple ont été créés dans le cadre du pouvoir législatif. La première est un organisme d</w:t>
      </w:r>
      <w:r w:rsidR="00FD740F">
        <w:t>’</w:t>
      </w:r>
      <w:r w:rsidRPr="00A75E0B">
        <w:t>assistance technique relevant du Congrès; dotée d</w:t>
      </w:r>
      <w:r w:rsidR="00FD740F">
        <w:t>’</w:t>
      </w:r>
      <w:r w:rsidRPr="00A75E0B">
        <w:t>une autonomie fonctionnelle, elle est chargée de procéder au contrôle externe du patrimoine, de la situation économique et financière et du fonctionnement du secteur public national (art.</w:t>
      </w:r>
      <w:r w:rsidR="00897DCE" w:rsidRPr="00A75E0B">
        <w:t> </w:t>
      </w:r>
      <w:r w:rsidRPr="00A75E0B">
        <w:t>85).</w:t>
      </w:r>
    </w:p>
    <w:p w:rsidR="000921C7" w:rsidRPr="00A75E0B" w:rsidRDefault="000921C7" w:rsidP="000921C7">
      <w:pPr>
        <w:pStyle w:val="SingleTxt"/>
        <w:numPr>
          <w:ilvl w:val="0"/>
          <w:numId w:val="8"/>
        </w:numPr>
        <w:tabs>
          <w:tab w:val="clear" w:pos="475"/>
          <w:tab w:val="num" w:pos="1742"/>
        </w:tabs>
        <w:ind w:left="1267"/>
      </w:pPr>
      <w:r w:rsidRPr="00A75E0B">
        <w:t>Le Défenseur du peuple est un organe indépendant mis en place dans le cadre du Congrès, doté d</w:t>
      </w:r>
      <w:r w:rsidR="00FD740F">
        <w:t>’</w:t>
      </w:r>
      <w:r w:rsidRPr="00A75E0B">
        <w:t>une autonomie fonctionnelle totale et chargé de défendre et de protéger les droits de l</w:t>
      </w:r>
      <w:r w:rsidR="00FD740F">
        <w:t>’</w:t>
      </w:r>
      <w:r w:rsidRPr="00A75E0B">
        <w:t>homme ainsi que les autres droits, garanties et intérêts consacrés par la Constitution et la législation contre les faits, actes ou omissions de l</w:t>
      </w:r>
      <w:r w:rsidR="00FD740F">
        <w:t>’</w:t>
      </w:r>
      <w:r w:rsidRPr="00A75E0B">
        <w:t>administration publique (art.</w:t>
      </w:r>
      <w:r w:rsidR="00897DCE" w:rsidRPr="00A75E0B">
        <w:t> </w:t>
      </w:r>
      <w:r w:rsidRPr="00A75E0B">
        <w:t>86).</w:t>
      </w:r>
    </w:p>
    <w:p w:rsidR="00897DCE" w:rsidRPr="00A75E0B" w:rsidRDefault="00897DCE" w:rsidP="00897DCE">
      <w:pPr>
        <w:pStyle w:val="SingleTxt"/>
        <w:spacing w:after="0" w:line="120" w:lineRule="exact"/>
        <w:rPr>
          <w:sz w:val="10"/>
        </w:rPr>
      </w:pPr>
    </w:p>
    <w:p w:rsidR="000921C7" w:rsidRPr="00A75E0B" w:rsidRDefault="00897DCE" w:rsidP="00897D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t>Pouvoir exécutif</w:t>
      </w:r>
    </w:p>
    <w:p w:rsidR="00897DCE" w:rsidRPr="00A75E0B" w:rsidRDefault="00897DCE" w:rsidP="00897DCE">
      <w:pPr>
        <w:pStyle w:val="SingleTxt"/>
        <w:spacing w:after="0" w:line="120" w:lineRule="exact"/>
        <w:rPr>
          <w:sz w:val="10"/>
        </w:rPr>
      </w:pPr>
    </w:p>
    <w:p w:rsidR="000921C7" w:rsidRPr="00A75E0B" w:rsidRDefault="000921C7" w:rsidP="000921C7">
      <w:pPr>
        <w:pStyle w:val="SingleTxt"/>
        <w:numPr>
          <w:ilvl w:val="0"/>
          <w:numId w:val="8"/>
        </w:numPr>
        <w:tabs>
          <w:tab w:val="clear" w:pos="475"/>
          <w:tab w:val="num" w:pos="1742"/>
        </w:tabs>
        <w:ind w:left="1267"/>
      </w:pPr>
      <w:r w:rsidRPr="00A75E0B">
        <w:t xml:space="preserve">Le pouvoir exécutif national est exercé par un citoyen argentin qui porte le titre de </w:t>
      </w:r>
      <w:r w:rsidR="00897DCE" w:rsidRPr="00A75E0B">
        <w:t>« </w:t>
      </w:r>
      <w:r w:rsidRPr="00A75E0B">
        <w:t>Président de la Nation argentine</w:t>
      </w:r>
      <w:r w:rsidR="00897DCE" w:rsidRPr="00A75E0B">
        <w:t> »</w:t>
      </w:r>
      <w:r w:rsidRPr="00A75E0B">
        <w:t xml:space="preserve"> (art.</w:t>
      </w:r>
      <w:r w:rsidR="00897DCE" w:rsidRPr="00A75E0B">
        <w:t> </w:t>
      </w:r>
      <w:r w:rsidRPr="00A75E0B">
        <w:t>87).</w:t>
      </w:r>
    </w:p>
    <w:p w:rsidR="000921C7" w:rsidRPr="00A75E0B" w:rsidRDefault="000921C7" w:rsidP="00897DCE">
      <w:pPr>
        <w:pStyle w:val="SingleTxt"/>
        <w:numPr>
          <w:ilvl w:val="0"/>
          <w:numId w:val="8"/>
        </w:numPr>
        <w:tabs>
          <w:tab w:val="clear" w:pos="475"/>
          <w:tab w:val="num" w:pos="1742"/>
        </w:tabs>
        <w:ind w:left="1267"/>
      </w:pPr>
      <w:r w:rsidRPr="00A75E0B">
        <w:t>Le Président et le Vice-Président sont élus pour un mandat de quatre ans et peuvent être réélus pour un seul nouveau mandat consécutif. S</w:t>
      </w:r>
      <w:r w:rsidR="00FD740F">
        <w:t>’</w:t>
      </w:r>
      <w:r w:rsidRPr="00A75E0B">
        <w:t>ils sont réélus ou si l</w:t>
      </w:r>
      <w:r w:rsidR="00FD740F">
        <w:t>’</w:t>
      </w:r>
      <w:r w:rsidRPr="00A75E0B">
        <w:t>un a succédé à l</w:t>
      </w:r>
      <w:r w:rsidR="00FD740F">
        <w:t>’</w:t>
      </w:r>
      <w:r w:rsidRPr="00A75E0B">
        <w:t>autre, ils devront attendre l</w:t>
      </w:r>
      <w:r w:rsidR="00FD740F">
        <w:t>’</w:t>
      </w:r>
      <w:r w:rsidRPr="00A75E0B">
        <w:t>intervalle d</w:t>
      </w:r>
      <w:r w:rsidR="00FD740F">
        <w:t>’</w:t>
      </w:r>
      <w:r w:rsidRPr="00A75E0B">
        <w:t>un mandat (art.</w:t>
      </w:r>
      <w:r w:rsidR="00897DCE" w:rsidRPr="00A75E0B">
        <w:t> </w:t>
      </w:r>
      <w:r w:rsidRPr="00A75E0B">
        <w:t>90). Le Président cesse d</w:t>
      </w:r>
      <w:r w:rsidR="00FD740F">
        <w:t>’</w:t>
      </w:r>
      <w:r w:rsidRPr="00A75E0B">
        <w:t>exercer ses fonctions le jour même où son mandat de quatre ans prend fin, sans qu</w:t>
      </w:r>
      <w:r w:rsidR="00FD740F">
        <w:t>’</w:t>
      </w:r>
      <w:r w:rsidRPr="00A75E0B">
        <w:t>aucun événement ayant interrompu le mandat puisse en justifier la prolongation (art.</w:t>
      </w:r>
      <w:r w:rsidR="00897DCE" w:rsidRPr="00A75E0B">
        <w:t> 91).</w:t>
      </w:r>
    </w:p>
    <w:p w:rsidR="000921C7" w:rsidRPr="00A75E0B" w:rsidRDefault="000921C7" w:rsidP="000921C7">
      <w:pPr>
        <w:pStyle w:val="SingleTxt"/>
        <w:numPr>
          <w:ilvl w:val="0"/>
          <w:numId w:val="8"/>
        </w:numPr>
        <w:tabs>
          <w:tab w:val="clear" w:pos="475"/>
          <w:tab w:val="num" w:pos="1742"/>
        </w:tabs>
        <w:ind w:left="1267"/>
      </w:pPr>
      <w:r w:rsidRPr="00A75E0B">
        <w:t>En cas de maladie, d</w:t>
      </w:r>
      <w:r w:rsidR="00FD740F">
        <w:t>’</w:t>
      </w:r>
      <w:r w:rsidRPr="00A75E0B">
        <w:t>absence de la capitale, de décès, de renonciation ou de destitution du Président, le pouvoir exécutif est exercé par le Vice-Président de la Nation. En cas de destitution, de décès, de démission ou d</w:t>
      </w:r>
      <w:r w:rsidR="00FD740F">
        <w:t>’</w:t>
      </w:r>
      <w:r w:rsidRPr="00A75E0B">
        <w:t>incapacité du Président et du Vice-Président, le Congrès nomme le fonctionnaire public qui sera chargé d</w:t>
      </w:r>
      <w:r w:rsidR="00FD740F">
        <w:t>’</w:t>
      </w:r>
      <w:r w:rsidRPr="00A75E0B">
        <w:t>assurer la présidence de la Nation jusqu</w:t>
      </w:r>
      <w:r w:rsidR="00FD740F">
        <w:t>’</w:t>
      </w:r>
      <w:r w:rsidRPr="00A75E0B">
        <w:t>à ce que la cause d</w:t>
      </w:r>
      <w:r w:rsidR="00FD740F">
        <w:t>’</w:t>
      </w:r>
      <w:r w:rsidRPr="00A75E0B">
        <w:t>incapacité ait disparu ou qu</w:t>
      </w:r>
      <w:r w:rsidR="00FD740F">
        <w:t>’</w:t>
      </w:r>
      <w:r w:rsidRPr="00A75E0B">
        <w:t>un nouveau président soit élu (art.</w:t>
      </w:r>
      <w:r w:rsidR="00897DCE" w:rsidRPr="00A75E0B">
        <w:t> </w:t>
      </w:r>
      <w:r w:rsidRPr="00A75E0B">
        <w:t>88).</w:t>
      </w:r>
    </w:p>
    <w:p w:rsidR="000921C7" w:rsidRPr="00A75E0B" w:rsidRDefault="000921C7" w:rsidP="000921C7">
      <w:pPr>
        <w:pStyle w:val="SingleTxt"/>
        <w:numPr>
          <w:ilvl w:val="0"/>
          <w:numId w:val="8"/>
        </w:numPr>
        <w:tabs>
          <w:tab w:val="clear" w:pos="475"/>
          <w:tab w:val="num" w:pos="1742"/>
        </w:tabs>
        <w:ind w:left="1267"/>
      </w:pPr>
      <w:r w:rsidRPr="00A75E0B">
        <w:t>Le Président et le Vice-Président sont élus directement par le peuple au scrutin à deux tours, le territoire national étant considéré comme une circonscription électorale unique (art.</w:t>
      </w:r>
      <w:r w:rsidR="00897DCE" w:rsidRPr="00A75E0B">
        <w:t> </w:t>
      </w:r>
      <w:r w:rsidRPr="00A75E0B">
        <w:t>94). L</w:t>
      </w:r>
      <w:r w:rsidR="00FD740F">
        <w:t>’</w:t>
      </w:r>
      <w:r w:rsidRPr="00A75E0B">
        <w:t>élection se déroule dans les deux mois précédant l</w:t>
      </w:r>
      <w:r w:rsidR="00FD740F">
        <w:t>’</w:t>
      </w:r>
      <w:r w:rsidRPr="00A75E0B">
        <w:t>expiration du mandat du Président en exercice (art.</w:t>
      </w:r>
      <w:r w:rsidR="00897DCE" w:rsidRPr="00A75E0B">
        <w:t> </w:t>
      </w:r>
      <w:r w:rsidRPr="00A75E0B">
        <w:t xml:space="preserve">95). Le second tour a lieu, si besoin est, entre les deux listes de candidats ayant remporté le plus de suffrages, dans un délai de </w:t>
      </w:r>
      <w:r w:rsidR="00897DCE" w:rsidRPr="00A75E0B">
        <w:t>trente</w:t>
      </w:r>
      <w:r w:rsidRPr="00A75E0B">
        <w:t xml:space="preserve"> jours à compter de la date du premier tour (art.</w:t>
      </w:r>
      <w:r w:rsidR="00897DCE" w:rsidRPr="00A75E0B">
        <w:t> </w:t>
      </w:r>
      <w:r w:rsidRPr="00A75E0B">
        <w:t>96). Il n</w:t>
      </w:r>
      <w:r w:rsidR="00FD740F">
        <w:t>’</w:t>
      </w:r>
      <w:r w:rsidRPr="00A75E0B">
        <w:t>y a pas de second tour si la liste arrivée en tête remporte plus de 45</w:t>
      </w:r>
      <w:r w:rsidR="00897DCE" w:rsidRPr="00A75E0B">
        <w:t> </w:t>
      </w:r>
      <w:r w:rsidRPr="00A75E0B">
        <w:t>% des voix valablement exprimées (art.</w:t>
      </w:r>
      <w:r w:rsidR="00897DCE" w:rsidRPr="00A75E0B">
        <w:t> </w:t>
      </w:r>
      <w:r w:rsidRPr="00A75E0B">
        <w:t xml:space="preserve">97) ou </w:t>
      </w:r>
      <w:r w:rsidRPr="00A75E0B">
        <w:lastRenderedPageBreak/>
        <w:t>si elle obtient 40</w:t>
      </w:r>
      <w:r w:rsidR="00897DCE" w:rsidRPr="00A75E0B">
        <w:t> </w:t>
      </w:r>
      <w:r w:rsidRPr="00A75E0B">
        <w:t>% au moins de ces voix et devance de plus de 10 points de pourcentage la liste arrivée en deuxième position (art.</w:t>
      </w:r>
      <w:r w:rsidR="00897DCE" w:rsidRPr="00A75E0B">
        <w:t> </w:t>
      </w:r>
      <w:r w:rsidRPr="00A75E0B">
        <w:t>98).</w:t>
      </w:r>
    </w:p>
    <w:p w:rsidR="000921C7" w:rsidRPr="00A75E0B" w:rsidRDefault="000921C7" w:rsidP="000921C7">
      <w:pPr>
        <w:pStyle w:val="SingleTxt"/>
        <w:numPr>
          <w:ilvl w:val="0"/>
          <w:numId w:val="8"/>
        </w:numPr>
        <w:tabs>
          <w:tab w:val="clear" w:pos="475"/>
          <w:tab w:val="num" w:pos="1742"/>
        </w:tabs>
        <w:ind w:left="1267"/>
      </w:pPr>
      <w:r w:rsidRPr="00A75E0B">
        <w:t xml:space="preserve">Le </w:t>
      </w:r>
      <w:r w:rsidR="00272A2D">
        <w:t>C</w:t>
      </w:r>
      <w:r w:rsidRPr="00A75E0B">
        <w:t>hef d</w:t>
      </w:r>
      <w:r w:rsidR="00272A2D">
        <w:t>e</w:t>
      </w:r>
      <w:r w:rsidRPr="00A75E0B">
        <w:t xml:space="preserve"> cabinet des ministres qui répond de ses responsabilités politiques devant le Congrès est chargé de l</w:t>
      </w:r>
      <w:r w:rsidR="00FD740F">
        <w:t>’</w:t>
      </w:r>
      <w:r w:rsidRPr="00A75E0B">
        <w:t xml:space="preserve">administration générale du pays et prend à cet effet les mesures et dispositions réglementaires nécessaires dans le cadre des pouvoirs que lui a délégués le Président, contresignés par le ministre ou le secrétaire du gouvernement dans son domaine de compétence. Le </w:t>
      </w:r>
      <w:r w:rsidR="00272A2D">
        <w:t>C</w:t>
      </w:r>
      <w:r w:rsidRPr="00A75E0B">
        <w:t xml:space="preserve">hef </w:t>
      </w:r>
      <w:r w:rsidR="00A75E0B" w:rsidRPr="00A75E0B">
        <w:t>de</w:t>
      </w:r>
      <w:r w:rsidRPr="00A75E0B">
        <w:t xml:space="preserve"> cabinet coordonne, prépare et convoque les réunions du </w:t>
      </w:r>
      <w:r w:rsidR="00272A2D">
        <w:t>C</w:t>
      </w:r>
      <w:r w:rsidRPr="00A75E0B">
        <w:t>abinet des ministres et les préside en l</w:t>
      </w:r>
      <w:r w:rsidR="00FD740F">
        <w:t>’</w:t>
      </w:r>
      <w:r w:rsidRPr="00A75E0B">
        <w:t xml:space="preserve">absence du Président. Il doit, au moins une fois par mois, rendre compte tour à tour à chacune des chambres du Congrès de la politique du </w:t>
      </w:r>
      <w:r w:rsidR="00272A2D">
        <w:t>G</w:t>
      </w:r>
      <w:r w:rsidRPr="00A75E0B">
        <w:t>ouvernement, ce qui n</w:t>
      </w:r>
      <w:r w:rsidR="00FD740F">
        <w:t>’</w:t>
      </w:r>
      <w:r w:rsidRPr="00A75E0B">
        <w:t>empêche pas l</w:t>
      </w:r>
      <w:r w:rsidR="00FD740F">
        <w:t>’</w:t>
      </w:r>
      <w:r w:rsidRPr="00A75E0B">
        <w:t>une ou l</w:t>
      </w:r>
      <w:r w:rsidR="00FD740F">
        <w:t>’</w:t>
      </w:r>
      <w:r w:rsidRPr="00A75E0B">
        <w:t>autre des chambres de le convoquer expressément ou de l</w:t>
      </w:r>
      <w:r w:rsidR="00FD740F">
        <w:t>’</w:t>
      </w:r>
      <w:r w:rsidRPr="00A75E0B">
        <w:t>interpeler suite à un vote à la majorité absolue des voix de la totalité de ses membres. Après l</w:t>
      </w:r>
      <w:r w:rsidR="00FD740F">
        <w:t>’</w:t>
      </w:r>
      <w:r w:rsidRPr="00A75E0B">
        <w:t xml:space="preserve">ouverture des sessions ordinaires du Congrès, le </w:t>
      </w:r>
      <w:r w:rsidR="00272A2D">
        <w:t>C</w:t>
      </w:r>
      <w:r w:rsidRPr="00A75E0B">
        <w:t>hef de cabinet présente avec les autres ministres un mémoire détaillé sur l</w:t>
      </w:r>
      <w:r w:rsidR="00FD740F">
        <w:t>’</w:t>
      </w:r>
      <w:r w:rsidRPr="00A75E0B">
        <w:t>état de la Nation, portant sur les affaires expédiées par leurs ministères. Il fournit, oralement ou par écrit, les rapports et les explications demandés au pouvoir exécutif par l</w:t>
      </w:r>
      <w:r w:rsidR="00FD740F">
        <w:t>’</w:t>
      </w:r>
      <w:r w:rsidRPr="00A75E0B">
        <w:t>une ou l</w:t>
      </w:r>
      <w:r w:rsidR="00FD740F">
        <w:t>’</w:t>
      </w:r>
      <w:r w:rsidRPr="00A75E0B">
        <w:t>autre chambre; il peut assister aux sessions du Congrès et prendre part aux débats sans droit de vote. Il contresigne, avec les autres ministres, les décrets qui revêtent un caractère nécessaire et urgent ainsi que ceux qui promulguent des dispositions législatives partielles, et les soumet personnellement, après leur sanction, à l</w:t>
      </w:r>
      <w:r w:rsidR="00FD740F">
        <w:t>’</w:t>
      </w:r>
      <w:r w:rsidRPr="00A75E0B">
        <w:t>examen de la Commission bicamérale permanente (art.</w:t>
      </w:r>
      <w:r w:rsidR="009E433D" w:rsidRPr="00A75E0B">
        <w:t> 100 et 101).</w:t>
      </w:r>
    </w:p>
    <w:p w:rsidR="009E433D" w:rsidRPr="00A75E0B" w:rsidRDefault="009E433D" w:rsidP="009E433D">
      <w:pPr>
        <w:pStyle w:val="SingleTxt"/>
        <w:spacing w:after="0" w:line="120" w:lineRule="exact"/>
        <w:rPr>
          <w:sz w:val="10"/>
        </w:rPr>
      </w:pPr>
    </w:p>
    <w:p w:rsidR="000921C7" w:rsidRPr="00A75E0B" w:rsidRDefault="000921C7" w:rsidP="009E43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t>Pouvoir judiciaire</w:t>
      </w:r>
    </w:p>
    <w:p w:rsidR="009E433D" w:rsidRPr="00A75E0B" w:rsidRDefault="009E433D" w:rsidP="009E433D">
      <w:pPr>
        <w:pStyle w:val="SingleTxt"/>
        <w:spacing w:after="0" w:line="120" w:lineRule="exact"/>
        <w:rPr>
          <w:sz w:val="10"/>
        </w:rPr>
      </w:pPr>
    </w:p>
    <w:p w:rsidR="000921C7" w:rsidRPr="00A75E0B" w:rsidRDefault="000921C7" w:rsidP="000921C7">
      <w:pPr>
        <w:pStyle w:val="SingleTxt"/>
        <w:numPr>
          <w:ilvl w:val="0"/>
          <w:numId w:val="8"/>
        </w:numPr>
        <w:tabs>
          <w:tab w:val="clear" w:pos="475"/>
          <w:tab w:val="num" w:pos="1742"/>
        </w:tabs>
        <w:ind w:left="1267"/>
      </w:pPr>
      <w:r w:rsidRPr="00A75E0B">
        <w:t>Le pouvoir judiciaire est exercé par la Cour suprême de justice et par les juridictions inférieures établies par le Congrès sur le territoire national (art.</w:t>
      </w:r>
      <w:r w:rsidR="009E433D" w:rsidRPr="00A75E0B">
        <w:t> </w:t>
      </w:r>
      <w:r w:rsidRPr="00A75E0B">
        <w:t>108). Le Président ne peut en aucun cas exercer de fonctions judiciaires, chercher à s</w:t>
      </w:r>
      <w:r w:rsidR="00FD740F">
        <w:t>’</w:t>
      </w:r>
      <w:r w:rsidRPr="00A75E0B">
        <w:t>informer d</w:t>
      </w:r>
      <w:r w:rsidR="00FD740F">
        <w:t>’</w:t>
      </w:r>
      <w:r w:rsidRPr="00A75E0B">
        <w:t>affaires en cours ou revenir sur la chose jugée (art.</w:t>
      </w:r>
      <w:r w:rsidR="009E433D" w:rsidRPr="00A75E0B">
        <w:t> </w:t>
      </w:r>
      <w:r w:rsidRPr="00A75E0B">
        <w:t>109).</w:t>
      </w:r>
    </w:p>
    <w:p w:rsidR="000921C7" w:rsidRPr="00A75E0B" w:rsidRDefault="000921C7" w:rsidP="000921C7">
      <w:pPr>
        <w:pStyle w:val="SingleTxt"/>
        <w:numPr>
          <w:ilvl w:val="0"/>
          <w:numId w:val="8"/>
        </w:numPr>
        <w:tabs>
          <w:tab w:val="clear" w:pos="475"/>
          <w:tab w:val="num" w:pos="1742"/>
        </w:tabs>
        <w:ind w:left="1267"/>
      </w:pPr>
      <w:r w:rsidRPr="00A75E0B">
        <w:t>Le Conseil de la magistrature est chargé de la nomination des magistrats et de l</w:t>
      </w:r>
      <w:r w:rsidR="00FD740F">
        <w:t>’</w:t>
      </w:r>
      <w:r w:rsidRPr="00A75E0B">
        <w:t>administration du pouvoir judiciaire. Les sièges du Conseil de la magistrature sont renouvelés périodiquement avec le souci de garantir une représentation équilibrée des organes politiques élus par le peuple, des juges de toutes les juridictions en place et des avocats inscrits au barreau fédéral, ainsi que d</w:t>
      </w:r>
      <w:r w:rsidR="00FD740F">
        <w:t>’</w:t>
      </w:r>
      <w:r w:rsidRPr="00A75E0B">
        <w:t xml:space="preserve">autres personnes des milieux universitaire et scientifique, selon les proportions et les modalités définies par la loi. </w:t>
      </w:r>
    </w:p>
    <w:p w:rsidR="000921C7" w:rsidRPr="00A75E0B" w:rsidRDefault="000921C7" w:rsidP="000921C7">
      <w:pPr>
        <w:pStyle w:val="SingleTxt"/>
        <w:numPr>
          <w:ilvl w:val="0"/>
          <w:numId w:val="8"/>
        </w:numPr>
        <w:tabs>
          <w:tab w:val="clear" w:pos="475"/>
          <w:tab w:val="num" w:pos="1742"/>
        </w:tabs>
        <w:ind w:left="1267"/>
      </w:pPr>
      <w:r w:rsidRPr="00A75E0B">
        <w:t>Les juges de la Cour suprême de justice et les tribunaux fédéraux inférieurs conservent leur charge aussi longtemps qu</w:t>
      </w:r>
      <w:r w:rsidR="00FD740F">
        <w:t>’</w:t>
      </w:r>
      <w:r w:rsidRPr="00A75E0B">
        <w:t>ils observent une bonne conduite (art.</w:t>
      </w:r>
      <w:r w:rsidR="009E433D" w:rsidRPr="00A75E0B">
        <w:t> </w:t>
      </w:r>
      <w:r w:rsidRPr="00A75E0B">
        <w:t>110). Ils peuvent être révoqués par un jury de jugement composé de législateurs, de magistrats et d</w:t>
      </w:r>
      <w:r w:rsidR="00FD740F">
        <w:t>’</w:t>
      </w:r>
      <w:r w:rsidRPr="00A75E0B">
        <w:t>avocats inscrits au barreau (art.</w:t>
      </w:r>
      <w:r w:rsidR="009E433D" w:rsidRPr="00A75E0B">
        <w:t> </w:t>
      </w:r>
      <w:r w:rsidRPr="00A75E0B">
        <w:t>115), pour cause de mauvais exercice de leurs fonctions, de délit commis dans l</w:t>
      </w:r>
      <w:r w:rsidR="00FD740F">
        <w:t>’</w:t>
      </w:r>
      <w:r w:rsidRPr="00A75E0B">
        <w:t>exercice de leurs fonctions ou de crime de droit commun (art.</w:t>
      </w:r>
      <w:r w:rsidR="009E433D" w:rsidRPr="00A75E0B">
        <w:t> </w:t>
      </w:r>
      <w:r w:rsidRPr="00A75E0B">
        <w:t>53).</w:t>
      </w:r>
    </w:p>
    <w:p w:rsidR="000921C7" w:rsidRPr="00A75E0B" w:rsidRDefault="000921C7" w:rsidP="009E433D">
      <w:pPr>
        <w:pStyle w:val="SingleTxt"/>
        <w:numPr>
          <w:ilvl w:val="0"/>
          <w:numId w:val="8"/>
        </w:numPr>
        <w:tabs>
          <w:tab w:val="clear" w:pos="475"/>
          <w:tab w:val="num" w:pos="1742"/>
        </w:tabs>
        <w:ind w:left="1267"/>
      </w:pPr>
      <w:r w:rsidRPr="00A75E0B">
        <w:t>La Cour suprême et les juridictions inférieures connaissent de toutes les affaires ayant trait à des matières régies par la Constitution, la législation ou les traités conclus avec des nations étrangères</w:t>
      </w:r>
      <w:r w:rsidR="00B424EC">
        <w:t> </w:t>
      </w:r>
      <w:r w:rsidRPr="00A75E0B">
        <w:t>: la Cour suprême exerce sa compétence en appel conformément aux règles et exceptions prescrites par le Congrès.</w:t>
      </w:r>
    </w:p>
    <w:p w:rsidR="000921C7" w:rsidRPr="00A75E0B" w:rsidRDefault="000921C7" w:rsidP="000921C7">
      <w:pPr>
        <w:pStyle w:val="SingleTxt"/>
        <w:numPr>
          <w:ilvl w:val="0"/>
          <w:numId w:val="8"/>
        </w:numPr>
        <w:tabs>
          <w:tab w:val="clear" w:pos="475"/>
          <w:tab w:val="num" w:pos="1742"/>
        </w:tabs>
        <w:ind w:left="1267"/>
      </w:pPr>
      <w:r w:rsidRPr="00A75E0B">
        <w:t>Sans préjudice de ce qui précède, la Cour suprême de justice est compétente en premier et en dernier ressort pour toutes les affaires concernant des ambassadeurs, des ministres et consuls étrangers, pour les affaires relatives à l</w:t>
      </w:r>
      <w:r w:rsidR="00FD740F">
        <w:t>’</w:t>
      </w:r>
      <w:r w:rsidRPr="00A75E0B">
        <w:t>amirauté et à la juridiction maritime; pour les affaires dans lesquelles l</w:t>
      </w:r>
      <w:r w:rsidR="00FD740F">
        <w:t>’</w:t>
      </w:r>
      <w:r w:rsidRPr="00A75E0B">
        <w:t>État argentin est l</w:t>
      </w:r>
      <w:r w:rsidR="00FD740F">
        <w:t>’</w:t>
      </w:r>
      <w:r w:rsidRPr="00A75E0B">
        <w:t>une des parties; pour les affaires opposant deux ou plusieurs provinces, une province et les habitants d</w:t>
      </w:r>
      <w:r w:rsidR="00FD740F">
        <w:t>’</w:t>
      </w:r>
      <w:r w:rsidRPr="00A75E0B">
        <w:t>une autre province, les habitants de différentes provinces ou bien opposant une province ou ses habitants et un État ou un ressortissant étranger.</w:t>
      </w:r>
    </w:p>
    <w:p w:rsidR="009E433D" w:rsidRPr="00A75E0B" w:rsidRDefault="009E433D" w:rsidP="009E433D">
      <w:pPr>
        <w:pStyle w:val="SingleTxt"/>
        <w:spacing w:after="0" w:line="120" w:lineRule="exact"/>
        <w:rPr>
          <w:sz w:val="10"/>
        </w:rPr>
      </w:pPr>
    </w:p>
    <w:p w:rsidR="000921C7" w:rsidRPr="00A75E0B" w:rsidRDefault="000921C7" w:rsidP="009E43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lastRenderedPageBreak/>
        <w:tab/>
      </w:r>
      <w:r w:rsidRPr="00A75E0B">
        <w:tab/>
        <w:t>Ministère public</w:t>
      </w:r>
    </w:p>
    <w:p w:rsidR="009E433D" w:rsidRPr="00A75E0B" w:rsidRDefault="009E433D" w:rsidP="009E433D">
      <w:pPr>
        <w:pStyle w:val="SingleTxt"/>
        <w:spacing w:after="0" w:line="120" w:lineRule="exact"/>
        <w:rPr>
          <w:sz w:val="10"/>
        </w:rPr>
      </w:pPr>
    </w:p>
    <w:p w:rsidR="000921C7" w:rsidRPr="00A75E0B" w:rsidRDefault="000921C7" w:rsidP="000921C7">
      <w:pPr>
        <w:pStyle w:val="SingleTxt"/>
        <w:numPr>
          <w:ilvl w:val="0"/>
          <w:numId w:val="8"/>
        </w:numPr>
        <w:tabs>
          <w:tab w:val="clear" w:pos="475"/>
          <w:tab w:val="num" w:pos="1742"/>
        </w:tabs>
        <w:ind w:left="1267"/>
      </w:pPr>
      <w:r w:rsidRPr="00A75E0B">
        <w:t>Le ministère public est une institution indépendante dotée de l</w:t>
      </w:r>
      <w:r w:rsidR="00FD740F">
        <w:t>’</w:t>
      </w:r>
      <w:r w:rsidRPr="00A75E0B">
        <w:t>autonomie fonctionnelle et financière, chargée de promouvoir l</w:t>
      </w:r>
      <w:r w:rsidR="00FD740F">
        <w:t>’</w:t>
      </w:r>
      <w:r w:rsidRPr="00A75E0B">
        <w:t>action de la justice au service des intérêts de la société, en coordination avec les autres autorités de la République. Le ministère public est exercé par un procureur général, un défenseur général et les autres agents prévus par la loi. Les membres de cette institution jouissent d</w:t>
      </w:r>
      <w:r w:rsidR="00FD740F">
        <w:t>’</w:t>
      </w:r>
      <w:r w:rsidRPr="00A75E0B">
        <w:t>immunités fonctionnelles et de l</w:t>
      </w:r>
      <w:r w:rsidR="00FD740F">
        <w:t>’</w:t>
      </w:r>
      <w:r w:rsidRPr="00A75E0B">
        <w:t>intangibilité de leur rémunération (art.</w:t>
      </w:r>
      <w:r w:rsidR="009E433D" w:rsidRPr="00A75E0B">
        <w:t> </w:t>
      </w:r>
      <w:r w:rsidRPr="00A75E0B">
        <w:t>120).</w:t>
      </w:r>
    </w:p>
    <w:p w:rsidR="009E433D" w:rsidRPr="00A75E0B" w:rsidRDefault="009E433D" w:rsidP="009E433D">
      <w:pPr>
        <w:pStyle w:val="SingleTxt"/>
        <w:spacing w:after="0" w:line="120" w:lineRule="exact"/>
        <w:rPr>
          <w:sz w:val="10"/>
        </w:rPr>
      </w:pPr>
    </w:p>
    <w:p w:rsidR="000921C7" w:rsidRPr="00A75E0B" w:rsidRDefault="000921C7" w:rsidP="009E43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Pr="00A75E0B">
        <w:tab/>
        <w:t>Service de la défense publique</w:t>
      </w:r>
    </w:p>
    <w:p w:rsidR="009E433D" w:rsidRPr="00A75E0B" w:rsidRDefault="009E433D" w:rsidP="009E433D">
      <w:pPr>
        <w:pStyle w:val="SingleTxt"/>
        <w:spacing w:after="0" w:line="120" w:lineRule="exact"/>
        <w:rPr>
          <w:sz w:val="10"/>
        </w:rPr>
      </w:pPr>
    </w:p>
    <w:p w:rsidR="000921C7" w:rsidRPr="00A75E0B" w:rsidRDefault="000921C7" w:rsidP="000921C7">
      <w:pPr>
        <w:pStyle w:val="SingleTxt"/>
        <w:numPr>
          <w:ilvl w:val="0"/>
          <w:numId w:val="8"/>
        </w:numPr>
        <w:tabs>
          <w:tab w:val="clear" w:pos="475"/>
          <w:tab w:val="num" w:pos="1742"/>
        </w:tabs>
        <w:ind w:left="1267"/>
      </w:pPr>
      <w:r w:rsidRPr="00A75E0B">
        <w:t>Le Service de la défense publique est l</w:t>
      </w:r>
      <w:r w:rsidR="00FD740F">
        <w:t>’</w:t>
      </w:r>
      <w:r w:rsidRPr="00A75E0B">
        <w:t>institution chargée de garantir l</w:t>
      </w:r>
      <w:r w:rsidR="00FD740F">
        <w:t>’</w:t>
      </w:r>
      <w:r w:rsidRPr="00A75E0B">
        <w:t>assistance judiciaire effective et la défense en justice des droits des individus; ses principales fonctions sont les suivantes</w:t>
      </w:r>
      <w:r w:rsidR="00B424EC">
        <w:t> </w:t>
      </w:r>
      <w:r w:rsidRPr="00A75E0B">
        <w:t>:</w:t>
      </w:r>
    </w:p>
    <w:p w:rsidR="000921C7" w:rsidRPr="00A75E0B" w:rsidRDefault="000921C7" w:rsidP="009E433D">
      <w:pPr>
        <w:pStyle w:val="Bullet1"/>
      </w:pPr>
      <w:r w:rsidRPr="00A75E0B">
        <w:t>Assurer les services d</w:t>
      </w:r>
      <w:r w:rsidR="00FD740F">
        <w:t>’</w:t>
      </w:r>
      <w:r w:rsidRPr="00A75E0B">
        <w:t>un avocat pour garantir l</w:t>
      </w:r>
      <w:r w:rsidR="00FD740F">
        <w:t>’</w:t>
      </w:r>
      <w:r w:rsidRPr="00A75E0B">
        <w:t>accès à la justice;</w:t>
      </w:r>
    </w:p>
    <w:p w:rsidR="000921C7" w:rsidRPr="00A75E0B" w:rsidRDefault="000921C7" w:rsidP="009E433D">
      <w:pPr>
        <w:pStyle w:val="Bullet1"/>
      </w:pPr>
      <w:r w:rsidRPr="00A75E0B">
        <w:t>Donner des conseils et prendre la défense de la personne et des droits des justiciables (y compris la représentation conjointe des mineurs et des majeurs incapables);</w:t>
      </w:r>
    </w:p>
    <w:p w:rsidR="000921C7" w:rsidRPr="00A75E0B" w:rsidRDefault="000921C7" w:rsidP="009E433D">
      <w:pPr>
        <w:pStyle w:val="Bullet1"/>
      </w:pPr>
      <w:r w:rsidRPr="00A75E0B">
        <w:t>Exercer la tutelle pour les mineurs qui n</w:t>
      </w:r>
      <w:r w:rsidR="00FD740F">
        <w:t>’</w:t>
      </w:r>
      <w:r w:rsidRPr="00A75E0B">
        <w:t>ont pas de représentants légaux, et la curatelle pour les personnes frappées d</w:t>
      </w:r>
      <w:r w:rsidR="00FD740F">
        <w:t>’</w:t>
      </w:r>
      <w:r w:rsidRPr="00A75E0B">
        <w:t>incapacité;</w:t>
      </w:r>
    </w:p>
    <w:p w:rsidR="000921C7" w:rsidRPr="00A75E0B" w:rsidRDefault="000921C7" w:rsidP="009E433D">
      <w:pPr>
        <w:pStyle w:val="Bullet1"/>
      </w:pPr>
      <w:r w:rsidRPr="00A75E0B">
        <w:t xml:space="preserve">Concevoir et mettre en </w:t>
      </w:r>
      <w:r w:rsidR="00A75E0B" w:rsidRPr="00A75E0B">
        <w:t>œuvre</w:t>
      </w:r>
      <w:r w:rsidRPr="00A75E0B">
        <w:t xml:space="preserve"> des politiques visant à faciliter l</w:t>
      </w:r>
      <w:r w:rsidR="00FD740F">
        <w:t>’</w:t>
      </w:r>
      <w:r w:rsidRPr="00A75E0B">
        <w:t>accès à la justice des groupes particulièrement vulnérables.</w:t>
      </w:r>
    </w:p>
    <w:p w:rsidR="000921C7" w:rsidRPr="00A75E0B" w:rsidRDefault="000921C7" w:rsidP="009E433D">
      <w:pPr>
        <w:pStyle w:val="SingleTxt"/>
        <w:numPr>
          <w:ilvl w:val="0"/>
          <w:numId w:val="8"/>
        </w:numPr>
        <w:tabs>
          <w:tab w:val="clear" w:pos="475"/>
          <w:tab w:val="num" w:pos="1742"/>
        </w:tabs>
        <w:ind w:left="1267"/>
      </w:pPr>
      <w:r w:rsidRPr="00A75E0B">
        <w:t>Ces fonctions sont assurées par les défenseurs publics, les tuteurs et les curateurs du Service de la défense publique.</w:t>
      </w:r>
    </w:p>
    <w:p w:rsidR="000921C7" w:rsidRPr="00A75E0B" w:rsidRDefault="000921C7" w:rsidP="009E433D">
      <w:pPr>
        <w:pStyle w:val="SingleTxt"/>
        <w:numPr>
          <w:ilvl w:val="0"/>
          <w:numId w:val="8"/>
        </w:numPr>
        <w:tabs>
          <w:tab w:val="clear" w:pos="475"/>
          <w:tab w:val="num" w:pos="1742"/>
        </w:tabs>
        <w:ind w:left="1267"/>
      </w:pPr>
      <w:r w:rsidRPr="00A75E0B">
        <w:t>Dans les affaires pénales, si la personne inculpée d</w:t>
      </w:r>
      <w:r w:rsidR="00FD740F">
        <w:t>’</w:t>
      </w:r>
      <w:r w:rsidRPr="00A75E0B">
        <w:t>une infraction n</w:t>
      </w:r>
      <w:r w:rsidR="00FD740F">
        <w:t>’</w:t>
      </w:r>
      <w:r w:rsidRPr="00A75E0B">
        <w:t>a pas désigné un avocat de confiance, le juge désignera le défenseur public dont c</w:t>
      </w:r>
      <w:r w:rsidR="00FD740F">
        <w:t>’</w:t>
      </w:r>
      <w:r w:rsidRPr="00A75E0B">
        <w:t>est le tour. Ce service est gratuit.</w:t>
      </w:r>
    </w:p>
    <w:p w:rsidR="000921C7" w:rsidRPr="00A75E0B" w:rsidRDefault="000921C7" w:rsidP="009E433D">
      <w:pPr>
        <w:pStyle w:val="SingleTxt"/>
        <w:numPr>
          <w:ilvl w:val="0"/>
          <w:numId w:val="8"/>
        </w:numPr>
        <w:tabs>
          <w:tab w:val="clear" w:pos="475"/>
          <w:tab w:val="num" w:pos="1742"/>
        </w:tabs>
        <w:ind w:left="1267"/>
      </w:pPr>
      <w:r w:rsidRPr="00A75E0B">
        <w:t>Pour les affaires autres que pénales (matière civile, familiale et patrimoniale, commerce, contentieux administratif fédéral, travail et sécurité sociale, etc.), toute personne peut faire appel à un défenseur public officiel afin d</w:t>
      </w:r>
      <w:r w:rsidR="00FD740F">
        <w:t>’</w:t>
      </w:r>
      <w:r w:rsidRPr="00A75E0B">
        <w:t>obtenir gratuitement des conseils ou l</w:t>
      </w:r>
      <w:r w:rsidR="00FD740F">
        <w:t>’</w:t>
      </w:r>
      <w:r w:rsidRPr="00A75E0B">
        <w:t>assistance d</w:t>
      </w:r>
      <w:r w:rsidR="00FD740F">
        <w:t>’</w:t>
      </w:r>
      <w:r w:rsidRPr="00A75E0B">
        <w:t>un avocat, pour autant qu</w:t>
      </w:r>
      <w:r w:rsidR="00FD740F">
        <w:t>’</w:t>
      </w:r>
      <w:r w:rsidRPr="00A75E0B">
        <w:t>elle montre qu</w:t>
      </w:r>
      <w:r w:rsidR="00FD740F">
        <w:t>’</w:t>
      </w:r>
      <w:r w:rsidRPr="00A75E0B">
        <w:t>elle est sans ressources.</w:t>
      </w:r>
    </w:p>
    <w:p w:rsidR="000921C7" w:rsidRPr="00A75E0B" w:rsidRDefault="000921C7" w:rsidP="009E433D">
      <w:pPr>
        <w:pStyle w:val="SingleTxt"/>
        <w:numPr>
          <w:ilvl w:val="0"/>
          <w:numId w:val="8"/>
        </w:numPr>
        <w:tabs>
          <w:tab w:val="clear" w:pos="475"/>
          <w:tab w:val="num" w:pos="1742"/>
        </w:tabs>
        <w:ind w:left="1267"/>
      </w:pPr>
      <w:r w:rsidRPr="00A75E0B">
        <w:t>Les membres du Service de la défense publique évaluent l</w:t>
      </w:r>
      <w:r w:rsidR="00FD740F">
        <w:t>’</w:t>
      </w:r>
      <w:r w:rsidRPr="00A75E0B">
        <w:t>affaire et offrent les conseils ou l</w:t>
      </w:r>
      <w:r w:rsidR="00FD740F">
        <w:t>’</w:t>
      </w:r>
      <w:r w:rsidRPr="00A75E0B">
        <w:t xml:space="preserve">assistance nécessaires pour engager les actions requises, si les conditions fixées dans la loi </w:t>
      </w:r>
      <w:r w:rsidR="009E433D" w:rsidRPr="00A75E0B">
        <w:t>n</w:t>
      </w:r>
      <w:r w:rsidR="009E433D" w:rsidRPr="00A75E0B">
        <w:rPr>
          <w:vertAlign w:val="superscript"/>
        </w:rPr>
        <w:t>o</w:t>
      </w:r>
      <w:r w:rsidR="009E433D" w:rsidRPr="00A75E0B">
        <w:t> </w:t>
      </w:r>
      <w:r w:rsidRPr="00A75E0B">
        <w:t>24946 (art.</w:t>
      </w:r>
      <w:r w:rsidR="009E433D" w:rsidRPr="00A75E0B">
        <w:t> </w:t>
      </w:r>
      <w:r w:rsidRPr="00A75E0B">
        <w:t>60, obligation de prouver l</w:t>
      </w:r>
      <w:r w:rsidR="00FD740F">
        <w:t>’</w:t>
      </w:r>
      <w:r w:rsidRPr="00A75E0B">
        <w:t>absence de ressources) sont réunies.</w:t>
      </w:r>
    </w:p>
    <w:p w:rsidR="000921C7" w:rsidRPr="00A75E0B" w:rsidRDefault="000921C7" w:rsidP="009E433D">
      <w:pPr>
        <w:pStyle w:val="SingleTxt"/>
        <w:numPr>
          <w:ilvl w:val="0"/>
          <w:numId w:val="8"/>
        </w:numPr>
        <w:tabs>
          <w:tab w:val="clear" w:pos="475"/>
          <w:tab w:val="num" w:pos="1742"/>
        </w:tabs>
        <w:ind w:left="1267"/>
      </w:pPr>
      <w:r w:rsidRPr="00A75E0B">
        <w:t>En outre, les Services de la défense publique des mineurs et des incapables majeurs s</w:t>
      </w:r>
      <w:r w:rsidR="00FD740F">
        <w:t>’</w:t>
      </w:r>
      <w:r w:rsidRPr="00A75E0B">
        <w:t>occupent spécialement des mineurs et des majeurs frappés d</w:t>
      </w:r>
      <w:r w:rsidR="00FD740F">
        <w:t>’</w:t>
      </w:r>
      <w:r w:rsidRPr="00A75E0B">
        <w:t>incapacité pour toute question relevant du droit civil, du droit du commerce et du travail, comme les demandes de placement en établissement psychiatrique, les demandes de déclaration de troubles mentaux et d</w:t>
      </w:r>
      <w:r w:rsidR="00FD740F">
        <w:t>’</w:t>
      </w:r>
      <w:r w:rsidRPr="00A75E0B">
        <w:t xml:space="preserve">incapacité, et assurent des conseils sur des questions relevant du droit de la famille. Les défenseurs publics pour les mineurs et les incapables majeurs agissent toujours en représentation des intéressés. Le </w:t>
      </w:r>
      <w:r w:rsidR="00250FB5">
        <w:t>s</w:t>
      </w:r>
      <w:r w:rsidRPr="00A75E0B">
        <w:t>ervice évalue le dossier et, selon le cas, engage les actions voulues ou donne les conseils nécessaires en vue d</w:t>
      </w:r>
      <w:r w:rsidR="00FD740F">
        <w:t>’</w:t>
      </w:r>
      <w:r w:rsidRPr="00A75E0B">
        <w:t>orienter l</w:t>
      </w:r>
      <w:r w:rsidR="00FD740F">
        <w:t>’</w:t>
      </w:r>
      <w:r w:rsidRPr="00A75E0B">
        <w:t>intéressé vers d</w:t>
      </w:r>
      <w:r w:rsidR="00FD740F">
        <w:t>’</w:t>
      </w:r>
      <w:r w:rsidRPr="00A75E0B">
        <w:t>autres services.</w:t>
      </w:r>
    </w:p>
    <w:p w:rsidR="00C25B46" w:rsidRPr="00A75E0B" w:rsidRDefault="00C25B46" w:rsidP="00C25B46">
      <w:pPr>
        <w:pStyle w:val="SingleTxt"/>
        <w:spacing w:after="0" w:line="120" w:lineRule="exact"/>
        <w:rPr>
          <w:sz w:val="10"/>
        </w:rPr>
      </w:pPr>
    </w:p>
    <w:p w:rsidR="00C25B46" w:rsidRPr="00A75E0B" w:rsidRDefault="00C25B46" w:rsidP="00C25B46">
      <w:pPr>
        <w:pStyle w:val="SingleTxt"/>
        <w:spacing w:after="0" w:line="120" w:lineRule="exact"/>
        <w:rPr>
          <w:sz w:val="10"/>
        </w:rPr>
      </w:pPr>
    </w:p>
    <w:p w:rsidR="000921C7" w:rsidRPr="00A75E0B" w:rsidRDefault="00C25B46" w:rsidP="00B424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lastRenderedPageBreak/>
        <w:tab/>
      </w:r>
      <w:r w:rsidR="000921C7" w:rsidRPr="00A75E0B">
        <w:t>II.</w:t>
      </w:r>
      <w:r w:rsidRPr="00A75E0B">
        <w:tab/>
      </w:r>
      <w:r w:rsidR="000921C7" w:rsidRPr="00A75E0B">
        <w:t xml:space="preserve">Cadre général de la protection et du renforcement </w:t>
      </w:r>
      <w:r w:rsidRPr="00A75E0B">
        <w:br/>
      </w:r>
      <w:r w:rsidR="000921C7" w:rsidRPr="00A75E0B">
        <w:t>des droits de l</w:t>
      </w:r>
      <w:r w:rsidR="00FD740F">
        <w:t>’</w:t>
      </w:r>
      <w:r w:rsidR="000921C7" w:rsidRPr="00A75E0B">
        <w:t>homme</w:t>
      </w:r>
    </w:p>
    <w:p w:rsidR="00C25B46" w:rsidRPr="00A75E0B" w:rsidRDefault="00C25B46" w:rsidP="00B424EC">
      <w:pPr>
        <w:pStyle w:val="SingleTxt"/>
        <w:keepNext/>
        <w:keepLines/>
        <w:spacing w:after="0" w:line="120" w:lineRule="exact"/>
        <w:rPr>
          <w:sz w:val="10"/>
        </w:rPr>
      </w:pPr>
    </w:p>
    <w:p w:rsidR="00C25B46" w:rsidRPr="00A75E0B" w:rsidRDefault="00C25B46" w:rsidP="00B424EC">
      <w:pPr>
        <w:pStyle w:val="SingleTxt"/>
        <w:keepNext/>
        <w:keepLines/>
        <w:spacing w:after="0" w:line="120" w:lineRule="exact"/>
        <w:rPr>
          <w:sz w:val="10"/>
        </w:rPr>
      </w:pPr>
    </w:p>
    <w:p w:rsidR="000921C7" w:rsidRPr="00A75E0B" w:rsidRDefault="000921C7" w:rsidP="00B424EC">
      <w:pPr>
        <w:pStyle w:val="SingleTxt"/>
        <w:keepNext/>
        <w:keepLines/>
        <w:numPr>
          <w:ilvl w:val="0"/>
          <w:numId w:val="8"/>
        </w:numPr>
        <w:tabs>
          <w:tab w:val="clear" w:pos="475"/>
          <w:tab w:val="num" w:pos="1742"/>
        </w:tabs>
        <w:ind w:left="1267"/>
      </w:pPr>
      <w:r w:rsidRPr="00A75E0B">
        <w:t>Le Secrétariat aux relations extérieures du Ministère des relations extérieures et du culte est responsable de la politique étrangère dans les relations avec tous les pays et les organisations internationales.</w:t>
      </w:r>
    </w:p>
    <w:p w:rsidR="000921C7" w:rsidRPr="00A75E0B" w:rsidRDefault="000921C7" w:rsidP="009E433D">
      <w:pPr>
        <w:pStyle w:val="SingleTxt"/>
        <w:numPr>
          <w:ilvl w:val="0"/>
          <w:numId w:val="8"/>
        </w:numPr>
        <w:tabs>
          <w:tab w:val="clear" w:pos="475"/>
          <w:tab w:val="num" w:pos="1742"/>
        </w:tabs>
        <w:ind w:left="1267"/>
      </w:pPr>
      <w:r w:rsidRPr="00A75E0B">
        <w:t>La Direction générale des droits de l</w:t>
      </w:r>
      <w:r w:rsidR="00FD740F">
        <w:t>’</w:t>
      </w:r>
      <w:r w:rsidRPr="00A75E0B">
        <w:t>homme du Ministère des relations extérieures et du culte est chargée de l</w:t>
      </w:r>
      <w:r w:rsidR="00FD740F">
        <w:t>’</w:t>
      </w:r>
      <w:r w:rsidRPr="00A75E0B">
        <w:t>élaboration et de la mise en œuvre des plans, programmes, projets et objectifs de politique extérieure en matière de droits de l</w:t>
      </w:r>
      <w:r w:rsidR="00FD740F">
        <w:t>’</w:t>
      </w:r>
      <w:r w:rsidRPr="00A75E0B">
        <w:t>homme, et d</w:t>
      </w:r>
      <w:r w:rsidR="00FD740F">
        <w:t>’</w:t>
      </w:r>
      <w:r w:rsidRPr="00A75E0B">
        <w:t>aider à orienter la politique étrangère dans ces différents domaines devant les organisations, organes ou commissions spéciales internationaux.</w:t>
      </w:r>
    </w:p>
    <w:p w:rsidR="000921C7" w:rsidRPr="00A75E0B" w:rsidRDefault="000921C7" w:rsidP="009E433D">
      <w:pPr>
        <w:pStyle w:val="SingleTxt"/>
        <w:numPr>
          <w:ilvl w:val="0"/>
          <w:numId w:val="8"/>
        </w:numPr>
        <w:tabs>
          <w:tab w:val="clear" w:pos="475"/>
          <w:tab w:val="num" w:pos="1742"/>
        </w:tabs>
        <w:ind w:left="1267"/>
      </w:pPr>
      <w:r w:rsidRPr="00A75E0B">
        <w:t>Ses activités sont les suivantes</w:t>
      </w:r>
      <w:r w:rsidR="00B424EC">
        <w:t> </w:t>
      </w:r>
      <w:r w:rsidRPr="00A75E0B">
        <w:t>:</w:t>
      </w:r>
    </w:p>
    <w:p w:rsidR="000921C7" w:rsidRPr="00A75E0B" w:rsidRDefault="000921C7" w:rsidP="00C25B46">
      <w:pPr>
        <w:pStyle w:val="Bullet1"/>
      </w:pPr>
      <w:r w:rsidRPr="00A75E0B">
        <w:t>Elle coordonne l</w:t>
      </w:r>
      <w:r w:rsidR="00FD740F">
        <w:t>’</w:t>
      </w:r>
      <w:r w:rsidRPr="00A75E0B">
        <w:t>action du Gouvernement en ce qui concerne les relations avec les autres États sur les questions relatives aux droits de l</w:t>
      </w:r>
      <w:r w:rsidR="00FD740F">
        <w:t>’</w:t>
      </w:r>
      <w:r w:rsidRPr="00A75E0B">
        <w:t>homme, au droit humanitaire et aux normes in</w:t>
      </w:r>
      <w:r w:rsidR="00C25B46" w:rsidRPr="00A75E0B">
        <w:t>ternationales dans ces domaines;</w:t>
      </w:r>
    </w:p>
    <w:p w:rsidR="000921C7" w:rsidRPr="00A75E0B" w:rsidRDefault="000921C7" w:rsidP="00C25B46">
      <w:pPr>
        <w:pStyle w:val="Bullet1"/>
      </w:pPr>
      <w:r w:rsidRPr="00A75E0B">
        <w:t xml:space="preserve">Elle élabore des projets de directives, de plans et de programmes opérationnels pour les manifestations portant sur </w:t>
      </w:r>
      <w:r w:rsidR="00250FB5">
        <w:t xml:space="preserve">les </w:t>
      </w:r>
      <w:r w:rsidRPr="00A75E0B">
        <w:t>droits de l</w:t>
      </w:r>
      <w:r w:rsidR="00FD740F">
        <w:t>’</w:t>
      </w:r>
      <w:r w:rsidRPr="00A75E0B">
        <w:t>homme et le droit international auxquelles la République argentine participe, en coordination avec les autres secteurs compétents;</w:t>
      </w:r>
    </w:p>
    <w:p w:rsidR="000921C7" w:rsidRPr="00A75E0B" w:rsidRDefault="000921C7" w:rsidP="00C25B46">
      <w:pPr>
        <w:pStyle w:val="Bullet1"/>
      </w:pPr>
      <w:r w:rsidRPr="00A75E0B">
        <w:t>Elle participe, avec les secteurs compétents, à l</w:t>
      </w:r>
      <w:r w:rsidR="00FD740F">
        <w:t>’</w:t>
      </w:r>
      <w:r w:rsidRPr="00A75E0B">
        <w:t>examen des dispositions législatives nationales afin d</w:t>
      </w:r>
      <w:r w:rsidR="00FD740F">
        <w:t>’</w:t>
      </w:r>
      <w:r w:rsidRPr="00A75E0B">
        <w:t>en assurer la compatibilité avec les normes du droit international relatives aux droits de l</w:t>
      </w:r>
      <w:r w:rsidR="00FD740F">
        <w:t>’</w:t>
      </w:r>
      <w:r w:rsidRPr="00A75E0B">
        <w:t>homme et du droit humanitaire;</w:t>
      </w:r>
    </w:p>
    <w:p w:rsidR="000921C7" w:rsidRPr="00A75E0B" w:rsidRDefault="000921C7" w:rsidP="00C25B46">
      <w:pPr>
        <w:pStyle w:val="Bullet1"/>
      </w:pPr>
      <w:r w:rsidRPr="00A75E0B">
        <w:t>Elle participe, en coordination avec les secteurs compétents, à la conclusion de conventions, de traités et d</w:t>
      </w:r>
      <w:r w:rsidR="00FD740F">
        <w:t>’</w:t>
      </w:r>
      <w:r w:rsidRPr="00A75E0B">
        <w:t>accords internationaux dans le domaine des droits de l</w:t>
      </w:r>
      <w:r w:rsidR="00FD740F">
        <w:t>’</w:t>
      </w:r>
      <w:r w:rsidRPr="00A75E0B">
        <w:t>homme et du droit humanitaire auxquels l</w:t>
      </w:r>
      <w:r w:rsidR="00FD740F">
        <w:t>’</w:t>
      </w:r>
      <w:r w:rsidRPr="00A75E0B">
        <w:t>Argentine pourra adhérer;</w:t>
      </w:r>
    </w:p>
    <w:p w:rsidR="000921C7" w:rsidRPr="00A75E0B" w:rsidRDefault="000921C7" w:rsidP="00C25B46">
      <w:pPr>
        <w:pStyle w:val="Bullet1"/>
      </w:pPr>
      <w:r w:rsidRPr="00A75E0B">
        <w:t>Elle contribue à la réalisation d</w:t>
      </w:r>
      <w:r w:rsidR="00FD740F">
        <w:t>’</w:t>
      </w:r>
      <w:r w:rsidRPr="00A75E0B">
        <w:t>études et à la conception et à l</w:t>
      </w:r>
      <w:r w:rsidR="00FD740F">
        <w:t>’</w:t>
      </w:r>
      <w:r w:rsidRPr="00A75E0B">
        <w:t>évaluation de projets, programmes et plans, en collaboration avec d</w:t>
      </w:r>
      <w:r w:rsidR="00FD740F">
        <w:t>’</w:t>
      </w:r>
      <w:r w:rsidRPr="00A75E0B">
        <w:t>autres organes de l</w:t>
      </w:r>
      <w:r w:rsidR="00FD740F">
        <w:t>’</w:t>
      </w:r>
      <w:r w:rsidRPr="00A75E0B">
        <w:t>État, sur des questions de politique extérieure dans le domaine des droits de l</w:t>
      </w:r>
      <w:r w:rsidR="00FD740F">
        <w:t>’</w:t>
      </w:r>
      <w:r w:rsidRPr="00A75E0B">
        <w:t xml:space="preserve">homme et du droit humanitaire, afin de garantir la cohérence indispensable dans la mise en </w:t>
      </w:r>
      <w:r w:rsidR="00F30FD1" w:rsidRPr="00A75E0B">
        <w:t>œuvre</w:t>
      </w:r>
      <w:r w:rsidRPr="00A75E0B">
        <w:t>;</w:t>
      </w:r>
    </w:p>
    <w:p w:rsidR="000921C7" w:rsidRPr="00A75E0B" w:rsidRDefault="000921C7" w:rsidP="00C25B46">
      <w:pPr>
        <w:pStyle w:val="Bullet1"/>
      </w:pPr>
      <w:r w:rsidRPr="00A75E0B">
        <w:t>Elle coordonne et effectue les consultations nécessaires avec le Haut-Commissariat des Nations Unies pour les réfugiés (HCR) en ce qui concerne les décisions relatives aux demandes d</w:t>
      </w:r>
      <w:r w:rsidR="00FD740F">
        <w:t>’</w:t>
      </w:r>
      <w:r w:rsidRPr="00A75E0B">
        <w:t>asile et de statut de réfugié présentées par des étrangers;</w:t>
      </w:r>
    </w:p>
    <w:p w:rsidR="000921C7" w:rsidRPr="00A75E0B" w:rsidRDefault="000921C7" w:rsidP="00C25B46">
      <w:pPr>
        <w:pStyle w:val="Bullet1"/>
      </w:pPr>
      <w:r w:rsidRPr="00A75E0B">
        <w:t>Elle s</w:t>
      </w:r>
      <w:r w:rsidR="00FD740F">
        <w:t>’</w:t>
      </w:r>
      <w:r w:rsidRPr="00A75E0B">
        <w:t>occupe, en coordination avec les autres secteurs compétents, de tout ce qui concerne les minorités nationales, ethniques, religieuses et linguistiques, dans le cadre des activités des organisations internationales;</w:t>
      </w:r>
    </w:p>
    <w:p w:rsidR="000921C7" w:rsidRPr="00A75E0B" w:rsidRDefault="000921C7" w:rsidP="00C25B46">
      <w:pPr>
        <w:pStyle w:val="Bullet1"/>
      </w:pPr>
      <w:r w:rsidRPr="00A75E0B">
        <w:t>Elle s</w:t>
      </w:r>
      <w:r w:rsidR="00FD740F">
        <w:t>’</w:t>
      </w:r>
      <w:r w:rsidRPr="00A75E0B">
        <w:t>occupe également, en coordination avec les autres secteurs compétents, de tout ce qui concerne les normes du droit international relatives aux droits de l</w:t>
      </w:r>
      <w:r w:rsidR="00FD740F">
        <w:t>’</w:t>
      </w:r>
      <w:r w:rsidRPr="00A75E0B">
        <w:t>enfant.</w:t>
      </w:r>
    </w:p>
    <w:p w:rsidR="000921C7" w:rsidRPr="00A75E0B" w:rsidRDefault="000921C7" w:rsidP="00F30FD1">
      <w:pPr>
        <w:pStyle w:val="SingleTxt"/>
        <w:numPr>
          <w:ilvl w:val="0"/>
          <w:numId w:val="8"/>
        </w:numPr>
        <w:tabs>
          <w:tab w:val="clear" w:pos="475"/>
          <w:tab w:val="num" w:pos="1742"/>
        </w:tabs>
        <w:ind w:left="1267"/>
      </w:pPr>
      <w:r w:rsidRPr="00A75E0B">
        <w:t>En outre, la Direction de la femme est l</w:t>
      </w:r>
      <w:r w:rsidR="00FD740F">
        <w:t>’</w:t>
      </w:r>
      <w:r w:rsidRPr="00A75E0B">
        <w:t>organe chargé des questions relatives aux droits des femmes au plan international et dans la politique extérieure de l</w:t>
      </w:r>
      <w:r w:rsidR="00FD740F">
        <w:t>’</w:t>
      </w:r>
      <w:r w:rsidRPr="00A75E0B">
        <w:t>Argentine. Ses activités sont notamment les suivantes</w:t>
      </w:r>
      <w:r w:rsidR="00F30FD1" w:rsidRPr="00A75E0B">
        <w:t> </w:t>
      </w:r>
      <w:r w:rsidRPr="00A75E0B">
        <w:t>:</w:t>
      </w:r>
    </w:p>
    <w:p w:rsidR="000921C7" w:rsidRPr="00A75E0B" w:rsidRDefault="000921C7" w:rsidP="00F30FD1">
      <w:pPr>
        <w:pStyle w:val="Bullet1"/>
      </w:pPr>
      <w:r w:rsidRPr="00A75E0B">
        <w:t>Elle assure la mise en œuvre et la coordination des activités relatives aux femmes, dans le cadre de la politique extérieure du pays, et traite les questions qui se rapportent à la problématique hommes-femmes et à l</w:t>
      </w:r>
      <w:r w:rsidR="00FD740F">
        <w:t>’</w:t>
      </w:r>
      <w:r w:rsidRPr="00A75E0B">
        <w:t>égalité des chances, et définit la position à adopter dans les différents organes, selon les cas;</w:t>
      </w:r>
    </w:p>
    <w:p w:rsidR="000921C7" w:rsidRPr="00A75E0B" w:rsidRDefault="000921C7" w:rsidP="00F30FD1">
      <w:pPr>
        <w:pStyle w:val="Bullet1"/>
      </w:pPr>
      <w:r w:rsidRPr="00A75E0B">
        <w:lastRenderedPageBreak/>
        <w:t>Elle contribue à l</w:t>
      </w:r>
      <w:r w:rsidR="00FD740F">
        <w:t>’</w:t>
      </w:r>
      <w:r w:rsidRPr="00A75E0B">
        <w:t>élaboration de projets de directives, de plans et de programmes opérationnels pour les manifestations internationales portant sur la condition et la situation de la femme auxquelles l</w:t>
      </w:r>
      <w:r w:rsidR="00FD740F">
        <w:t>’</w:t>
      </w:r>
      <w:r w:rsidRPr="00A75E0B">
        <w:t>Argentine participe, ainsi que pour celles qui sont organisées par les organismes internationaux dont l</w:t>
      </w:r>
      <w:r w:rsidR="00FD740F">
        <w:t>’</w:t>
      </w:r>
      <w:r w:rsidRPr="00A75E0B">
        <w:t>Argentine est membre;</w:t>
      </w:r>
    </w:p>
    <w:p w:rsidR="000921C7" w:rsidRPr="00A75E0B" w:rsidRDefault="000921C7" w:rsidP="00F30FD1">
      <w:pPr>
        <w:pStyle w:val="Bullet1"/>
      </w:pPr>
      <w:r w:rsidRPr="00A75E0B">
        <w:t>Elle participe, avec les secteurs compétents, à l</w:t>
      </w:r>
      <w:r w:rsidR="00FD740F">
        <w:t>’</w:t>
      </w:r>
      <w:r w:rsidRPr="00A75E0B">
        <w:t>examen des dispositions législatives nationales afin d</w:t>
      </w:r>
      <w:r w:rsidR="00FD740F">
        <w:t>’</w:t>
      </w:r>
      <w:r w:rsidRPr="00A75E0B">
        <w:t>en assurer la compatibilité avec les normes du droit international relatives à la condition et la situation de la femme, ainsi qu</w:t>
      </w:r>
      <w:r w:rsidR="00FD740F">
        <w:t>’</w:t>
      </w:r>
      <w:r w:rsidRPr="00A75E0B">
        <w:t>aux débats préalables à la conclusion par l</w:t>
      </w:r>
      <w:r w:rsidR="00FD740F">
        <w:t>’</w:t>
      </w:r>
      <w:r w:rsidRPr="00A75E0B">
        <w:t>Argentine de conventions, de traités et d</w:t>
      </w:r>
      <w:r w:rsidR="00FD740F">
        <w:t>’</w:t>
      </w:r>
      <w:r w:rsidRPr="00A75E0B">
        <w:t>accords internationaux dans ces domaines;</w:t>
      </w:r>
    </w:p>
    <w:p w:rsidR="000921C7" w:rsidRPr="00A75E0B" w:rsidRDefault="000921C7" w:rsidP="00F30FD1">
      <w:pPr>
        <w:pStyle w:val="Bullet1"/>
      </w:pPr>
      <w:r w:rsidRPr="00A75E0B">
        <w:t>Elle participe aux manifestations et réunions consacrées à la situation et aux droits des femmes organisées par des gouvernements étrangers et des organismes internationaux;</w:t>
      </w:r>
    </w:p>
    <w:p w:rsidR="000921C7" w:rsidRPr="00A75E0B" w:rsidRDefault="000921C7" w:rsidP="00F30FD1">
      <w:pPr>
        <w:pStyle w:val="Bullet1"/>
      </w:pPr>
      <w:r w:rsidRPr="00A75E0B">
        <w:t>Elle coordonne la participation des représentants du pays auprès des organisations internationales et intergouvernementales, ainsi qu</w:t>
      </w:r>
      <w:r w:rsidR="00FD740F">
        <w:t>’</w:t>
      </w:r>
      <w:r w:rsidRPr="00A75E0B">
        <w:t>aux activités exercées à l</w:t>
      </w:r>
      <w:r w:rsidR="00FD740F">
        <w:t>’</w:t>
      </w:r>
      <w:r w:rsidRPr="00A75E0B">
        <w:t>étranger qui se rapportent à la situation et aux droits de la femme et aux questions de genre;</w:t>
      </w:r>
    </w:p>
    <w:p w:rsidR="000921C7" w:rsidRPr="00A75E0B" w:rsidRDefault="000921C7" w:rsidP="00F30FD1">
      <w:pPr>
        <w:pStyle w:val="Bullet1"/>
      </w:pPr>
      <w:r w:rsidRPr="00A75E0B">
        <w:t>Elle coordonne avec les organes gouvernementaux nationaux, les activités et l</w:t>
      </w:r>
      <w:r w:rsidR="00FD740F">
        <w:t>’</w:t>
      </w:r>
      <w:r w:rsidRPr="00A75E0B">
        <w:t>information nécessaires pour établir le cadre de l</w:t>
      </w:r>
      <w:r w:rsidR="00FD740F">
        <w:t>’</w:t>
      </w:r>
      <w:r w:rsidRPr="00A75E0B">
        <w:t>action à mener sur la scène internationale.</w:t>
      </w:r>
    </w:p>
    <w:p w:rsidR="00F30FD1" w:rsidRPr="00A75E0B" w:rsidRDefault="00F30FD1" w:rsidP="00F30FD1">
      <w:pPr>
        <w:pStyle w:val="SingleTxt"/>
        <w:spacing w:after="0" w:line="120" w:lineRule="exact"/>
        <w:rPr>
          <w:sz w:val="10"/>
        </w:rPr>
      </w:pPr>
    </w:p>
    <w:p w:rsidR="00F30FD1" w:rsidRPr="00A75E0B" w:rsidRDefault="00F30FD1" w:rsidP="00F30FD1">
      <w:pPr>
        <w:pStyle w:val="SingleTxt"/>
        <w:spacing w:after="0" w:line="120" w:lineRule="exact"/>
        <w:rPr>
          <w:sz w:val="10"/>
        </w:rPr>
      </w:pPr>
    </w:p>
    <w:p w:rsidR="00F30FD1" w:rsidRPr="00A75E0B" w:rsidRDefault="00F30FD1" w:rsidP="00F30F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tab/>
      </w:r>
      <w:r w:rsidR="000921C7" w:rsidRPr="00A75E0B">
        <w:t>A.</w:t>
      </w:r>
      <w:r w:rsidR="000921C7" w:rsidRPr="00A75E0B">
        <w:tab/>
        <w:t xml:space="preserve">Acceptation des normes internationales relatives aux droits </w:t>
      </w:r>
      <w:r w:rsidRPr="00A75E0B">
        <w:br/>
      </w:r>
      <w:r w:rsidR="000921C7" w:rsidRPr="00A75E0B">
        <w:t>de l</w:t>
      </w:r>
      <w:r w:rsidR="00FD740F">
        <w:t>’</w:t>
      </w:r>
      <w:r w:rsidR="000921C7" w:rsidRPr="00A75E0B">
        <w:t>homme</w:t>
      </w:r>
    </w:p>
    <w:p w:rsidR="00F30FD1" w:rsidRPr="00A75E0B" w:rsidRDefault="00F30FD1" w:rsidP="00F30FD1">
      <w:pPr>
        <w:pStyle w:val="SingleTxt"/>
        <w:spacing w:after="0" w:line="120" w:lineRule="exact"/>
        <w:rPr>
          <w:sz w:val="10"/>
        </w:rPr>
      </w:pPr>
    </w:p>
    <w:p w:rsidR="00F30FD1" w:rsidRPr="00A75E0B" w:rsidRDefault="00F30FD1" w:rsidP="00F30FD1">
      <w:pPr>
        <w:pStyle w:val="SingleTxt"/>
        <w:spacing w:after="0" w:line="120" w:lineRule="exact"/>
        <w:rPr>
          <w:sz w:val="10"/>
        </w:rPr>
      </w:pPr>
    </w:p>
    <w:p w:rsidR="000921C7" w:rsidRPr="00A75E0B" w:rsidRDefault="000921C7" w:rsidP="00F30FD1">
      <w:pPr>
        <w:pStyle w:val="SingleTxt"/>
        <w:numPr>
          <w:ilvl w:val="0"/>
          <w:numId w:val="8"/>
        </w:numPr>
        <w:tabs>
          <w:tab w:val="clear" w:pos="475"/>
          <w:tab w:val="num" w:pos="1742"/>
        </w:tabs>
        <w:ind w:left="1267"/>
      </w:pPr>
      <w:r w:rsidRPr="00A75E0B">
        <w:t>La République argentine a signé et ratifié les instruments et les protocoles s</w:t>
      </w:r>
      <w:r w:rsidR="00FD740F">
        <w:t>’</w:t>
      </w:r>
      <w:r w:rsidRPr="00A75E0B">
        <w:t>y rapportant suivants, et a accepté la compétence des comités créés en vertu de ces instruments</w:t>
      </w:r>
      <w:r w:rsidR="00B424EC">
        <w:t> </w:t>
      </w:r>
      <w:r w:rsidRPr="00A75E0B">
        <w:t>:</w:t>
      </w:r>
    </w:p>
    <w:p w:rsidR="000921C7" w:rsidRPr="00A75E0B" w:rsidRDefault="000921C7" w:rsidP="00F30FD1">
      <w:pPr>
        <w:pStyle w:val="SingleTxt"/>
        <w:spacing w:after="0" w:line="120" w:lineRule="exact"/>
        <w:rPr>
          <w:sz w:val="10"/>
        </w:rPr>
      </w:pPr>
    </w:p>
    <w:p w:rsidR="000921C7" w:rsidRPr="00A75E0B" w:rsidRDefault="00F30FD1" w:rsidP="00F30F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E0B">
        <w:rPr>
          <w:b w:val="0"/>
        </w:rPr>
        <w:tab/>
      </w:r>
      <w:r w:rsidRPr="00A75E0B">
        <w:rPr>
          <w:b w:val="0"/>
        </w:rPr>
        <w:tab/>
      </w:r>
      <w:r w:rsidR="000921C7" w:rsidRPr="00A75E0B">
        <w:rPr>
          <w:b w:val="0"/>
        </w:rPr>
        <w:t>Tableau10</w:t>
      </w:r>
      <w:r w:rsidRPr="00A75E0B">
        <w:rPr>
          <w:b w:val="0"/>
        </w:rPr>
        <w:t xml:space="preserve"> </w:t>
      </w:r>
      <w:r w:rsidRPr="00A75E0B">
        <w:rPr>
          <w:b w:val="0"/>
        </w:rPr>
        <w:br/>
      </w:r>
      <w:r w:rsidR="000921C7" w:rsidRPr="00A75E0B">
        <w:t>Principaux instruments internationaux relatifs aux droits de l</w:t>
      </w:r>
      <w:r w:rsidR="00FD740F">
        <w:t>’</w:t>
      </w:r>
      <w:r w:rsidR="000921C7" w:rsidRPr="00A75E0B">
        <w:t>homme</w:t>
      </w:r>
    </w:p>
    <w:p w:rsidR="00031E65" w:rsidRPr="00A75E0B" w:rsidRDefault="00031E65" w:rsidP="00031E65">
      <w:pPr>
        <w:pStyle w:val="SingleTxt"/>
        <w:spacing w:after="0" w:line="120" w:lineRule="exact"/>
        <w:rPr>
          <w:sz w:val="10"/>
        </w:rPr>
      </w:pPr>
    </w:p>
    <w:p w:rsidR="00031E65" w:rsidRPr="00A75E0B" w:rsidRDefault="00031E65" w:rsidP="00031E65">
      <w:pPr>
        <w:pStyle w:val="SingleTxt"/>
        <w:spacing w:after="0" w:line="120" w:lineRule="exact"/>
        <w:rPr>
          <w:sz w:val="10"/>
        </w:rPr>
      </w:pPr>
    </w:p>
    <w:tbl>
      <w:tblPr>
        <w:tblW w:w="10053" w:type="dxa"/>
        <w:tblInd w:w="72" w:type="dxa"/>
        <w:tblBorders>
          <w:top w:val="single" w:sz="8" w:space="0" w:color="AAAAAA"/>
          <w:left w:val="single" w:sz="8" w:space="0" w:color="AAAAAA"/>
          <w:bottom w:val="single" w:sz="8" w:space="0" w:color="AAAAAA"/>
          <w:right w:val="single" w:sz="8" w:space="0" w:color="AAAAAA"/>
        </w:tblBorders>
        <w:shd w:val="clear" w:color="auto" w:fill="F9F9F9"/>
        <w:tblLayout w:type="fixed"/>
        <w:tblCellMar>
          <w:top w:w="15" w:type="dxa"/>
          <w:left w:w="15" w:type="dxa"/>
          <w:bottom w:w="15" w:type="dxa"/>
          <w:right w:w="15" w:type="dxa"/>
        </w:tblCellMar>
        <w:tblLook w:val="0000" w:firstRow="0" w:lastRow="0" w:firstColumn="0" w:lastColumn="0" w:noHBand="0" w:noVBand="0"/>
      </w:tblPr>
      <w:tblGrid>
        <w:gridCol w:w="1182"/>
        <w:gridCol w:w="428"/>
        <w:gridCol w:w="431"/>
        <w:gridCol w:w="423"/>
        <w:gridCol w:w="425"/>
        <w:gridCol w:w="425"/>
        <w:gridCol w:w="804"/>
        <w:gridCol w:w="857"/>
        <w:gridCol w:w="417"/>
        <w:gridCol w:w="556"/>
        <w:gridCol w:w="417"/>
        <w:gridCol w:w="523"/>
        <w:gridCol w:w="529"/>
        <w:gridCol w:w="441"/>
        <w:gridCol w:w="442"/>
        <w:gridCol w:w="785"/>
        <w:gridCol w:w="428"/>
        <w:gridCol w:w="49"/>
        <w:gridCol w:w="491"/>
      </w:tblGrid>
      <w:tr w:rsidR="00031E65" w:rsidRPr="00A75E0B" w:rsidTr="00F17A37">
        <w:trPr>
          <w:gridAfter w:val="2"/>
          <w:wAfter w:w="540" w:type="dxa"/>
        </w:trPr>
        <w:tc>
          <w:tcPr>
            <w:tcW w:w="1182" w:type="dxa"/>
            <w:vMerge w:val="restart"/>
            <w:tcBorders>
              <w:top w:val="single" w:sz="6" w:space="0" w:color="AAAAAA"/>
              <w:left w:val="single" w:sz="6" w:space="0" w:color="AAAAAA"/>
              <w:bottom w:val="single" w:sz="6" w:space="0" w:color="AAAAAA"/>
              <w:right w:val="single" w:sz="6" w:space="0" w:color="AAAAAA"/>
            </w:tcBorders>
            <w:shd w:val="clear" w:color="auto" w:fill="E8E8E8"/>
            <w:tcMar>
              <w:top w:w="72" w:type="dxa"/>
              <w:left w:w="72" w:type="dxa"/>
              <w:bottom w:w="72" w:type="dxa"/>
              <w:right w:w="72" w:type="dxa"/>
            </w:tcMar>
            <w:vAlign w:val="center"/>
          </w:tcPr>
          <w:p w:rsidR="00031E65" w:rsidRPr="00A75E0B" w:rsidRDefault="00031E65" w:rsidP="00031E65">
            <w:pPr>
              <w:spacing w:before="100" w:beforeAutospacing="1" w:after="100" w:afterAutospacing="1"/>
              <w:jc w:val="center"/>
              <w:rPr>
                <w:rFonts w:ascii="Arial" w:hAnsi="Arial" w:cs="Arial"/>
                <w:b/>
                <w:bCs/>
                <w:color w:val="000000"/>
                <w:sz w:val="18"/>
                <w:szCs w:val="18"/>
              </w:rPr>
            </w:pPr>
            <w:r w:rsidRPr="00A75E0B">
              <w:rPr>
                <w:rFonts w:ascii="Arial" w:hAnsi="Arial" w:cs="Arial"/>
                <w:b/>
                <w:bCs/>
                <w:noProof/>
                <w:color w:val="000000"/>
                <w:sz w:val="18"/>
                <w:szCs w:val="18"/>
                <w:lang w:val="en-US"/>
              </w:rPr>
              <w:drawing>
                <wp:inline distT="0" distB="0" distL="0" distR="0" wp14:anchorId="3A9EC7D6" wp14:editId="786534A1">
                  <wp:extent cx="190500" cy="121920"/>
                  <wp:effectExtent l="0" t="0" r="0" b="0"/>
                  <wp:docPr id="24" name="Picture 24" descr="Bandera de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ra de Argent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A75E0B">
              <w:rPr>
                <w:rFonts w:ascii="Arial" w:hAnsi="Arial" w:cs="Arial"/>
                <w:b/>
                <w:bCs/>
                <w:color w:val="000000"/>
                <w:sz w:val="18"/>
                <w:szCs w:val="18"/>
              </w:rPr>
              <w:br/>
              <w:t>Argentine</w:t>
            </w:r>
          </w:p>
        </w:tc>
        <w:tc>
          <w:tcPr>
            <w:tcW w:w="8331" w:type="dxa"/>
            <w:gridSpan w:val="16"/>
            <w:tcBorders>
              <w:top w:val="single" w:sz="6" w:space="0" w:color="AAAAAA"/>
              <w:left w:val="single" w:sz="6" w:space="0" w:color="AAAAAA"/>
              <w:bottom w:val="single" w:sz="6" w:space="0" w:color="AAAAAA"/>
              <w:right w:val="single" w:sz="6" w:space="0" w:color="AAAAAA"/>
            </w:tcBorders>
            <w:shd w:val="clear" w:color="auto" w:fill="E8E8E8"/>
            <w:tcMar>
              <w:top w:w="72" w:type="dxa"/>
              <w:left w:w="72" w:type="dxa"/>
              <w:bottom w:w="72" w:type="dxa"/>
              <w:right w:w="72" w:type="dxa"/>
            </w:tcMar>
            <w:vAlign w:val="center"/>
          </w:tcPr>
          <w:p w:rsidR="00031E65" w:rsidRPr="00A75E0B" w:rsidRDefault="00633885" w:rsidP="005F799B">
            <w:pPr>
              <w:spacing w:before="100" w:beforeAutospacing="1" w:after="100" w:afterAutospacing="1"/>
              <w:jc w:val="center"/>
              <w:rPr>
                <w:rFonts w:ascii="Arial" w:hAnsi="Arial" w:cs="Arial"/>
                <w:b/>
                <w:bCs/>
                <w:color w:val="000000"/>
                <w:sz w:val="18"/>
                <w:szCs w:val="18"/>
              </w:rPr>
            </w:pPr>
            <w:r w:rsidRPr="00A75E0B">
              <w:rPr>
                <w:rFonts w:ascii="Arial" w:hAnsi="Arial" w:cs="Arial"/>
                <w:b/>
                <w:bCs/>
                <w:color w:val="000000"/>
                <w:sz w:val="18"/>
                <w:szCs w:val="18"/>
              </w:rPr>
              <w:t>Instruments internationaux</w:t>
            </w:r>
          </w:p>
        </w:tc>
      </w:tr>
      <w:tr w:rsidR="00154C98" w:rsidRPr="00A75E0B" w:rsidTr="00F17A37">
        <w:tc>
          <w:tcPr>
            <w:tcW w:w="1182" w:type="dxa"/>
            <w:vMerge/>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rPr>
                <w:rFonts w:ascii="Arial" w:hAnsi="Arial" w:cs="Arial"/>
                <w:b/>
                <w:bCs/>
                <w:color w:val="000000"/>
                <w:sz w:val="18"/>
                <w:szCs w:val="18"/>
              </w:rPr>
            </w:pPr>
          </w:p>
        </w:tc>
        <w:tc>
          <w:tcPr>
            <w:tcW w:w="859" w:type="dxa"/>
            <w:gridSpan w:val="2"/>
            <w:tcBorders>
              <w:top w:val="single" w:sz="6" w:space="0" w:color="AAAAAA"/>
              <w:left w:val="single" w:sz="6" w:space="0" w:color="AAAAAA"/>
              <w:bottom w:val="single" w:sz="6" w:space="0" w:color="AAAAAA"/>
              <w:right w:val="single" w:sz="6" w:space="0" w:color="AAAAAA"/>
            </w:tcBorders>
            <w:shd w:val="clear" w:color="auto" w:fill="F8F8F8"/>
            <w:vAlign w:val="center"/>
          </w:tcPr>
          <w:p w:rsidR="00031E65" w:rsidRPr="003C194C" w:rsidRDefault="00196A82" w:rsidP="00196A82">
            <w:pPr>
              <w:spacing w:before="100" w:beforeAutospacing="1" w:after="100" w:afterAutospacing="1" w:line="240" w:lineRule="auto"/>
              <w:jc w:val="center"/>
              <w:rPr>
                <w:rFonts w:ascii="Arial" w:hAnsi="Arial" w:cs="Arial"/>
                <w:b/>
                <w:bCs/>
                <w:color w:val="000000"/>
                <w:sz w:val="18"/>
                <w:szCs w:val="18"/>
              </w:rPr>
            </w:pPr>
            <w:r w:rsidRPr="003C194C">
              <w:rPr>
                <w:rFonts w:ascii="Arial" w:hAnsi="Arial" w:cs="Arial"/>
                <w:sz w:val="12"/>
                <w:szCs w:val="12"/>
              </w:rPr>
              <w:t xml:space="preserve">Pacte international relatif </w:t>
            </w:r>
            <w:r w:rsidR="006225AD">
              <w:rPr>
                <w:rFonts w:ascii="Arial" w:hAnsi="Arial" w:cs="Arial"/>
                <w:sz w:val="12"/>
                <w:szCs w:val="12"/>
              </w:rPr>
              <w:br/>
            </w:r>
            <w:r w:rsidRPr="003C194C">
              <w:rPr>
                <w:rFonts w:ascii="Arial" w:hAnsi="Arial" w:cs="Arial"/>
                <w:sz w:val="12"/>
                <w:szCs w:val="12"/>
              </w:rPr>
              <w:t>aux droits économiques, sociaux et culturels</w:t>
            </w:r>
          </w:p>
        </w:tc>
        <w:tc>
          <w:tcPr>
            <w:tcW w:w="1273" w:type="dxa"/>
            <w:gridSpan w:val="3"/>
            <w:tcBorders>
              <w:top w:val="single" w:sz="6" w:space="0" w:color="AAAAAA"/>
              <w:left w:val="single" w:sz="6" w:space="0" w:color="AAAAAA"/>
              <w:bottom w:val="single" w:sz="6" w:space="0" w:color="AAAAAA"/>
              <w:right w:val="single" w:sz="6" w:space="0" w:color="AAAAAA"/>
            </w:tcBorders>
            <w:shd w:val="clear" w:color="auto" w:fill="F8F8F8"/>
            <w:vAlign w:val="center"/>
          </w:tcPr>
          <w:p w:rsidR="00031E65" w:rsidRPr="003C194C" w:rsidRDefault="00196A82" w:rsidP="00196A82">
            <w:pPr>
              <w:spacing w:before="100" w:beforeAutospacing="1" w:after="100" w:afterAutospacing="1" w:line="240" w:lineRule="auto"/>
              <w:jc w:val="center"/>
              <w:rPr>
                <w:rFonts w:ascii="Arial" w:hAnsi="Arial" w:cs="Arial"/>
                <w:b/>
                <w:bCs/>
                <w:color w:val="000000"/>
                <w:sz w:val="18"/>
                <w:szCs w:val="18"/>
              </w:rPr>
            </w:pPr>
            <w:r w:rsidRPr="003C194C">
              <w:rPr>
                <w:rFonts w:ascii="Arial" w:hAnsi="Arial" w:cs="Arial"/>
                <w:sz w:val="12"/>
                <w:szCs w:val="12"/>
              </w:rPr>
              <w:t>Pacte international relatif aux droits civils et politiques</w:t>
            </w:r>
          </w:p>
        </w:tc>
        <w:tc>
          <w:tcPr>
            <w:tcW w:w="804" w:type="dxa"/>
            <w:vMerge w:val="restart"/>
            <w:tcBorders>
              <w:top w:val="single" w:sz="6" w:space="0" w:color="AAAAAA"/>
              <w:left w:val="single" w:sz="6" w:space="0" w:color="AAAAAA"/>
              <w:bottom w:val="single" w:sz="6" w:space="0" w:color="AAAAAA"/>
              <w:right w:val="single" w:sz="6" w:space="0" w:color="AAAAAA"/>
            </w:tcBorders>
            <w:shd w:val="clear" w:color="auto" w:fill="F8F8F8"/>
            <w:vAlign w:val="center"/>
          </w:tcPr>
          <w:p w:rsidR="00031E65" w:rsidRPr="003C194C" w:rsidRDefault="00196A82" w:rsidP="00196A82">
            <w:pPr>
              <w:spacing w:before="100" w:beforeAutospacing="1" w:after="100" w:afterAutospacing="1" w:line="240" w:lineRule="auto"/>
              <w:jc w:val="center"/>
              <w:rPr>
                <w:rFonts w:ascii="Arial" w:hAnsi="Arial" w:cs="Arial"/>
                <w:b/>
                <w:bCs/>
                <w:color w:val="000000"/>
                <w:sz w:val="18"/>
                <w:szCs w:val="18"/>
              </w:rPr>
            </w:pPr>
            <w:r w:rsidRPr="003C194C">
              <w:rPr>
                <w:rFonts w:ascii="Arial" w:hAnsi="Arial" w:cs="Arial"/>
                <w:sz w:val="12"/>
                <w:szCs w:val="12"/>
              </w:rPr>
              <w:t>Convention i</w:t>
            </w:r>
            <w:r w:rsidRPr="006225AD">
              <w:rPr>
                <w:rFonts w:ascii="Arial" w:hAnsi="Arial" w:cs="Arial"/>
                <w:spacing w:val="-2"/>
                <w:sz w:val="12"/>
                <w:szCs w:val="12"/>
              </w:rPr>
              <w:t>nternationale</w:t>
            </w:r>
            <w:r w:rsidRPr="003C194C">
              <w:rPr>
                <w:rFonts w:ascii="Arial" w:hAnsi="Arial" w:cs="Arial"/>
                <w:sz w:val="12"/>
                <w:szCs w:val="12"/>
              </w:rPr>
              <w:t xml:space="preserve"> sur l</w:t>
            </w:r>
            <w:r w:rsidR="00FD740F">
              <w:rPr>
                <w:rFonts w:ascii="Arial" w:hAnsi="Arial" w:cs="Arial"/>
                <w:sz w:val="12"/>
                <w:szCs w:val="12"/>
              </w:rPr>
              <w:t>’</w:t>
            </w:r>
            <w:r w:rsidRPr="003C194C">
              <w:rPr>
                <w:rFonts w:ascii="Arial" w:hAnsi="Arial" w:cs="Arial"/>
                <w:sz w:val="12"/>
                <w:szCs w:val="12"/>
              </w:rPr>
              <w:t xml:space="preserve">élimination de toutes </w:t>
            </w:r>
            <w:r w:rsidR="006225AD">
              <w:rPr>
                <w:rFonts w:ascii="Arial" w:hAnsi="Arial" w:cs="Arial"/>
                <w:sz w:val="12"/>
                <w:szCs w:val="12"/>
              </w:rPr>
              <w:br/>
            </w:r>
            <w:r w:rsidRPr="003C194C">
              <w:rPr>
                <w:rFonts w:ascii="Arial" w:hAnsi="Arial" w:cs="Arial"/>
                <w:sz w:val="12"/>
                <w:szCs w:val="12"/>
              </w:rPr>
              <w:t xml:space="preserve">les formes de </w:t>
            </w:r>
            <w:r w:rsidRPr="006225AD">
              <w:rPr>
                <w:rFonts w:ascii="Arial" w:hAnsi="Arial" w:cs="Arial"/>
                <w:spacing w:val="-2"/>
                <w:sz w:val="12"/>
                <w:szCs w:val="12"/>
              </w:rPr>
              <w:t>discrimination</w:t>
            </w:r>
            <w:r w:rsidRPr="003C194C">
              <w:rPr>
                <w:rFonts w:ascii="Arial" w:hAnsi="Arial" w:cs="Arial"/>
                <w:sz w:val="12"/>
                <w:szCs w:val="12"/>
              </w:rPr>
              <w:t xml:space="preserve"> raciale</w:t>
            </w:r>
          </w:p>
        </w:tc>
        <w:tc>
          <w:tcPr>
            <w:tcW w:w="857" w:type="dxa"/>
            <w:vMerge w:val="restart"/>
            <w:tcBorders>
              <w:top w:val="single" w:sz="6" w:space="0" w:color="AAAAAA"/>
              <w:left w:val="single" w:sz="6" w:space="0" w:color="AAAAAA"/>
              <w:bottom w:val="single" w:sz="6" w:space="0" w:color="AAAAAA"/>
              <w:right w:val="single" w:sz="6" w:space="0" w:color="AAAAAA"/>
            </w:tcBorders>
            <w:shd w:val="clear" w:color="auto" w:fill="F8F8F8"/>
            <w:vAlign w:val="center"/>
          </w:tcPr>
          <w:p w:rsidR="00031E65" w:rsidRPr="003C194C" w:rsidRDefault="00950CD9" w:rsidP="00950CD9">
            <w:pPr>
              <w:spacing w:before="100" w:beforeAutospacing="1" w:after="100" w:afterAutospacing="1" w:line="240" w:lineRule="auto"/>
              <w:jc w:val="center"/>
              <w:rPr>
                <w:rFonts w:ascii="Arial" w:hAnsi="Arial" w:cs="Arial"/>
                <w:b/>
                <w:bCs/>
                <w:color w:val="000000"/>
                <w:sz w:val="18"/>
                <w:szCs w:val="18"/>
              </w:rPr>
            </w:pPr>
            <w:r w:rsidRPr="003C194C">
              <w:rPr>
                <w:rFonts w:ascii="Arial" w:hAnsi="Arial" w:cs="Arial"/>
                <w:sz w:val="12"/>
                <w:szCs w:val="12"/>
              </w:rPr>
              <w:t xml:space="preserve">Convention internationale pour la protection </w:t>
            </w:r>
            <w:r w:rsidR="006225AD">
              <w:rPr>
                <w:rFonts w:ascii="Arial" w:hAnsi="Arial" w:cs="Arial"/>
                <w:sz w:val="12"/>
                <w:szCs w:val="12"/>
              </w:rPr>
              <w:br/>
            </w:r>
            <w:r w:rsidRPr="003C194C">
              <w:rPr>
                <w:rFonts w:ascii="Arial" w:hAnsi="Arial" w:cs="Arial"/>
                <w:sz w:val="12"/>
                <w:szCs w:val="12"/>
              </w:rPr>
              <w:t xml:space="preserve">de toutes </w:t>
            </w:r>
            <w:r w:rsidR="006225AD">
              <w:rPr>
                <w:rFonts w:ascii="Arial" w:hAnsi="Arial" w:cs="Arial"/>
                <w:sz w:val="12"/>
                <w:szCs w:val="12"/>
              </w:rPr>
              <w:br/>
            </w:r>
            <w:r w:rsidRPr="003C194C">
              <w:rPr>
                <w:rFonts w:ascii="Arial" w:hAnsi="Arial" w:cs="Arial"/>
                <w:sz w:val="12"/>
                <w:szCs w:val="12"/>
              </w:rPr>
              <w:t>les personnes contre les disparitions forcées</w:t>
            </w:r>
          </w:p>
        </w:tc>
        <w:tc>
          <w:tcPr>
            <w:tcW w:w="973" w:type="dxa"/>
            <w:gridSpan w:val="2"/>
            <w:tcBorders>
              <w:top w:val="single" w:sz="6" w:space="0" w:color="AAAAAA"/>
              <w:left w:val="single" w:sz="6" w:space="0" w:color="AAAAAA"/>
              <w:bottom w:val="single" w:sz="6" w:space="0" w:color="AAAAAA"/>
              <w:right w:val="single" w:sz="6" w:space="0" w:color="AAAAAA"/>
            </w:tcBorders>
            <w:shd w:val="clear" w:color="auto" w:fill="F8F8F8"/>
            <w:vAlign w:val="center"/>
          </w:tcPr>
          <w:p w:rsidR="00031E65" w:rsidRPr="003C194C" w:rsidRDefault="00950CD9" w:rsidP="00950CD9">
            <w:pPr>
              <w:spacing w:before="100" w:beforeAutospacing="1" w:after="100" w:afterAutospacing="1" w:line="240" w:lineRule="auto"/>
              <w:jc w:val="center"/>
              <w:rPr>
                <w:rFonts w:ascii="Arial" w:hAnsi="Arial" w:cs="Arial"/>
                <w:b/>
                <w:bCs/>
                <w:color w:val="000000"/>
                <w:sz w:val="18"/>
                <w:szCs w:val="18"/>
              </w:rPr>
            </w:pPr>
            <w:r w:rsidRPr="003C194C">
              <w:rPr>
                <w:rFonts w:ascii="Arial" w:hAnsi="Arial" w:cs="Arial"/>
                <w:sz w:val="12"/>
                <w:szCs w:val="12"/>
              </w:rPr>
              <w:t xml:space="preserve">Convention </w:t>
            </w:r>
            <w:r w:rsidR="006225AD">
              <w:rPr>
                <w:rFonts w:ascii="Arial" w:hAnsi="Arial" w:cs="Arial"/>
                <w:sz w:val="12"/>
                <w:szCs w:val="12"/>
              </w:rPr>
              <w:br/>
            </w:r>
            <w:r w:rsidRPr="003C194C">
              <w:rPr>
                <w:rFonts w:ascii="Arial" w:hAnsi="Arial" w:cs="Arial"/>
                <w:sz w:val="12"/>
                <w:szCs w:val="12"/>
              </w:rPr>
              <w:t>sur l</w:t>
            </w:r>
            <w:r w:rsidR="00FD740F">
              <w:rPr>
                <w:rFonts w:ascii="Arial" w:hAnsi="Arial" w:cs="Arial"/>
                <w:sz w:val="12"/>
                <w:szCs w:val="12"/>
              </w:rPr>
              <w:t>’</w:t>
            </w:r>
            <w:r w:rsidRPr="003C194C">
              <w:rPr>
                <w:rFonts w:ascii="Arial" w:hAnsi="Arial" w:cs="Arial"/>
                <w:sz w:val="12"/>
                <w:szCs w:val="12"/>
              </w:rPr>
              <w:t xml:space="preserve">élimination de toutes </w:t>
            </w:r>
            <w:r w:rsidR="006225AD">
              <w:rPr>
                <w:rFonts w:ascii="Arial" w:hAnsi="Arial" w:cs="Arial"/>
                <w:sz w:val="12"/>
                <w:szCs w:val="12"/>
              </w:rPr>
              <w:br/>
            </w:r>
            <w:r w:rsidRPr="003C194C">
              <w:rPr>
                <w:rFonts w:ascii="Arial" w:hAnsi="Arial" w:cs="Arial"/>
                <w:sz w:val="12"/>
                <w:szCs w:val="12"/>
              </w:rPr>
              <w:t xml:space="preserve">les formes de discrimination </w:t>
            </w:r>
            <w:r w:rsidR="006225AD">
              <w:rPr>
                <w:rFonts w:ascii="Arial" w:hAnsi="Arial" w:cs="Arial"/>
                <w:sz w:val="12"/>
                <w:szCs w:val="12"/>
              </w:rPr>
              <w:br/>
            </w:r>
            <w:r w:rsidRPr="003C194C">
              <w:rPr>
                <w:rFonts w:ascii="Arial" w:hAnsi="Arial" w:cs="Arial"/>
                <w:sz w:val="12"/>
                <w:szCs w:val="12"/>
              </w:rPr>
              <w:t>à l</w:t>
            </w:r>
            <w:r w:rsidR="00FD740F">
              <w:rPr>
                <w:rFonts w:ascii="Arial" w:hAnsi="Arial" w:cs="Arial"/>
                <w:sz w:val="12"/>
                <w:szCs w:val="12"/>
              </w:rPr>
              <w:t>’</w:t>
            </w:r>
            <w:r w:rsidRPr="003C194C">
              <w:rPr>
                <w:rFonts w:ascii="Arial" w:hAnsi="Arial" w:cs="Arial"/>
                <w:sz w:val="12"/>
                <w:szCs w:val="12"/>
              </w:rPr>
              <w:t xml:space="preserve">égard </w:t>
            </w:r>
            <w:r w:rsidR="006225AD">
              <w:rPr>
                <w:rFonts w:ascii="Arial" w:hAnsi="Arial" w:cs="Arial"/>
                <w:sz w:val="12"/>
                <w:szCs w:val="12"/>
              </w:rPr>
              <w:br/>
            </w:r>
            <w:r w:rsidRPr="003C194C">
              <w:rPr>
                <w:rFonts w:ascii="Arial" w:hAnsi="Arial" w:cs="Arial"/>
                <w:sz w:val="12"/>
                <w:szCs w:val="12"/>
              </w:rPr>
              <w:t>des femmes</w:t>
            </w:r>
          </w:p>
        </w:tc>
        <w:tc>
          <w:tcPr>
            <w:tcW w:w="940" w:type="dxa"/>
            <w:gridSpan w:val="2"/>
            <w:tcBorders>
              <w:top w:val="single" w:sz="6" w:space="0" w:color="AAAAAA"/>
              <w:left w:val="single" w:sz="6" w:space="0" w:color="AAAAAA"/>
              <w:bottom w:val="single" w:sz="6" w:space="0" w:color="AAAAAA"/>
              <w:right w:val="single" w:sz="6" w:space="0" w:color="AAAAAA"/>
            </w:tcBorders>
            <w:shd w:val="clear" w:color="auto" w:fill="F8F8F8"/>
            <w:tcMar>
              <w:top w:w="72" w:type="dxa"/>
              <w:left w:w="72" w:type="dxa"/>
              <w:bottom w:w="72" w:type="dxa"/>
              <w:right w:w="72" w:type="dxa"/>
            </w:tcMar>
            <w:vAlign w:val="center"/>
          </w:tcPr>
          <w:p w:rsidR="00031E65" w:rsidRPr="00792B11" w:rsidRDefault="00792B11" w:rsidP="00792B11">
            <w:pPr>
              <w:spacing w:before="100" w:beforeAutospacing="1" w:after="100" w:afterAutospacing="1" w:line="240" w:lineRule="auto"/>
              <w:jc w:val="center"/>
              <w:rPr>
                <w:rFonts w:ascii="Arial" w:hAnsi="Arial" w:cs="Arial"/>
                <w:bCs/>
                <w:color w:val="000000"/>
                <w:sz w:val="12"/>
                <w:szCs w:val="12"/>
              </w:rPr>
            </w:pPr>
            <w:r w:rsidRPr="00792B11">
              <w:rPr>
                <w:rFonts w:ascii="Arial" w:hAnsi="Arial" w:cs="Arial"/>
                <w:bCs/>
                <w:color w:val="000000"/>
                <w:sz w:val="12"/>
                <w:szCs w:val="12"/>
              </w:rPr>
              <w:t xml:space="preserve">Convention </w:t>
            </w:r>
            <w:r>
              <w:rPr>
                <w:rFonts w:ascii="Arial" w:hAnsi="Arial" w:cs="Arial"/>
                <w:bCs/>
                <w:color w:val="000000"/>
                <w:sz w:val="12"/>
                <w:szCs w:val="12"/>
              </w:rPr>
              <w:t xml:space="preserve">contre </w:t>
            </w:r>
            <w:r>
              <w:rPr>
                <w:rFonts w:ascii="Arial" w:hAnsi="Arial" w:cs="Arial"/>
                <w:bCs/>
                <w:color w:val="000000"/>
                <w:sz w:val="12"/>
                <w:szCs w:val="12"/>
              </w:rPr>
              <w:br/>
            </w:r>
            <w:r w:rsidRPr="00792B11">
              <w:rPr>
                <w:rFonts w:ascii="Arial" w:hAnsi="Arial" w:cs="Arial"/>
                <w:bCs/>
                <w:color w:val="000000"/>
                <w:sz w:val="12"/>
                <w:szCs w:val="12"/>
              </w:rPr>
              <w:t>la torture</w:t>
            </w:r>
          </w:p>
        </w:tc>
        <w:tc>
          <w:tcPr>
            <w:tcW w:w="1412" w:type="dxa"/>
            <w:gridSpan w:val="3"/>
            <w:tcBorders>
              <w:top w:val="single" w:sz="6" w:space="0" w:color="AAAAAA"/>
              <w:left w:val="single" w:sz="6" w:space="0" w:color="AAAAAA"/>
              <w:bottom w:val="single" w:sz="6" w:space="0" w:color="AAAAAA"/>
              <w:right w:val="single" w:sz="6" w:space="0" w:color="AAAAAA"/>
            </w:tcBorders>
            <w:shd w:val="clear" w:color="auto" w:fill="F8F8F8"/>
            <w:tcMar>
              <w:top w:w="72" w:type="dxa"/>
              <w:left w:w="72" w:type="dxa"/>
              <w:bottom w:w="72" w:type="dxa"/>
              <w:right w:w="72" w:type="dxa"/>
            </w:tcMar>
            <w:vAlign w:val="center"/>
          </w:tcPr>
          <w:p w:rsidR="00031E65" w:rsidRPr="00792B11" w:rsidRDefault="00792B11" w:rsidP="00792B11">
            <w:pPr>
              <w:spacing w:before="100" w:beforeAutospacing="1" w:after="100" w:afterAutospacing="1" w:line="240" w:lineRule="auto"/>
              <w:jc w:val="center"/>
              <w:rPr>
                <w:rFonts w:ascii="Arial" w:hAnsi="Arial" w:cs="Arial"/>
                <w:bCs/>
                <w:color w:val="000000"/>
                <w:sz w:val="12"/>
                <w:szCs w:val="12"/>
              </w:rPr>
            </w:pPr>
            <w:r w:rsidRPr="00792B11">
              <w:rPr>
                <w:rFonts w:ascii="Arial" w:hAnsi="Arial" w:cs="Arial"/>
                <w:bCs/>
                <w:color w:val="000000"/>
                <w:sz w:val="12"/>
                <w:szCs w:val="12"/>
              </w:rPr>
              <w:t>Convention</w:t>
            </w:r>
            <w:r>
              <w:rPr>
                <w:rFonts w:ascii="Arial" w:hAnsi="Arial" w:cs="Arial"/>
                <w:bCs/>
                <w:color w:val="000000"/>
                <w:sz w:val="12"/>
                <w:szCs w:val="12"/>
              </w:rPr>
              <w:t xml:space="preserve"> </w:t>
            </w:r>
            <w:r>
              <w:rPr>
                <w:rFonts w:ascii="Arial" w:hAnsi="Arial" w:cs="Arial"/>
                <w:bCs/>
                <w:color w:val="000000"/>
                <w:sz w:val="12"/>
                <w:szCs w:val="12"/>
              </w:rPr>
              <w:br/>
              <w:t xml:space="preserve">relative aux droits </w:t>
            </w:r>
            <w:r>
              <w:rPr>
                <w:rFonts w:ascii="Arial" w:hAnsi="Arial" w:cs="Arial"/>
                <w:bCs/>
                <w:color w:val="000000"/>
                <w:sz w:val="12"/>
                <w:szCs w:val="12"/>
              </w:rPr>
              <w:br/>
              <w:t>de l</w:t>
            </w:r>
            <w:r w:rsidR="00FD740F">
              <w:rPr>
                <w:rFonts w:ascii="Arial" w:hAnsi="Arial" w:cs="Arial"/>
                <w:bCs/>
                <w:color w:val="000000"/>
                <w:sz w:val="12"/>
                <w:szCs w:val="12"/>
              </w:rPr>
              <w:t>’</w:t>
            </w:r>
            <w:r>
              <w:rPr>
                <w:rFonts w:ascii="Arial" w:hAnsi="Arial" w:cs="Arial"/>
                <w:bCs/>
                <w:color w:val="000000"/>
                <w:sz w:val="12"/>
                <w:szCs w:val="12"/>
              </w:rPr>
              <w:t>enfant</w:t>
            </w:r>
          </w:p>
        </w:tc>
        <w:tc>
          <w:tcPr>
            <w:tcW w:w="785" w:type="dxa"/>
            <w:vMerge w:val="restart"/>
            <w:tcBorders>
              <w:top w:val="single" w:sz="6" w:space="0" w:color="AAAAAA"/>
              <w:left w:val="single" w:sz="6" w:space="0" w:color="AAAAAA"/>
              <w:bottom w:val="single" w:sz="6" w:space="0" w:color="AAAAAA"/>
              <w:right w:val="single" w:sz="6" w:space="0" w:color="AAAAAA"/>
            </w:tcBorders>
            <w:shd w:val="clear" w:color="auto" w:fill="F8F8F8"/>
            <w:tcMar>
              <w:top w:w="0" w:type="dxa"/>
              <w:left w:w="0" w:type="dxa"/>
              <w:bottom w:w="0" w:type="dxa"/>
              <w:right w:w="0" w:type="dxa"/>
            </w:tcMar>
            <w:vAlign w:val="center"/>
          </w:tcPr>
          <w:p w:rsidR="00031E65" w:rsidRPr="00A75E0B" w:rsidRDefault="00792B11" w:rsidP="00792B11">
            <w:pPr>
              <w:spacing w:before="100" w:beforeAutospacing="1" w:after="100" w:afterAutospacing="1" w:line="240" w:lineRule="auto"/>
              <w:jc w:val="center"/>
              <w:rPr>
                <w:rFonts w:ascii="Arial" w:hAnsi="Arial" w:cs="Arial"/>
                <w:b/>
                <w:bCs/>
                <w:color w:val="000000"/>
                <w:sz w:val="18"/>
                <w:szCs w:val="18"/>
              </w:rPr>
            </w:pPr>
            <w:r w:rsidRPr="00792B11">
              <w:rPr>
                <w:rFonts w:ascii="Arial" w:hAnsi="Arial" w:cs="Arial"/>
                <w:bCs/>
                <w:color w:val="000000"/>
                <w:sz w:val="12"/>
                <w:szCs w:val="12"/>
              </w:rPr>
              <w:t xml:space="preserve">Convention </w:t>
            </w:r>
            <w:r w:rsidRPr="00792B11">
              <w:rPr>
                <w:rFonts w:ascii="Arial" w:hAnsi="Arial" w:cs="Arial"/>
                <w:bCs/>
                <w:color w:val="000000"/>
                <w:spacing w:val="-2"/>
                <w:sz w:val="12"/>
                <w:szCs w:val="12"/>
              </w:rPr>
              <w:t>internationale</w:t>
            </w:r>
            <w:r w:rsidRPr="00792B11">
              <w:rPr>
                <w:rFonts w:ascii="Arial" w:hAnsi="Arial" w:cs="Arial"/>
                <w:bCs/>
                <w:color w:val="000000"/>
                <w:sz w:val="12"/>
                <w:szCs w:val="12"/>
              </w:rPr>
              <w:t xml:space="preserve"> sur la protection des droits </w:t>
            </w:r>
            <w:r w:rsidRPr="00792B11">
              <w:rPr>
                <w:rFonts w:ascii="Arial" w:hAnsi="Arial" w:cs="Arial"/>
                <w:bCs/>
                <w:color w:val="000000"/>
                <w:sz w:val="12"/>
                <w:szCs w:val="12"/>
              </w:rPr>
              <w:br/>
              <w:t xml:space="preserve">de tous les travailleurs migrants </w:t>
            </w:r>
            <w:r>
              <w:rPr>
                <w:rFonts w:ascii="Arial" w:hAnsi="Arial" w:cs="Arial"/>
                <w:bCs/>
                <w:color w:val="000000"/>
                <w:sz w:val="12"/>
                <w:szCs w:val="12"/>
              </w:rPr>
              <w:br/>
            </w:r>
            <w:r w:rsidRPr="00792B11">
              <w:rPr>
                <w:rFonts w:ascii="Arial" w:hAnsi="Arial" w:cs="Arial"/>
                <w:bCs/>
                <w:color w:val="000000"/>
                <w:sz w:val="12"/>
                <w:szCs w:val="12"/>
              </w:rPr>
              <w:t>et des membres de leur famille</w:t>
            </w:r>
          </w:p>
        </w:tc>
        <w:tc>
          <w:tcPr>
            <w:tcW w:w="968" w:type="dxa"/>
            <w:gridSpan w:val="3"/>
            <w:tcBorders>
              <w:top w:val="single" w:sz="6" w:space="0" w:color="AAAAAA"/>
              <w:left w:val="single" w:sz="6" w:space="0" w:color="AAAAAA"/>
              <w:bottom w:val="single" w:sz="6" w:space="0" w:color="AAAAAA"/>
              <w:right w:val="single" w:sz="6" w:space="0" w:color="AAAAAA"/>
            </w:tcBorders>
            <w:shd w:val="clear" w:color="auto" w:fill="F8F8F8"/>
            <w:tcMar>
              <w:top w:w="28" w:type="dxa"/>
              <w:left w:w="28" w:type="dxa"/>
              <w:bottom w:w="28" w:type="dxa"/>
              <w:right w:w="28" w:type="dxa"/>
            </w:tcMar>
            <w:vAlign w:val="center"/>
          </w:tcPr>
          <w:p w:rsidR="00031E65" w:rsidRPr="00792B11" w:rsidRDefault="00792B11" w:rsidP="00792B11">
            <w:pPr>
              <w:spacing w:before="100" w:beforeAutospacing="1" w:after="100" w:afterAutospacing="1" w:line="240" w:lineRule="auto"/>
              <w:jc w:val="center"/>
              <w:rPr>
                <w:rFonts w:ascii="Arial" w:hAnsi="Arial" w:cs="Arial"/>
                <w:bCs/>
                <w:color w:val="000000"/>
                <w:sz w:val="12"/>
                <w:szCs w:val="12"/>
              </w:rPr>
            </w:pPr>
            <w:r>
              <w:rPr>
                <w:rFonts w:ascii="Arial" w:hAnsi="Arial" w:cs="Arial"/>
                <w:bCs/>
                <w:color w:val="000000"/>
                <w:sz w:val="12"/>
                <w:szCs w:val="12"/>
              </w:rPr>
              <w:t xml:space="preserve">Convention relative </w:t>
            </w:r>
            <w:r>
              <w:rPr>
                <w:rFonts w:ascii="Arial" w:hAnsi="Arial" w:cs="Arial"/>
                <w:bCs/>
                <w:color w:val="000000"/>
                <w:sz w:val="12"/>
                <w:szCs w:val="12"/>
              </w:rPr>
              <w:br/>
              <w:t xml:space="preserve">aux droits </w:t>
            </w:r>
            <w:r>
              <w:rPr>
                <w:rFonts w:ascii="Arial" w:hAnsi="Arial" w:cs="Arial"/>
                <w:bCs/>
                <w:color w:val="000000"/>
                <w:sz w:val="12"/>
                <w:szCs w:val="12"/>
              </w:rPr>
              <w:br/>
              <w:t>des personnes handicapées</w:t>
            </w:r>
          </w:p>
        </w:tc>
      </w:tr>
      <w:tr w:rsidR="00792B11" w:rsidRPr="00A75E0B" w:rsidTr="00F17A37">
        <w:trPr>
          <w:cantSplit/>
          <w:trHeight w:val="1134"/>
        </w:trPr>
        <w:tc>
          <w:tcPr>
            <w:tcW w:w="1182" w:type="dxa"/>
            <w:vMerge/>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rPr>
                <w:rFonts w:ascii="Arial" w:hAnsi="Arial" w:cs="Arial"/>
                <w:b/>
                <w:bCs/>
                <w:color w:val="000000"/>
                <w:sz w:val="18"/>
                <w:szCs w:val="18"/>
              </w:rPr>
            </w:pPr>
          </w:p>
        </w:tc>
        <w:tc>
          <w:tcPr>
            <w:tcW w:w="428"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031E65" w:rsidRPr="00196A82" w:rsidRDefault="00114397" w:rsidP="00B742CC">
            <w:pPr>
              <w:spacing w:before="100" w:beforeAutospacing="1" w:after="100" w:afterAutospacing="1" w:line="240" w:lineRule="auto"/>
              <w:jc w:val="center"/>
              <w:rPr>
                <w:rFonts w:ascii="Arial" w:hAnsi="Arial" w:cs="Arial"/>
                <w:b/>
                <w:bCs/>
                <w:color w:val="000000"/>
                <w:spacing w:val="2"/>
                <w:sz w:val="11"/>
                <w:szCs w:val="11"/>
              </w:rPr>
            </w:pPr>
            <w:r>
              <w:rPr>
                <w:rFonts w:ascii="Arial" w:hAnsi="Arial" w:cs="Arial"/>
                <w:b/>
                <w:bCs/>
                <w:color w:val="000000"/>
                <w:spacing w:val="2"/>
                <w:sz w:val="11"/>
                <w:szCs w:val="11"/>
              </w:rPr>
              <w:t>Pacte</w:t>
            </w:r>
          </w:p>
        </w:tc>
        <w:tc>
          <w:tcPr>
            <w:tcW w:w="431"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031E65" w:rsidRPr="00196A82" w:rsidRDefault="00196A82" w:rsidP="00792B11">
            <w:pPr>
              <w:spacing w:before="100" w:beforeAutospacing="1" w:after="100" w:afterAutospacing="1" w:line="240" w:lineRule="auto"/>
              <w:jc w:val="center"/>
              <w:rPr>
                <w:rFonts w:ascii="Arial" w:hAnsi="Arial" w:cs="Arial"/>
                <w:b/>
                <w:bCs/>
                <w:color w:val="000000"/>
                <w:sz w:val="11"/>
                <w:szCs w:val="11"/>
              </w:rPr>
            </w:pPr>
            <w:r w:rsidRPr="00196A82">
              <w:rPr>
                <w:rFonts w:ascii="Arial" w:hAnsi="Arial" w:cs="Arial"/>
                <w:b/>
                <w:bCs/>
                <w:color w:val="000000"/>
                <w:spacing w:val="-2"/>
                <w:sz w:val="11"/>
                <w:szCs w:val="11"/>
              </w:rPr>
              <w:t>Protocole facultati</w:t>
            </w:r>
            <w:r>
              <w:rPr>
                <w:rFonts w:ascii="Arial" w:hAnsi="Arial" w:cs="Arial"/>
                <w:b/>
                <w:bCs/>
                <w:color w:val="000000"/>
                <w:spacing w:val="-2"/>
                <w:sz w:val="11"/>
                <w:szCs w:val="11"/>
              </w:rPr>
              <w:t>f</w:t>
            </w:r>
          </w:p>
        </w:tc>
        <w:tc>
          <w:tcPr>
            <w:tcW w:w="423"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031E65" w:rsidRPr="00196A82" w:rsidRDefault="00114397" w:rsidP="00B742CC">
            <w:pPr>
              <w:spacing w:before="100" w:beforeAutospacing="1" w:after="100" w:afterAutospacing="1" w:line="240" w:lineRule="auto"/>
              <w:jc w:val="center"/>
              <w:rPr>
                <w:rFonts w:ascii="Arial" w:hAnsi="Arial" w:cs="Arial"/>
                <w:b/>
                <w:bCs/>
                <w:color w:val="000000"/>
                <w:spacing w:val="-2"/>
                <w:sz w:val="11"/>
                <w:szCs w:val="11"/>
              </w:rPr>
            </w:pPr>
            <w:r>
              <w:rPr>
                <w:rFonts w:ascii="Arial" w:hAnsi="Arial" w:cs="Arial"/>
                <w:b/>
                <w:bCs/>
                <w:color w:val="000000"/>
                <w:spacing w:val="-2"/>
                <w:sz w:val="11"/>
                <w:szCs w:val="11"/>
              </w:rPr>
              <w:t>Pacte</w:t>
            </w:r>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031E65" w:rsidRPr="00196A82" w:rsidRDefault="00196A82" w:rsidP="00792B11">
            <w:pPr>
              <w:spacing w:before="100" w:beforeAutospacing="1" w:after="100" w:afterAutospacing="1" w:line="240" w:lineRule="auto"/>
              <w:jc w:val="center"/>
              <w:rPr>
                <w:rFonts w:ascii="Arial" w:hAnsi="Arial" w:cs="Arial"/>
                <w:b/>
                <w:bCs/>
                <w:color w:val="000000"/>
                <w:spacing w:val="-1"/>
                <w:sz w:val="11"/>
                <w:szCs w:val="11"/>
              </w:rPr>
            </w:pPr>
            <w:r w:rsidRPr="00196A82">
              <w:rPr>
                <w:rFonts w:ascii="Arial" w:hAnsi="Arial" w:cs="Arial"/>
                <w:b/>
                <w:bCs/>
                <w:color w:val="000000"/>
                <w:spacing w:val="-1"/>
                <w:sz w:val="11"/>
                <w:szCs w:val="11"/>
              </w:rPr>
              <w:t>Protocole facultati</w:t>
            </w:r>
            <w:r>
              <w:rPr>
                <w:rFonts w:ascii="Arial" w:hAnsi="Arial" w:cs="Arial"/>
                <w:b/>
                <w:bCs/>
                <w:color w:val="000000"/>
                <w:spacing w:val="-1"/>
                <w:sz w:val="11"/>
                <w:szCs w:val="11"/>
              </w:rPr>
              <w:t>f</w:t>
            </w:r>
            <w:r w:rsidRPr="00196A82">
              <w:rPr>
                <w:rFonts w:ascii="Arial" w:hAnsi="Arial" w:cs="Arial"/>
                <w:b/>
                <w:bCs/>
                <w:color w:val="000000"/>
                <w:spacing w:val="-1"/>
                <w:sz w:val="11"/>
                <w:szCs w:val="11"/>
              </w:rPr>
              <w:t xml:space="preserve"> 1</w:t>
            </w:r>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031E65" w:rsidRPr="00196A82" w:rsidRDefault="00196A82" w:rsidP="00792B11">
            <w:pPr>
              <w:spacing w:before="100" w:beforeAutospacing="1" w:after="100" w:afterAutospacing="1" w:line="240" w:lineRule="auto"/>
              <w:jc w:val="center"/>
              <w:rPr>
                <w:rFonts w:ascii="Arial" w:hAnsi="Arial" w:cs="Arial"/>
                <w:b/>
                <w:bCs/>
                <w:color w:val="000000"/>
                <w:sz w:val="11"/>
                <w:szCs w:val="11"/>
              </w:rPr>
            </w:pPr>
            <w:r w:rsidRPr="00196A82">
              <w:rPr>
                <w:rFonts w:ascii="Arial" w:hAnsi="Arial" w:cs="Arial"/>
                <w:b/>
                <w:bCs/>
                <w:color w:val="000000"/>
                <w:spacing w:val="-2"/>
                <w:sz w:val="11"/>
                <w:szCs w:val="11"/>
              </w:rPr>
              <w:t>Protocole facultati</w:t>
            </w:r>
            <w:r>
              <w:rPr>
                <w:rFonts w:ascii="Arial" w:hAnsi="Arial" w:cs="Arial"/>
                <w:b/>
                <w:bCs/>
                <w:color w:val="000000"/>
                <w:spacing w:val="-2"/>
                <w:sz w:val="11"/>
                <w:szCs w:val="11"/>
              </w:rPr>
              <w:t>f</w:t>
            </w:r>
            <w:r w:rsidRPr="00196A82">
              <w:rPr>
                <w:rFonts w:ascii="Arial" w:hAnsi="Arial" w:cs="Arial"/>
                <w:b/>
                <w:bCs/>
                <w:color w:val="000000"/>
                <w:spacing w:val="-2"/>
                <w:sz w:val="11"/>
                <w:szCs w:val="11"/>
              </w:rPr>
              <w:t xml:space="preserve"> 2</w:t>
            </w:r>
          </w:p>
        </w:tc>
        <w:tc>
          <w:tcPr>
            <w:tcW w:w="804" w:type="dxa"/>
            <w:vMerge/>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rPr>
                <w:rFonts w:ascii="Arial" w:hAnsi="Arial" w:cs="Arial"/>
                <w:b/>
                <w:bCs/>
                <w:color w:val="000000"/>
                <w:sz w:val="18"/>
                <w:szCs w:val="18"/>
              </w:rPr>
            </w:pPr>
          </w:p>
        </w:tc>
        <w:tc>
          <w:tcPr>
            <w:tcW w:w="857" w:type="dxa"/>
            <w:vMerge/>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rPr>
                <w:rFonts w:ascii="Arial" w:hAnsi="Arial" w:cs="Arial"/>
                <w:b/>
                <w:bCs/>
                <w:color w:val="000000"/>
                <w:sz w:val="18"/>
                <w:szCs w:val="18"/>
              </w:rPr>
            </w:pPr>
          </w:p>
        </w:tc>
        <w:tc>
          <w:tcPr>
            <w:tcW w:w="417"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031E65" w:rsidRPr="00196A82" w:rsidRDefault="00114397" w:rsidP="00792B11">
            <w:pPr>
              <w:spacing w:before="100" w:beforeAutospacing="1" w:after="100" w:afterAutospacing="1" w:line="240" w:lineRule="auto"/>
              <w:jc w:val="center"/>
              <w:rPr>
                <w:rFonts w:ascii="Arial" w:hAnsi="Arial" w:cs="Arial"/>
                <w:b/>
                <w:bCs/>
                <w:color w:val="000000"/>
                <w:sz w:val="11"/>
                <w:szCs w:val="11"/>
              </w:rPr>
            </w:pPr>
            <w:r>
              <w:rPr>
                <w:rFonts w:ascii="Arial" w:hAnsi="Arial" w:cs="Arial"/>
                <w:b/>
                <w:bCs/>
                <w:color w:val="000000"/>
                <w:spacing w:val="-2"/>
                <w:sz w:val="11"/>
                <w:szCs w:val="11"/>
              </w:rPr>
              <w:t>Convention</w:t>
            </w:r>
          </w:p>
        </w:tc>
        <w:tc>
          <w:tcPr>
            <w:tcW w:w="556"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031E65" w:rsidRPr="00196A82" w:rsidRDefault="00114397" w:rsidP="00114397">
            <w:pPr>
              <w:spacing w:before="100" w:beforeAutospacing="1" w:after="100" w:afterAutospacing="1" w:line="240" w:lineRule="auto"/>
              <w:jc w:val="center"/>
              <w:rPr>
                <w:rFonts w:ascii="Arial" w:hAnsi="Arial" w:cs="Arial"/>
                <w:b/>
                <w:bCs/>
                <w:color w:val="000000"/>
                <w:sz w:val="11"/>
                <w:szCs w:val="11"/>
              </w:rPr>
            </w:pPr>
            <w:r w:rsidRPr="00196A82">
              <w:rPr>
                <w:rFonts w:ascii="Arial" w:hAnsi="Arial" w:cs="Arial"/>
                <w:b/>
                <w:bCs/>
                <w:color w:val="000000"/>
                <w:spacing w:val="-2"/>
                <w:sz w:val="11"/>
                <w:szCs w:val="11"/>
              </w:rPr>
              <w:t>Protocole facultati</w:t>
            </w:r>
            <w:r>
              <w:rPr>
                <w:rFonts w:ascii="Arial" w:hAnsi="Arial" w:cs="Arial"/>
                <w:b/>
                <w:bCs/>
                <w:color w:val="000000"/>
                <w:spacing w:val="-2"/>
                <w:sz w:val="11"/>
                <w:szCs w:val="11"/>
              </w:rPr>
              <w:t>f</w:t>
            </w:r>
          </w:p>
        </w:tc>
        <w:tc>
          <w:tcPr>
            <w:tcW w:w="417"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031E65" w:rsidRPr="00196A82" w:rsidRDefault="00114397" w:rsidP="00792B11">
            <w:pPr>
              <w:spacing w:before="100" w:beforeAutospacing="1" w:after="100" w:afterAutospacing="1" w:line="240" w:lineRule="auto"/>
              <w:jc w:val="center"/>
              <w:rPr>
                <w:rFonts w:ascii="Arial" w:hAnsi="Arial" w:cs="Arial"/>
                <w:b/>
                <w:bCs/>
                <w:color w:val="000000"/>
                <w:sz w:val="11"/>
                <w:szCs w:val="11"/>
              </w:rPr>
            </w:pPr>
            <w:r>
              <w:rPr>
                <w:rFonts w:ascii="Arial" w:hAnsi="Arial" w:cs="Arial"/>
                <w:b/>
                <w:bCs/>
                <w:color w:val="000000"/>
                <w:spacing w:val="-2"/>
                <w:sz w:val="11"/>
                <w:szCs w:val="11"/>
              </w:rPr>
              <w:t>Convention</w:t>
            </w:r>
          </w:p>
        </w:tc>
        <w:tc>
          <w:tcPr>
            <w:tcW w:w="523"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031E65" w:rsidRPr="00196A82" w:rsidRDefault="00114397" w:rsidP="00114397">
            <w:pPr>
              <w:spacing w:before="100" w:beforeAutospacing="1" w:after="100" w:afterAutospacing="1" w:line="240" w:lineRule="auto"/>
              <w:jc w:val="center"/>
              <w:rPr>
                <w:rFonts w:ascii="Arial" w:hAnsi="Arial" w:cs="Arial"/>
                <w:b/>
                <w:bCs/>
                <w:color w:val="000000"/>
                <w:sz w:val="11"/>
                <w:szCs w:val="11"/>
              </w:rPr>
            </w:pPr>
            <w:r w:rsidRPr="00196A82">
              <w:rPr>
                <w:rFonts w:ascii="Arial" w:hAnsi="Arial" w:cs="Arial"/>
                <w:b/>
                <w:bCs/>
                <w:color w:val="000000"/>
                <w:spacing w:val="-2"/>
                <w:sz w:val="11"/>
                <w:szCs w:val="11"/>
              </w:rPr>
              <w:t>Protocole facultati</w:t>
            </w:r>
            <w:r>
              <w:rPr>
                <w:rFonts w:ascii="Arial" w:hAnsi="Arial" w:cs="Arial"/>
                <w:b/>
                <w:bCs/>
                <w:color w:val="000000"/>
                <w:spacing w:val="-2"/>
                <w:sz w:val="11"/>
                <w:szCs w:val="11"/>
              </w:rPr>
              <w:t>f</w:t>
            </w:r>
          </w:p>
        </w:tc>
        <w:tc>
          <w:tcPr>
            <w:tcW w:w="529"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031E65" w:rsidRPr="00196A82" w:rsidRDefault="00114397" w:rsidP="00792B11">
            <w:pPr>
              <w:spacing w:before="100" w:beforeAutospacing="1" w:after="100" w:afterAutospacing="1" w:line="240" w:lineRule="auto"/>
              <w:jc w:val="center"/>
              <w:rPr>
                <w:rFonts w:ascii="Arial" w:hAnsi="Arial" w:cs="Arial"/>
                <w:b/>
                <w:bCs/>
                <w:color w:val="000000"/>
                <w:sz w:val="11"/>
                <w:szCs w:val="11"/>
              </w:rPr>
            </w:pPr>
            <w:r>
              <w:rPr>
                <w:rFonts w:ascii="Arial" w:hAnsi="Arial" w:cs="Arial"/>
                <w:b/>
                <w:bCs/>
                <w:color w:val="000000"/>
                <w:spacing w:val="-2"/>
                <w:sz w:val="11"/>
                <w:szCs w:val="11"/>
              </w:rPr>
              <w:t>Convention</w:t>
            </w:r>
          </w:p>
        </w:tc>
        <w:tc>
          <w:tcPr>
            <w:tcW w:w="441"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031E65" w:rsidRPr="00196A82" w:rsidRDefault="00031E65" w:rsidP="00792B11">
            <w:pPr>
              <w:spacing w:before="100" w:beforeAutospacing="1" w:after="100" w:afterAutospacing="1" w:line="240" w:lineRule="auto"/>
              <w:ind w:left="113" w:right="113"/>
              <w:jc w:val="center"/>
              <w:rPr>
                <w:rFonts w:ascii="Arial" w:hAnsi="Arial" w:cs="Arial"/>
                <w:b/>
                <w:bCs/>
                <w:color w:val="000000"/>
                <w:sz w:val="11"/>
                <w:szCs w:val="11"/>
              </w:rPr>
            </w:pPr>
            <w:r w:rsidRPr="00196A82">
              <w:rPr>
                <w:rFonts w:ascii="Arial" w:hAnsi="Arial" w:cs="Arial"/>
                <w:b/>
                <w:bCs/>
                <w:color w:val="000000"/>
                <w:sz w:val="11"/>
                <w:szCs w:val="11"/>
              </w:rPr>
              <w:t>CRC-OP-AC</w:t>
            </w:r>
          </w:p>
        </w:tc>
        <w:tc>
          <w:tcPr>
            <w:tcW w:w="442"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031E65" w:rsidRPr="00196A82" w:rsidRDefault="00031E65" w:rsidP="00792B11">
            <w:pPr>
              <w:spacing w:before="100" w:beforeAutospacing="1" w:after="100" w:afterAutospacing="1" w:line="240" w:lineRule="auto"/>
              <w:ind w:left="113" w:right="113"/>
              <w:jc w:val="center"/>
              <w:rPr>
                <w:rFonts w:ascii="Arial" w:hAnsi="Arial" w:cs="Arial"/>
                <w:b/>
                <w:bCs/>
                <w:color w:val="000000"/>
                <w:sz w:val="11"/>
                <w:szCs w:val="11"/>
              </w:rPr>
            </w:pPr>
            <w:r w:rsidRPr="00196A82">
              <w:rPr>
                <w:rFonts w:ascii="Arial" w:hAnsi="Arial" w:cs="Arial"/>
                <w:b/>
                <w:bCs/>
                <w:color w:val="000000"/>
                <w:sz w:val="11"/>
                <w:szCs w:val="11"/>
              </w:rPr>
              <w:t>CRC-OP-SC</w:t>
            </w:r>
          </w:p>
        </w:tc>
        <w:tc>
          <w:tcPr>
            <w:tcW w:w="785" w:type="dxa"/>
            <w:vMerge/>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rPr>
                <w:rFonts w:ascii="Arial" w:hAnsi="Arial" w:cs="Arial"/>
                <w:b/>
                <w:bCs/>
                <w:color w:val="000000"/>
                <w:sz w:val="18"/>
                <w:szCs w:val="18"/>
              </w:rPr>
            </w:pPr>
          </w:p>
        </w:tc>
        <w:tc>
          <w:tcPr>
            <w:tcW w:w="477" w:type="dxa"/>
            <w:gridSpan w:val="2"/>
            <w:tcBorders>
              <w:top w:val="single" w:sz="6" w:space="0" w:color="AAAAAA"/>
              <w:left w:val="single" w:sz="6" w:space="0" w:color="AAAAAA"/>
              <w:bottom w:val="single" w:sz="6" w:space="0" w:color="AAAAAA"/>
              <w:right w:val="single" w:sz="6" w:space="0" w:color="AAAAAA"/>
            </w:tcBorders>
            <w:shd w:val="clear" w:color="auto" w:fill="F8F8F8"/>
            <w:tcMar>
              <w:top w:w="72" w:type="dxa"/>
              <w:left w:w="72" w:type="dxa"/>
              <w:bottom w:w="72" w:type="dxa"/>
              <w:right w:w="72" w:type="dxa"/>
            </w:tcMar>
            <w:textDirection w:val="tbRl"/>
            <w:vAlign w:val="center"/>
          </w:tcPr>
          <w:p w:rsidR="00031E65" w:rsidRPr="00196A82" w:rsidRDefault="0041575B" w:rsidP="0041575B">
            <w:pPr>
              <w:spacing w:before="100" w:beforeAutospacing="1" w:after="100" w:afterAutospacing="1" w:line="240" w:lineRule="auto"/>
              <w:jc w:val="center"/>
              <w:rPr>
                <w:rFonts w:ascii="Arial" w:hAnsi="Arial" w:cs="Arial"/>
                <w:b/>
                <w:bCs/>
                <w:color w:val="000000"/>
                <w:sz w:val="11"/>
                <w:szCs w:val="11"/>
              </w:rPr>
            </w:pPr>
            <w:r>
              <w:rPr>
                <w:rFonts w:ascii="Arial" w:hAnsi="Arial" w:cs="Arial"/>
                <w:b/>
                <w:bCs/>
                <w:color w:val="000000"/>
                <w:spacing w:val="-2"/>
                <w:sz w:val="11"/>
                <w:szCs w:val="11"/>
              </w:rPr>
              <w:t>Convention</w:t>
            </w:r>
          </w:p>
        </w:tc>
        <w:tc>
          <w:tcPr>
            <w:tcW w:w="491" w:type="dxa"/>
            <w:tcBorders>
              <w:top w:val="single" w:sz="6" w:space="0" w:color="AAAAAA"/>
              <w:left w:val="single" w:sz="6" w:space="0" w:color="AAAAAA"/>
              <w:bottom w:val="single" w:sz="6" w:space="0" w:color="AAAAAA"/>
              <w:right w:val="single" w:sz="6" w:space="0" w:color="AAAAAA"/>
            </w:tcBorders>
            <w:shd w:val="clear" w:color="auto" w:fill="F8F8F8"/>
            <w:tcMar>
              <w:top w:w="72" w:type="dxa"/>
              <w:left w:w="72" w:type="dxa"/>
              <w:bottom w:w="72" w:type="dxa"/>
              <w:right w:w="72" w:type="dxa"/>
            </w:tcMar>
            <w:textDirection w:val="tbRl"/>
            <w:vAlign w:val="center"/>
          </w:tcPr>
          <w:p w:rsidR="00031E65" w:rsidRPr="00196A82" w:rsidRDefault="0041575B" w:rsidP="0041575B">
            <w:pPr>
              <w:spacing w:before="100" w:beforeAutospacing="1" w:after="100" w:afterAutospacing="1" w:line="240" w:lineRule="auto"/>
              <w:jc w:val="center"/>
              <w:rPr>
                <w:rFonts w:ascii="Arial" w:hAnsi="Arial" w:cs="Arial"/>
                <w:b/>
                <w:bCs/>
                <w:color w:val="000000"/>
                <w:sz w:val="11"/>
                <w:szCs w:val="11"/>
              </w:rPr>
            </w:pPr>
            <w:r w:rsidRPr="00196A82">
              <w:rPr>
                <w:rFonts w:ascii="Arial" w:hAnsi="Arial" w:cs="Arial"/>
                <w:b/>
                <w:bCs/>
                <w:color w:val="000000"/>
                <w:spacing w:val="-2"/>
                <w:sz w:val="11"/>
                <w:szCs w:val="11"/>
              </w:rPr>
              <w:t>Protocole facultati</w:t>
            </w:r>
          </w:p>
        </w:tc>
      </w:tr>
      <w:tr w:rsidR="00792B11" w:rsidRPr="00A75E0B" w:rsidTr="00F17A37">
        <w:tc>
          <w:tcPr>
            <w:tcW w:w="1182" w:type="dxa"/>
            <w:tcBorders>
              <w:top w:val="single" w:sz="6" w:space="0" w:color="AAAAAA"/>
              <w:left w:val="single" w:sz="6" w:space="0" w:color="AAAAAA"/>
              <w:bottom w:val="single" w:sz="6" w:space="0" w:color="AAAAAA"/>
              <w:right w:val="single" w:sz="6" w:space="0" w:color="AAAAAA"/>
            </w:tcBorders>
            <w:shd w:val="clear" w:color="auto" w:fill="E8E8E8"/>
            <w:vAlign w:val="center"/>
          </w:tcPr>
          <w:p w:rsidR="00031E65" w:rsidRPr="00A75E0B" w:rsidRDefault="00031E65" w:rsidP="005F799B">
            <w:pPr>
              <w:spacing w:before="100" w:beforeAutospacing="1" w:after="100" w:afterAutospacing="1"/>
              <w:jc w:val="center"/>
              <w:rPr>
                <w:rFonts w:ascii="Arial" w:hAnsi="Arial" w:cs="Arial"/>
                <w:b/>
                <w:bCs/>
                <w:color w:val="000000"/>
                <w:sz w:val="18"/>
                <w:szCs w:val="18"/>
              </w:rPr>
            </w:pPr>
            <w:r w:rsidRPr="00A75E0B">
              <w:rPr>
                <w:rFonts w:ascii="Arial" w:hAnsi="Arial" w:cs="Arial"/>
                <w:b/>
                <w:bCs/>
                <w:color w:val="000000"/>
                <w:sz w:val="18"/>
                <w:szCs w:val="18"/>
              </w:rPr>
              <w:t>Adhésion</w:t>
            </w:r>
          </w:p>
        </w:tc>
        <w:tc>
          <w:tcPr>
            <w:tcW w:w="428"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6E29B8CD" wp14:editId="51A38E0D">
                  <wp:extent cx="144780" cy="144780"/>
                  <wp:effectExtent l="0" t="0" r="7620" b="7620"/>
                  <wp:docPr id="25" name="Picture 25"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31"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0A8D730D" wp14:editId="6F836388">
                  <wp:extent cx="144780" cy="144780"/>
                  <wp:effectExtent l="0" t="0" r="7620" b="7620"/>
                  <wp:docPr id="4" name="Picture 4"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23"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1E8E3FE2" wp14:editId="52359518">
                  <wp:extent cx="144780" cy="144780"/>
                  <wp:effectExtent l="0" t="0" r="7620" b="7620"/>
                  <wp:docPr id="5" name="Picture 5"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6CA5AB4F" wp14:editId="2AA9DDA0">
                  <wp:extent cx="114300" cy="114300"/>
                  <wp:effectExtent l="0" t="0" r="0" b="0"/>
                  <wp:docPr id="6" name="Picture 6" descr="Yes check.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check.sv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75E0B">
              <w:rPr>
                <w:rFonts w:ascii="Arial" w:hAnsi="Arial" w:cs="Arial"/>
                <w:noProof/>
                <w:color w:val="0B0080"/>
                <w:sz w:val="15"/>
                <w:szCs w:val="15"/>
                <w:lang w:val="en-US"/>
              </w:rPr>
              <w:drawing>
                <wp:inline distT="0" distB="0" distL="0" distR="0" wp14:anchorId="51A81A91" wp14:editId="3910058B">
                  <wp:extent cx="99060" cy="83820"/>
                  <wp:effectExtent l="0" t="0" r="0" b="0"/>
                  <wp:docPr id="7" name="Picture 7" descr="Argentina ha reconocido la competencia de recibir y procesar comunicaciones individuales por parte de los órganos competentes.">
                    <a:hlinkClick xmlns:a="http://schemas.openxmlformats.org/drawingml/2006/main" r:id="rId20" tooltip="Argentina ha reconocido la competencia de recibir y procesar comunicaciones individuales por parte de los órganos competen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gentina ha reconocido la competencia de recibir y procesar comunicaciones individuales por parte de los órganos competent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 cy="83820"/>
                          </a:xfrm>
                          <a:prstGeom prst="rect">
                            <a:avLst/>
                          </a:prstGeom>
                          <a:noFill/>
                          <a:ln>
                            <a:noFill/>
                          </a:ln>
                        </pic:spPr>
                      </pic:pic>
                    </a:graphicData>
                  </a:graphic>
                </wp:inline>
              </w:drawing>
            </w:r>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36B1694F" wp14:editId="4F21BDEF">
                  <wp:extent cx="144780" cy="144780"/>
                  <wp:effectExtent l="0" t="0" r="7620" b="7620"/>
                  <wp:docPr id="8" name="Picture 8"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804"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5C80698A" wp14:editId="455DCCAB">
                  <wp:extent cx="144780" cy="144780"/>
                  <wp:effectExtent l="0" t="0" r="7620" b="7620"/>
                  <wp:docPr id="9" name="Picture 9"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857"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3A81876D" wp14:editId="16352922">
                  <wp:extent cx="144780" cy="144780"/>
                  <wp:effectExtent l="0" t="0" r="7620" b="7620"/>
                  <wp:docPr id="10" name="Picture 10"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17"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1077AA3D" wp14:editId="59CA9211">
                  <wp:extent cx="144780" cy="144780"/>
                  <wp:effectExtent l="0" t="0" r="7620" b="7620"/>
                  <wp:docPr id="11" name="Picture 11"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56"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4B5280F3" wp14:editId="3729BDE6">
                  <wp:extent cx="144780" cy="144780"/>
                  <wp:effectExtent l="0" t="0" r="7620" b="7620"/>
                  <wp:docPr id="12" name="Picture 12"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17"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5766EF4E" wp14:editId="22F75981">
                  <wp:extent cx="144780" cy="144780"/>
                  <wp:effectExtent l="0" t="0" r="7620" b="7620"/>
                  <wp:docPr id="13" name="Picture 13"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23"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06317F5C" wp14:editId="33EFA990">
                  <wp:extent cx="144780" cy="144780"/>
                  <wp:effectExtent l="0" t="0" r="7620" b="7620"/>
                  <wp:docPr id="14" name="Picture 14"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29"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0C48DB8C" wp14:editId="621B425B">
                  <wp:extent cx="144780" cy="144780"/>
                  <wp:effectExtent l="0" t="0" r="7620" b="7620"/>
                  <wp:docPr id="15" name="Picture 15"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41"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4ACD7540" wp14:editId="4717EA12">
                  <wp:extent cx="144780" cy="144780"/>
                  <wp:effectExtent l="0" t="0" r="7620" b="7620"/>
                  <wp:docPr id="16" name="Picture 16"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42"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7B7B9BDD" wp14:editId="501759A1">
                  <wp:extent cx="144780" cy="144780"/>
                  <wp:effectExtent l="0" t="0" r="7620" b="7620"/>
                  <wp:docPr id="17" name="Picture 17"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78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2AD6685B" wp14:editId="7E6E2FFD">
                  <wp:extent cx="144780" cy="144780"/>
                  <wp:effectExtent l="0" t="0" r="7620" b="7620"/>
                  <wp:docPr id="18" name="Picture 18"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77" w:type="dxa"/>
            <w:gridSpan w:val="2"/>
            <w:tcBorders>
              <w:top w:val="single" w:sz="6" w:space="0" w:color="AAAAAA"/>
              <w:left w:val="single" w:sz="6" w:space="0" w:color="AAAAAA"/>
              <w:bottom w:val="single" w:sz="6" w:space="0" w:color="AAAAAA"/>
              <w:right w:val="single" w:sz="6" w:space="0" w:color="AAAAAA"/>
            </w:tcBorders>
            <w:shd w:val="clear" w:color="auto" w:fill="F9F9F9"/>
            <w:tcMar>
              <w:top w:w="72" w:type="dxa"/>
              <w:left w:w="72" w:type="dxa"/>
              <w:bottom w:w="72" w:type="dxa"/>
              <w:right w:w="72" w:type="dxa"/>
            </w:tcMar>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6434014E" wp14:editId="3A230C0A">
                  <wp:extent cx="144780" cy="144780"/>
                  <wp:effectExtent l="0" t="0" r="7620" b="7620"/>
                  <wp:docPr id="19" name="Picture 19"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9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031E65" w:rsidRPr="00A75E0B" w:rsidRDefault="00031E65" w:rsidP="005F799B">
            <w:pPr>
              <w:spacing w:before="100" w:beforeAutospacing="1" w:after="100" w:afterAutospacing="1"/>
              <w:jc w:val="center"/>
              <w:rPr>
                <w:rFonts w:ascii="Arial" w:hAnsi="Arial" w:cs="Arial"/>
                <w:color w:val="000000"/>
                <w:sz w:val="18"/>
                <w:szCs w:val="18"/>
              </w:rPr>
            </w:pPr>
            <w:r w:rsidRPr="00A75E0B">
              <w:rPr>
                <w:rFonts w:ascii="Arial" w:hAnsi="Arial" w:cs="Arial"/>
                <w:noProof/>
                <w:color w:val="0B0080"/>
                <w:sz w:val="15"/>
                <w:szCs w:val="15"/>
                <w:lang w:val="en-US"/>
              </w:rPr>
              <w:drawing>
                <wp:inline distT="0" distB="0" distL="0" distR="0" wp14:anchorId="6D91BB64" wp14:editId="0ACECA6A">
                  <wp:extent cx="144780" cy="144780"/>
                  <wp:effectExtent l="0" t="0" r="7620" b="7620"/>
                  <wp:docPr id="20" name="Picture 20"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r w:rsidR="00031E65" w:rsidRPr="00A75E0B" w:rsidTr="00F17A37">
        <w:trPr>
          <w:gridAfter w:val="1"/>
          <w:wAfter w:w="491" w:type="dxa"/>
        </w:trPr>
        <w:tc>
          <w:tcPr>
            <w:tcW w:w="9562" w:type="dxa"/>
            <w:gridSpan w:val="18"/>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031E65" w:rsidRPr="00A75E0B" w:rsidRDefault="00031E65" w:rsidP="006225AD">
            <w:pPr>
              <w:spacing w:before="100" w:beforeAutospacing="1" w:after="100" w:afterAutospacing="1"/>
              <w:jc w:val="center"/>
              <w:rPr>
                <w:rFonts w:ascii="Arial" w:hAnsi="Arial" w:cs="Arial"/>
                <w:color w:val="000000"/>
                <w:sz w:val="18"/>
                <w:szCs w:val="18"/>
              </w:rPr>
            </w:pPr>
            <w:r w:rsidRPr="00A75E0B">
              <w:rPr>
                <w:rFonts w:ascii="Arial" w:hAnsi="Arial" w:cs="Arial"/>
                <w:noProof/>
                <w:color w:val="000000"/>
                <w:sz w:val="15"/>
                <w:szCs w:val="15"/>
                <w:lang w:val="en-US"/>
              </w:rPr>
              <w:drawing>
                <wp:inline distT="0" distB="0" distL="0" distR="0" wp14:anchorId="65DA8F3D" wp14:editId="0CB5F1C0">
                  <wp:extent cx="144780" cy="144780"/>
                  <wp:effectExtent l="0" t="0" r="7620" b="7620"/>
                  <wp:docPr id="21" name="Picture 21" descr="Yes check.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es check.sv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A75E0B">
              <w:rPr>
                <w:rStyle w:val="apple-converted-space"/>
                <w:rFonts w:ascii="Arial" w:hAnsi="Arial" w:cs="Arial"/>
                <w:color w:val="000000"/>
                <w:sz w:val="15"/>
                <w:szCs w:val="15"/>
              </w:rPr>
              <w:t> </w:t>
            </w:r>
            <w:r w:rsidR="006225AD">
              <w:rPr>
                <w:rFonts w:ascii="Arial" w:hAnsi="Arial" w:cs="Arial"/>
                <w:sz w:val="15"/>
                <w:szCs w:val="15"/>
              </w:rPr>
              <w:t>S</w:t>
            </w:r>
            <w:r w:rsidRPr="00A75E0B">
              <w:rPr>
                <w:rFonts w:ascii="Arial" w:hAnsi="Arial" w:cs="Arial"/>
                <w:sz w:val="15"/>
                <w:szCs w:val="15"/>
              </w:rPr>
              <w:t>igné et ratifié</w:t>
            </w:r>
            <w:r w:rsidRPr="00A75E0B">
              <w:rPr>
                <w:rFonts w:ascii="Arial" w:hAnsi="Arial" w:cs="Arial"/>
                <w:color w:val="000000"/>
                <w:sz w:val="15"/>
                <w:szCs w:val="15"/>
              </w:rPr>
              <w:t>,</w:t>
            </w:r>
            <w:r w:rsidRPr="00A75E0B">
              <w:rPr>
                <w:rStyle w:val="apple-converted-space"/>
                <w:rFonts w:ascii="Arial" w:hAnsi="Arial" w:cs="Arial"/>
                <w:color w:val="000000"/>
                <w:sz w:val="15"/>
                <w:szCs w:val="15"/>
              </w:rPr>
              <w:t> </w:t>
            </w:r>
            <w:r w:rsidRPr="00A75E0B">
              <w:rPr>
                <w:rFonts w:ascii="Arial" w:hAnsi="Arial" w:cs="Arial"/>
                <w:noProof/>
                <w:color w:val="000000"/>
                <w:sz w:val="15"/>
                <w:szCs w:val="15"/>
                <w:lang w:val="en-US"/>
              </w:rPr>
              <w:drawing>
                <wp:inline distT="0" distB="0" distL="0" distR="0" wp14:anchorId="3B081D61" wp14:editId="415BE8C8">
                  <wp:extent cx="144780" cy="144780"/>
                  <wp:effectExtent l="0" t="0" r="7620" b="7620"/>
                  <wp:docPr id="22" name="Picture 22" descr="Check.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sv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A75E0B">
              <w:rPr>
                <w:rStyle w:val="apple-converted-space"/>
                <w:rFonts w:ascii="Arial" w:hAnsi="Arial" w:cs="Arial"/>
                <w:color w:val="000000"/>
                <w:sz w:val="15"/>
                <w:szCs w:val="15"/>
              </w:rPr>
              <w:t> </w:t>
            </w:r>
            <w:r w:rsidR="006225AD">
              <w:rPr>
                <w:rFonts w:ascii="Arial" w:hAnsi="Arial" w:cs="Arial"/>
                <w:sz w:val="15"/>
                <w:szCs w:val="15"/>
              </w:rPr>
              <w:t>S</w:t>
            </w:r>
            <w:r w:rsidRPr="00A75E0B">
              <w:rPr>
                <w:rFonts w:ascii="Arial" w:hAnsi="Arial" w:cs="Arial"/>
                <w:sz w:val="15"/>
                <w:szCs w:val="15"/>
              </w:rPr>
              <w:t>igné mais non ratifié</w:t>
            </w:r>
            <w:r w:rsidRPr="00A75E0B">
              <w:rPr>
                <w:rFonts w:ascii="Arial" w:hAnsi="Arial" w:cs="Arial"/>
                <w:color w:val="000000"/>
                <w:sz w:val="15"/>
                <w:szCs w:val="15"/>
              </w:rPr>
              <w:t>,</w:t>
            </w:r>
            <w:r w:rsidRPr="00A75E0B">
              <w:rPr>
                <w:rStyle w:val="apple-converted-space"/>
                <w:rFonts w:ascii="Arial" w:hAnsi="Arial" w:cs="Arial"/>
                <w:color w:val="000000"/>
                <w:sz w:val="15"/>
                <w:szCs w:val="15"/>
              </w:rPr>
              <w:t> </w:t>
            </w:r>
            <w:r w:rsidRPr="00A75E0B">
              <w:rPr>
                <w:rFonts w:ascii="Arial" w:hAnsi="Arial" w:cs="Arial"/>
                <w:noProof/>
                <w:color w:val="000000"/>
                <w:sz w:val="15"/>
                <w:szCs w:val="15"/>
                <w:lang w:val="en-US"/>
              </w:rPr>
              <w:drawing>
                <wp:inline distT="0" distB="0" distL="0" distR="0" wp14:anchorId="7DFE12A0" wp14:editId="171D7964">
                  <wp:extent cx="99060" cy="106680"/>
                  <wp:effectExtent l="0" t="0" r="0" b="7620"/>
                  <wp:docPr id="23" name="Picture 23" descr="X mark.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 mark.sv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 cy="106680"/>
                          </a:xfrm>
                          <a:prstGeom prst="rect">
                            <a:avLst/>
                          </a:prstGeom>
                          <a:noFill/>
                          <a:ln>
                            <a:noFill/>
                          </a:ln>
                        </pic:spPr>
                      </pic:pic>
                    </a:graphicData>
                  </a:graphic>
                </wp:inline>
              </w:drawing>
            </w:r>
            <w:r w:rsidRPr="00A75E0B">
              <w:rPr>
                <w:rStyle w:val="apple-converted-space"/>
                <w:rFonts w:ascii="Arial" w:hAnsi="Arial" w:cs="Arial"/>
                <w:color w:val="000000"/>
                <w:sz w:val="15"/>
                <w:szCs w:val="15"/>
              </w:rPr>
              <w:t> </w:t>
            </w:r>
            <w:r w:rsidR="006225AD">
              <w:rPr>
                <w:rStyle w:val="apple-converted-space"/>
                <w:rFonts w:ascii="Arial" w:hAnsi="Arial" w:cs="Arial"/>
                <w:color w:val="000000"/>
                <w:sz w:val="15"/>
                <w:szCs w:val="15"/>
              </w:rPr>
              <w:t>N</w:t>
            </w:r>
            <w:r w:rsidRPr="00A75E0B">
              <w:rPr>
                <w:rFonts w:ascii="Arial" w:hAnsi="Arial" w:cs="Arial"/>
                <w:sz w:val="15"/>
                <w:szCs w:val="15"/>
              </w:rPr>
              <w:t>i signé ni ratifié</w:t>
            </w:r>
            <w:r w:rsidRPr="00A75E0B">
              <w:rPr>
                <w:rFonts w:ascii="Arial" w:hAnsi="Arial" w:cs="Arial"/>
                <w:color w:val="000000"/>
                <w:sz w:val="15"/>
                <w:szCs w:val="15"/>
              </w:rPr>
              <w:t>,</w:t>
            </w:r>
            <w:r w:rsidRPr="00A75E0B">
              <w:rPr>
                <w:rStyle w:val="apple-converted-space"/>
                <w:rFonts w:ascii="Arial" w:hAnsi="Arial" w:cs="Arial"/>
                <w:color w:val="000000"/>
                <w:sz w:val="15"/>
                <w:szCs w:val="15"/>
              </w:rPr>
              <w:t> </w:t>
            </w:r>
            <w:r w:rsidRPr="00A75E0B">
              <w:rPr>
                <w:rFonts w:ascii="Arial" w:hAnsi="Arial" w:cs="Arial"/>
                <w:noProof/>
                <w:color w:val="000000"/>
                <w:sz w:val="15"/>
                <w:szCs w:val="15"/>
                <w:lang w:val="en-US"/>
              </w:rPr>
              <w:drawing>
                <wp:inline distT="0" distB="0" distL="0" distR="0" wp14:anchorId="60C6AF24" wp14:editId="4139F2A9">
                  <wp:extent cx="144780" cy="144780"/>
                  <wp:effectExtent l="0" t="0" r="7620" b="7620"/>
                  <wp:docPr id="30" name="Picture 30" descr="Symbol comment vot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ymbol comment vote.sv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A75E0B">
              <w:rPr>
                <w:rStyle w:val="apple-converted-space"/>
                <w:rFonts w:ascii="Arial" w:hAnsi="Arial" w:cs="Arial"/>
                <w:color w:val="000000"/>
                <w:sz w:val="15"/>
                <w:szCs w:val="15"/>
              </w:rPr>
              <w:t> </w:t>
            </w:r>
            <w:r w:rsidR="006225AD">
              <w:rPr>
                <w:rFonts w:ascii="Arial" w:hAnsi="Arial" w:cs="Arial"/>
                <w:sz w:val="15"/>
                <w:szCs w:val="15"/>
              </w:rPr>
              <w:t>P</w:t>
            </w:r>
            <w:r w:rsidRPr="00A75E0B">
              <w:rPr>
                <w:rFonts w:ascii="Arial" w:hAnsi="Arial" w:cs="Arial"/>
                <w:sz w:val="15"/>
                <w:szCs w:val="15"/>
              </w:rPr>
              <w:t>as d</w:t>
            </w:r>
            <w:r w:rsidR="00FD740F">
              <w:rPr>
                <w:rFonts w:ascii="Arial" w:hAnsi="Arial" w:cs="Arial"/>
                <w:sz w:val="15"/>
                <w:szCs w:val="15"/>
              </w:rPr>
              <w:t>’</w:t>
            </w:r>
            <w:r w:rsidRPr="00A75E0B">
              <w:rPr>
                <w:rFonts w:ascii="Arial" w:hAnsi="Arial" w:cs="Arial"/>
                <w:sz w:val="15"/>
                <w:szCs w:val="15"/>
              </w:rPr>
              <w:t>information</w:t>
            </w:r>
            <w:r w:rsidRPr="00A75E0B">
              <w:rPr>
                <w:rFonts w:ascii="Arial" w:hAnsi="Arial" w:cs="Arial"/>
                <w:color w:val="000000"/>
                <w:sz w:val="15"/>
                <w:szCs w:val="15"/>
              </w:rPr>
              <w:t>,</w:t>
            </w:r>
            <w:r w:rsidRPr="00A75E0B">
              <w:rPr>
                <w:rStyle w:val="apple-converted-space"/>
                <w:rFonts w:ascii="Arial" w:hAnsi="Arial" w:cs="Arial"/>
                <w:color w:val="000000"/>
                <w:sz w:val="15"/>
                <w:szCs w:val="15"/>
              </w:rPr>
              <w:t> </w:t>
            </w:r>
            <w:r w:rsidRPr="00A75E0B">
              <w:rPr>
                <w:rFonts w:ascii="Arial" w:hAnsi="Arial" w:cs="Arial"/>
                <w:noProof/>
                <w:color w:val="000000"/>
                <w:sz w:val="15"/>
                <w:szCs w:val="15"/>
                <w:lang w:val="en-US"/>
              </w:rPr>
              <w:drawing>
                <wp:inline distT="0" distB="0" distL="0" distR="0" wp14:anchorId="671F1D87" wp14:editId="2FBC9F9B">
                  <wp:extent cx="144780" cy="121920"/>
                  <wp:effectExtent l="0" t="0" r="7620" b="0"/>
                  <wp:docPr id="31" name="Picture 31" descr="Zeichen 10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eichen 101.sv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21920"/>
                          </a:xfrm>
                          <a:prstGeom prst="rect">
                            <a:avLst/>
                          </a:prstGeom>
                          <a:noFill/>
                          <a:ln>
                            <a:noFill/>
                          </a:ln>
                        </pic:spPr>
                      </pic:pic>
                    </a:graphicData>
                  </a:graphic>
                </wp:inline>
              </w:drawing>
            </w:r>
            <w:r w:rsidRPr="00A75E0B">
              <w:rPr>
                <w:rStyle w:val="apple-converted-space"/>
                <w:rFonts w:ascii="Arial" w:hAnsi="Arial" w:cs="Arial"/>
                <w:color w:val="000000"/>
                <w:sz w:val="15"/>
                <w:szCs w:val="15"/>
              </w:rPr>
              <w:t> </w:t>
            </w:r>
            <w:r w:rsidR="006225AD">
              <w:rPr>
                <w:rFonts w:ascii="Arial" w:hAnsi="Arial" w:cs="Arial"/>
                <w:sz w:val="15"/>
                <w:szCs w:val="15"/>
              </w:rPr>
              <w:t>A</w:t>
            </w:r>
            <w:r w:rsidRPr="00A75E0B">
              <w:rPr>
                <w:rFonts w:ascii="Arial" w:hAnsi="Arial" w:cs="Arial"/>
                <w:sz w:val="15"/>
                <w:szCs w:val="15"/>
              </w:rPr>
              <w:t xml:space="preserve"> signé et ratifié et de plus a accepté de reconnaître la compétence du comité pour recevoir et examiner des communications émanant de particuliers</w:t>
            </w:r>
            <w:r w:rsidR="00C21058">
              <w:rPr>
                <w:rFonts w:ascii="Arial" w:hAnsi="Arial" w:cs="Arial"/>
                <w:sz w:val="15"/>
                <w:szCs w:val="15"/>
              </w:rPr>
              <w:t>.</w:t>
            </w:r>
          </w:p>
        </w:tc>
      </w:tr>
    </w:tbl>
    <w:p w:rsidR="00031E65" w:rsidRPr="008F136F" w:rsidRDefault="00031E65" w:rsidP="008F13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8F136F" w:rsidRPr="008F136F" w:rsidRDefault="008F136F" w:rsidP="008F13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921C7" w:rsidRPr="00A75E0B" w:rsidRDefault="000921C7" w:rsidP="00F30FD1">
      <w:pPr>
        <w:pStyle w:val="SingleTxt"/>
        <w:numPr>
          <w:ilvl w:val="0"/>
          <w:numId w:val="8"/>
        </w:numPr>
        <w:tabs>
          <w:tab w:val="clear" w:pos="475"/>
          <w:tab w:val="num" w:pos="1742"/>
        </w:tabs>
        <w:ind w:left="1267"/>
      </w:pPr>
      <w:r w:rsidRPr="00A75E0B">
        <w:lastRenderedPageBreak/>
        <w:t>Le cadre juridique en vigueur dans la République argentine est constitué de dispositions de rang différent et s</w:t>
      </w:r>
      <w:r w:rsidR="00FD740F">
        <w:t>’</w:t>
      </w:r>
      <w:r w:rsidRPr="00A75E0B">
        <w:t>appliquant à divers domaines qui, tous, sont régis conformément aux règles correspondantes énoncées dans la Constitution.</w:t>
      </w:r>
    </w:p>
    <w:p w:rsidR="000921C7" w:rsidRPr="00A75E0B" w:rsidRDefault="000921C7" w:rsidP="00F30FD1">
      <w:pPr>
        <w:pStyle w:val="SingleTxt"/>
        <w:numPr>
          <w:ilvl w:val="0"/>
          <w:numId w:val="8"/>
        </w:numPr>
        <w:tabs>
          <w:tab w:val="clear" w:pos="475"/>
          <w:tab w:val="num" w:pos="1742"/>
        </w:tabs>
        <w:ind w:left="1267"/>
      </w:pPr>
      <w:r w:rsidRPr="00A75E0B">
        <w:t>La conclusion des traités est du ressort du pouvoir exécutif (art.</w:t>
      </w:r>
      <w:r w:rsidR="00031E65" w:rsidRPr="00A75E0B">
        <w:t> 99, par. </w:t>
      </w:r>
      <w:r w:rsidRPr="00A75E0B">
        <w:t>11 de la Constitution). Sans préjudice de cette prérogative, la Constitution a prévu, entre la conclusion d</w:t>
      </w:r>
      <w:r w:rsidR="00FD740F">
        <w:t>’</w:t>
      </w:r>
      <w:r w:rsidRPr="00A75E0B">
        <w:t>un traité et l</w:t>
      </w:r>
      <w:r w:rsidR="00FD740F">
        <w:t>’</w:t>
      </w:r>
      <w:r w:rsidRPr="00A75E0B">
        <w:t>expression du consentement à s</w:t>
      </w:r>
      <w:r w:rsidR="00FD740F">
        <w:t>’</w:t>
      </w:r>
      <w:r w:rsidRPr="00A75E0B">
        <w:t xml:space="preserve">engager, une démarche fondamentale consistant, pour le pouvoir législatif, à </w:t>
      </w:r>
      <w:r w:rsidR="00031E65" w:rsidRPr="00A75E0B">
        <w:t>« </w:t>
      </w:r>
      <w:r w:rsidRPr="00A75E0B">
        <w:t>approuver ou rejeter les traités conclus avec d</w:t>
      </w:r>
      <w:r w:rsidR="00FD740F">
        <w:t>’</w:t>
      </w:r>
      <w:r w:rsidRPr="00A75E0B">
        <w:t>autres nations et avec les organisations internationales</w:t>
      </w:r>
      <w:r w:rsidR="00031E65" w:rsidRPr="00A75E0B">
        <w:t> </w:t>
      </w:r>
      <w:r w:rsidRPr="00A75E0B">
        <w:t>» (art.</w:t>
      </w:r>
      <w:r w:rsidR="00031E65" w:rsidRPr="00A75E0B">
        <w:t> </w:t>
      </w:r>
      <w:r w:rsidRPr="00A75E0B">
        <w:t>75, par.</w:t>
      </w:r>
      <w:r w:rsidR="00031E65" w:rsidRPr="00A75E0B">
        <w:t> </w:t>
      </w:r>
      <w:r w:rsidRPr="00A75E0B">
        <w:t>22), fondée sur le principe de la séparation des pouvoirs et du contrôle réciproque qui en est le corollaire. Est ainsi garantie la participation des représentants du peuple et des provinces à la prise des décisions par lesquelles le pays contracte des engagements.</w:t>
      </w:r>
    </w:p>
    <w:p w:rsidR="000921C7" w:rsidRPr="00A75E0B" w:rsidRDefault="000921C7" w:rsidP="00F30FD1">
      <w:pPr>
        <w:pStyle w:val="SingleTxt"/>
        <w:numPr>
          <w:ilvl w:val="0"/>
          <w:numId w:val="8"/>
        </w:numPr>
        <w:tabs>
          <w:tab w:val="clear" w:pos="475"/>
          <w:tab w:val="num" w:pos="1742"/>
        </w:tabs>
        <w:ind w:left="1267"/>
      </w:pPr>
      <w:r w:rsidRPr="00A75E0B">
        <w:t>L</w:t>
      </w:r>
      <w:r w:rsidR="00FD740F">
        <w:t>’</w:t>
      </w:r>
      <w:r w:rsidRPr="00A75E0B">
        <w:t>article 75 de la Constitution donne rang constitutionnel aux instruments relatifs aux droits de l</w:t>
      </w:r>
      <w:r w:rsidR="00FD740F">
        <w:t>’</w:t>
      </w:r>
      <w:r w:rsidRPr="00A75E0B">
        <w:t>homme ci-après qui, une fois entrés en vigueur, l</w:t>
      </w:r>
      <w:r w:rsidR="00FD740F">
        <w:t>’</w:t>
      </w:r>
      <w:r w:rsidRPr="00A75E0B">
        <w:t>emportent sur les lois nationales, et doivent s</w:t>
      </w:r>
      <w:r w:rsidR="00FD740F">
        <w:t>’</w:t>
      </w:r>
      <w:r w:rsidRPr="00A75E0B">
        <w:t>entendre comme complémentaires des droits et garanties consacrés par la Constitution</w:t>
      </w:r>
      <w:r w:rsidR="00B424EC">
        <w:t> </w:t>
      </w:r>
      <w:r w:rsidRPr="00A75E0B">
        <w:t>:</w:t>
      </w:r>
    </w:p>
    <w:p w:rsidR="000921C7" w:rsidRPr="00A75E0B" w:rsidRDefault="000921C7" w:rsidP="00031E65">
      <w:pPr>
        <w:pStyle w:val="Bullet1"/>
      </w:pPr>
      <w:r w:rsidRPr="00A75E0B">
        <w:t>Déclaration américaine des droits et devoirs de l</w:t>
      </w:r>
      <w:r w:rsidR="00FD740F">
        <w:t>’</w:t>
      </w:r>
      <w:r w:rsidRPr="00A75E0B">
        <w:t>homme;</w:t>
      </w:r>
    </w:p>
    <w:p w:rsidR="000921C7" w:rsidRPr="00A75E0B" w:rsidRDefault="000921C7" w:rsidP="00031E65">
      <w:pPr>
        <w:pStyle w:val="Bullet1"/>
      </w:pPr>
      <w:r w:rsidRPr="00A75E0B">
        <w:t>Déclaration universelle des droits de l</w:t>
      </w:r>
      <w:r w:rsidR="00FD740F">
        <w:t>’</w:t>
      </w:r>
      <w:r w:rsidRPr="00A75E0B">
        <w:t>homme;</w:t>
      </w:r>
    </w:p>
    <w:p w:rsidR="000921C7" w:rsidRPr="00A75E0B" w:rsidRDefault="000921C7" w:rsidP="00031E65">
      <w:pPr>
        <w:pStyle w:val="Bullet1"/>
      </w:pPr>
      <w:r w:rsidRPr="00A75E0B">
        <w:t>Convention américaine des droits de l</w:t>
      </w:r>
      <w:r w:rsidR="00FD740F">
        <w:t>’</w:t>
      </w:r>
      <w:r w:rsidRPr="00A75E0B">
        <w:t>homme;</w:t>
      </w:r>
    </w:p>
    <w:p w:rsidR="000921C7" w:rsidRPr="00A75E0B" w:rsidRDefault="000921C7" w:rsidP="00031E65">
      <w:pPr>
        <w:pStyle w:val="Bullet1"/>
      </w:pPr>
      <w:r w:rsidRPr="00A75E0B">
        <w:t>Pacte international relatif aux droits économiques, sociaux et culturels;</w:t>
      </w:r>
    </w:p>
    <w:p w:rsidR="000921C7" w:rsidRPr="00A75E0B" w:rsidRDefault="000921C7" w:rsidP="00031E65">
      <w:pPr>
        <w:pStyle w:val="Bullet1"/>
      </w:pPr>
      <w:r w:rsidRPr="00A75E0B">
        <w:t>Pacte international relatif aux droits civils et politiques et Protocole facultatif s</w:t>
      </w:r>
      <w:r w:rsidR="00FD740F">
        <w:t>’</w:t>
      </w:r>
      <w:r w:rsidRPr="00A75E0B">
        <w:t>y rapportant;</w:t>
      </w:r>
    </w:p>
    <w:p w:rsidR="000921C7" w:rsidRPr="00A75E0B" w:rsidRDefault="000921C7" w:rsidP="00031E65">
      <w:pPr>
        <w:pStyle w:val="Bullet1"/>
      </w:pPr>
      <w:r w:rsidRPr="00A75E0B">
        <w:t xml:space="preserve">Convention pour la prévention et la répression du crime </w:t>
      </w:r>
      <w:r w:rsidR="00250FB5">
        <w:t xml:space="preserve">de </w:t>
      </w:r>
      <w:r w:rsidRPr="00A75E0B">
        <w:t>génocide;</w:t>
      </w:r>
    </w:p>
    <w:p w:rsidR="000921C7" w:rsidRPr="00A75E0B" w:rsidRDefault="000921C7" w:rsidP="00031E65">
      <w:pPr>
        <w:pStyle w:val="Bullet1"/>
      </w:pPr>
      <w:r w:rsidRPr="00A75E0B">
        <w:t>Convention internationale sur l</w:t>
      </w:r>
      <w:r w:rsidR="00FD740F">
        <w:t>’</w:t>
      </w:r>
      <w:r w:rsidRPr="00A75E0B">
        <w:t>élimination de toutes les fo</w:t>
      </w:r>
      <w:r w:rsidR="00637232" w:rsidRPr="00A75E0B">
        <w:t>rmes de discrimination raciale;</w:t>
      </w:r>
    </w:p>
    <w:p w:rsidR="000921C7" w:rsidRPr="00A75E0B" w:rsidRDefault="000921C7" w:rsidP="00031E65">
      <w:pPr>
        <w:pStyle w:val="Bullet1"/>
      </w:pPr>
      <w:r w:rsidRPr="00A75E0B">
        <w:t>Convention sur l</w:t>
      </w:r>
      <w:r w:rsidR="00FD740F">
        <w:t>’</w:t>
      </w:r>
      <w:r w:rsidRPr="00A75E0B">
        <w:t>élimination de toutes les formes de discrimination à l</w:t>
      </w:r>
      <w:r w:rsidR="00FD740F">
        <w:t>’</w:t>
      </w:r>
      <w:r w:rsidRPr="00A75E0B">
        <w:t>égard des femmes;</w:t>
      </w:r>
    </w:p>
    <w:p w:rsidR="000921C7" w:rsidRPr="00A75E0B" w:rsidRDefault="000921C7" w:rsidP="00031E65">
      <w:pPr>
        <w:pStyle w:val="Bullet1"/>
      </w:pPr>
      <w:r w:rsidRPr="00A75E0B">
        <w:t>Convention contre la torture et autres peines ou traitements</w:t>
      </w:r>
      <w:r w:rsidR="00250FB5">
        <w:t xml:space="preserve"> cruels,</w:t>
      </w:r>
      <w:r w:rsidRPr="00A75E0B">
        <w:t xml:space="preserve"> inhumains ou dégradants;</w:t>
      </w:r>
    </w:p>
    <w:p w:rsidR="000921C7" w:rsidRPr="00A75E0B" w:rsidRDefault="000921C7" w:rsidP="00031E65">
      <w:pPr>
        <w:pStyle w:val="Bullet1"/>
      </w:pPr>
      <w:r w:rsidRPr="00A75E0B">
        <w:t>Convention relative aux droits de l</w:t>
      </w:r>
      <w:r w:rsidR="00FD740F">
        <w:t>’</w:t>
      </w:r>
      <w:r w:rsidRPr="00A75E0B">
        <w:t>enfant;</w:t>
      </w:r>
    </w:p>
    <w:p w:rsidR="000921C7" w:rsidRPr="00A75E0B" w:rsidRDefault="000921C7" w:rsidP="00031E65">
      <w:pPr>
        <w:pStyle w:val="Bullet1"/>
      </w:pPr>
      <w:r w:rsidRPr="00A75E0B">
        <w:t>Convention interaméricaine sur la disparition forcée des personnes;</w:t>
      </w:r>
    </w:p>
    <w:p w:rsidR="000921C7" w:rsidRDefault="000921C7" w:rsidP="00031E65">
      <w:pPr>
        <w:pStyle w:val="Bullet1"/>
      </w:pPr>
      <w:r w:rsidRPr="00A75E0B">
        <w:t>Convention sur l</w:t>
      </w:r>
      <w:r w:rsidR="00FD740F">
        <w:t>’</w:t>
      </w:r>
      <w:r w:rsidRPr="00A75E0B">
        <w:t>imprescriptibilité des crimes de guerre et des crimes contre l</w:t>
      </w:r>
      <w:r w:rsidR="00FD740F">
        <w:t>’</w:t>
      </w:r>
      <w:r w:rsidRPr="00A75E0B">
        <w:t>humanité.</w:t>
      </w:r>
    </w:p>
    <w:p w:rsidR="00C51184" w:rsidRPr="00C51184" w:rsidRDefault="00C51184" w:rsidP="00C51184">
      <w:pPr>
        <w:pStyle w:val="Bullet1"/>
        <w:numPr>
          <w:ilvl w:val="0"/>
          <w:numId w:val="0"/>
        </w:numPr>
        <w:spacing w:after="0" w:line="120" w:lineRule="exact"/>
        <w:ind w:left="1743"/>
        <w:rPr>
          <w:sz w:val="10"/>
        </w:rPr>
      </w:pPr>
    </w:p>
    <w:p w:rsidR="00C51184" w:rsidRPr="00C51184" w:rsidRDefault="00C51184" w:rsidP="00C51184">
      <w:pPr>
        <w:pStyle w:val="Bullet1"/>
        <w:numPr>
          <w:ilvl w:val="0"/>
          <w:numId w:val="0"/>
        </w:numPr>
        <w:spacing w:after="0" w:line="120" w:lineRule="exact"/>
        <w:ind w:left="1743"/>
        <w:rPr>
          <w:sz w:val="10"/>
        </w:rPr>
      </w:pPr>
    </w:p>
    <w:p w:rsidR="00B424EC" w:rsidRDefault="00B424EC" w:rsidP="00B424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t>B.</w:t>
      </w:r>
      <w:r w:rsidRPr="008936B0">
        <w:rPr>
          <w:lang w:val="fr-FR"/>
        </w:rPr>
        <w:tab/>
        <w:t>Cadre juridique de la protection des droits de l</w:t>
      </w:r>
      <w:r>
        <w:rPr>
          <w:lang w:val="fr-FR"/>
        </w:rPr>
        <w:t>’</w:t>
      </w:r>
      <w:r w:rsidRPr="008936B0">
        <w:rPr>
          <w:lang w:val="fr-FR"/>
        </w:rPr>
        <w:t xml:space="preserve">homme </w:t>
      </w:r>
      <w:r>
        <w:rPr>
          <w:lang w:val="fr-FR"/>
        </w:rPr>
        <w:br/>
        <w:t>au niveau national</w:t>
      </w:r>
    </w:p>
    <w:p w:rsidR="00B424EC" w:rsidRPr="008936B0" w:rsidRDefault="00B424EC" w:rsidP="00B424EC">
      <w:pPr>
        <w:pStyle w:val="SingleTxt"/>
        <w:spacing w:after="0" w:line="120" w:lineRule="exact"/>
        <w:rPr>
          <w:sz w:val="10"/>
          <w:lang w:val="fr-FR"/>
        </w:rPr>
      </w:pPr>
    </w:p>
    <w:p w:rsidR="00B424EC" w:rsidRPr="008936B0" w:rsidRDefault="00B424EC" w:rsidP="00B424EC">
      <w:pPr>
        <w:pStyle w:val="SingleTxt"/>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8936B0">
        <w:rPr>
          <w:lang w:val="fr-FR"/>
        </w:rPr>
        <w:tab/>
        <w:t>Autorités compétentes</w:t>
      </w:r>
    </w:p>
    <w:p w:rsidR="00B424EC" w:rsidRPr="008936B0" w:rsidRDefault="00B424EC" w:rsidP="00B424EC">
      <w:pPr>
        <w:pStyle w:val="SingleTxt"/>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t>1.</w:t>
      </w:r>
      <w:r w:rsidRPr="008936B0">
        <w:rPr>
          <w:lang w:val="fr-FR"/>
        </w:rPr>
        <w:tab/>
        <w:t xml:space="preserve">Autorités judiciaires </w:t>
      </w:r>
    </w:p>
    <w:p w:rsidR="00B424EC" w:rsidRPr="008936B0" w:rsidRDefault="00B424EC" w:rsidP="00B424EC">
      <w:pPr>
        <w:pStyle w:val="SingleTxt"/>
        <w:spacing w:after="0" w:line="120" w:lineRule="exact"/>
        <w:rPr>
          <w:sz w:val="10"/>
          <w:lang w:val="fr-FR"/>
        </w:rPr>
      </w:pPr>
    </w:p>
    <w:p w:rsidR="00B424EC" w:rsidRPr="008936B0" w:rsidRDefault="00B424EC" w:rsidP="00B424EC">
      <w:pPr>
        <w:pStyle w:val="SingleTxt"/>
        <w:numPr>
          <w:ilvl w:val="0"/>
          <w:numId w:val="17"/>
        </w:numPr>
        <w:tabs>
          <w:tab w:val="clear" w:pos="475"/>
          <w:tab w:val="num" w:pos="1742"/>
        </w:tabs>
        <w:ind w:left="1267"/>
        <w:rPr>
          <w:lang w:val="fr-FR"/>
        </w:rPr>
      </w:pPr>
      <w:r>
        <w:t>En A</w:t>
      </w:r>
      <w:r w:rsidRPr="008936B0">
        <w:t>rgentin</w:t>
      </w:r>
      <w:r>
        <w:t>e</w:t>
      </w:r>
      <w:r w:rsidRPr="008936B0">
        <w:t>, l</w:t>
      </w:r>
      <w:r>
        <w:t>’</w:t>
      </w:r>
      <w:r w:rsidRPr="008936B0">
        <w:t xml:space="preserve">administration de justice </w:t>
      </w:r>
      <w:r>
        <w:t>est assurée conjointement par la N</w:t>
      </w:r>
      <w:r w:rsidRPr="008936B0">
        <w:t xml:space="preserve">ation et </w:t>
      </w:r>
      <w:r>
        <w:t>les</w:t>
      </w:r>
      <w:r w:rsidRPr="008936B0">
        <w:t xml:space="preserve"> provinces</w:t>
      </w:r>
      <w:r w:rsidRPr="008936B0">
        <w:rPr>
          <w:lang w:val="fr-FR"/>
        </w:rPr>
        <w:t xml:space="preserve">. </w:t>
      </w:r>
      <w:r>
        <w:t xml:space="preserve">Ainsi en vertu des articles </w:t>
      </w:r>
      <w:r w:rsidRPr="008936B0">
        <w:t>5 et 123 de la Constitution chaque province se dote de sa propre constitution, conform</w:t>
      </w:r>
      <w:r>
        <w:t>ém</w:t>
      </w:r>
      <w:r w:rsidRPr="008936B0">
        <w:t>e</w:t>
      </w:r>
      <w:r>
        <w:t>nt</w:t>
      </w:r>
      <w:r w:rsidRPr="008936B0">
        <w:t xml:space="preserve"> aux principes</w:t>
      </w:r>
      <w:r>
        <w:t xml:space="preserve">, </w:t>
      </w:r>
      <w:r w:rsidRPr="008936B0">
        <w:t xml:space="preserve">déclarations et garanties </w:t>
      </w:r>
      <w:r>
        <w:t>énoncés dans la Loi fondamentale</w:t>
      </w:r>
      <w:r w:rsidRPr="008936B0">
        <w:t xml:space="preserve">, </w:t>
      </w:r>
      <w:r>
        <w:t xml:space="preserve">et </w:t>
      </w:r>
      <w:r w:rsidRPr="008936B0">
        <w:t>«</w:t>
      </w:r>
      <w:r>
        <w:t> organise</w:t>
      </w:r>
      <w:r w:rsidRPr="008936B0">
        <w:t xml:space="preserve"> l</w:t>
      </w:r>
      <w:r>
        <w:t>’</w:t>
      </w:r>
      <w:r w:rsidRPr="008936B0">
        <w:t>administration de la justice</w:t>
      </w:r>
      <w:r>
        <w:t> </w:t>
      </w:r>
      <w:r w:rsidRPr="008936B0">
        <w:t>».</w:t>
      </w:r>
      <w:r w:rsidRPr="008936B0">
        <w:rPr>
          <w:lang w:val="fr-FR"/>
        </w:rPr>
        <w:t xml:space="preserve"> </w:t>
      </w:r>
      <w:r w:rsidRPr="008936B0">
        <w:t xml:space="preserve">Les provinces </w:t>
      </w:r>
      <w:r>
        <w:t>d</w:t>
      </w:r>
      <w:r w:rsidRPr="008936B0">
        <w:t>é</w:t>
      </w:r>
      <w:r>
        <w:t>s</w:t>
      </w:r>
      <w:r w:rsidRPr="008936B0">
        <w:t>i</w:t>
      </w:r>
      <w:r>
        <w:t>gn</w:t>
      </w:r>
      <w:r w:rsidRPr="008936B0">
        <w:t>ent leurs fonctionnaires et leurs juges s</w:t>
      </w:r>
      <w:r>
        <w:t>ans</w:t>
      </w:r>
      <w:r w:rsidRPr="008936B0">
        <w:t xml:space="preserve"> intervention du Gouvernement fédéral </w:t>
      </w:r>
      <w:r w:rsidRPr="008936B0">
        <w:rPr>
          <w:lang w:val="fr-FR"/>
        </w:rPr>
        <w:t xml:space="preserve">(art. 122 de la Constitution). Parallèlement, </w:t>
      </w:r>
      <w:r w:rsidRPr="008936B0">
        <w:t xml:space="preserve">les lois </w:t>
      </w:r>
      <w:r>
        <w:t>adopt</w:t>
      </w:r>
      <w:r w:rsidRPr="008936B0">
        <w:t xml:space="preserve">ées par le Congrès </w:t>
      </w:r>
      <w:r>
        <w:t xml:space="preserve">en application de la Constitution </w:t>
      </w:r>
      <w:r w:rsidRPr="008936B0">
        <w:t xml:space="preserve">et les traités conclus avec des </w:t>
      </w:r>
      <w:r w:rsidRPr="008936B0">
        <w:lastRenderedPageBreak/>
        <w:t>puissances étrangères co</w:t>
      </w:r>
      <w:r>
        <w:t>nstituent la loi suprême de la N</w:t>
      </w:r>
      <w:r w:rsidRPr="008936B0">
        <w:t>ation, à laquelle les autorités de chaque province sont tenues de se conformer nonobstant toute disposition contraire co</w:t>
      </w:r>
      <w:r>
        <w:t>ntenue dans leurs lois ou leur c</w:t>
      </w:r>
      <w:r w:rsidRPr="008936B0">
        <w:t xml:space="preserve">onstitution </w:t>
      </w:r>
      <w:r w:rsidRPr="008936B0">
        <w:rPr>
          <w:lang w:val="fr-FR"/>
        </w:rPr>
        <w:t>(art. 31 de la Constitution).</w:t>
      </w:r>
    </w:p>
    <w:p w:rsidR="00B424EC" w:rsidRPr="008936B0" w:rsidRDefault="00B424EC" w:rsidP="00B424EC">
      <w:pPr>
        <w:pStyle w:val="SingleTxt"/>
        <w:numPr>
          <w:ilvl w:val="0"/>
          <w:numId w:val="17"/>
        </w:numPr>
        <w:tabs>
          <w:tab w:val="clear" w:pos="475"/>
          <w:tab w:val="num" w:pos="1742"/>
        </w:tabs>
        <w:ind w:left="1267"/>
        <w:rPr>
          <w:lang w:val="fr-FR"/>
        </w:rPr>
      </w:pPr>
      <w:r w:rsidRPr="008936B0">
        <w:t>Il appartient au pouvoir judiciaire de chaque province d</w:t>
      </w:r>
      <w:r>
        <w:t>’</w:t>
      </w:r>
      <w:r w:rsidRPr="008936B0">
        <w:t xml:space="preserve">administrer la justice ordinaire dans le cas des biens ou des personnes relevant de sa juridiction, en appliquant les </w:t>
      </w:r>
      <w:r>
        <w:t xml:space="preserve">textes mentionnés au paragraphe </w:t>
      </w:r>
      <w:r w:rsidRPr="008936B0">
        <w:t>12</w:t>
      </w:r>
      <w:r>
        <w:t xml:space="preserve"> de l’article 75 –</w:t>
      </w:r>
      <w:r w:rsidRPr="008936B0">
        <w:t xml:space="preserve"> Code civil, Code pénal, Code du commerce, Code des mines, Code du travail et de la sécurité sociale</w:t>
      </w:r>
      <w:r w:rsidRPr="008936B0">
        <w:rPr>
          <w:lang w:val="fr-FR"/>
        </w:rPr>
        <w:t>.</w:t>
      </w:r>
    </w:p>
    <w:p w:rsidR="00B424EC" w:rsidRDefault="00B424EC" w:rsidP="00B424EC">
      <w:pPr>
        <w:pStyle w:val="SingleTxt"/>
        <w:numPr>
          <w:ilvl w:val="0"/>
          <w:numId w:val="17"/>
        </w:numPr>
        <w:tabs>
          <w:tab w:val="clear" w:pos="475"/>
          <w:tab w:val="num" w:pos="1742"/>
        </w:tabs>
        <w:ind w:left="1267"/>
        <w:rPr>
          <w:lang w:val="fr-FR"/>
        </w:rPr>
      </w:pPr>
      <w:r w:rsidRPr="008936B0">
        <w:t>À l</w:t>
      </w:r>
      <w:r>
        <w:t>’</w:t>
      </w:r>
      <w:r w:rsidRPr="008936B0">
        <w:t>échelon national, l</w:t>
      </w:r>
      <w:r>
        <w:t>’</w:t>
      </w:r>
      <w:r w:rsidRPr="008936B0">
        <w:t xml:space="preserve">article 116 de la Constitution dispose que la Cour suprême de justice et les tribunaux inférieurs connaissent de toutes les affaires ayant trait à des matières régies par la Constitution ou les lois, </w:t>
      </w:r>
      <w:r>
        <w:t>sous réserve qu’elles</w:t>
      </w:r>
      <w:r w:rsidRPr="008936B0">
        <w:t xml:space="preserve"> ne relèvent pas des juridictions provinciales</w:t>
      </w:r>
      <w:r>
        <w:t xml:space="preserve">, auquel cas, </w:t>
      </w:r>
      <w:r w:rsidRPr="008936B0">
        <w:t xml:space="preserve">la Cour suprême exerce sa juridiction en appel </w:t>
      </w:r>
      <w:r w:rsidRPr="008936B0">
        <w:rPr>
          <w:lang w:val="fr-FR"/>
        </w:rPr>
        <w:t>(art. 117).</w:t>
      </w:r>
    </w:p>
    <w:p w:rsidR="00B424EC" w:rsidRPr="00297FCB" w:rsidRDefault="00B424EC" w:rsidP="00B424EC">
      <w:pPr>
        <w:pStyle w:val="SingleTxt"/>
        <w:tabs>
          <w:tab w:val="clear" w:pos="1742"/>
        </w:tabs>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t>2.</w:t>
      </w:r>
      <w:r w:rsidRPr="008936B0">
        <w:rPr>
          <w:lang w:val="fr-FR"/>
        </w:rPr>
        <w:tab/>
        <w:t>Autorités administratives</w:t>
      </w:r>
    </w:p>
    <w:p w:rsidR="00B424EC" w:rsidRPr="00297FCB" w:rsidRDefault="00B424EC" w:rsidP="00B424EC">
      <w:pPr>
        <w:pStyle w:val="SingleTxt"/>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8936B0">
        <w:rPr>
          <w:lang w:val="fr-FR"/>
        </w:rPr>
        <w:tab/>
        <w:t>Secrétariat aux droits de l</w:t>
      </w:r>
      <w:r>
        <w:rPr>
          <w:lang w:val="fr-FR"/>
        </w:rPr>
        <w:t>’</w:t>
      </w:r>
      <w:r w:rsidRPr="008936B0">
        <w:rPr>
          <w:lang w:val="fr-FR"/>
        </w:rPr>
        <w:t xml:space="preserve">homme </w:t>
      </w:r>
    </w:p>
    <w:p w:rsidR="00B424EC" w:rsidRPr="00297FCB" w:rsidRDefault="00B424EC" w:rsidP="00B424EC">
      <w:pPr>
        <w:pStyle w:val="SingleTxt"/>
        <w:spacing w:after="0" w:line="120" w:lineRule="exact"/>
        <w:rPr>
          <w:sz w:val="10"/>
          <w:lang w:val="fr-FR"/>
        </w:rPr>
      </w:pPr>
    </w:p>
    <w:p w:rsidR="00B424EC" w:rsidRPr="008936B0" w:rsidRDefault="00B424EC" w:rsidP="00B424EC">
      <w:pPr>
        <w:pStyle w:val="SingleTxt"/>
        <w:numPr>
          <w:ilvl w:val="0"/>
          <w:numId w:val="17"/>
        </w:numPr>
        <w:tabs>
          <w:tab w:val="clear" w:pos="475"/>
          <w:tab w:val="num" w:pos="1742"/>
        </w:tabs>
        <w:ind w:left="1267"/>
        <w:rPr>
          <w:lang w:val="fr-FR"/>
        </w:rPr>
      </w:pPr>
      <w:r w:rsidRPr="008936B0">
        <w:rPr>
          <w:lang w:val="fr-FR"/>
        </w:rPr>
        <w:t>Placé sous la tutelle du Ministère de la justice et des droits de l</w:t>
      </w:r>
      <w:r>
        <w:rPr>
          <w:lang w:val="fr-FR"/>
        </w:rPr>
        <w:t>’</w:t>
      </w:r>
      <w:r w:rsidRPr="008936B0">
        <w:rPr>
          <w:lang w:val="fr-FR"/>
        </w:rPr>
        <w:t>homme, le Secrétariat aux droits de l</w:t>
      </w:r>
      <w:r>
        <w:rPr>
          <w:lang w:val="fr-FR"/>
        </w:rPr>
        <w:t>’</w:t>
      </w:r>
      <w:r w:rsidRPr="008936B0">
        <w:rPr>
          <w:lang w:val="fr-FR"/>
        </w:rPr>
        <w:t>homme est l</w:t>
      </w:r>
      <w:r>
        <w:rPr>
          <w:lang w:val="fr-FR"/>
        </w:rPr>
        <w:t>’</w:t>
      </w:r>
      <w:r w:rsidRPr="008936B0">
        <w:rPr>
          <w:lang w:val="fr-FR"/>
        </w:rPr>
        <w:t xml:space="preserve">autorité compétente </w:t>
      </w:r>
      <w:r>
        <w:rPr>
          <w:lang w:val="fr-FR"/>
        </w:rPr>
        <w:t xml:space="preserve">au plan national </w:t>
      </w:r>
      <w:r w:rsidRPr="008936B0">
        <w:rPr>
          <w:lang w:val="fr-FR"/>
        </w:rPr>
        <w:t>pour les questions relatives aux droits de l</w:t>
      </w:r>
      <w:r>
        <w:rPr>
          <w:lang w:val="fr-FR"/>
        </w:rPr>
        <w:t>’</w:t>
      </w:r>
      <w:r w:rsidRPr="008936B0">
        <w:rPr>
          <w:lang w:val="fr-FR"/>
        </w:rPr>
        <w:t xml:space="preserve">homme. </w:t>
      </w:r>
    </w:p>
    <w:p w:rsidR="00B424EC" w:rsidRPr="008936B0" w:rsidRDefault="00B424EC" w:rsidP="00B424EC">
      <w:pPr>
        <w:pStyle w:val="SingleTxt"/>
        <w:numPr>
          <w:ilvl w:val="0"/>
          <w:numId w:val="17"/>
        </w:numPr>
        <w:tabs>
          <w:tab w:val="clear" w:pos="475"/>
          <w:tab w:val="num" w:pos="1742"/>
        </w:tabs>
        <w:ind w:left="1267"/>
        <w:rPr>
          <w:lang w:val="fr-FR"/>
        </w:rPr>
      </w:pPr>
      <w:r w:rsidRPr="008936B0">
        <w:rPr>
          <w:lang w:val="fr-FR"/>
        </w:rPr>
        <w:t xml:space="preserve">Ses objectifs et ses </w:t>
      </w:r>
      <w:r>
        <w:rPr>
          <w:lang w:val="fr-FR"/>
        </w:rPr>
        <w:t xml:space="preserve">activités </w:t>
      </w:r>
      <w:r w:rsidRPr="008936B0">
        <w:rPr>
          <w:lang w:val="fr-FR"/>
        </w:rPr>
        <w:t>sont les suivants</w:t>
      </w:r>
      <w:r>
        <w:rPr>
          <w:lang w:val="fr-FR"/>
        </w:rPr>
        <w:t> </w:t>
      </w:r>
      <w:r w:rsidRPr="008936B0">
        <w:rPr>
          <w:lang w:val="fr-FR"/>
        </w:rPr>
        <w:t>:</w:t>
      </w:r>
    </w:p>
    <w:p w:rsidR="00B424EC" w:rsidRPr="008936B0" w:rsidRDefault="00B424EC" w:rsidP="00B424EC">
      <w:pPr>
        <w:pStyle w:val="Bullet1"/>
        <w:rPr>
          <w:lang w:val="fr-FR"/>
        </w:rPr>
      </w:pPr>
      <w:r>
        <w:rPr>
          <w:lang w:val="fr-FR"/>
        </w:rPr>
        <w:t>Il é</w:t>
      </w:r>
      <w:r w:rsidRPr="008936B0">
        <w:rPr>
          <w:lang w:val="fr-FR"/>
        </w:rPr>
        <w:t>labore</w:t>
      </w:r>
      <w:r>
        <w:rPr>
          <w:lang w:val="fr-FR"/>
        </w:rPr>
        <w:t xml:space="preserve"> </w:t>
      </w:r>
      <w:r w:rsidRPr="008936B0">
        <w:rPr>
          <w:lang w:val="fr-FR"/>
        </w:rPr>
        <w:t xml:space="preserve">les politiques, les plans et les programmes </w:t>
      </w:r>
      <w:r>
        <w:rPr>
          <w:lang w:val="fr-FR"/>
        </w:rPr>
        <w:t>visant la</w:t>
      </w:r>
      <w:r w:rsidRPr="008936B0">
        <w:rPr>
          <w:lang w:val="fr-FR"/>
        </w:rPr>
        <w:t xml:space="preserve"> promotion et </w:t>
      </w:r>
      <w:r>
        <w:rPr>
          <w:lang w:val="fr-FR"/>
        </w:rPr>
        <w:t>la</w:t>
      </w:r>
      <w:r w:rsidRPr="008936B0">
        <w:rPr>
          <w:lang w:val="fr-FR"/>
        </w:rPr>
        <w:t xml:space="preserve"> protection des droits civils, politiques, économiques, sociaux, culturels et communautaires ainsi que des droits collectifs, en général</w:t>
      </w:r>
      <w:r>
        <w:rPr>
          <w:lang w:val="fr-FR"/>
        </w:rPr>
        <w:t xml:space="preserve"> et en assure la mise en œuvre et le suivi</w:t>
      </w:r>
      <w:r w:rsidRPr="008936B0">
        <w:rPr>
          <w:lang w:val="fr-FR"/>
        </w:rPr>
        <w:t xml:space="preserve">; </w:t>
      </w:r>
    </w:p>
    <w:p w:rsidR="00B424EC" w:rsidRPr="008936B0" w:rsidRDefault="00B424EC" w:rsidP="00B424EC">
      <w:pPr>
        <w:pStyle w:val="Bullet1"/>
        <w:rPr>
          <w:lang w:val="fr-FR"/>
        </w:rPr>
      </w:pPr>
      <w:r>
        <w:rPr>
          <w:lang w:val="fr-FR"/>
        </w:rPr>
        <w:t>Il c</w:t>
      </w:r>
      <w:r w:rsidRPr="008936B0">
        <w:rPr>
          <w:lang w:val="fr-FR"/>
        </w:rPr>
        <w:t xml:space="preserve">oordonne les mesures </w:t>
      </w:r>
      <w:r>
        <w:rPr>
          <w:lang w:val="fr-FR"/>
        </w:rPr>
        <w:t>visant la</w:t>
      </w:r>
      <w:r w:rsidRPr="008936B0">
        <w:rPr>
          <w:lang w:val="fr-FR"/>
        </w:rPr>
        <w:t xml:space="preserve"> promotion et </w:t>
      </w:r>
      <w:r>
        <w:rPr>
          <w:lang w:val="fr-FR"/>
        </w:rPr>
        <w:t>la</w:t>
      </w:r>
      <w:r w:rsidRPr="008936B0">
        <w:rPr>
          <w:lang w:val="fr-FR"/>
        </w:rPr>
        <w:t xml:space="preserve"> protection des droits de l</w:t>
      </w:r>
      <w:r>
        <w:rPr>
          <w:lang w:val="fr-FR"/>
        </w:rPr>
        <w:t>’</w:t>
      </w:r>
      <w:r w:rsidRPr="008936B0">
        <w:rPr>
          <w:lang w:val="fr-FR"/>
        </w:rPr>
        <w:t>homme avec les autres ministè</w:t>
      </w:r>
      <w:r>
        <w:rPr>
          <w:lang w:val="fr-FR"/>
        </w:rPr>
        <w:t>res, le pouvoir judiciaire, le m</w:t>
      </w:r>
      <w:r w:rsidRPr="008936B0">
        <w:rPr>
          <w:lang w:val="fr-FR"/>
        </w:rPr>
        <w:t>inistère public, le Défenseur du peuple, le Congrès et les organi</w:t>
      </w:r>
      <w:r>
        <w:rPr>
          <w:lang w:val="fr-FR"/>
        </w:rPr>
        <w:t>sations de la société civile;</w:t>
      </w:r>
    </w:p>
    <w:p w:rsidR="00B424EC" w:rsidRPr="008936B0" w:rsidRDefault="00B424EC" w:rsidP="00B424EC">
      <w:pPr>
        <w:pStyle w:val="Bullet1"/>
        <w:rPr>
          <w:lang w:val="fr-FR"/>
        </w:rPr>
      </w:pPr>
      <w:r>
        <w:rPr>
          <w:lang w:val="fr-FR"/>
        </w:rPr>
        <w:t>Il p</w:t>
      </w:r>
      <w:r w:rsidRPr="008936B0">
        <w:rPr>
          <w:lang w:val="fr-FR"/>
        </w:rPr>
        <w:t>lanifie, coordonne et su</w:t>
      </w:r>
      <w:r>
        <w:rPr>
          <w:lang w:val="fr-FR"/>
        </w:rPr>
        <w:t>pervise</w:t>
      </w:r>
      <w:r w:rsidRPr="008936B0">
        <w:rPr>
          <w:lang w:val="fr-FR"/>
        </w:rPr>
        <w:t xml:space="preserve"> la mise en œuvre des activités de formation et de renforcement institutionnel dans le domaine des droits de l</w:t>
      </w:r>
      <w:r>
        <w:rPr>
          <w:lang w:val="fr-FR"/>
        </w:rPr>
        <w:t>’</w:t>
      </w:r>
      <w:r w:rsidRPr="008936B0">
        <w:rPr>
          <w:lang w:val="fr-FR"/>
        </w:rPr>
        <w:t>homme et du droit international humanitaire, au niveau de l</w:t>
      </w:r>
      <w:r>
        <w:rPr>
          <w:lang w:val="fr-FR"/>
        </w:rPr>
        <w:t>’</w:t>
      </w:r>
      <w:r w:rsidRPr="008936B0">
        <w:rPr>
          <w:lang w:val="fr-FR"/>
        </w:rPr>
        <w:t xml:space="preserve">État </w:t>
      </w:r>
      <w:r>
        <w:rPr>
          <w:lang w:val="fr-FR"/>
        </w:rPr>
        <w:t>comme</w:t>
      </w:r>
      <w:r w:rsidRPr="008936B0">
        <w:rPr>
          <w:lang w:val="fr-FR"/>
        </w:rPr>
        <w:t xml:space="preserve"> de la société civile;</w:t>
      </w:r>
    </w:p>
    <w:p w:rsidR="00B424EC" w:rsidRPr="008936B0" w:rsidRDefault="00B424EC" w:rsidP="00B424EC">
      <w:pPr>
        <w:pStyle w:val="Bullet1"/>
        <w:rPr>
          <w:lang w:val="fr-FR"/>
        </w:rPr>
      </w:pPr>
      <w:r>
        <w:rPr>
          <w:lang w:val="fr-FR"/>
        </w:rPr>
        <w:t>Il coordonne</w:t>
      </w:r>
      <w:r w:rsidRPr="008936B0">
        <w:rPr>
          <w:lang w:val="fr-FR"/>
        </w:rPr>
        <w:t xml:space="preserve"> les activités du Conseil fédéral des droits de l</w:t>
      </w:r>
      <w:r>
        <w:rPr>
          <w:lang w:val="fr-FR"/>
        </w:rPr>
        <w:t>’</w:t>
      </w:r>
      <w:r w:rsidRPr="008936B0">
        <w:rPr>
          <w:lang w:val="fr-FR"/>
        </w:rPr>
        <w:t>homme et met en place ses propres délégations sur le territoire national;</w:t>
      </w:r>
    </w:p>
    <w:p w:rsidR="00B424EC" w:rsidRPr="008936B0" w:rsidRDefault="00B424EC" w:rsidP="00B424EC">
      <w:pPr>
        <w:pStyle w:val="Bullet1"/>
        <w:rPr>
          <w:lang w:val="fr-FR"/>
        </w:rPr>
      </w:pPr>
      <w:r>
        <w:rPr>
          <w:lang w:val="fr-FR"/>
        </w:rPr>
        <w:t>Il a</w:t>
      </w:r>
      <w:r w:rsidRPr="008936B0">
        <w:rPr>
          <w:lang w:val="fr-FR"/>
        </w:rPr>
        <w:t>ssiste le Ministère de la justice et des droits de l</w:t>
      </w:r>
      <w:r>
        <w:rPr>
          <w:lang w:val="fr-FR"/>
        </w:rPr>
        <w:t>’</w:t>
      </w:r>
      <w:r w:rsidRPr="008936B0">
        <w:rPr>
          <w:lang w:val="fr-FR"/>
        </w:rPr>
        <w:t>homme dans l</w:t>
      </w:r>
      <w:r>
        <w:rPr>
          <w:lang w:val="fr-FR"/>
        </w:rPr>
        <w:t>e travail d’</w:t>
      </w:r>
      <w:r w:rsidRPr="008936B0">
        <w:rPr>
          <w:lang w:val="fr-FR"/>
        </w:rPr>
        <w:t>harmonisation du droit interne avec le droit intern</w:t>
      </w:r>
      <w:r>
        <w:rPr>
          <w:lang w:val="fr-FR"/>
        </w:rPr>
        <w:t>ational des droits de l’homme;</w:t>
      </w:r>
    </w:p>
    <w:p w:rsidR="00B424EC" w:rsidRDefault="00B424EC" w:rsidP="00B424EC">
      <w:pPr>
        <w:pStyle w:val="Bullet1"/>
        <w:rPr>
          <w:lang w:val="fr-FR"/>
        </w:rPr>
      </w:pPr>
      <w:r>
        <w:rPr>
          <w:lang w:val="fr-FR"/>
        </w:rPr>
        <w:t xml:space="preserve">Il agit comme un observatoire et suit et </w:t>
      </w:r>
      <w:r w:rsidRPr="008936B0">
        <w:rPr>
          <w:lang w:val="fr-FR"/>
        </w:rPr>
        <w:t>dénonce les cas et les situations de violation des droits de l</w:t>
      </w:r>
      <w:r>
        <w:rPr>
          <w:lang w:val="fr-FR"/>
        </w:rPr>
        <w:t>’</w:t>
      </w:r>
      <w:r w:rsidRPr="008936B0">
        <w:rPr>
          <w:lang w:val="fr-FR"/>
        </w:rPr>
        <w:t>homme (civils, politiques, économiques, sociaux, culturels, communautaires et collectifs), en collaboration avec les organismes nationaux, provinciaux et municipaux et les organisations de</w:t>
      </w:r>
      <w:r>
        <w:rPr>
          <w:lang w:val="fr-FR"/>
        </w:rPr>
        <w:t xml:space="preserve"> la société civile compétents.</w:t>
      </w:r>
    </w:p>
    <w:p w:rsidR="00B424EC" w:rsidRPr="00927B43" w:rsidRDefault="00B424EC" w:rsidP="00B424EC">
      <w:pPr>
        <w:pStyle w:val="Bullet1"/>
        <w:numPr>
          <w:ilvl w:val="0"/>
          <w:numId w:val="0"/>
        </w:numPr>
        <w:spacing w:after="0" w:line="120" w:lineRule="exact"/>
        <w:ind w:left="1743"/>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8936B0">
        <w:rPr>
          <w:lang w:val="fr-FR"/>
        </w:rPr>
        <w:tab/>
        <w:t>Défenseur du peuple</w:t>
      </w:r>
    </w:p>
    <w:p w:rsidR="00B424EC" w:rsidRPr="00927B43" w:rsidRDefault="00B424EC" w:rsidP="00B424EC">
      <w:pPr>
        <w:pStyle w:val="SingleTxt"/>
        <w:spacing w:after="0" w:line="120" w:lineRule="exact"/>
        <w:rPr>
          <w:sz w:val="10"/>
          <w:lang w:val="fr-FR"/>
        </w:rPr>
      </w:pPr>
    </w:p>
    <w:p w:rsidR="00B424EC" w:rsidRPr="008936B0" w:rsidRDefault="00B424EC" w:rsidP="00B424EC">
      <w:pPr>
        <w:pStyle w:val="SingleTxt"/>
        <w:numPr>
          <w:ilvl w:val="0"/>
          <w:numId w:val="17"/>
        </w:numPr>
        <w:tabs>
          <w:tab w:val="clear" w:pos="475"/>
          <w:tab w:val="num" w:pos="1742"/>
        </w:tabs>
        <w:ind w:left="1267"/>
        <w:rPr>
          <w:lang w:val="fr-FR"/>
        </w:rPr>
      </w:pPr>
      <w:r w:rsidRPr="008936B0">
        <w:rPr>
          <w:lang w:val="fr-FR"/>
        </w:rPr>
        <w:t>Le Défenseur du peuple est une institution totalement indépendante des autres organes de l</w:t>
      </w:r>
      <w:r>
        <w:rPr>
          <w:lang w:val="fr-FR"/>
        </w:rPr>
        <w:t>’</w:t>
      </w:r>
      <w:r w:rsidRPr="008936B0">
        <w:rPr>
          <w:lang w:val="fr-FR"/>
        </w:rPr>
        <w:t>État, dont la mission essentielle, consacrée par la Constitution (art. 86) et dictée par le système républicain, est de défendre les droits de l</w:t>
      </w:r>
      <w:r>
        <w:rPr>
          <w:lang w:val="fr-FR"/>
        </w:rPr>
        <w:t>’</w:t>
      </w:r>
      <w:r w:rsidRPr="008936B0">
        <w:rPr>
          <w:lang w:val="fr-FR"/>
        </w:rPr>
        <w:t>homme et de soumettre l</w:t>
      </w:r>
      <w:r>
        <w:rPr>
          <w:lang w:val="fr-FR"/>
        </w:rPr>
        <w:t>’</w:t>
      </w:r>
      <w:r w:rsidRPr="008936B0">
        <w:rPr>
          <w:lang w:val="fr-FR"/>
        </w:rPr>
        <w:t>administration publique et les entreprises prestataires de services publics à une surveillance permanente.</w:t>
      </w:r>
      <w:r>
        <w:rPr>
          <w:lang w:val="fr-FR"/>
        </w:rPr>
        <w:t xml:space="preserve"> </w:t>
      </w:r>
    </w:p>
    <w:p w:rsidR="00B424EC" w:rsidRPr="008936B0" w:rsidRDefault="00B424EC" w:rsidP="00B424EC">
      <w:pPr>
        <w:pStyle w:val="SingleTxt"/>
        <w:numPr>
          <w:ilvl w:val="0"/>
          <w:numId w:val="17"/>
        </w:numPr>
        <w:tabs>
          <w:tab w:val="clear" w:pos="475"/>
          <w:tab w:val="num" w:pos="1742"/>
        </w:tabs>
        <w:ind w:left="1267"/>
        <w:rPr>
          <w:lang w:val="fr-FR"/>
        </w:rPr>
      </w:pPr>
      <w:r w:rsidRPr="00927B43">
        <w:t>Le 1</w:t>
      </w:r>
      <w:r w:rsidRPr="00927B43">
        <w:rPr>
          <w:vertAlign w:val="superscript"/>
        </w:rPr>
        <w:t>er</w:t>
      </w:r>
      <w:r>
        <w:t> </w:t>
      </w:r>
      <w:r w:rsidRPr="00927B43">
        <w:t>décembre 1993, le Congrès a adopté la loi</w:t>
      </w:r>
      <w:r>
        <w:t xml:space="preserve"> n</w:t>
      </w:r>
      <w:r w:rsidRPr="00927B43">
        <w:rPr>
          <w:vertAlign w:val="superscript"/>
        </w:rPr>
        <w:t>o</w:t>
      </w:r>
      <w:r>
        <w:t> </w:t>
      </w:r>
      <w:r w:rsidRPr="00927B43">
        <w:t xml:space="preserve">24 284, portant création du bureau du Défenseur du peuple, qui relève du pouvoir législatif. Le Défenseur du </w:t>
      </w:r>
      <w:r w:rsidRPr="00927B43">
        <w:lastRenderedPageBreak/>
        <w:t xml:space="preserve">peuple, également appelé </w:t>
      </w:r>
      <w:r>
        <w:t>« </w:t>
      </w:r>
      <w:r w:rsidRPr="00927B43">
        <w:t>ombudsman</w:t>
      </w:r>
      <w:r>
        <w:t> »</w:t>
      </w:r>
      <w:r w:rsidRPr="00927B43">
        <w:t>, exerce ses fonctions sans recevoir aucune instruction du gouvernement. Il est investi de deux missions fondamentales. Il a premièrement un rôle de contrôle permanent qui vise à détecter toute irrégularité dans le fonctionnement de l</w:t>
      </w:r>
      <w:r>
        <w:t>’</w:t>
      </w:r>
      <w:r w:rsidRPr="00927B43">
        <w:t>administration publique, qu</w:t>
      </w:r>
      <w:r>
        <w:t>’</w:t>
      </w:r>
      <w:r w:rsidRPr="00927B43">
        <w:t>il s</w:t>
      </w:r>
      <w:r>
        <w:t>’</w:t>
      </w:r>
      <w:r w:rsidRPr="00927B43">
        <w:t>agisse d</w:t>
      </w:r>
      <w:r>
        <w:t>’</w:t>
      </w:r>
      <w:r w:rsidRPr="00927B43">
        <w:t>actes, d</w:t>
      </w:r>
      <w:r>
        <w:t>’</w:t>
      </w:r>
      <w:r w:rsidRPr="00927B43">
        <w:t>actions ou d</w:t>
      </w:r>
      <w:r>
        <w:t>’</w:t>
      </w:r>
      <w:r w:rsidRPr="00927B43">
        <w:t>omissions illégitimes, arbitraires ou abusifs résultant d</w:t>
      </w:r>
      <w:r>
        <w:t>’</w:t>
      </w:r>
      <w:r w:rsidRPr="00927B43">
        <w:t>une négligence ou entraînant des inconvénients majeurs; son second rôle, étroitement lié au premier, consiste à défendre les droits de tous les habitants du pays. Le Défenseur du peuple peut ouvrir, d</w:t>
      </w:r>
      <w:r>
        <w:t>’</w:t>
      </w:r>
      <w:r w:rsidRPr="00927B43">
        <w:t>office ou à la demande d</w:t>
      </w:r>
      <w:r>
        <w:t>’</w:t>
      </w:r>
      <w:r w:rsidRPr="00927B43">
        <w:t>une partie, des enquêtes sur les actes de l</w:t>
      </w:r>
      <w:r>
        <w:t>’</w:t>
      </w:r>
      <w:r w:rsidRPr="00927B43">
        <w:t>administration publique susceptibles de porter atteinte aux droits et aux intérêts des citoyens, y compris des droits collectifs ou à des intérêts généraux.</w:t>
      </w:r>
    </w:p>
    <w:p w:rsidR="00B424EC" w:rsidRDefault="00B424EC" w:rsidP="00B424EC">
      <w:pPr>
        <w:pStyle w:val="SingleTxt"/>
        <w:numPr>
          <w:ilvl w:val="0"/>
          <w:numId w:val="17"/>
        </w:numPr>
        <w:tabs>
          <w:tab w:val="clear" w:pos="475"/>
          <w:tab w:val="num" w:pos="1742"/>
        </w:tabs>
        <w:ind w:left="1267"/>
        <w:rPr>
          <w:lang w:val="fr-FR"/>
        </w:rPr>
      </w:pPr>
      <w:r w:rsidRPr="008936B0">
        <w:t>Pour</w:t>
      </w:r>
      <w:r w:rsidRPr="008936B0">
        <w:rPr>
          <w:lang w:val="fr-FR"/>
        </w:rPr>
        <w:t xml:space="preserve"> mener à bien sa mission, le Défenseur du peuple </w:t>
      </w:r>
      <w:r>
        <w:rPr>
          <w:lang w:val="fr-FR"/>
        </w:rPr>
        <w:t>dispose de plusieurs moyens. Il peut</w:t>
      </w:r>
      <w:r w:rsidRPr="008936B0">
        <w:rPr>
          <w:lang w:val="fr-FR"/>
        </w:rPr>
        <w:t xml:space="preserve"> accéder aux dossiers, demander des rapports, procéder à des inspections et des vérifications, et </w:t>
      </w:r>
      <w:r>
        <w:rPr>
          <w:lang w:val="fr-FR"/>
        </w:rPr>
        <w:t xml:space="preserve">solliciter </w:t>
      </w:r>
      <w:r w:rsidRPr="008936B0">
        <w:rPr>
          <w:lang w:val="fr-FR"/>
        </w:rPr>
        <w:t>d</w:t>
      </w:r>
      <w:r>
        <w:rPr>
          <w:lang w:val="fr-FR"/>
        </w:rPr>
        <w:t>’</w:t>
      </w:r>
      <w:r w:rsidRPr="008936B0">
        <w:rPr>
          <w:lang w:val="fr-FR"/>
        </w:rPr>
        <w:t xml:space="preserve">autres </w:t>
      </w:r>
      <w:r>
        <w:rPr>
          <w:lang w:val="fr-FR"/>
        </w:rPr>
        <w:t xml:space="preserve">moyens </w:t>
      </w:r>
      <w:r w:rsidRPr="008936B0">
        <w:rPr>
          <w:lang w:val="fr-FR"/>
        </w:rPr>
        <w:t>ou mesures pour l</w:t>
      </w:r>
      <w:r>
        <w:rPr>
          <w:lang w:val="fr-FR"/>
        </w:rPr>
        <w:t>’</w:t>
      </w:r>
      <w:r w:rsidRPr="008936B0">
        <w:rPr>
          <w:lang w:val="fr-FR"/>
        </w:rPr>
        <w:t xml:space="preserve">obtention de preuves. </w:t>
      </w:r>
      <w:r>
        <w:rPr>
          <w:lang w:val="fr-FR"/>
        </w:rPr>
        <w:t xml:space="preserve">De plus </w:t>
      </w:r>
      <w:r w:rsidRPr="008936B0">
        <w:rPr>
          <w:lang w:val="fr-FR"/>
        </w:rPr>
        <w:t>la Constitution</w:t>
      </w:r>
      <w:r>
        <w:rPr>
          <w:lang w:val="fr-FR"/>
        </w:rPr>
        <w:t xml:space="preserve"> lui confère une faculté essentielle particulière : il peut engager une action en justice dans les cas où</w:t>
      </w:r>
      <w:r w:rsidRPr="008936B0">
        <w:rPr>
          <w:lang w:val="fr-FR"/>
        </w:rPr>
        <w:t xml:space="preserve"> les droits collectifs des citoyens</w:t>
      </w:r>
      <w:r>
        <w:rPr>
          <w:lang w:val="fr-FR"/>
        </w:rPr>
        <w:t xml:space="preserve"> sont menacés, restreints ou violés</w:t>
      </w:r>
      <w:r w:rsidRPr="008936B0">
        <w:rPr>
          <w:lang w:val="fr-FR"/>
        </w:rPr>
        <w:t>.</w:t>
      </w:r>
    </w:p>
    <w:p w:rsidR="00B424EC" w:rsidRPr="00927B43" w:rsidRDefault="00B424EC" w:rsidP="00B424EC">
      <w:pPr>
        <w:pStyle w:val="SingleTxt"/>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8936B0">
        <w:rPr>
          <w:lang w:val="fr-FR"/>
        </w:rPr>
        <w:tab/>
        <w:t xml:space="preserve">Bureau du Procureur pénitentiaire de la </w:t>
      </w:r>
      <w:r>
        <w:rPr>
          <w:lang w:val="fr-FR"/>
        </w:rPr>
        <w:t>N</w:t>
      </w:r>
      <w:r w:rsidRPr="008936B0">
        <w:rPr>
          <w:lang w:val="fr-FR"/>
        </w:rPr>
        <w:t>ation</w:t>
      </w:r>
      <w:r>
        <w:rPr>
          <w:lang w:val="fr-FR"/>
        </w:rPr>
        <w:t xml:space="preserve"> </w:t>
      </w:r>
    </w:p>
    <w:p w:rsidR="00B424EC" w:rsidRPr="00927B43" w:rsidRDefault="00B424EC" w:rsidP="00B424EC">
      <w:pPr>
        <w:pStyle w:val="SingleTxt"/>
        <w:spacing w:after="0" w:line="120" w:lineRule="exact"/>
        <w:rPr>
          <w:sz w:val="10"/>
          <w:lang w:val="fr-FR"/>
        </w:rPr>
      </w:pPr>
    </w:p>
    <w:p w:rsidR="00B424EC" w:rsidRPr="008936B0" w:rsidRDefault="00B424EC" w:rsidP="00B424EC">
      <w:pPr>
        <w:pStyle w:val="SingleTxt"/>
        <w:numPr>
          <w:ilvl w:val="0"/>
          <w:numId w:val="17"/>
        </w:numPr>
        <w:tabs>
          <w:tab w:val="clear" w:pos="475"/>
          <w:tab w:val="num" w:pos="1742"/>
        </w:tabs>
        <w:ind w:left="1267"/>
        <w:rPr>
          <w:lang w:val="fr-FR"/>
        </w:rPr>
      </w:pPr>
      <w:r w:rsidRPr="008936B0">
        <w:rPr>
          <w:lang w:val="fr-FR"/>
        </w:rPr>
        <w:t xml:space="preserve">Créé en 1993, par décret exécutif, le </w:t>
      </w:r>
      <w:r>
        <w:rPr>
          <w:lang w:val="fr-FR"/>
        </w:rPr>
        <w:t>b</w:t>
      </w:r>
      <w:r w:rsidRPr="008936B0">
        <w:rPr>
          <w:lang w:val="fr-FR"/>
        </w:rPr>
        <w:t>ureau du Procureur pénitentiaire a relevé pendant dix ans du Ministère de la justice et des droits de l</w:t>
      </w:r>
      <w:r>
        <w:rPr>
          <w:lang w:val="fr-FR"/>
        </w:rPr>
        <w:t>’</w:t>
      </w:r>
      <w:r w:rsidRPr="008936B0">
        <w:rPr>
          <w:lang w:val="fr-FR"/>
        </w:rPr>
        <w:t>homme</w:t>
      </w:r>
      <w:r>
        <w:rPr>
          <w:lang w:val="fr-FR"/>
        </w:rPr>
        <w:t>.</w:t>
      </w:r>
      <w:r w:rsidRPr="008936B0">
        <w:rPr>
          <w:lang w:val="fr-FR"/>
        </w:rPr>
        <w:t xml:space="preserve"> </w:t>
      </w:r>
      <w:r>
        <w:rPr>
          <w:lang w:val="fr-FR"/>
        </w:rPr>
        <w:t xml:space="preserve">En décembre </w:t>
      </w:r>
      <w:r w:rsidRPr="008936B0">
        <w:rPr>
          <w:lang w:val="fr-FR"/>
        </w:rPr>
        <w:t>2003</w:t>
      </w:r>
      <w:r>
        <w:rPr>
          <w:lang w:val="fr-FR"/>
        </w:rPr>
        <w:t xml:space="preserve">, </w:t>
      </w:r>
      <w:r w:rsidRPr="008936B0">
        <w:rPr>
          <w:lang w:val="fr-FR"/>
        </w:rPr>
        <w:t>le Congrès</w:t>
      </w:r>
      <w:r>
        <w:rPr>
          <w:lang w:val="fr-FR"/>
        </w:rPr>
        <w:t xml:space="preserve"> a adopté la loi n</w:t>
      </w:r>
      <w:r w:rsidRPr="00927B43">
        <w:rPr>
          <w:vertAlign w:val="superscript"/>
          <w:lang w:val="fr-FR"/>
        </w:rPr>
        <w:t>o</w:t>
      </w:r>
      <w:r w:rsidRPr="008936B0">
        <w:rPr>
          <w:lang w:val="fr-FR"/>
        </w:rPr>
        <w:t xml:space="preserve"> 25 875, </w:t>
      </w:r>
      <w:r>
        <w:rPr>
          <w:lang w:val="fr-FR"/>
        </w:rPr>
        <w:t xml:space="preserve">qui a placé le bureau du Procureur pénitentiaire </w:t>
      </w:r>
      <w:r w:rsidRPr="008936B0">
        <w:rPr>
          <w:lang w:val="fr-FR"/>
        </w:rPr>
        <w:t>sous l</w:t>
      </w:r>
      <w:r>
        <w:rPr>
          <w:lang w:val="fr-FR"/>
        </w:rPr>
        <w:t>’</w:t>
      </w:r>
      <w:r w:rsidRPr="008936B0">
        <w:rPr>
          <w:lang w:val="fr-FR"/>
        </w:rPr>
        <w:t xml:space="preserve">autorité du pouvoir législatif et </w:t>
      </w:r>
      <w:r>
        <w:rPr>
          <w:lang w:val="fr-FR"/>
        </w:rPr>
        <w:t>lui a garanti une</w:t>
      </w:r>
      <w:r w:rsidRPr="008936B0">
        <w:rPr>
          <w:lang w:val="fr-FR"/>
        </w:rPr>
        <w:t xml:space="preserve"> autonom</w:t>
      </w:r>
      <w:r>
        <w:rPr>
          <w:lang w:val="fr-FR"/>
        </w:rPr>
        <w:t>i</w:t>
      </w:r>
      <w:r w:rsidRPr="008936B0">
        <w:rPr>
          <w:lang w:val="fr-FR"/>
        </w:rPr>
        <w:t xml:space="preserve">e et </w:t>
      </w:r>
      <w:r>
        <w:rPr>
          <w:lang w:val="fr-FR"/>
        </w:rPr>
        <w:t xml:space="preserve">une </w:t>
      </w:r>
      <w:r w:rsidRPr="008936B0">
        <w:rPr>
          <w:lang w:val="fr-FR"/>
        </w:rPr>
        <w:t>indépendan</w:t>
      </w:r>
      <w:r>
        <w:rPr>
          <w:lang w:val="fr-FR"/>
        </w:rPr>
        <w:t>ce totales</w:t>
      </w:r>
      <w:r w:rsidRPr="008936B0">
        <w:rPr>
          <w:lang w:val="fr-FR"/>
        </w:rPr>
        <w:t>.</w:t>
      </w:r>
    </w:p>
    <w:p w:rsidR="00B424EC" w:rsidRPr="008936B0" w:rsidRDefault="00B424EC" w:rsidP="00B424EC">
      <w:pPr>
        <w:pStyle w:val="SingleTxt"/>
        <w:numPr>
          <w:ilvl w:val="0"/>
          <w:numId w:val="17"/>
        </w:numPr>
        <w:tabs>
          <w:tab w:val="clear" w:pos="475"/>
          <w:tab w:val="num" w:pos="1742"/>
        </w:tabs>
        <w:ind w:left="1267"/>
        <w:rPr>
          <w:lang w:val="fr-FR"/>
        </w:rPr>
      </w:pPr>
      <w:r w:rsidRPr="008936B0">
        <w:rPr>
          <w:lang w:val="fr-FR"/>
        </w:rPr>
        <w:t>Le Procureur pénitentiaire a rang de sous-secrétaire d</w:t>
      </w:r>
      <w:r>
        <w:rPr>
          <w:lang w:val="fr-FR"/>
        </w:rPr>
        <w:t>’</w:t>
      </w:r>
      <w:r w:rsidRPr="008936B0">
        <w:rPr>
          <w:lang w:val="fr-FR"/>
        </w:rPr>
        <w:t xml:space="preserve">État et </w:t>
      </w:r>
      <w:r>
        <w:rPr>
          <w:lang w:val="fr-FR"/>
        </w:rPr>
        <w:t xml:space="preserve">a un mandat </w:t>
      </w:r>
      <w:r w:rsidRPr="008936B0">
        <w:rPr>
          <w:lang w:val="fr-FR"/>
        </w:rPr>
        <w:t xml:space="preserve">de quatre ans renouvelable. </w:t>
      </w:r>
      <w:r>
        <w:rPr>
          <w:lang w:val="fr-FR"/>
        </w:rPr>
        <w:t>Sa fonction princi</w:t>
      </w:r>
      <w:r w:rsidRPr="008936B0">
        <w:rPr>
          <w:lang w:val="fr-FR"/>
        </w:rPr>
        <w:t xml:space="preserve">pale </w:t>
      </w:r>
      <w:r>
        <w:rPr>
          <w:lang w:val="fr-FR"/>
        </w:rPr>
        <w:t xml:space="preserve">est </w:t>
      </w:r>
      <w:r w:rsidRPr="008936B0">
        <w:rPr>
          <w:lang w:val="fr-FR"/>
        </w:rPr>
        <w:t>de protéger les droits fondamentaux des détenus relevant du régime pénitentiaire fédéral, tels qu</w:t>
      </w:r>
      <w:r>
        <w:rPr>
          <w:lang w:val="fr-FR"/>
        </w:rPr>
        <w:t>’</w:t>
      </w:r>
      <w:r w:rsidRPr="008936B0">
        <w:rPr>
          <w:lang w:val="fr-FR"/>
        </w:rPr>
        <w:t>ils sont énoncés dans l</w:t>
      </w:r>
      <w:r>
        <w:rPr>
          <w:lang w:val="fr-FR"/>
        </w:rPr>
        <w:t xml:space="preserve">a loi </w:t>
      </w:r>
      <w:r w:rsidRPr="008936B0">
        <w:rPr>
          <w:lang w:val="fr-FR"/>
        </w:rPr>
        <w:t xml:space="preserve">et dans les </w:t>
      </w:r>
      <w:r>
        <w:rPr>
          <w:lang w:val="fr-FR"/>
        </w:rPr>
        <w:t>instruments</w:t>
      </w:r>
      <w:r w:rsidRPr="008936B0">
        <w:rPr>
          <w:lang w:val="fr-FR"/>
        </w:rPr>
        <w:t xml:space="preserve"> internationa</w:t>
      </w:r>
      <w:r>
        <w:rPr>
          <w:lang w:val="fr-FR"/>
        </w:rPr>
        <w:t>ux</w:t>
      </w:r>
      <w:r w:rsidRPr="008936B0">
        <w:rPr>
          <w:lang w:val="fr-FR"/>
        </w:rPr>
        <w:t xml:space="preserve"> auxquels l</w:t>
      </w:r>
      <w:r>
        <w:rPr>
          <w:lang w:val="fr-FR"/>
        </w:rPr>
        <w:t>’</w:t>
      </w:r>
      <w:r w:rsidRPr="008936B0">
        <w:rPr>
          <w:lang w:val="fr-FR"/>
        </w:rPr>
        <w:t>Argentine est partie. Dans l</w:t>
      </w:r>
      <w:r>
        <w:rPr>
          <w:lang w:val="fr-FR"/>
        </w:rPr>
        <w:t>’</w:t>
      </w:r>
      <w:r w:rsidRPr="008936B0">
        <w:rPr>
          <w:lang w:val="fr-FR"/>
        </w:rPr>
        <w:t>exercice de ses fonctions, le Procureur n</w:t>
      </w:r>
      <w:r>
        <w:rPr>
          <w:lang w:val="fr-FR"/>
        </w:rPr>
        <w:t>’</w:t>
      </w:r>
      <w:r w:rsidRPr="008936B0">
        <w:rPr>
          <w:lang w:val="fr-FR"/>
        </w:rPr>
        <w:t>a pas de mandat impératif et ne reçoit d</w:t>
      </w:r>
      <w:r>
        <w:rPr>
          <w:lang w:val="fr-FR"/>
        </w:rPr>
        <w:t>’</w:t>
      </w:r>
      <w:r w:rsidRPr="008936B0">
        <w:rPr>
          <w:lang w:val="fr-FR"/>
        </w:rPr>
        <w:t>instructions d</w:t>
      </w:r>
      <w:r>
        <w:rPr>
          <w:lang w:val="fr-FR"/>
        </w:rPr>
        <w:t>’</w:t>
      </w:r>
      <w:r w:rsidRPr="008936B0">
        <w:rPr>
          <w:lang w:val="fr-FR"/>
        </w:rPr>
        <w:t>aucune autorité; il doit agir en toute indépendance et décide librement des affaires auxquelles il donnera suite.</w:t>
      </w:r>
    </w:p>
    <w:p w:rsidR="00B424EC" w:rsidRPr="008936B0" w:rsidRDefault="00B424EC" w:rsidP="00B424EC">
      <w:pPr>
        <w:pStyle w:val="SingleTxt"/>
        <w:numPr>
          <w:ilvl w:val="0"/>
          <w:numId w:val="17"/>
        </w:numPr>
        <w:tabs>
          <w:tab w:val="clear" w:pos="475"/>
          <w:tab w:val="num" w:pos="1742"/>
        </w:tabs>
        <w:ind w:left="1267"/>
        <w:rPr>
          <w:lang w:val="fr-FR"/>
        </w:rPr>
      </w:pPr>
      <w:r w:rsidRPr="008936B0">
        <w:t>Le Procureur pénitentiaire est habilité à vi</w:t>
      </w:r>
      <w:r>
        <w:t>siter p</w:t>
      </w:r>
      <w:r w:rsidRPr="008936B0">
        <w:t>é</w:t>
      </w:r>
      <w:r>
        <w:t>riodiqu</w:t>
      </w:r>
      <w:r w:rsidRPr="008936B0">
        <w:t xml:space="preserve">ement tous les établissements </w:t>
      </w:r>
      <w:r>
        <w:t>pénitentiaires où se trouvent</w:t>
      </w:r>
      <w:r w:rsidRPr="008936B0">
        <w:t xml:space="preserve"> des détenus relevant de la juridiction nationale ou fédérale. Il peut enquêter d</w:t>
      </w:r>
      <w:r>
        <w:t>’offic</w:t>
      </w:r>
      <w:r w:rsidRPr="008936B0">
        <w:t xml:space="preserve">e ou </w:t>
      </w:r>
      <w:r>
        <w:t xml:space="preserve">à la demande d’une partie sur tout fait </w:t>
      </w:r>
      <w:r w:rsidRPr="008936B0">
        <w:t>ou omission susceptible de porter atteinte aux droits des détenus</w:t>
      </w:r>
      <w:r>
        <w:t>,</w:t>
      </w:r>
      <w:r w:rsidRPr="008936B0">
        <w:t xml:space="preserve"> et a l</w:t>
      </w:r>
      <w:r>
        <w:t>’</w:t>
      </w:r>
      <w:r w:rsidRPr="008936B0">
        <w:t>obligation, s</w:t>
      </w:r>
      <w:r>
        <w:t>’</w:t>
      </w:r>
      <w:r w:rsidRPr="008936B0">
        <w:t>il y a lieu, de demander l</w:t>
      </w:r>
      <w:r>
        <w:t>’</w:t>
      </w:r>
      <w:r w:rsidRPr="008936B0">
        <w:t xml:space="preserve">ouverture de poursuites pénales. Le Procureur pénitentiaire fait connaître ses avis sous </w:t>
      </w:r>
      <w:r>
        <w:t xml:space="preserve">la </w:t>
      </w:r>
      <w:r w:rsidRPr="008936B0">
        <w:t>forme de recommandations adressées au Ministère de la justice, qui est le ministère de tutelle de l</w:t>
      </w:r>
      <w:r>
        <w:t>’</w:t>
      </w:r>
      <w:r w:rsidRPr="008936B0">
        <w:t>administration pénitentiaire nationale et fédérale</w:t>
      </w:r>
      <w:r w:rsidRPr="008936B0">
        <w:rPr>
          <w:lang w:val="fr-FR"/>
        </w:rPr>
        <w:t>. Ces recommandations prennent effet sous la forme de décisions du Ministre de la justice.</w:t>
      </w:r>
      <w:r>
        <w:rPr>
          <w:lang w:val="fr-FR"/>
        </w:rPr>
        <w:t xml:space="preserve"> </w:t>
      </w:r>
    </w:p>
    <w:p w:rsidR="00B424EC" w:rsidRDefault="00B424EC" w:rsidP="00B424EC">
      <w:pPr>
        <w:pStyle w:val="SingleTxt"/>
        <w:numPr>
          <w:ilvl w:val="0"/>
          <w:numId w:val="17"/>
        </w:numPr>
        <w:tabs>
          <w:tab w:val="clear" w:pos="475"/>
          <w:tab w:val="num" w:pos="1742"/>
        </w:tabs>
        <w:ind w:left="1267"/>
        <w:rPr>
          <w:lang w:val="fr-FR"/>
        </w:rPr>
      </w:pPr>
      <w:r w:rsidRPr="008936B0">
        <w:rPr>
          <w:lang w:val="fr-FR"/>
        </w:rPr>
        <w:t>Le Secrétariat aux droits de l</w:t>
      </w:r>
      <w:r>
        <w:rPr>
          <w:lang w:val="fr-FR"/>
        </w:rPr>
        <w:t>’</w:t>
      </w:r>
      <w:r w:rsidRPr="008936B0">
        <w:rPr>
          <w:lang w:val="fr-FR"/>
        </w:rPr>
        <w:t>homme compte aussi deux sous</w:t>
      </w:r>
      <w:r>
        <w:rPr>
          <w:lang w:val="fr-FR"/>
        </w:rPr>
        <w:t>-</w:t>
      </w:r>
      <w:r w:rsidRPr="008936B0">
        <w:rPr>
          <w:lang w:val="fr-FR"/>
        </w:rPr>
        <w:t>secrétariats</w:t>
      </w:r>
      <w:r>
        <w:rPr>
          <w:lang w:val="fr-FR"/>
        </w:rPr>
        <w:t> :</w:t>
      </w:r>
      <w:r w:rsidRPr="008936B0">
        <w:rPr>
          <w:lang w:val="fr-FR"/>
        </w:rPr>
        <w:t xml:space="preserve"> </w:t>
      </w:r>
      <w:r>
        <w:rPr>
          <w:lang w:val="fr-FR"/>
        </w:rPr>
        <w:t xml:space="preserve">le Sous-Secrétariat </w:t>
      </w:r>
      <w:r w:rsidRPr="008936B0">
        <w:rPr>
          <w:lang w:val="fr-FR"/>
        </w:rPr>
        <w:t>à la pr</w:t>
      </w:r>
      <w:r>
        <w:rPr>
          <w:lang w:val="fr-FR"/>
        </w:rPr>
        <w:t xml:space="preserve">otection </w:t>
      </w:r>
      <w:r w:rsidRPr="008936B0">
        <w:rPr>
          <w:lang w:val="fr-FR"/>
        </w:rPr>
        <w:t>des droits de l</w:t>
      </w:r>
      <w:r>
        <w:rPr>
          <w:lang w:val="fr-FR"/>
        </w:rPr>
        <w:t>’</w:t>
      </w:r>
      <w:r w:rsidRPr="008936B0">
        <w:rPr>
          <w:lang w:val="fr-FR"/>
        </w:rPr>
        <w:t>homme</w:t>
      </w:r>
      <w:r>
        <w:rPr>
          <w:lang w:val="fr-FR"/>
        </w:rPr>
        <w:t xml:space="preserve"> et le Sous-Secrétariat à la promotion des droits de l’homme</w:t>
      </w:r>
      <w:r w:rsidRPr="008936B0">
        <w:rPr>
          <w:lang w:val="fr-FR"/>
        </w:rPr>
        <w:t>.</w:t>
      </w:r>
    </w:p>
    <w:p w:rsidR="00B424EC" w:rsidRPr="001C40AC" w:rsidRDefault="00B424EC" w:rsidP="00B424EC">
      <w:pPr>
        <w:pStyle w:val="SingleTxt"/>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8936B0">
        <w:rPr>
          <w:lang w:val="fr-FR"/>
        </w:rPr>
        <w:tab/>
        <w:t>Sous-Secrétariat à la pr</w:t>
      </w:r>
      <w:r>
        <w:rPr>
          <w:lang w:val="fr-FR"/>
        </w:rPr>
        <w:t>otection des droits de l’homme</w:t>
      </w:r>
    </w:p>
    <w:p w:rsidR="00B424EC" w:rsidRPr="001C40AC" w:rsidRDefault="00B424EC" w:rsidP="00B424EC">
      <w:pPr>
        <w:pStyle w:val="SingleTxt"/>
        <w:spacing w:after="0" w:line="120" w:lineRule="exact"/>
        <w:rPr>
          <w:sz w:val="10"/>
          <w:lang w:val="fr-FR"/>
        </w:rPr>
      </w:pPr>
    </w:p>
    <w:p w:rsidR="00B424EC" w:rsidRPr="008936B0" w:rsidRDefault="00B424EC" w:rsidP="00B424EC">
      <w:pPr>
        <w:pStyle w:val="SingleTxt"/>
        <w:numPr>
          <w:ilvl w:val="0"/>
          <w:numId w:val="17"/>
        </w:numPr>
        <w:tabs>
          <w:tab w:val="clear" w:pos="475"/>
          <w:tab w:val="num" w:pos="1742"/>
        </w:tabs>
        <w:ind w:left="1267"/>
        <w:rPr>
          <w:lang w:val="fr-FR"/>
        </w:rPr>
      </w:pPr>
      <w:r w:rsidRPr="008936B0">
        <w:rPr>
          <w:lang w:val="fr-FR"/>
        </w:rPr>
        <w:t>Ses fonctions sont les suivantes</w:t>
      </w:r>
      <w:r>
        <w:rPr>
          <w:lang w:val="fr-FR"/>
        </w:rPr>
        <w:t> </w:t>
      </w:r>
      <w:r w:rsidRPr="008936B0">
        <w:rPr>
          <w:lang w:val="fr-FR"/>
        </w:rPr>
        <w:t>:</w:t>
      </w:r>
    </w:p>
    <w:p w:rsidR="00B424EC" w:rsidRPr="008936B0" w:rsidRDefault="00B424EC" w:rsidP="00B424EC">
      <w:pPr>
        <w:pStyle w:val="Bullet1"/>
        <w:rPr>
          <w:lang w:val="fr-FR"/>
        </w:rPr>
      </w:pPr>
      <w:r>
        <w:rPr>
          <w:lang w:val="fr-FR"/>
        </w:rPr>
        <w:t>Il é</w:t>
      </w:r>
      <w:r w:rsidRPr="008936B0">
        <w:rPr>
          <w:lang w:val="fr-FR"/>
        </w:rPr>
        <w:t xml:space="preserve">laborer des plans et des programmes </w:t>
      </w:r>
      <w:r>
        <w:rPr>
          <w:lang w:val="fr-FR"/>
        </w:rPr>
        <w:t>visant expressément la protection d</w:t>
      </w:r>
      <w:r w:rsidRPr="008936B0">
        <w:rPr>
          <w:lang w:val="fr-FR"/>
        </w:rPr>
        <w:t>es droits de l</w:t>
      </w:r>
      <w:r>
        <w:rPr>
          <w:lang w:val="fr-FR"/>
        </w:rPr>
        <w:t>’</w:t>
      </w:r>
      <w:r w:rsidRPr="008936B0">
        <w:rPr>
          <w:lang w:val="fr-FR"/>
        </w:rPr>
        <w:t xml:space="preserve">homme, individuels et collectifs, et </w:t>
      </w:r>
      <w:r>
        <w:rPr>
          <w:lang w:val="fr-FR"/>
        </w:rPr>
        <w:t xml:space="preserve">en </w:t>
      </w:r>
      <w:r w:rsidRPr="008936B0">
        <w:rPr>
          <w:lang w:val="fr-FR"/>
        </w:rPr>
        <w:t>surveille l</w:t>
      </w:r>
      <w:r>
        <w:rPr>
          <w:lang w:val="fr-FR"/>
        </w:rPr>
        <w:t>a</w:t>
      </w:r>
      <w:r w:rsidRPr="008936B0">
        <w:rPr>
          <w:lang w:val="fr-FR"/>
        </w:rPr>
        <w:t xml:space="preserve"> mise en œuvre;</w:t>
      </w:r>
      <w:r>
        <w:rPr>
          <w:lang w:val="fr-FR"/>
        </w:rPr>
        <w:t xml:space="preserve"> </w:t>
      </w:r>
    </w:p>
    <w:p w:rsidR="00B424EC" w:rsidRPr="008936B0" w:rsidRDefault="00B424EC" w:rsidP="00B424EC">
      <w:pPr>
        <w:pStyle w:val="Bullet1"/>
        <w:rPr>
          <w:lang w:val="fr-FR"/>
        </w:rPr>
      </w:pPr>
      <w:r>
        <w:rPr>
          <w:lang w:val="fr-FR"/>
        </w:rPr>
        <w:t xml:space="preserve">Il participe </w:t>
      </w:r>
      <w:r w:rsidRPr="008936B0">
        <w:rPr>
          <w:lang w:val="fr-FR"/>
        </w:rPr>
        <w:t>à la collecte, à la mise à jour, à la conservation et à la numérisation des archives et des informations concernant les violations des droits de l</w:t>
      </w:r>
      <w:r>
        <w:rPr>
          <w:lang w:val="fr-FR"/>
        </w:rPr>
        <w:t>’</w:t>
      </w:r>
      <w:r w:rsidRPr="008936B0">
        <w:rPr>
          <w:lang w:val="fr-FR"/>
        </w:rPr>
        <w:t xml:space="preserve">homme </w:t>
      </w:r>
      <w:r w:rsidRPr="008936B0">
        <w:rPr>
          <w:lang w:val="fr-FR"/>
        </w:rPr>
        <w:lastRenderedPageBreak/>
        <w:t xml:space="preserve">commises </w:t>
      </w:r>
      <w:r>
        <w:rPr>
          <w:lang w:val="fr-FR"/>
        </w:rPr>
        <w:t>à l’époque</w:t>
      </w:r>
      <w:r w:rsidRPr="008936B0">
        <w:rPr>
          <w:lang w:val="fr-FR"/>
        </w:rPr>
        <w:t xml:space="preserve"> du terrorisme d</w:t>
      </w:r>
      <w:r>
        <w:rPr>
          <w:lang w:val="fr-FR"/>
        </w:rPr>
        <w:t>’</w:t>
      </w:r>
      <w:r w:rsidRPr="008936B0">
        <w:rPr>
          <w:lang w:val="fr-FR"/>
        </w:rPr>
        <w:t>État et surveille l</w:t>
      </w:r>
      <w:r>
        <w:rPr>
          <w:lang w:val="fr-FR"/>
        </w:rPr>
        <w:t>’</w:t>
      </w:r>
      <w:r w:rsidRPr="008936B0">
        <w:rPr>
          <w:lang w:val="fr-FR"/>
        </w:rPr>
        <w:t>application effective de l</w:t>
      </w:r>
      <w:r>
        <w:rPr>
          <w:lang w:val="fr-FR"/>
        </w:rPr>
        <w:t>’</w:t>
      </w:r>
      <w:r w:rsidRPr="008936B0">
        <w:rPr>
          <w:lang w:val="fr-FR"/>
        </w:rPr>
        <w:t>ensemble des mesures de réparation par l</w:t>
      </w:r>
      <w:r>
        <w:rPr>
          <w:lang w:val="fr-FR"/>
        </w:rPr>
        <w:t>’</w:t>
      </w:r>
      <w:r w:rsidRPr="008936B0">
        <w:rPr>
          <w:lang w:val="fr-FR"/>
        </w:rPr>
        <w:t>État argentin;</w:t>
      </w:r>
      <w:r>
        <w:rPr>
          <w:lang w:val="fr-FR"/>
        </w:rPr>
        <w:t xml:space="preserve"> </w:t>
      </w:r>
    </w:p>
    <w:p w:rsidR="00B424EC" w:rsidRPr="008936B0" w:rsidRDefault="00B424EC" w:rsidP="00B424EC">
      <w:pPr>
        <w:pStyle w:val="Bullet1"/>
        <w:rPr>
          <w:lang w:val="fr-FR"/>
        </w:rPr>
      </w:pPr>
      <w:r>
        <w:rPr>
          <w:lang w:val="fr-FR"/>
        </w:rPr>
        <w:t>Il p</w:t>
      </w:r>
      <w:r w:rsidRPr="008936B0">
        <w:rPr>
          <w:lang w:val="fr-FR"/>
        </w:rPr>
        <w:t>articipe aux activités d</w:t>
      </w:r>
      <w:r>
        <w:rPr>
          <w:lang w:val="fr-FR"/>
        </w:rPr>
        <w:t>’observation et d</w:t>
      </w:r>
      <w:r w:rsidRPr="008936B0">
        <w:rPr>
          <w:lang w:val="fr-FR"/>
        </w:rPr>
        <w:t>e surveillance des cas et des situations de violation des droits de l</w:t>
      </w:r>
      <w:r>
        <w:rPr>
          <w:lang w:val="fr-FR"/>
        </w:rPr>
        <w:t>’</w:t>
      </w:r>
      <w:r w:rsidRPr="008936B0">
        <w:rPr>
          <w:lang w:val="fr-FR"/>
        </w:rPr>
        <w:t xml:space="preserve">homme </w:t>
      </w:r>
      <w:r>
        <w:rPr>
          <w:lang w:val="fr-FR"/>
        </w:rPr>
        <w:t xml:space="preserve">et aux procédures de plainte, </w:t>
      </w:r>
      <w:r w:rsidRPr="008936B0">
        <w:rPr>
          <w:lang w:val="fr-FR"/>
        </w:rPr>
        <w:t>aux niveaux national et international, en particulier dans le cadre de l</w:t>
      </w:r>
      <w:r>
        <w:rPr>
          <w:lang w:val="fr-FR"/>
        </w:rPr>
        <w:t>’</w:t>
      </w:r>
      <w:r w:rsidRPr="008936B0">
        <w:rPr>
          <w:lang w:val="fr-FR"/>
        </w:rPr>
        <w:t>Organisation des Nations Unies (ONU), de l</w:t>
      </w:r>
      <w:r>
        <w:rPr>
          <w:lang w:val="fr-FR"/>
        </w:rPr>
        <w:t>’</w:t>
      </w:r>
      <w:r w:rsidRPr="008936B0">
        <w:rPr>
          <w:lang w:val="fr-FR"/>
        </w:rPr>
        <w:t xml:space="preserve">Organisation des États américains (OEA) et du Marché commun du Sud (MERCOSUR). </w:t>
      </w:r>
    </w:p>
    <w:p w:rsidR="00B424EC" w:rsidRDefault="00B424EC" w:rsidP="00B424EC">
      <w:pPr>
        <w:pStyle w:val="SingleTxt"/>
        <w:numPr>
          <w:ilvl w:val="0"/>
          <w:numId w:val="17"/>
        </w:numPr>
        <w:tabs>
          <w:tab w:val="clear" w:pos="475"/>
          <w:tab w:val="num" w:pos="1742"/>
        </w:tabs>
        <w:ind w:left="1267"/>
        <w:rPr>
          <w:lang w:val="fr-FR"/>
        </w:rPr>
      </w:pPr>
      <w:r>
        <w:rPr>
          <w:lang w:val="fr-FR"/>
        </w:rPr>
        <w:t xml:space="preserve">Le </w:t>
      </w:r>
      <w:r w:rsidRPr="008936B0">
        <w:rPr>
          <w:lang w:val="fr-FR"/>
        </w:rPr>
        <w:t>Secrétariat aux droits de l</w:t>
      </w:r>
      <w:r>
        <w:rPr>
          <w:lang w:val="fr-FR"/>
        </w:rPr>
        <w:t>’</w:t>
      </w:r>
      <w:r w:rsidRPr="008936B0">
        <w:rPr>
          <w:lang w:val="fr-FR"/>
        </w:rPr>
        <w:t xml:space="preserve">homme </w:t>
      </w:r>
      <w:r>
        <w:rPr>
          <w:lang w:val="fr-FR"/>
        </w:rPr>
        <w:t xml:space="preserve">comporte notamment les services </w:t>
      </w:r>
      <w:r w:rsidRPr="008936B0">
        <w:rPr>
          <w:lang w:val="fr-FR"/>
        </w:rPr>
        <w:t>ci-après.</w:t>
      </w:r>
    </w:p>
    <w:p w:rsidR="00B424EC" w:rsidRPr="001C40AC" w:rsidRDefault="00B424EC" w:rsidP="00B424EC">
      <w:pPr>
        <w:pStyle w:val="SingleTxt"/>
        <w:tabs>
          <w:tab w:val="clear" w:pos="1742"/>
        </w:tabs>
        <w:spacing w:after="0" w:line="120" w:lineRule="exact"/>
        <w:rPr>
          <w:sz w:val="10"/>
          <w:lang w:val="fr-FR"/>
        </w:rPr>
      </w:pPr>
    </w:p>
    <w:p w:rsidR="00B424EC" w:rsidRDefault="00B424EC" w:rsidP="00B424E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t>a)</w:t>
      </w:r>
      <w:r w:rsidRPr="008936B0">
        <w:rPr>
          <w:lang w:val="fr-FR"/>
        </w:rPr>
        <w:tab/>
        <w:t>Di</w:t>
      </w:r>
      <w:r>
        <w:rPr>
          <w:lang w:val="fr-FR"/>
        </w:rPr>
        <w:t>rection nationale des affaires juridiques en matière de</w:t>
      </w:r>
      <w:r w:rsidRPr="008936B0">
        <w:rPr>
          <w:lang w:val="fr-FR"/>
        </w:rPr>
        <w:t xml:space="preserve"> droits de l</w:t>
      </w:r>
      <w:r>
        <w:rPr>
          <w:lang w:val="fr-FR"/>
        </w:rPr>
        <w:t>’</w:t>
      </w:r>
      <w:r w:rsidRPr="008936B0">
        <w:rPr>
          <w:lang w:val="fr-FR"/>
        </w:rPr>
        <w:t xml:space="preserve">homme </w:t>
      </w:r>
    </w:p>
    <w:p w:rsidR="00B424EC" w:rsidRPr="001C40AC" w:rsidRDefault="00B424EC" w:rsidP="00B424EC">
      <w:pPr>
        <w:pStyle w:val="SingleTxt"/>
        <w:spacing w:after="0" w:line="120" w:lineRule="exact"/>
        <w:rPr>
          <w:sz w:val="10"/>
          <w:lang w:val="fr-FR"/>
        </w:rPr>
      </w:pPr>
    </w:p>
    <w:p w:rsidR="00B424EC" w:rsidRPr="008936B0" w:rsidRDefault="00B424EC" w:rsidP="00B424EC">
      <w:pPr>
        <w:pStyle w:val="SingleTxt"/>
        <w:numPr>
          <w:ilvl w:val="0"/>
          <w:numId w:val="17"/>
        </w:numPr>
        <w:tabs>
          <w:tab w:val="clear" w:pos="475"/>
          <w:tab w:val="num" w:pos="1742"/>
        </w:tabs>
        <w:ind w:left="1267"/>
        <w:rPr>
          <w:lang w:val="fr-FR"/>
        </w:rPr>
      </w:pPr>
      <w:r w:rsidRPr="008936B0">
        <w:rPr>
          <w:lang w:val="fr-FR"/>
        </w:rPr>
        <w:t>Ses fonctions sont les suivantes</w:t>
      </w:r>
      <w:r>
        <w:rPr>
          <w:lang w:val="fr-FR"/>
        </w:rPr>
        <w:t> </w:t>
      </w:r>
      <w:r w:rsidRPr="008936B0">
        <w:rPr>
          <w:lang w:val="fr-FR"/>
        </w:rPr>
        <w:t>:</w:t>
      </w:r>
    </w:p>
    <w:p w:rsidR="00B424EC" w:rsidRPr="008936B0" w:rsidRDefault="00B424EC" w:rsidP="00B424EC">
      <w:pPr>
        <w:pStyle w:val="SingleTxt"/>
        <w:rPr>
          <w:lang w:val="fr-FR"/>
        </w:rPr>
      </w:pPr>
      <w:r w:rsidRPr="008936B0">
        <w:rPr>
          <w:lang w:val="fr-FR"/>
        </w:rPr>
        <w:tab/>
        <w:t>a)</w:t>
      </w:r>
      <w:r w:rsidRPr="008936B0">
        <w:rPr>
          <w:lang w:val="fr-FR"/>
        </w:rPr>
        <w:tab/>
        <w:t>Donner des conseils sur l</w:t>
      </w:r>
      <w:r>
        <w:rPr>
          <w:lang w:val="fr-FR"/>
        </w:rPr>
        <w:t>’</w:t>
      </w:r>
      <w:r w:rsidRPr="008936B0">
        <w:rPr>
          <w:lang w:val="fr-FR"/>
        </w:rPr>
        <w:t>application de la loi et émettre des avis sur les affaires juridiques relevant de la compétence du Secrétariat aux droits de l</w:t>
      </w:r>
      <w:r>
        <w:rPr>
          <w:lang w:val="fr-FR"/>
        </w:rPr>
        <w:t>’</w:t>
      </w:r>
      <w:r w:rsidRPr="008936B0">
        <w:rPr>
          <w:lang w:val="fr-FR"/>
        </w:rPr>
        <w:t xml:space="preserve">homme; </w:t>
      </w:r>
    </w:p>
    <w:p w:rsidR="00B424EC" w:rsidRPr="008936B0" w:rsidRDefault="00B424EC" w:rsidP="00B424EC">
      <w:pPr>
        <w:pStyle w:val="SingleTxt"/>
        <w:rPr>
          <w:lang w:val="fr-FR"/>
        </w:rPr>
      </w:pPr>
      <w:r w:rsidRPr="008936B0">
        <w:rPr>
          <w:lang w:val="fr-FR"/>
        </w:rPr>
        <w:tab/>
        <w:t>b)</w:t>
      </w:r>
      <w:r w:rsidRPr="008936B0">
        <w:rPr>
          <w:lang w:val="fr-FR"/>
        </w:rPr>
        <w:tab/>
        <w:t xml:space="preserve">Dans tous les </w:t>
      </w:r>
      <w:r>
        <w:rPr>
          <w:lang w:val="fr-FR"/>
        </w:rPr>
        <w:t>c</w:t>
      </w:r>
      <w:r w:rsidRPr="008936B0">
        <w:rPr>
          <w:lang w:val="fr-FR"/>
        </w:rPr>
        <w:t xml:space="preserve">as </w:t>
      </w:r>
      <w:r>
        <w:rPr>
          <w:lang w:val="fr-FR"/>
        </w:rPr>
        <w:t xml:space="preserve">où sont établies </w:t>
      </w:r>
      <w:r w:rsidRPr="008936B0">
        <w:rPr>
          <w:lang w:val="fr-FR"/>
        </w:rPr>
        <w:t>de</w:t>
      </w:r>
      <w:r>
        <w:rPr>
          <w:lang w:val="fr-FR"/>
        </w:rPr>
        <w:t>s</w:t>
      </w:r>
      <w:r w:rsidRPr="008936B0">
        <w:rPr>
          <w:lang w:val="fr-FR"/>
        </w:rPr>
        <w:t xml:space="preserve"> violations graves des droits de l</w:t>
      </w:r>
      <w:r>
        <w:rPr>
          <w:lang w:val="fr-FR"/>
        </w:rPr>
        <w:t>’</w:t>
      </w:r>
      <w:r w:rsidRPr="008936B0">
        <w:rPr>
          <w:lang w:val="fr-FR"/>
        </w:rPr>
        <w:t xml:space="preserve">homme, </w:t>
      </w:r>
      <w:r>
        <w:rPr>
          <w:lang w:val="fr-FR"/>
        </w:rPr>
        <w:t xml:space="preserve">a priori </w:t>
      </w:r>
      <w:r w:rsidRPr="008936B0">
        <w:rPr>
          <w:lang w:val="fr-FR"/>
        </w:rPr>
        <w:t xml:space="preserve">constitutives </w:t>
      </w:r>
      <w:r>
        <w:rPr>
          <w:lang w:val="fr-FR"/>
        </w:rPr>
        <w:t>d</w:t>
      </w:r>
      <w:r w:rsidRPr="008936B0">
        <w:rPr>
          <w:lang w:val="fr-FR"/>
        </w:rPr>
        <w:t>e crimes contre l</w:t>
      </w:r>
      <w:r>
        <w:rPr>
          <w:lang w:val="fr-FR"/>
        </w:rPr>
        <w:t>’</w:t>
      </w:r>
      <w:r w:rsidRPr="008936B0">
        <w:rPr>
          <w:lang w:val="fr-FR"/>
        </w:rPr>
        <w:t>humanité, et d</w:t>
      </w:r>
      <w:r>
        <w:rPr>
          <w:lang w:val="fr-FR"/>
        </w:rPr>
        <w:t xml:space="preserve">es </w:t>
      </w:r>
      <w:r w:rsidRPr="008936B0">
        <w:rPr>
          <w:lang w:val="fr-FR"/>
        </w:rPr>
        <w:t>atteintes aux droits de l</w:t>
      </w:r>
      <w:r>
        <w:rPr>
          <w:lang w:val="fr-FR"/>
        </w:rPr>
        <w:t>’</w:t>
      </w:r>
      <w:r w:rsidRPr="008936B0">
        <w:rPr>
          <w:lang w:val="fr-FR"/>
        </w:rPr>
        <w:t xml:space="preserve">homme pouvant causer </w:t>
      </w:r>
      <w:r>
        <w:rPr>
          <w:lang w:val="fr-FR"/>
        </w:rPr>
        <w:t xml:space="preserve">une agitation sociale ou </w:t>
      </w:r>
      <w:r w:rsidRPr="008936B0">
        <w:rPr>
          <w:lang w:val="fr-FR"/>
        </w:rPr>
        <w:t>des troubles à l</w:t>
      </w:r>
      <w:r>
        <w:rPr>
          <w:lang w:val="fr-FR"/>
        </w:rPr>
        <w:t>’</w:t>
      </w:r>
      <w:r w:rsidRPr="008936B0">
        <w:rPr>
          <w:lang w:val="fr-FR"/>
        </w:rPr>
        <w:t xml:space="preserve">ordre public, </w:t>
      </w:r>
      <w:r>
        <w:rPr>
          <w:lang w:val="fr-FR"/>
        </w:rPr>
        <w:t xml:space="preserve">il </w:t>
      </w:r>
      <w:r w:rsidRPr="008936B0">
        <w:rPr>
          <w:lang w:val="fr-FR"/>
        </w:rPr>
        <w:t>exerce la fonction de représentant, de demandeur, de partie civile, d</w:t>
      </w:r>
      <w:r>
        <w:rPr>
          <w:lang w:val="fr-FR"/>
        </w:rPr>
        <w:t>’</w:t>
      </w:r>
      <w:r w:rsidRPr="008936B0">
        <w:rPr>
          <w:lang w:val="fr-FR"/>
        </w:rPr>
        <w:t>observateur, d</w:t>
      </w:r>
      <w:r>
        <w:rPr>
          <w:lang w:val="fr-FR"/>
        </w:rPr>
        <w:t>’</w:t>
      </w:r>
      <w:r w:rsidRPr="007F74E9">
        <w:rPr>
          <w:i/>
          <w:lang w:val="fr-FR"/>
        </w:rPr>
        <w:t>amicus curiae</w:t>
      </w:r>
      <w:r w:rsidRPr="008936B0">
        <w:rPr>
          <w:lang w:val="fr-FR"/>
        </w:rPr>
        <w:t xml:space="preserve"> ou participe de toute autre manière à </w:t>
      </w:r>
      <w:r>
        <w:rPr>
          <w:lang w:val="fr-FR"/>
        </w:rPr>
        <w:t>l’action en</w:t>
      </w:r>
      <w:r w:rsidRPr="008936B0">
        <w:rPr>
          <w:lang w:val="fr-FR"/>
        </w:rPr>
        <w:t xml:space="preserve"> justice, suivant les règles </w:t>
      </w:r>
      <w:r>
        <w:rPr>
          <w:lang w:val="fr-FR"/>
        </w:rPr>
        <w:t xml:space="preserve">procédurales </w:t>
      </w:r>
      <w:r w:rsidRPr="008936B0">
        <w:rPr>
          <w:lang w:val="fr-FR"/>
        </w:rPr>
        <w:t xml:space="preserve">de la juridiction compétente;  </w:t>
      </w:r>
    </w:p>
    <w:p w:rsidR="00B424EC" w:rsidRPr="008936B0" w:rsidRDefault="00B424EC" w:rsidP="00B424EC">
      <w:pPr>
        <w:pStyle w:val="SingleTxt"/>
        <w:rPr>
          <w:lang w:val="fr-FR"/>
        </w:rPr>
      </w:pPr>
      <w:r w:rsidRPr="008936B0">
        <w:rPr>
          <w:lang w:val="fr-FR"/>
        </w:rPr>
        <w:tab/>
        <w:t>c)</w:t>
      </w:r>
      <w:r w:rsidRPr="008936B0">
        <w:rPr>
          <w:lang w:val="fr-FR"/>
        </w:rPr>
        <w:tab/>
      </w:r>
      <w:r>
        <w:rPr>
          <w:lang w:val="fr-FR"/>
        </w:rPr>
        <w:t xml:space="preserve">Il mène des actions sur des questions </w:t>
      </w:r>
      <w:r w:rsidRPr="008936B0">
        <w:rPr>
          <w:lang w:val="fr-FR"/>
        </w:rPr>
        <w:t>relatives aux droits de l</w:t>
      </w:r>
      <w:r>
        <w:rPr>
          <w:lang w:val="fr-FR"/>
        </w:rPr>
        <w:t>’</w:t>
      </w:r>
      <w:r w:rsidRPr="008936B0">
        <w:rPr>
          <w:lang w:val="fr-FR"/>
        </w:rPr>
        <w:t>homme, de portée régionale ou internationale, qui relèvent de la compétence du Secrétariat aux droits de l</w:t>
      </w:r>
      <w:r>
        <w:rPr>
          <w:lang w:val="fr-FR"/>
        </w:rPr>
        <w:t>’</w:t>
      </w:r>
      <w:r w:rsidRPr="008936B0">
        <w:rPr>
          <w:lang w:val="fr-FR"/>
        </w:rPr>
        <w:t>homme;</w:t>
      </w:r>
    </w:p>
    <w:p w:rsidR="00B424EC" w:rsidRDefault="00B424EC" w:rsidP="00B424EC">
      <w:pPr>
        <w:pStyle w:val="SingleTxt"/>
        <w:rPr>
          <w:lang w:val="fr-FR"/>
        </w:rPr>
      </w:pPr>
      <w:r w:rsidRPr="008936B0">
        <w:rPr>
          <w:lang w:val="fr-FR"/>
        </w:rPr>
        <w:tab/>
        <w:t>d)</w:t>
      </w:r>
      <w:r w:rsidRPr="008936B0">
        <w:rPr>
          <w:lang w:val="fr-FR"/>
        </w:rPr>
        <w:tab/>
      </w:r>
      <w:r>
        <w:rPr>
          <w:lang w:val="fr-FR"/>
        </w:rPr>
        <w:t>Il s</w:t>
      </w:r>
      <w:r w:rsidRPr="008936B0">
        <w:rPr>
          <w:lang w:val="fr-FR"/>
        </w:rPr>
        <w:t>urveill</w:t>
      </w:r>
      <w:r>
        <w:rPr>
          <w:lang w:val="fr-FR"/>
        </w:rPr>
        <w:t>e</w:t>
      </w:r>
      <w:r w:rsidRPr="008936B0">
        <w:rPr>
          <w:lang w:val="fr-FR"/>
        </w:rPr>
        <w:t xml:space="preserve"> l</w:t>
      </w:r>
      <w:r>
        <w:rPr>
          <w:lang w:val="fr-FR"/>
        </w:rPr>
        <w:t>’</w:t>
      </w:r>
      <w:r w:rsidRPr="008936B0">
        <w:rPr>
          <w:lang w:val="fr-FR"/>
        </w:rPr>
        <w:t xml:space="preserve">application des dispositions, jugements et décisions qui </w:t>
      </w:r>
      <w:r>
        <w:rPr>
          <w:lang w:val="fr-FR"/>
        </w:rPr>
        <w:t>concern</w:t>
      </w:r>
      <w:r w:rsidRPr="008936B0">
        <w:rPr>
          <w:lang w:val="fr-FR"/>
        </w:rPr>
        <w:t xml:space="preserve">ent notamment </w:t>
      </w:r>
      <w:r>
        <w:rPr>
          <w:lang w:val="fr-FR"/>
        </w:rPr>
        <w:t>la</w:t>
      </w:r>
      <w:r w:rsidRPr="008936B0">
        <w:rPr>
          <w:lang w:val="fr-FR"/>
        </w:rPr>
        <w:t xml:space="preserve"> lutte contre l</w:t>
      </w:r>
      <w:r>
        <w:rPr>
          <w:lang w:val="fr-FR"/>
        </w:rPr>
        <w:t>’</w:t>
      </w:r>
      <w:r w:rsidRPr="008936B0">
        <w:rPr>
          <w:lang w:val="fr-FR"/>
        </w:rPr>
        <w:t xml:space="preserve">impunité </w:t>
      </w:r>
      <w:r>
        <w:rPr>
          <w:lang w:val="fr-FR"/>
        </w:rPr>
        <w:t xml:space="preserve">pour </w:t>
      </w:r>
      <w:r w:rsidRPr="008936B0">
        <w:rPr>
          <w:lang w:val="fr-FR"/>
        </w:rPr>
        <w:t>les violations graves des droits de l</w:t>
      </w:r>
      <w:r>
        <w:rPr>
          <w:lang w:val="fr-FR"/>
        </w:rPr>
        <w:t>’</w:t>
      </w:r>
      <w:r w:rsidRPr="008936B0">
        <w:rPr>
          <w:lang w:val="fr-FR"/>
        </w:rPr>
        <w:t xml:space="preserve">homme et </w:t>
      </w:r>
      <w:r>
        <w:rPr>
          <w:lang w:val="fr-FR"/>
        </w:rPr>
        <w:t>la</w:t>
      </w:r>
      <w:r w:rsidRPr="008936B0">
        <w:rPr>
          <w:lang w:val="fr-FR"/>
        </w:rPr>
        <w:t xml:space="preserve"> réparation </w:t>
      </w:r>
      <w:r>
        <w:rPr>
          <w:lang w:val="fr-FR"/>
        </w:rPr>
        <w:t xml:space="preserve">due aux </w:t>
      </w:r>
      <w:r w:rsidRPr="008936B0">
        <w:rPr>
          <w:lang w:val="fr-FR"/>
        </w:rPr>
        <w:t xml:space="preserve">victimes. </w:t>
      </w:r>
    </w:p>
    <w:p w:rsidR="00B424EC" w:rsidRPr="007F74E9" w:rsidRDefault="00B424EC" w:rsidP="00B424EC">
      <w:pPr>
        <w:pStyle w:val="SingleTxt"/>
        <w:spacing w:after="0" w:line="120" w:lineRule="exact"/>
        <w:rPr>
          <w:sz w:val="10"/>
          <w:lang w:val="fr-FR"/>
        </w:rPr>
      </w:pPr>
    </w:p>
    <w:p w:rsidR="00B424EC" w:rsidRDefault="00B424EC" w:rsidP="00B424E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t>b)</w:t>
      </w:r>
      <w:r w:rsidRPr="008936B0">
        <w:rPr>
          <w:lang w:val="fr-FR"/>
        </w:rPr>
        <w:tab/>
        <w:t xml:space="preserve">Direction des politiques de réparation  </w:t>
      </w:r>
    </w:p>
    <w:p w:rsidR="00B424EC" w:rsidRPr="007F74E9" w:rsidRDefault="00B424EC" w:rsidP="00B424EC">
      <w:pPr>
        <w:pStyle w:val="SingleTxt"/>
        <w:spacing w:after="0" w:line="120" w:lineRule="exact"/>
        <w:rPr>
          <w:sz w:val="10"/>
          <w:lang w:val="fr-FR"/>
        </w:rPr>
      </w:pPr>
    </w:p>
    <w:p w:rsidR="00B424EC" w:rsidRPr="008936B0" w:rsidRDefault="00B424EC" w:rsidP="00B424EC">
      <w:pPr>
        <w:pStyle w:val="SingleTxt"/>
        <w:numPr>
          <w:ilvl w:val="0"/>
          <w:numId w:val="17"/>
        </w:numPr>
        <w:tabs>
          <w:tab w:val="clear" w:pos="475"/>
          <w:tab w:val="num" w:pos="1742"/>
        </w:tabs>
        <w:ind w:left="1267"/>
        <w:rPr>
          <w:lang w:val="fr-FR"/>
        </w:rPr>
      </w:pPr>
      <w:r w:rsidRPr="008936B0">
        <w:rPr>
          <w:lang w:val="fr-FR"/>
        </w:rPr>
        <w:t xml:space="preserve">Ses fonctions sont </w:t>
      </w:r>
      <w:r>
        <w:rPr>
          <w:lang w:val="fr-FR"/>
        </w:rPr>
        <w:t xml:space="preserve">notamment </w:t>
      </w:r>
      <w:r w:rsidRPr="008936B0">
        <w:rPr>
          <w:lang w:val="fr-FR"/>
        </w:rPr>
        <w:t>les suivantes</w:t>
      </w:r>
      <w:r>
        <w:rPr>
          <w:lang w:val="fr-FR"/>
        </w:rPr>
        <w:t> </w:t>
      </w:r>
      <w:r w:rsidRPr="008936B0">
        <w:rPr>
          <w:lang w:val="fr-FR"/>
        </w:rPr>
        <w:t xml:space="preserve">: </w:t>
      </w:r>
    </w:p>
    <w:p w:rsidR="00B424EC" w:rsidRPr="008936B0" w:rsidRDefault="00B424EC" w:rsidP="00B424EC">
      <w:pPr>
        <w:pStyle w:val="SingleTxt"/>
        <w:rPr>
          <w:lang w:val="fr-FR"/>
        </w:rPr>
      </w:pPr>
      <w:r>
        <w:rPr>
          <w:lang w:val="fr-FR"/>
        </w:rPr>
        <w:tab/>
        <w:t>a)</w:t>
      </w:r>
      <w:r>
        <w:rPr>
          <w:lang w:val="fr-FR"/>
        </w:rPr>
        <w:tab/>
        <w:t>Elle a</w:t>
      </w:r>
      <w:r w:rsidRPr="008936B0">
        <w:rPr>
          <w:lang w:val="fr-FR"/>
        </w:rPr>
        <w:t xml:space="preserve">ide le </w:t>
      </w:r>
      <w:r>
        <w:rPr>
          <w:lang w:val="fr-FR"/>
        </w:rPr>
        <w:t>ch</w:t>
      </w:r>
      <w:r w:rsidRPr="008936B0">
        <w:rPr>
          <w:lang w:val="fr-FR"/>
        </w:rPr>
        <w:t>e</w:t>
      </w:r>
      <w:r>
        <w:rPr>
          <w:lang w:val="fr-FR"/>
        </w:rPr>
        <w:t>f</w:t>
      </w:r>
      <w:r w:rsidRPr="008936B0">
        <w:rPr>
          <w:lang w:val="fr-FR"/>
        </w:rPr>
        <w:t xml:space="preserve"> de la Direction nationale des affaires </w:t>
      </w:r>
      <w:r>
        <w:rPr>
          <w:lang w:val="fr-FR"/>
        </w:rPr>
        <w:t xml:space="preserve">juridiques en matière de </w:t>
      </w:r>
      <w:r w:rsidRPr="008936B0">
        <w:rPr>
          <w:lang w:val="fr-FR"/>
        </w:rPr>
        <w:t>droits de l</w:t>
      </w:r>
      <w:r>
        <w:rPr>
          <w:lang w:val="fr-FR"/>
        </w:rPr>
        <w:t>’</w:t>
      </w:r>
      <w:r w:rsidRPr="008936B0">
        <w:rPr>
          <w:lang w:val="fr-FR"/>
        </w:rPr>
        <w:t>homme à coordonner l</w:t>
      </w:r>
      <w:r>
        <w:rPr>
          <w:lang w:val="fr-FR"/>
        </w:rPr>
        <w:t>’</w:t>
      </w:r>
      <w:r w:rsidRPr="008936B0">
        <w:rPr>
          <w:lang w:val="fr-FR"/>
        </w:rPr>
        <w:t>application des plans e</w:t>
      </w:r>
      <w:r>
        <w:rPr>
          <w:lang w:val="fr-FR"/>
        </w:rPr>
        <w:t>t des programmes de réparation pour l</w:t>
      </w:r>
      <w:r w:rsidRPr="008936B0">
        <w:rPr>
          <w:lang w:val="fr-FR"/>
        </w:rPr>
        <w:t>es violations des droits de l</w:t>
      </w:r>
      <w:r>
        <w:rPr>
          <w:lang w:val="fr-FR"/>
        </w:rPr>
        <w:t>’</w:t>
      </w:r>
      <w:r w:rsidRPr="008936B0">
        <w:rPr>
          <w:lang w:val="fr-FR"/>
        </w:rPr>
        <w:t>homme commises par l</w:t>
      </w:r>
      <w:r>
        <w:rPr>
          <w:lang w:val="fr-FR"/>
        </w:rPr>
        <w:t>’</w:t>
      </w:r>
      <w:r w:rsidRPr="008936B0">
        <w:rPr>
          <w:lang w:val="fr-FR"/>
        </w:rPr>
        <w:t>État;</w:t>
      </w:r>
    </w:p>
    <w:p w:rsidR="00B424EC" w:rsidRPr="008936B0" w:rsidRDefault="00B424EC" w:rsidP="00B424EC">
      <w:pPr>
        <w:pStyle w:val="SingleTxt"/>
        <w:rPr>
          <w:lang w:val="fr-FR"/>
        </w:rPr>
      </w:pPr>
      <w:r w:rsidRPr="008936B0">
        <w:rPr>
          <w:lang w:val="fr-FR"/>
        </w:rPr>
        <w:tab/>
        <w:t>b)</w:t>
      </w:r>
      <w:r w:rsidRPr="008936B0">
        <w:rPr>
          <w:lang w:val="fr-FR"/>
        </w:rPr>
        <w:tab/>
      </w:r>
      <w:r>
        <w:rPr>
          <w:lang w:val="fr-FR"/>
        </w:rPr>
        <w:t>Elle assure l’exécution d</w:t>
      </w:r>
      <w:r w:rsidRPr="008936B0">
        <w:rPr>
          <w:lang w:val="fr-FR"/>
        </w:rPr>
        <w:t>es lois de réparation nationale</w:t>
      </w:r>
      <w:r>
        <w:rPr>
          <w:lang w:val="fr-FR"/>
        </w:rPr>
        <w:t>s</w:t>
      </w:r>
      <w:r w:rsidRPr="008936B0">
        <w:rPr>
          <w:lang w:val="fr-FR"/>
        </w:rPr>
        <w:t xml:space="preserve"> et </w:t>
      </w:r>
      <w:r>
        <w:rPr>
          <w:lang w:val="fr-FR"/>
        </w:rPr>
        <w:t xml:space="preserve">de </w:t>
      </w:r>
      <w:r w:rsidRPr="008936B0">
        <w:rPr>
          <w:lang w:val="fr-FR"/>
        </w:rPr>
        <w:t xml:space="preserve">tout </w:t>
      </w:r>
      <w:r>
        <w:rPr>
          <w:lang w:val="fr-FR"/>
        </w:rPr>
        <w:t>autre texte qui pourrait être adopté</w:t>
      </w:r>
      <w:r w:rsidRPr="008936B0">
        <w:rPr>
          <w:lang w:val="fr-FR"/>
        </w:rPr>
        <w:t xml:space="preserve"> dans ce domaine; </w:t>
      </w:r>
    </w:p>
    <w:p w:rsidR="00B424EC" w:rsidRDefault="00B424EC" w:rsidP="00B424EC">
      <w:pPr>
        <w:pStyle w:val="SingleTxt"/>
        <w:rPr>
          <w:lang w:val="fr-FR"/>
        </w:rPr>
      </w:pPr>
      <w:r w:rsidRPr="008936B0">
        <w:rPr>
          <w:lang w:val="fr-FR"/>
        </w:rPr>
        <w:tab/>
        <w:t>c)</w:t>
      </w:r>
      <w:r w:rsidRPr="008936B0">
        <w:rPr>
          <w:lang w:val="fr-FR"/>
        </w:rPr>
        <w:tab/>
      </w:r>
      <w:r>
        <w:rPr>
          <w:lang w:val="fr-FR"/>
        </w:rPr>
        <w:t>Elle m</w:t>
      </w:r>
      <w:r w:rsidRPr="008936B0">
        <w:rPr>
          <w:lang w:val="fr-FR"/>
        </w:rPr>
        <w:t xml:space="preserve">et en œuvre des programmes et des activités, et </w:t>
      </w:r>
      <w:r>
        <w:rPr>
          <w:lang w:val="fr-FR"/>
        </w:rPr>
        <w:t xml:space="preserve">recense </w:t>
      </w:r>
      <w:r w:rsidRPr="008936B0">
        <w:rPr>
          <w:lang w:val="fr-FR"/>
        </w:rPr>
        <w:t>les nouve</w:t>
      </w:r>
      <w:r>
        <w:rPr>
          <w:lang w:val="fr-FR"/>
        </w:rPr>
        <w:t>lles</w:t>
      </w:r>
      <w:r w:rsidRPr="008936B0">
        <w:rPr>
          <w:lang w:val="fr-FR"/>
        </w:rPr>
        <w:t xml:space="preserve"> </w:t>
      </w:r>
      <w:r>
        <w:rPr>
          <w:lang w:val="fr-FR"/>
        </w:rPr>
        <w:t>demandes</w:t>
      </w:r>
      <w:r w:rsidRPr="008936B0">
        <w:rPr>
          <w:lang w:val="fr-FR"/>
        </w:rPr>
        <w:t>.</w:t>
      </w:r>
    </w:p>
    <w:p w:rsidR="00B424EC" w:rsidRPr="007F74E9" w:rsidRDefault="00B424EC" w:rsidP="00B424EC">
      <w:pPr>
        <w:pStyle w:val="SingleTxt"/>
        <w:spacing w:after="0" w:line="120" w:lineRule="exact"/>
        <w:rPr>
          <w:sz w:val="10"/>
          <w:lang w:val="fr-FR"/>
        </w:rPr>
      </w:pPr>
    </w:p>
    <w:p w:rsidR="00B424EC" w:rsidRDefault="00B424EC" w:rsidP="00B424E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t>c)</w:t>
      </w:r>
      <w:r w:rsidRPr="008936B0">
        <w:rPr>
          <w:lang w:val="fr-FR"/>
        </w:rPr>
        <w:tab/>
        <w:t>Direction nationale de l</w:t>
      </w:r>
      <w:r>
        <w:rPr>
          <w:lang w:val="fr-FR"/>
        </w:rPr>
        <w:t>’</w:t>
      </w:r>
      <w:r w:rsidRPr="008936B0">
        <w:rPr>
          <w:lang w:val="fr-FR"/>
        </w:rPr>
        <w:t xml:space="preserve">aide aux groupes vulnérables </w:t>
      </w:r>
    </w:p>
    <w:p w:rsidR="00B424EC" w:rsidRPr="007F74E9" w:rsidRDefault="00B424EC" w:rsidP="00B424EC">
      <w:pPr>
        <w:pStyle w:val="SingleTxt"/>
        <w:spacing w:after="0" w:line="120" w:lineRule="exact"/>
        <w:rPr>
          <w:sz w:val="10"/>
          <w:lang w:val="fr-FR"/>
        </w:rPr>
      </w:pPr>
    </w:p>
    <w:p w:rsidR="00B424EC" w:rsidRPr="008936B0" w:rsidRDefault="00B424EC" w:rsidP="00B424EC">
      <w:pPr>
        <w:pStyle w:val="SingleTxt"/>
        <w:numPr>
          <w:ilvl w:val="0"/>
          <w:numId w:val="17"/>
        </w:numPr>
        <w:tabs>
          <w:tab w:val="clear" w:pos="475"/>
          <w:tab w:val="num" w:pos="1742"/>
        </w:tabs>
        <w:ind w:left="1267"/>
        <w:rPr>
          <w:lang w:val="fr-FR"/>
        </w:rPr>
      </w:pPr>
      <w:r w:rsidRPr="008936B0">
        <w:rPr>
          <w:lang w:val="fr-FR"/>
        </w:rPr>
        <w:t>Ses fonctions sont les suivantes</w:t>
      </w:r>
      <w:r>
        <w:rPr>
          <w:lang w:val="fr-FR"/>
        </w:rPr>
        <w:t> </w:t>
      </w:r>
      <w:r w:rsidRPr="008936B0">
        <w:rPr>
          <w:lang w:val="fr-FR"/>
        </w:rPr>
        <w:t xml:space="preserve">: </w:t>
      </w:r>
    </w:p>
    <w:p w:rsidR="00B424EC" w:rsidRPr="008936B0" w:rsidRDefault="00B424EC" w:rsidP="00B424EC">
      <w:pPr>
        <w:pStyle w:val="SingleTxt"/>
        <w:rPr>
          <w:lang w:val="fr-FR"/>
        </w:rPr>
      </w:pPr>
      <w:r w:rsidRPr="008936B0">
        <w:rPr>
          <w:lang w:val="fr-FR"/>
        </w:rPr>
        <w:tab/>
        <w:t>a)</w:t>
      </w:r>
      <w:r w:rsidRPr="008936B0">
        <w:rPr>
          <w:lang w:val="fr-FR"/>
        </w:rPr>
        <w:tab/>
      </w:r>
      <w:r>
        <w:rPr>
          <w:lang w:val="fr-FR"/>
        </w:rPr>
        <w:t>Elle v</w:t>
      </w:r>
      <w:r w:rsidRPr="008936B0">
        <w:rPr>
          <w:lang w:val="fr-FR"/>
        </w:rPr>
        <w:t>eille à l</w:t>
      </w:r>
      <w:r>
        <w:rPr>
          <w:lang w:val="fr-FR"/>
        </w:rPr>
        <w:t>’</w:t>
      </w:r>
      <w:r w:rsidRPr="008936B0">
        <w:rPr>
          <w:lang w:val="fr-FR"/>
        </w:rPr>
        <w:t xml:space="preserve">application effective des </w:t>
      </w:r>
      <w:r>
        <w:rPr>
          <w:lang w:val="fr-FR"/>
        </w:rPr>
        <w:t>norme</w:t>
      </w:r>
      <w:r w:rsidRPr="008936B0">
        <w:rPr>
          <w:lang w:val="fr-FR"/>
        </w:rPr>
        <w:t xml:space="preserve">s nationales et internationales </w:t>
      </w:r>
      <w:r>
        <w:rPr>
          <w:lang w:val="fr-FR"/>
        </w:rPr>
        <w:t xml:space="preserve">qui </w:t>
      </w:r>
      <w:r w:rsidRPr="008936B0">
        <w:rPr>
          <w:lang w:val="fr-FR"/>
        </w:rPr>
        <w:t>garantiss</w:t>
      </w:r>
      <w:r>
        <w:rPr>
          <w:lang w:val="fr-FR"/>
        </w:rPr>
        <w:t>e</w:t>
      </w:r>
      <w:r w:rsidRPr="008936B0">
        <w:rPr>
          <w:lang w:val="fr-FR"/>
        </w:rPr>
        <w:t xml:space="preserve"> l</w:t>
      </w:r>
      <w:r>
        <w:rPr>
          <w:lang w:val="fr-FR"/>
        </w:rPr>
        <w:t>’</w:t>
      </w:r>
      <w:r w:rsidRPr="008936B0">
        <w:rPr>
          <w:lang w:val="fr-FR"/>
        </w:rPr>
        <w:t>exercice des droits de l</w:t>
      </w:r>
      <w:r>
        <w:rPr>
          <w:lang w:val="fr-FR"/>
        </w:rPr>
        <w:t>’</w:t>
      </w:r>
      <w:r w:rsidRPr="008936B0">
        <w:rPr>
          <w:lang w:val="fr-FR"/>
        </w:rPr>
        <w:t>homme et des libertés fondamentales, en tenant compte de la situation des groupes vulnérable</w:t>
      </w:r>
      <w:r>
        <w:rPr>
          <w:lang w:val="fr-FR"/>
        </w:rPr>
        <w:t>s</w:t>
      </w:r>
      <w:r w:rsidRPr="008936B0">
        <w:rPr>
          <w:lang w:val="fr-FR"/>
        </w:rPr>
        <w:t xml:space="preserve"> </w:t>
      </w:r>
      <w:r>
        <w:rPr>
          <w:lang w:val="fr-FR"/>
        </w:rPr>
        <w:t>(</w:t>
      </w:r>
      <w:r w:rsidRPr="008936B0">
        <w:rPr>
          <w:lang w:val="fr-FR"/>
        </w:rPr>
        <w:t>pauvres, migrants, enfants, demandeurs d</w:t>
      </w:r>
      <w:r>
        <w:rPr>
          <w:lang w:val="fr-FR"/>
        </w:rPr>
        <w:t>’</w:t>
      </w:r>
      <w:r w:rsidRPr="008936B0">
        <w:rPr>
          <w:lang w:val="fr-FR"/>
        </w:rPr>
        <w:t>asile, personnes handicapées, personnes âgées, peuples autochtones et minorités sexuelles</w:t>
      </w:r>
      <w:r>
        <w:rPr>
          <w:lang w:val="fr-FR"/>
        </w:rPr>
        <w:t xml:space="preserve"> notamment)</w:t>
      </w:r>
      <w:r w:rsidRPr="008936B0">
        <w:rPr>
          <w:lang w:val="fr-FR"/>
        </w:rPr>
        <w:t xml:space="preserve">; </w:t>
      </w:r>
    </w:p>
    <w:p w:rsidR="00B424EC" w:rsidRPr="008936B0" w:rsidRDefault="00B424EC" w:rsidP="00B424EC">
      <w:pPr>
        <w:pStyle w:val="SingleTxt"/>
        <w:rPr>
          <w:lang w:val="fr-FR"/>
        </w:rPr>
      </w:pPr>
      <w:r w:rsidRPr="008936B0">
        <w:rPr>
          <w:lang w:val="fr-FR"/>
        </w:rPr>
        <w:tab/>
        <w:t>b)</w:t>
      </w:r>
      <w:r w:rsidRPr="008936B0">
        <w:rPr>
          <w:lang w:val="fr-FR"/>
        </w:rPr>
        <w:tab/>
      </w:r>
      <w:r>
        <w:rPr>
          <w:lang w:val="fr-FR"/>
        </w:rPr>
        <w:t>Elle r</w:t>
      </w:r>
      <w:r w:rsidRPr="008936B0">
        <w:rPr>
          <w:lang w:val="fr-FR"/>
        </w:rPr>
        <w:t>e</w:t>
      </w:r>
      <w:r>
        <w:rPr>
          <w:lang w:val="fr-FR"/>
        </w:rPr>
        <w:t>ç</w:t>
      </w:r>
      <w:r w:rsidRPr="008936B0">
        <w:rPr>
          <w:lang w:val="fr-FR"/>
        </w:rPr>
        <w:t>oi</w:t>
      </w:r>
      <w:r>
        <w:rPr>
          <w:lang w:val="fr-FR"/>
        </w:rPr>
        <w:t>t</w:t>
      </w:r>
      <w:r w:rsidRPr="008936B0">
        <w:rPr>
          <w:lang w:val="fr-FR"/>
        </w:rPr>
        <w:t xml:space="preserve"> les </w:t>
      </w:r>
      <w:r w:rsidRPr="008936B0">
        <w:t>plaintes pour violation des droits de l</w:t>
      </w:r>
      <w:r>
        <w:t>’</w:t>
      </w:r>
      <w:r w:rsidRPr="008936B0">
        <w:t>homme et met en place un mécanisme d</w:t>
      </w:r>
      <w:r>
        <w:t xml:space="preserve">’actions </w:t>
      </w:r>
      <w:r w:rsidRPr="008936B0">
        <w:t>urgen</w:t>
      </w:r>
      <w:r>
        <w:t>t</w:t>
      </w:r>
      <w:r w:rsidRPr="008936B0">
        <w:t>e</w:t>
      </w:r>
      <w:r>
        <w:t>s</w:t>
      </w:r>
      <w:r w:rsidRPr="008936B0">
        <w:t xml:space="preserve"> et de suivi pour </w:t>
      </w:r>
      <w:r>
        <w:t xml:space="preserve">assurer une meilleure protection des </w:t>
      </w:r>
      <w:r w:rsidRPr="008936B0">
        <w:t>droits</w:t>
      </w:r>
      <w:r>
        <w:t xml:space="preserve"> fondamentaux</w:t>
      </w:r>
      <w:r w:rsidRPr="008936B0">
        <w:rPr>
          <w:lang w:val="fr-FR"/>
        </w:rPr>
        <w:t>;</w:t>
      </w:r>
    </w:p>
    <w:p w:rsidR="00B424EC" w:rsidRPr="008936B0" w:rsidRDefault="00B424EC" w:rsidP="00B424EC">
      <w:pPr>
        <w:pStyle w:val="SingleTxt"/>
        <w:rPr>
          <w:lang w:val="fr-FR"/>
        </w:rPr>
      </w:pPr>
      <w:r w:rsidRPr="008936B0">
        <w:rPr>
          <w:lang w:val="fr-FR"/>
        </w:rPr>
        <w:lastRenderedPageBreak/>
        <w:tab/>
        <w:t>c)</w:t>
      </w:r>
      <w:r w:rsidRPr="008936B0">
        <w:rPr>
          <w:lang w:val="fr-FR"/>
        </w:rPr>
        <w:tab/>
      </w:r>
      <w:r>
        <w:t>Elle a</w:t>
      </w:r>
      <w:r w:rsidRPr="008936B0">
        <w:t>ide le Secrétariat aux droits de l</w:t>
      </w:r>
      <w:r>
        <w:t>’</w:t>
      </w:r>
      <w:r w:rsidRPr="008936B0">
        <w:t>homme à élaborer des programmes de promotion et de protection des droits des personnes handicapées et des programmes en faveur des perso</w:t>
      </w:r>
      <w:r>
        <w:t>nnes touchées par le VIH/sida et</w:t>
      </w:r>
      <w:r w:rsidRPr="008936B0">
        <w:t xml:space="preserve"> d</w:t>
      </w:r>
      <w:r>
        <w:t>’</w:t>
      </w:r>
      <w:r w:rsidRPr="008936B0">
        <w:t>autres groupes vulnérables, sur la base du principe de non</w:t>
      </w:r>
      <w:r w:rsidRPr="008936B0">
        <w:noBreakHyphen/>
        <w:t>discrimination;</w:t>
      </w:r>
    </w:p>
    <w:p w:rsidR="00B424EC" w:rsidRDefault="00B424EC" w:rsidP="00B424EC">
      <w:pPr>
        <w:pStyle w:val="SingleTxt"/>
      </w:pPr>
      <w:r>
        <w:rPr>
          <w:lang w:val="fr-FR"/>
        </w:rPr>
        <w:tab/>
        <w:t>d)</w:t>
      </w:r>
      <w:r>
        <w:rPr>
          <w:lang w:val="fr-FR"/>
        </w:rPr>
        <w:tab/>
        <w:t>Elle m</w:t>
      </w:r>
      <w:r w:rsidRPr="008936B0">
        <w:rPr>
          <w:lang w:val="fr-FR"/>
        </w:rPr>
        <w:t xml:space="preserve">et en place, de sa propre initiative ou sur demande, des procédures </w:t>
      </w:r>
      <w:r>
        <w:rPr>
          <w:lang w:val="fr-FR"/>
        </w:rPr>
        <w:t>pour assurer une</w:t>
      </w:r>
      <w:r w:rsidRPr="008936B0">
        <w:rPr>
          <w:lang w:val="fr-FR"/>
        </w:rPr>
        <w:t xml:space="preserve"> surveillance </w:t>
      </w:r>
      <w:r>
        <w:rPr>
          <w:lang w:val="fr-FR"/>
        </w:rPr>
        <w:t xml:space="preserve">active </w:t>
      </w:r>
      <w:r w:rsidRPr="008936B0">
        <w:rPr>
          <w:lang w:val="fr-FR"/>
        </w:rPr>
        <w:t>des probl</w:t>
      </w:r>
      <w:r>
        <w:rPr>
          <w:lang w:val="fr-FR"/>
        </w:rPr>
        <w:t>ématiques concernant la</w:t>
      </w:r>
      <w:r w:rsidRPr="008936B0">
        <w:rPr>
          <w:lang w:val="fr-FR"/>
        </w:rPr>
        <w:t xml:space="preserve"> violation des droits de l</w:t>
      </w:r>
      <w:r>
        <w:rPr>
          <w:lang w:val="fr-FR"/>
        </w:rPr>
        <w:t>’</w:t>
      </w:r>
      <w:r w:rsidRPr="008936B0">
        <w:rPr>
          <w:lang w:val="fr-FR"/>
        </w:rPr>
        <w:t xml:space="preserve">homme, en collaboration avec les organismes publics et les </w:t>
      </w:r>
      <w:r w:rsidRPr="008936B0">
        <w:t>réseaux sociaux.</w:t>
      </w:r>
    </w:p>
    <w:p w:rsidR="00B424EC" w:rsidRPr="00362622" w:rsidRDefault="00B424EC" w:rsidP="00B424EC">
      <w:pPr>
        <w:pStyle w:val="SingleTxt"/>
        <w:spacing w:after="0" w:line="120" w:lineRule="exact"/>
        <w:rPr>
          <w:sz w:val="10"/>
        </w:rPr>
      </w:pPr>
    </w:p>
    <w:p w:rsidR="00B424EC" w:rsidRDefault="00B424EC" w:rsidP="00B424E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t>d)</w:t>
      </w:r>
      <w:r w:rsidRPr="008936B0">
        <w:rPr>
          <w:lang w:val="fr-FR"/>
        </w:rPr>
        <w:tab/>
        <w:t>Centre d</w:t>
      </w:r>
      <w:r>
        <w:rPr>
          <w:lang w:val="fr-FR"/>
        </w:rPr>
        <w:t>’</w:t>
      </w:r>
      <w:r w:rsidRPr="008936B0">
        <w:rPr>
          <w:lang w:val="fr-FR"/>
        </w:rPr>
        <w:t>aide aux victimes de vi</w:t>
      </w:r>
      <w:r>
        <w:rPr>
          <w:lang w:val="fr-FR"/>
        </w:rPr>
        <w:t xml:space="preserve">olations des droits de l’homme </w:t>
      </w:r>
      <w:r w:rsidRPr="008936B0">
        <w:rPr>
          <w:lang w:val="fr-FR"/>
        </w:rPr>
        <w:t>Dr. Fernando Ulloa</w:t>
      </w:r>
    </w:p>
    <w:p w:rsidR="00B424EC" w:rsidRPr="00362622" w:rsidRDefault="00B424EC" w:rsidP="00B424EC">
      <w:pPr>
        <w:pStyle w:val="SingleTxt"/>
        <w:spacing w:after="0" w:line="120" w:lineRule="exact"/>
        <w:rPr>
          <w:sz w:val="10"/>
          <w:lang w:val="fr-FR"/>
        </w:rPr>
      </w:pPr>
    </w:p>
    <w:p w:rsidR="00B424EC" w:rsidRPr="00A379C0" w:rsidRDefault="00B424EC" w:rsidP="00B424EC">
      <w:pPr>
        <w:pStyle w:val="SingleTxt"/>
        <w:numPr>
          <w:ilvl w:val="0"/>
          <w:numId w:val="17"/>
        </w:numPr>
        <w:tabs>
          <w:tab w:val="clear" w:pos="475"/>
          <w:tab w:val="num" w:pos="1742"/>
        </w:tabs>
        <w:ind w:left="1267"/>
        <w:rPr>
          <w:lang w:val="fr-FR"/>
        </w:rPr>
      </w:pPr>
      <w:r>
        <w:t>L</w:t>
      </w:r>
      <w:r w:rsidRPr="0016262E">
        <w:t>e Centre d</w:t>
      </w:r>
      <w:r>
        <w:t xml:space="preserve">’aide aux victimes de </w:t>
      </w:r>
      <w:r w:rsidRPr="0016262E">
        <w:t>violations des droits de l</w:t>
      </w:r>
      <w:r>
        <w:t>’</w:t>
      </w:r>
      <w:r w:rsidRPr="0016262E">
        <w:t>homme Dr Fernando Ulloa assure des services d</w:t>
      </w:r>
      <w:r>
        <w:t>’</w:t>
      </w:r>
      <w:r w:rsidRPr="0016262E">
        <w:t>assistance complète aux victimes du terrorisme d</w:t>
      </w:r>
      <w:r>
        <w:t>’</w:t>
      </w:r>
      <w:r w:rsidRPr="0016262E">
        <w:t>État et aux victimes d</w:t>
      </w:r>
      <w:r>
        <w:t>’</w:t>
      </w:r>
      <w:r w:rsidRPr="0016262E">
        <w:t>abus de pouvoir qui ont connu des situations gravement traumatiques pouvant entraîner des atteintes à leurs droits fondamentaux ou à ceux de leurs proches, l</w:t>
      </w:r>
      <w:r>
        <w:t>’</w:t>
      </w:r>
      <w:r w:rsidRPr="0016262E">
        <w:t>aide devant comporter un soutien psychologique et des services de conseil et d</w:t>
      </w:r>
      <w:r>
        <w:t>’</w:t>
      </w:r>
      <w:r w:rsidRPr="0016262E">
        <w:t>orientation en faveur des victimes et de leurs proches, en fonction des besoins identifiés.</w:t>
      </w:r>
      <w:r>
        <w:t xml:space="preserve"> Le Centre</w:t>
      </w:r>
      <w:r w:rsidRPr="0016262E">
        <w:t xml:space="preserve"> coordonne les actions d</w:t>
      </w:r>
      <w:r>
        <w:t>’</w:t>
      </w:r>
      <w:r w:rsidRPr="0016262E">
        <w:t>assistance aux victimes, aux témoins et aux plaignants appelés à comparaître dans un procès, en particulier quand les faits jugés sont des crimes contre l</w:t>
      </w:r>
      <w:r>
        <w:t>’</w:t>
      </w:r>
      <w:r w:rsidRPr="0016262E">
        <w:t xml:space="preserve">humanité; à cette fin, </w:t>
      </w:r>
      <w:r>
        <w:t>il</w:t>
      </w:r>
      <w:r w:rsidRPr="0016262E">
        <w:t xml:space="preserve"> fournira une assistance et un soutien psychologique pendant les audiences, selon les besoins</w:t>
      </w:r>
      <w:r>
        <w:t xml:space="preserve">. </w:t>
      </w:r>
    </w:p>
    <w:p w:rsidR="00B424EC" w:rsidRPr="00A379C0" w:rsidRDefault="00B424EC" w:rsidP="00B424EC">
      <w:pPr>
        <w:pStyle w:val="SingleTxt"/>
        <w:tabs>
          <w:tab w:val="clear" w:pos="1742"/>
        </w:tabs>
        <w:spacing w:after="0" w:line="120" w:lineRule="exact"/>
        <w:rPr>
          <w:sz w:val="10"/>
          <w:lang w:val="fr-FR"/>
        </w:rPr>
      </w:pPr>
    </w:p>
    <w:p w:rsidR="00B424EC" w:rsidRDefault="00B424EC" w:rsidP="00B424E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t>e)</w:t>
      </w:r>
      <w:r w:rsidRPr="008936B0">
        <w:rPr>
          <w:lang w:val="fr-FR"/>
        </w:rPr>
        <w:tab/>
        <w:t>Conseil fédéral des droits de l</w:t>
      </w:r>
      <w:r>
        <w:rPr>
          <w:lang w:val="fr-FR"/>
        </w:rPr>
        <w:t>’</w:t>
      </w:r>
      <w:r w:rsidRPr="008936B0">
        <w:rPr>
          <w:lang w:val="fr-FR"/>
        </w:rPr>
        <w:t>homme</w:t>
      </w:r>
    </w:p>
    <w:p w:rsidR="00B424EC" w:rsidRPr="00A379C0" w:rsidRDefault="00B424EC" w:rsidP="00B424EC">
      <w:pPr>
        <w:pStyle w:val="SingleTxt"/>
        <w:spacing w:after="0" w:line="120" w:lineRule="exact"/>
        <w:rPr>
          <w:sz w:val="10"/>
          <w:lang w:val="fr-FR"/>
        </w:rPr>
      </w:pPr>
    </w:p>
    <w:p w:rsidR="00B424EC" w:rsidRDefault="00B424EC" w:rsidP="00B424EC">
      <w:pPr>
        <w:pStyle w:val="SingleTxt"/>
        <w:numPr>
          <w:ilvl w:val="0"/>
          <w:numId w:val="17"/>
        </w:numPr>
        <w:tabs>
          <w:tab w:val="clear" w:pos="475"/>
          <w:tab w:val="num" w:pos="1742"/>
        </w:tabs>
        <w:ind w:left="1267"/>
        <w:rPr>
          <w:lang w:val="fr-FR"/>
        </w:rPr>
      </w:pPr>
      <w:r w:rsidRPr="008936B0">
        <w:rPr>
          <w:lang w:val="fr-FR"/>
        </w:rPr>
        <w:t xml:space="preserve">Créé en 2003 par les hautes autorités </w:t>
      </w:r>
      <w:r>
        <w:rPr>
          <w:lang w:val="fr-FR"/>
        </w:rPr>
        <w:t xml:space="preserve">nationales </w:t>
      </w:r>
      <w:r w:rsidRPr="008936B0">
        <w:rPr>
          <w:lang w:val="fr-FR"/>
        </w:rPr>
        <w:t>des droits de l</w:t>
      </w:r>
      <w:r>
        <w:rPr>
          <w:lang w:val="fr-FR"/>
        </w:rPr>
        <w:t>’</w:t>
      </w:r>
      <w:r w:rsidRPr="008936B0">
        <w:rPr>
          <w:lang w:val="fr-FR"/>
        </w:rPr>
        <w:t>homme</w:t>
      </w:r>
      <w:r>
        <w:rPr>
          <w:lang w:val="fr-FR"/>
        </w:rPr>
        <w:t>,</w:t>
      </w:r>
      <w:r w:rsidRPr="008936B0">
        <w:rPr>
          <w:lang w:val="fr-FR"/>
        </w:rPr>
        <w:t xml:space="preserve"> </w:t>
      </w:r>
      <w:r>
        <w:rPr>
          <w:lang w:val="fr-FR"/>
        </w:rPr>
        <w:t>l</w:t>
      </w:r>
      <w:r w:rsidRPr="008936B0">
        <w:rPr>
          <w:lang w:val="fr-FR"/>
        </w:rPr>
        <w:t>es provinces et la ville autonome de Buenos Aires, le Conseil fédéral des droits de l</w:t>
      </w:r>
      <w:r>
        <w:rPr>
          <w:lang w:val="fr-FR"/>
        </w:rPr>
        <w:t>’</w:t>
      </w:r>
      <w:r w:rsidRPr="008936B0">
        <w:rPr>
          <w:lang w:val="fr-FR"/>
        </w:rPr>
        <w:t xml:space="preserve">homme examine des initiatives et coordonne </w:t>
      </w:r>
      <w:r>
        <w:rPr>
          <w:lang w:val="fr-FR"/>
        </w:rPr>
        <w:t xml:space="preserve">toutes sortes de </w:t>
      </w:r>
      <w:r w:rsidRPr="008936B0">
        <w:rPr>
          <w:lang w:val="fr-FR"/>
        </w:rPr>
        <w:t>questions relatives à la protection et à la promotion des droits de l</w:t>
      </w:r>
      <w:r>
        <w:rPr>
          <w:lang w:val="fr-FR"/>
        </w:rPr>
        <w:t>’</w:t>
      </w:r>
      <w:r w:rsidRPr="008936B0">
        <w:rPr>
          <w:lang w:val="fr-FR"/>
        </w:rPr>
        <w:t xml:space="preserve">homme, </w:t>
      </w:r>
      <w:r>
        <w:rPr>
          <w:lang w:val="fr-FR"/>
        </w:rPr>
        <w:t>afin de définir, en concertation avec les gouvernements des provinces les politiques publiques dans ce domaine, aux niveaux national, provincial et municipal en favorisant la coopération horizontale entre les différentes juridictions.</w:t>
      </w:r>
    </w:p>
    <w:p w:rsidR="00B424EC" w:rsidRPr="00A379C0" w:rsidRDefault="00B424EC" w:rsidP="00B424EC">
      <w:pPr>
        <w:pStyle w:val="SingleTxt"/>
        <w:tabs>
          <w:tab w:val="clear" w:pos="1742"/>
        </w:tabs>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8936B0">
        <w:rPr>
          <w:lang w:val="fr-FR"/>
        </w:rPr>
        <w:tab/>
        <w:t>Programmes</w:t>
      </w:r>
    </w:p>
    <w:p w:rsidR="00B424EC" w:rsidRPr="00A379C0" w:rsidRDefault="00B424EC" w:rsidP="00B424EC">
      <w:pPr>
        <w:pStyle w:val="SingleTxt"/>
        <w:spacing w:after="0" w:line="120" w:lineRule="exact"/>
        <w:rPr>
          <w:sz w:val="10"/>
          <w:lang w:val="fr-FR"/>
        </w:rPr>
      </w:pPr>
    </w:p>
    <w:p w:rsidR="00B424EC" w:rsidRDefault="00B424EC" w:rsidP="00B424EC">
      <w:pPr>
        <w:pStyle w:val="SingleTxt"/>
        <w:numPr>
          <w:ilvl w:val="0"/>
          <w:numId w:val="17"/>
        </w:numPr>
        <w:tabs>
          <w:tab w:val="clear" w:pos="475"/>
          <w:tab w:val="num" w:pos="1742"/>
        </w:tabs>
        <w:ind w:left="1267"/>
        <w:rPr>
          <w:lang w:val="fr-FR"/>
        </w:rPr>
      </w:pPr>
      <w:r w:rsidRPr="008936B0">
        <w:rPr>
          <w:lang w:val="fr-FR"/>
        </w:rPr>
        <w:t>Plusieurs programmes du Ministère de la justice et des droits de l</w:t>
      </w:r>
      <w:r>
        <w:rPr>
          <w:lang w:val="fr-FR"/>
        </w:rPr>
        <w:t>’</w:t>
      </w:r>
      <w:r w:rsidRPr="008936B0">
        <w:rPr>
          <w:lang w:val="fr-FR"/>
        </w:rPr>
        <w:t>homme sont consacrés à la protection des droits de l</w:t>
      </w:r>
      <w:r>
        <w:rPr>
          <w:lang w:val="fr-FR"/>
        </w:rPr>
        <w:t>’</w:t>
      </w:r>
      <w:r w:rsidRPr="008936B0">
        <w:rPr>
          <w:lang w:val="fr-FR"/>
        </w:rPr>
        <w:t xml:space="preserve">homme. Il faut souligner </w:t>
      </w:r>
      <w:r>
        <w:rPr>
          <w:lang w:val="fr-FR"/>
        </w:rPr>
        <w:t xml:space="preserve">aussi </w:t>
      </w:r>
      <w:r w:rsidRPr="008936B0">
        <w:rPr>
          <w:lang w:val="fr-FR"/>
        </w:rPr>
        <w:t>que la promotion et la protection des droits de l</w:t>
      </w:r>
      <w:r>
        <w:rPr>
          <w:lang w:val="fr-FR"/>
        </w:rPr>
        <w:t>’</w:t>
      </w:r>
      <w:r w:rsidRPr="008936B0">
        <w:rPr>
          <w:lang w:val="fr-FR"/>
        </w:rPr>
        <w:t xml:space="preserve">homme font partie des attributions de plusieurs </w:t>
      </w:r>
      <w:r>
        <w:rPr>
          <w:lang w:val="fr-FR"/>
        </w:rPr>
        <w:t xml:space="preserve">départements </w:t>
      </w:r>
      <w:r w:rsidRPr="008936B0">
        <w:rPr>
          <w:lang w:val="fr-FR"/>
        </w:rPr>
        <w:t>ministériels</w:t>
      </w:r>
      <w:r>
        <w:rPr>
          <w:lang w:val="fr-FR"/>
        </w:rPr>
        <w:t> :</w:t>
      </w:r>
      <w:r w:rsidRPr="008936B0">
        <w:rPr>
          <w:lang w:val="fr-FR"/>
        </w:rPr>
        <w:t xml:space="preserve"> </w:t>
      </w:r>
      <w:r>
        <w:rPr>
          <w:lang w:val="fr-FR"/>
        </w:rPr>
        <w:t xml:space="preserve">par exemple </w:t>
      </w:r>
      <w:r w:rsidRPr="008936B0">
        <w:rPr>
          <w:lang w:val="fr-FR"/>
        </w:rPr>
        <w:t>la Direction des droits de l</w:t>
      </w:r>
      <w:r>
        <w:rPr>
          <w:lang w:val="fr-FR"/>
        </w:rPr>
        <w:t>’</w:t>
      </w:r>
      <w:r w:rsidRPr="008936B0">
        <w:rPr>
          <w:lang w:val="fr-FR"/>
        </w:rPr>
        <w:t>homme et du droit international humanitaire (Ministère de la défense), la Direction des affaires internationales (Ministère du travail), le Secrétariat national à l</w:t>
      </w:r>
      <w:r>
        <w:rPr>
          <w:lang w:val="fr-FR"/>
        </w:rPr>
        <w:t>’</w:t>
      </w:r>
      <w:r w:rsidRPr="008936B0">
        <w:rPr>
          <w:lang w:val="fr-FR"/>
        </w:rPr>
        <w:t>enfance, à l</w:t>
      </w:r>
      <w:r>
        <w:rPr>
          <w:lang w:val="fr-FR"/>
        </w:rPr>
        <w:t>’</w:t>
      </w:r>
      <w:r w:rsidRPr="008936B0">
        <w:rPr>
          <w:lang w:val="fr-FR"/>
        </w:rPr>
        <w:t>adolescence et à la famille, le Sous-Secrétariat aux politiques alimentaires (Ministère du développement social) la Direction des droits de l</w:t>
      </w:r>
      <w:r>
        <w:rPr>
          <w:lang w:val="fr-FR"/>
        </w:rPr>
        <w:t>’</w:t>
      </w:r>
      <w:r w:rsidRPr="008936B0">
        <w:rPr>
          <w:lang w:val="fr-FR"/>
        </w:rPr>
        <w:t xml:space="preserve">homme (Ministère des </w:t>
      </w:r>
      <w:r>
        <w:rPr>
          <w:lang w:val="fr-FR"/>
        </w:rPr>
        <w:t xml:space="preserve">relations extérieures </w:t>
      </w:r>
      <w:r w:rsidRPr="008936B0">
        <w:rPr>
          <w:lang w:val="fr-FR"/>
        </w:rPr>
        <w:t>et du culte).</w:t>
      </w:r>
    </w:p>
    <w:p w:rsidR="00B424EC" w:rsidRPr="00A379C0" w:rsidRDefault="00B424EC" w:rsidP="00B424EC">
      <w:pPr>
        <w:pStyle w:val="SingleTxt"/>
        <w:tabs>
          <w:tab w:val="clear" w:pos="1742"/>
        </w:tabs>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8936B0">
        <w:rPr>
          <w:lang w:val="fr-FR"/>
        </w:rPr>
        <w:tab/>
        <w:t>Programme «</w:t>
      </w:r>
      <w:r>
        <w:rPr>
          <w:lang w:val="fr-FR"/>
        </w:rPr>
        <w:t> </w:t>
      </w:r>
      <w:r w:rsidRPr="008936B0">
        <w:rPr>
          <w:lang w:val="fr-FR"/>
        </w:rPr>
        <w:t>Les victimes contre les violences</w:t>
      </w:r>
      <w:r>
        <w:rPr>
          <w:lang w:val="fr-FR"/>
        </w:rPr>
        <w:t> </w:t>
      </w:r>
      <w:r w:rsidRPr="008936B0">
        <w:rPr>
          <w:lang w:val="fr-FR"/>
        </w:rPr>
        <w:t>»</w:t>
      </w:r>
    </w:p>
    <w:p w:rsidR="00B424EC" w:rsidRPr="00A379C0"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B424EC" w:rsidRDefault="00B424EC" w:rsidP="00B424EC">
      <w:pPr>
        <w:pStyle w:val="SingleTxt"/>
        <w:numPr>
          <w:ilvl w:val="0"/>
          <w:numId w:val="17"/>
        </w:numPr>
        <w:tabs>
          <w:tab w:val="clear" w:pos="475"/>
          <w:tab w:val="num" w:pos="1742"/>
        </w:tabs>
        <w:ind w:left="1267"/>
        <w:rPr>
          <w:lang w:val="fr-FR"/>
        </w:rPr>
      </w:pPr>
      <w:r w:rsidRPr="008936B0">
        <w:t>Ce</w:t>
      </w:r>
      <w:r w:rsidRPr="008936B0">
        <w:rPr>
          <w:lang w:val="fr-FR"/>
        </w:rPr>
        <w:t xml:space="preserve"> programme apporte </w:t>
      </w:r>
      <w:r>
        <w:rPr>
          <w:lang w:val="fr-FR"/>
        </w:rPr>
        <w:t>une aide</w:t>
      </w:r>
      <w:r w:rsidRPr="008936B0">
        <w:rPr>
          <w:lang w:val="fr-FR"/>
        </w:rPr>
        <w:t xml:space="preserve"> aux victimes de violences de toute nature</w:t>
      </w:r>
      <w:r>
        <w:rPr>
          <w:lang w:val="fr-FR"/>
        </w:rPr>
        <w:t>,</w:t>
      </w:r>
      <w:r w:rsidRPr="008936B0">
        <w:rPr>
          <w:lang w:val="fr-FR"/>
        </w:rPr>
        <w:t xml:space="preserve"> (violences intrafamiliales, mauvais traitements, exploitation et prostitution des enfants) et </w:t>
      </w:r>
      <w:r>
        <w:rPr>
          <w:lang w:val="fr-FR"/>
        </w:rPr>
        <w:t>vise à les soutenir, leur assurer la sécurité et</w:t>
      </w:r>
      <w:r w:rsidRPr="008936B0">
        <w:rPr>
          <w:lang w:val="fr-FR"/>
        </w:rPr>
        <w:t xml:space="preserve"> garanti</w:t>
      </w:r>
      <w:r>
        <w:rPr>
          <w:lang w:val="fr-FR"/>
        </w:rPr>
        <w:t>r</w:t>
      </w:r>
      <w:r w:rsidRPr="008936B0">
        <w:rPr>
          <w:lang w:val="fr-FR"/>
        </w:rPr>
        <w:t xml:space="preserve"> l</w:t>
      </w:r>
      <w:r>
        <w:rPr>
          <w:lang w:val="fr-FR"/>
        </w:rPr>
        <w:t>’</w:t>
      </w:r>
      <w:r w:rsidRPr="008936B0">
        <w:rPr>
          <w:lang w:val="fr-FR"/>
        </w:rPr>
        <w:t>exercice de leurs droits.</w:t>
      </w:r>
    </w:p>
    <w:p w:rsidR="00B424EC" w:rsidRPr="00EF7F09" w:rsidRDefault="00B424EC" w:rsidP="00B424EC">
      <w:pPr>
        <w:pStyle w:val="SingleTxt"/>
        <w:numPr>
          <w:ilvl w:val="0"/>
          <w:numId w:val="17"/>
        </w:numPr>
        <w:tabs>
          <w:tab w:val="clear" w:pos="475"/>
          <w:tab w:val="num" w:pos="1742"/>
        </w:tabs>
        <w:ind w:left="1267"/>
        <w:rPr>
          <w:lang w:val="fr-FR"/>
        </w:rPr>
      </w:pPr>
      <w:r>
        <w:t>Dans la ville autonome de Buenos Aires, le secrétariat du Programme enregistre les données relatives aux demandes d’aide reçues par la ligne téléphonique d’urgence (n</w:t>
      </w:r>
      <w:r w:rsidRPr="00094BA2">
        <w:rPr>
          <w:vertAlign w:val="superscript"/>
        </w:rPr>
        <w:t>o</w:t>
      </w:r>
      <w:r>
        <w:t xml:space="preserve"> 137), et décide alors d’envoyer au domicile de la victime une équipe mobile qui lui apportera assistance et réconfort et l’aidera à porter plainte. Ainsi le Programme permet une aide concrète et directe, apportée sur le lieu des faits. Il faut préciser que </w:t>
      </w:r>
      <w:r>
        <w:lastRenderedPageBreak/>
        <w:t>les victimes de violences sexuelles doivent déposer leur plainte au commissariat et que les actions prévues par le Programme commencent ensuite.</w:t>
      </w:r>
    </w:p>
    <w:p w:rsidR="00B424EC" w:rsidRPr="00EF7F09" w:rsidRDefault="00B424EC" w:rsidP="00B424EC">
      <w:pPr>
        <w:pStyle w:val="SingleTxt"/>
        <w:tabs>
          <w:tab w:val="clear" w:pos="1742"/>
        </w:tabs>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E2D12">
        <w:t>Unités spéciales des forces de sécurité fédérales</w:t>
      </w:r>
    </w:p>
    <w:p w:rsidR="00B424EC" w:rsidRPr="00EF7F09" w:rsidRDefault="00B424EC" w:rsidP="00B424EC">
      <w:pPr>
        <w:pStyle w:val="SingleTxt"/>
        <w:spacing w:after="0" w:line="120" w:lineRule="exact"/>
        <w:rPr>
          <w:sz w:val="10"/>
        </w:rPr>
      </w:pPr>
    </w:p>
    <w:p w:rsidR="00B424EC" w:rsidRPr="00EF7F09" w:rsidRDefault="00B424EC" w:rsidP="00B424EC">
      <w:pPr>
        <w:pStyle w:val="SingleTxt"/>
        <w:numPr>
          <w:ilvl w:val="0"/>
          <w:numId w:val="17"/>
        </w:numPr>
        <w:tabs>
          <w:tab w:val="clear" w:pos="475"/>
          <w:tab w:val="num" w:pos="1742"/>
        </w:tabs>
        <w:ind w:left="1267"/>
        <w:rPr>
          <w:lang w:val="fr-FR"/>
        </w:rPr>
      </w:pPr>
      <w:r>
        <w:t xml:space="preserve">Le Ministère de la sécurité de la Nation, créé en décembre 2010, a sous sa tutelle la Police fédérale, la </w:t>
      </w:r>
      <w:r w:rsidRPr="003E2D12">
        <w:rPr>
          <w:i/>
        </w:rPr>
        <w:t>Prefectura naval</w:t>
      </w:r>
      <w:r>
        <w:t xml:space="preserve">, la </w:t>
      </w:r>
      <w:r w:rsidRPr="003E2D12">
        <w:rPr>
          <w:i/>
        </w:rPr>
        <w:t>Gendarmería</w:t>
      </w:r>
      <w:r>
        <w:rPr>
          <w:i/>
        </w:rPr>
        <w:t xml:space="preserve"> </w:t>
      </w:r>
      <w:r>
        <w:t xml:space="preserve">et le Conseil fédéral, qui dépendaient auparavant du Ministère de la justice, de la sécurité et des droits de l’homme. Par décision ministérielle, la </w:t>
      </w:r>
      <w:r w:rsidRPr="003E2D12">
        <w:rPr>
          <w:i/>
        </w:rPr>
        <w:t>Gendarmería</w:t>
      </w:r>
      <w:r>
        <w:t xml:space="preserve">, la Police fédérale, la </w:t>
      </w:r>
      <w:r w:rsidRPr="003E2D12">
        <w:rPr>
          <w:i/>
        </w:rPr>
        <w:t>Prefectura naval</w:t>
      </w:r>
      <w:r>
        <w:t xml:space="preserve"> et la police aéroportuaire sont tenues de créer des unités spéciales chargées de mener à bien les actions visant à prévenir la traite des êtres humains et à enquêter sur les cas de traite, ainsi que les activités de renseignement nécessaires.</w:t>
      </w:r>
    </w:p>
    <w:p w:rsidR="00B424EC" w:rsidRPr="00EF7F09" w:rsidRDefault="00B424EC" w:rsidP="00B424EC">
      <w:pPr>
        <w:pStyle w:val="SingleTxt"/>
        <w:tabs>
          <w:tab w:val="clear" w:pos="1742"/>
        </w:tabs>
        <w:spacing w:after="0" w:line="120" w:lineRule="exact"/>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936B0">
        <w:t>Bureau d</w:t>
      </w:r>
      <w:r>
        <w:t xml:space="preserve">e secours et d’assistance </w:t>
      </w:r>
      <w:r w:rsidRPr="008936B0">
        <w:t>aux victimes de la traite</w:t>
      </w:r>
    </w:p>
    <w:p w:rsidR="00B424EC" w:rsidRPr="00EF7F09" w:rsidRDefault="00B424EC" w:rsidP="00B424EC">
      <w:pPr>
        <w:pStyle w:val="SingleTxt"/>
        <w:spacing w:after="0" w:line="120" w:lineRule="exact"/>
        <w:rPr>
          <w:sz w:val="10"/>
        </w:rPr>
      </w:pPr>
    </w:p>
    <w:p w:rsidR="00B424EC" w:rsidRDefault="00B424EC" w:rsidP="00B424EC">
      <w:pPr>
        <w:pStyle w:val="SingleTxt"/>
        <w:numPr>
          <w:ilvl w:val="0"/>
          <w:numId w:val="17"/>
        </w:numPr>
        <w:tabs>
          <w:tab w:val="clear" w:pos="475"/>
          <w:tab w:val="num" w:pos="1742"/>
        </w:tabs>
        <w:ind w:left="1267"/>
        <w:rPr>
          <w:lang w:val="fr-FR"/>
        </w:rPr>
      </w:pPr>
      <w:r>
        <w:rPr>
          <w:lang w:val="fr-FR"/>
        </w:rPr>
        <w:t>Le bureau</w:t>
      </w:r>
      <w:r w:rsidRPr="008936B0">
        <w:rPr>
          <w:lang w:val="fr-FR"/>
        </w:rPr>
        <w:t xml:space="preserve"> centralise toutes les activités concernant la prévention de la traite des personnes et les enquêtes sur les cas de traite, ainsi que l</w:t>
      </w:r>
      <w:r>
        <w:rPr>
          <w:lang w:val="fr-FR"/>
        </w:rPr>
        <w:t>’</w:t>
      </w:r>
      <w:r w:rsidRPr="008936B0">
        <w:rPr>
          <w:lang w:val="fr-FR"/>
        </w:rPr>
        <w:t>accompagnement et l</w:t>
      </w:r>
      <w:r>
        <w:rPr>
          <w:lang w:val="fr-FR"/>
        </w:rPr>
        <w:t>’</w:t>
      </w:r>
      <w:r w:rsidRPr="008936B0">
        <w:rPr>
          <w:lang w:val="fr-FR"/>
        </w:rPr>
        <w:t xml:space="preserve">aide </w:t>
      </w:r>
      <w:r>
        <w:rPr>
          <w:lang w:val="fr-FR"/>
        </w:rPr>
        <w:t xml:space="preserve">d’ordre juridique </w:t>
      </w:r>
      <w:r w:rsidRPr="008936B0">
        <w:rPr>
          <w:lang w:val="fr-FR"/>
        </w:rPr>
        <w:t>aux victimes jusqu</w:t>
      </w:r>
      <w:r>
        <w:rPr>
          <w:lang w:val="fr-FR"/>
        </w:rPr>
        <w:t>’</w:t>
      </w:r>
      <w:r w:rsidRPr="008936B0">
        <w:rPr>
          <w:lang w:val="fr-FR"/>
        </w:rPr>
        <w:t>à leur déposition. Une fois qu</w:t>
      </w:r>
      <w:r>
        <w:rPr>
          <w:lang w:val="fr-FR"/>
        </w:rPr>
        <w:t>’</w:t>
      </w:r>
      <w:r w:rsidRPr="008936B0">
        <w:rPr>
          <w:lang w:val="fr-FR"/>
        </w:rPr>
        <w:t xml:space="preserve">elles ont fait leur </w:t>
      </w:r>
      <w:r>
        <w:rPr>
          <w:lang w:val="fr-FR"/>
        </w:rPr>
        <w:t>déclaration</w:t>
      </w:r>
      <w:r w:rsidRPr="008936B0">
        <w:rPr>
          <w:lang w:val="fr-FR"/>
        </w:rPr>
        <w:t xml:space="preserve">, les victimes </w:t>
      </w:r>
      <w:r>
        <w:rPr>
          <w:lang w:val="fr-FR"/>
        </w:rPr>
        <w:t>b</w:t>
      </w:r>
      <w:r w:rsidRPr="008936B0">
        <w:rPr>
          <w:lang w:val="fr-FR"/>
        </w:rPr>
        <w:t>énéfici</w:t>
      </w:r>
      <w:r>
        <w:rPr>
          <w:lang w:val="fr-FR"/>
        </w:rPr>
        <w:t>ent</w:t>
      </w:r>
      <w:r w:rsidRPr="008936B0">
        <w:rPr>
          <w:lang w:val="fr-FR"/>
        </w:rPr>
        <w:t xml:space="preserve"> des programmes spécialisés d</w:t>
      </w:r>
      <w:r>
        <w:rPr>
          <w:lang w:val="fr-FR"/>
        </w:rPr>
        <w:t>’</w:t>
      </w:r>
      <w:r w:rsidRPr="008936B0">
        <w:rPr>
          <w:lang w:val="fr-FR"/>
        </w:rPr>
        <w:t>aide aux victimes de la traite.</w:t>
      </w:r>
    </w:p>
    <w:p w:rsidR="00B424EC" w:rsidRPr="00EF7F09" w:rsidRDefault="00B424EC" w:rsidP="00B424EC">
      <w:pPr>
        <w:pStyle w:val="SingleTxt"/>
        <w:tabs>
          <w:tab w:val="clear" w:pos="1742"/>
        </w:tabs>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936B0">
        <w:rPr>
          <w:lang w:val="fr-FR"/>
        </w:rPr>
        <w:tab/>
      </w:r>
      <w:r w:rsidRPr="008936B0">
        <w:rPr>
          <w:lang w:val="fr-FR"/>
        </w:rPr>
        <w:tab/>
        <w:t xml:space="preserve">Programme national de prévention des enlèvements et </w:t>
      </w:r>
      <w:r>
        <w:rPr>
          <w:lang w:val="fr-FR"/>
        </w:rPr>
        <w:t>du trafic d’</w:t>
      </w:r>
      <w:r w:rsidRPr="008936B0">
        <w:rPr>
          <w:lang w:val="fr-FR"/>
        </w:rPr>
        <w:t xml:space="preserve">enfants, </w:t>
      </w:r>
      <w:r>
        <w:rPr>
          <w:lang w:val="fr-FR"/>
        </w:rPr>
        <w:br/>
      </w:r>
      <w:r w:rsidRPr="008936B0">
        <w:rPr>
          <w:lang w:val="fr-FR"/>
        </w:rPr>
        <w:t xml:space="preserve">ainsi que des atteintes à leur identité </w:t>
      </w:r>
      <w:r>
        <w:rPr>
          <w:lang w:val="fr-FR"/>
        </w:rPr>
        <w:t>–</w:t>
      </w:r>
      <w:r w:rsidRPr="008936B0">
        <w:rPr>
          <w:lang w:val="fr-FR"/>
        </w:rPr>
        <w:t xml:space="preserve"> </w:t>
      </w:r>
      <w:r w:rsidRPr="008936B0">
        <w:t>Registre national d</w:t>
      </w:r>
      <w:r>
        <w:t>’</w:t>
      </w:r>
      <w:r w:rsidRPr="008936B0">
        <w:t xml:space="preserve">information </w:t>
      </w:r>
      <w:r>
        <w:br/>
      </w:r>
      <w:r w:rsidRPr="008936B0">
        <w:t>sur les mineurs disparus</w:t>
      </w:r>
    </w:p>
    <w:p w:rsidR="00B424EC" w:rsidRPr="00EF7F09" w:rsidRDefault="00B424EC" w:rsidP="00B424EC">
      <w:pPr>
        <w:pStyle w:val="SingleTxt"/>
        <w:spacing w:after="0" w:line="120" w:lineRule="exact"/>
        <w:rPr>
          <w:sz w:val="10"/>
        </w:rPr>
      </w:pPr>
    </w:p>
    <w:p w:rsidR="00B424EC" w:rsidRDefault="00B424EC" w:rsidP="00B424EC">
      <w:pPr>
        <w:pStyle w:val="SingleTxt"/>
        <w:numPr>
          <w:ilvl w:val="0"/>
          <w:numId w:val="17"/>
        </w:numPr>
        <w:tabs>
          <w:tab w:val="clear" w:pos="475"/>
          <w:tab w:val="num" w:pos="1742"/>
        </w:tabs>
        <w:ind w:left="1267"/>
        <w:rPr>
          <w:lang w:val="fr-FR"/>
        </w:rPr>
      </w:pPr>
      <w:r>
        <w:rPr>
          <w:lang w:val="fr-FR"/>
        </w:rPr>
        <w:t>Le R</w:t>
      </w:r>
      <w:r w:rsidRPr="008936B0">
        <w:rPr>
          <w:lang w:val="fr-FR"/>
        </w:rPr>
        <w:t>egistre national d</w:t>
      </w:r>
      <w:r>
        <w:rPr>
          <w:lang w:val="fr-FR"/>
        </w:rPr>
        <w:t>’</w:t>
      </w:r>
      <w:r w:rsidRPr="008936B0">
        <w:rPr>
          <w:lang w:val="fr-FR"/>
        </w:rPr>
        <w:t xml:space="preserve">information sur les mineurs disparus a </w:t>
      </w:r>
      <w:r>
        <w:rPr>
          <w:lang w:val="fr-FR"/>
        </w:rPr>
        <w:t xml:space="preserve">été mis en place pour </w:t>
      </w:r>
      <w:r w:rsidRPr="008936B0">
        <w:rPr>
          <w:lang w:val="fr-FR"/>
        </w:rPr>
        <w:t xml:space="preserve">classer et recouper dans une base de données les informations provenant de tout le pays </w:t>
      </w:r>
      <w:r>
        <w:rPr>
          <w:lang w:val="fr-FR"/>
        </w:rPr>
        <w:t>sur</w:t>
      </w:r>
      <w:r w:rsidRPr="008936B0">
        <w:rPr>
          <w:lang w:val="fr-FR"/>
        </w:rPr>
        <w:t xml:space="preserve"> les mineurs de moins de 15 ans disparus, ceux qui ont été </w:t>
      </w:r>
      <w:r>
        <w:rPr>
          <w:lang w:val="fr-FR"/>
        </w:rPr>
        <w:t>retrouv</w:t>
      </w:r>
      <w:r w:rsidRPr="008936B0">
        <w:rPr>
          <w:lang w:val="fr-FR"/>
        </w:rPr>
        <w:t xml:space="preserve">és </w:t>
      </w:r>
      <w:r>
        <w:rPr>
          <w:lang w:val="fr-FR"/>
        </w:rPr>
        <w:t xml:space="preserve">ou sont placés </w:t>
      </w:r>
      <w:r w:rsidRPr="008936B0">
        <w:rPr>
          <w:lang w:val="fr-FR"/>
        </w:rPr>
        <w:t>dans des établissements d</w:t>
      </w:r>
      <w:r>
        <w:rPr>
          <w:lang w:val="fr-FR"/>
        </w:rPr>
        <w:t>’</w:t>
      </w:r>
      <w:r w:rsidRPr="008936B0">
        <w:rPr>
          <w:lang w:val="fr-FR"/>
        </w:rPr>
        <w:t>accueil, de</w:t>
      </w:r>
      <w:r>
        <w:rPr>
          <w:lang w:val="fr-FR"/>
        </w:rPr>
        <w:t>s</w:t>
      </w:r>
      <w:r w:rsidRPr="008936B0">
        <w:rPr>
          <w:lang w:val="fr-FR"/>
        </w:rPr>
        <w:t xml:space="preserve"> </w:t>
      </w:r>
      <w:r>
        <w:rPr>
          <w:lang w:val="fr-FR"/>
        </w:rPr>
        <w:t xml:space="preserve">refuges ou des centres de détention </w:t>
      </w:r>
      <w:r w:rsidRPr="008936B0">
        <w:rPr>
          <w:lang w:val="fr-FR"/>
        </w:rPr>
        <w:t>et dont on ignore la filiation ou l</w:t>
      </w:r>
      <w:r>
        <w:rPr>
          <w:lang w:val="fr-FR"/>
        </w:rPr>
        <w:t>’</w:t>
      </w:r>
      <w:r w:rsidRPr="008936B0">
        <w:rPr>
          <w:lang w:val="fr-FR"/>
        </w:rPr>
        <w:t>identité.</w:t>
      </w:r>
    </w:p>
    <w:p w:rsidR="00B424EC" w:rsidRPr="00EF7F09" w:rsidRDefault="00B424EC" w:rsidP="00B424EC">
      <w:pPr>
        <w:pStyle w:val="SingleTxt"/>
        <w:tabs>
          <w:tab w:val="clear" w:pos="1742"/>
        </w:tabs>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8936B0">
        <w:rPr>
          <w:lang w:val="fr-FR"/>
        </w:rPr>
        <w:tab/>
      </w:r>
      <w:r>
        <w:rPr>
          <w:lang w:val="fr-FR"/>
        </w:rPr>
        <w:t>Service</w:t>
      </w:r>
      <w:r w:rsidRPr="008936B0">
        <w:rPr>
          <w:lang w:val="fr-FR"/>
        </w:rPr>
        <w:t xml:space="preserve"> d</w:t>
      </w:r>
      <w:r>
        <w:rPr>
          <w:lang w:val="fr-FR"/>
        </w:rPr>
        <w:t>’</w:t>
      </w:r>
      <w:r w:rsidRPr="008936B0">
        <w:rPr>
          <w:lang w:val="fr-FR"/>
        </w:rPr>
        <w:t>aide aux victimes</w:t>
      </w:r>
      <w:r>
        <w:rPr>
          <w:lang w:val="fr-FR"/>
        </w:rPr>
        <w:t xml:space="preserve"> d’infractions</w:t>
      </w:r>
    </w:p>
    <w:p w:rsidR="00B424EC" w:rsidRPr="00EF7F09" w:rsidRDefault="00B424EC" w:rsidP="00B424EC">
      <w:pPr>
        <w:pStyle w:val="SingleTxt"/>
        <w:spacing w:after="0" w:line="120" w:lineRule="exact"/>
        <w:rPr>
          <w:sz w:val="10"/>
          <w:lang w:val="fr-FR"/>
        </w:rPr>
      </w:pPr>
    </w:p>
    <w:p w:rsidR="00B424EC" w:rsidRPr="00464133" w:rsidRDefault="00B424EC" w:rsidP="00B424EC">
      <w:pPr>
        <w:pStyle w:val="SingleTxt"/>
        <w:numPr>
          <w:ilvl w:val="0"/>
          <w:numId w:val="17"/>
        </w:numPr>
        <w:tabs>
          <w:tab w:val="clear" w:pos="475"/>
          <w:tab w:val="num" w:pos="1742"/>
        </w:tabs>
        <w:ind w:left="1267"/>
        <w:rPr>
          <w:lang w:val="fr-FR"/>
        </w:rPr>
      </w:pPr>
      <w:r>
        <w:t>Le Service d’aide aux victimes d’infractions, qui dépend du Bureau du Procureur général de la Nation, est notamment chargé de conseiller les victimes d’infractions, en particulier celles qui ont peu de ressources, sur les possibilités offertes par l’État pour obtenir une assistance, et d’orienter les victimes dont la situation sociale est complexe vers les organismes publics et non gouvernementaux qui peuvent les aider.</w:t>
      </w:r>
    </w:p>
    <w:p w:rsidR="00B424EC" w:rsidRPr="00464133" w:rsidRDefault="00B424EC" w:rsidP="00B424EC">
      <w:pPr>
        <w:pStyle w:val="SingleTxt"/>
        <w:tabs>
          <w:tab w:val="clear" w:pos="1742"/>
        </w:tabs>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936B0">
        <w:rPr>
          <w:lang w:val="fr-FR"/>
        </w:rPr>
        <w:tab/>
      </w:r>
      <w:r w:rsidRPr="008936B0">
        <w:rPr>
          <w:lang w:val="fr-FR"/>
        </w:rPr>
        <w:tab/>
      </w:r>
      <w:r>
        <w:rPr>
          <w:lang w:val="fr-FR"/>
        </w:rPr>
        <w:t>Unité spécialisée dans l</w:t>
      </w:r>
      <w:r w:rsidRPr="008936B0">
        <w:t>es affaires d</w:t>
      </w:r>
      <w:r>
        <w:t>’</w:t>
      </w:r>
      <w:r w:rsidRPr="008936B0">
        <w:t xml:space="preserve">enlèvement contre rançon </w:t>
      </w:r>
      <w:r>
        <w:br/>
      </w:r>
      <w:r w:rsidRPr="008936B0">
        <w:t xml:space="preserve">et de traite des personnes </w:t>
      </w:r>
    </w:p>
    <w:p w:rsidR="00B424EC" w:rsidRPr="00464133" w:rsidRDefault="00B424EC" w:rsidP="00B424EC">
      <w:pPr>
        <w:pStyle w:val="SingleTxt"/>
        <w:spacing w:after="0" w:line="120" w:lineRule="exact"/>
        <w:rPr>
          <w:sz w:val="10"/>
        </w:rPr>
      </w:pPr>
    </w:p>
    <w:p w:rsidR="00B424EC" w:rsidRDefault="00B424EC" w:rsidP="00B424EC">
      <w:pPr>
        <w:pStyle w:val="SingleTxt"/>
        <w:numPr>
          <w:ilvl w:val="0"/>
          <w:numId w:val="17"/>
        </w:numPr>
        <w:tabs>
          <w:tab w:val="clear" w:pos="475"/>
          <w:tab w:val="num" w:pos="1742"/>
        </w:tabs>
        <w:ind w:left="1267"/>
        <w:rPr>
          <w:lang w:val="fr-FR"/>
        </w:rPr>
      </w:pPr>
      <w:r w:rsidRPr="008936B0">
        <w:rPr>
          <w:lang w:val="fr-FR"/>
        </w:rPr>
        <w:t>Ce</w:t>
      </w:r>
      <w:r>
        <w:rPr>
          <w:lang w:val="fr-FR"/>
        </w:rPr>
        <w:t>tte unité fournit un appui</w:t>
      </w:r>
      <w:r w:rsidRPr="008936B0">
        <w:rPr>
          <w:lang w:val="fr-FR"/>
        </w:rPr>
        <w:t xml:space="preserve"> </w:t>
      </w:r>
      <w:r>
        <w:rPr>
          <w:lang w:val="fr-FR"/>
        </w:rPr>
        <w:t>à tous les parquets</w:t>
      </w:r>
      <w:r w:rsidRPr="008936B0">
        <w:rPr>
          <w:lang w:val="fr-FR"/>
        </w:rPr>
        <w:t xml:space="preserve"> du pays dans les affaires d</w:t>
      </w:r>
      <w:r>
        <w:rPr>
          <w:lang w:val="fr-FR"/>
        </w:rPr>
        <w:t>’</w:t>
      </w:r>
      <w:r w:rsidRPr="008936B0">
        <w:rPr>
          <w:lang w:val="fr-FR"/>
        </w:rPr>
        <w:t>enlèvement et de traite des personnes</w:t>
      </w:r>
      <w:r>
        <w:rPr>
          <w:lang w:val="fr-FR"/>
        </w:rPr>
        <w:t xml:space="preserve">, </w:t>
      </w:r>
      <w:r w:rsidRPr="008936B0">
        <w:rPr>
          <w:lang w:val="fr-FR"/>
        </w:rPr>
        <w:t xml:space="preserve">à la demande </w:t>
      </w:r>
      <w:r>
        <w:rPr>
          <w:lang w:val="fr-FR"/>
        </w:rPr>
        <w:t xml:space="preserve">du procureur saisi de l’affaire et sur instructions de celui-ci. Elle </w:t>
      </w:r>
      <w:r w:rsidRPr="008936B0">
        <w:rPr>
          <w:lang w:val="fr-FR"/>
        </w:rPr>
        <w:t xml:space="preserve">coordonne également les activités de formation et administre une base de données </w:t>
      </w:r>
      <w:r>
        <w:rPr>
          <w:lang w:val="fr-FR"/>
        </w:rPr>
        <w:t>relatives aux</w:t>
      </w:r>
      <w:r w:rsidRPr="008936B0">
        <w:rPr>
          <w:lang w:val="fr-FR"/>
        </w:rPr>
        <w:t xml:space="preserve"> enlèvements contre rançon et </w:t>
      </w:r>
      <w:r>
        <w:rPr>
          <w:lang w:val="fr-FR"/>
        </w:rPr>
        <w:t xml:space="preserve">à </w:t>
      </w:r>
      <w:r w:rsidRPr="008936B0">
        <w:rPr>
          <w:lang w:val="fr-FR"/>
        </w:rPr>
        <w:t>la traite des personnes.</w:t>
      </w:r>
    </w:p>
    <w:p w:rsidR="00B424EC" w:rsidRPr="00464133" w:rsidRDefault="00B424EC" w:rsidP="00B424EC">
      <w:pPr>
        <w:pStyle w:val="SingleTxt"/>
        <w:tabs>
          <w:tab w:val="clear" w:pos="1742"/>
        </w:tabs>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8936B0">
        <w:rPr>
          <w:lang w:val="fr-FR"/>
        </w:rPr>
        <w:tab/>
      </w:r>
      <w:r>
        <w:rPr>
          <w:lang w:val="fr-FR"/>
        </w:rPr>
        <w:t xml:space="preserve">Unité spécialisée dans </w:t>
      </w:r>
      <w:r w:rsidRPr="008936B0">
        <w:rPr>
          <w:lang w:val="fr-FR"/>
        </w:rPr>
        <w:t>les atteintes à l</w:t>
      </w:r>
      <w:r>
        <w:rPr>
          <w:lang w:val="fr-FR"/>
        </w:rPr>
        <w:t>’</w:t>
      </w:r>
      <w:r w:rsidRPr="008936B0">
        <w:rPr>
          <w:lang w:val="fr-FR"/>
        </w:rPr>
        <w:t xml:space="preserve">intégrité sexuelle, la traite </w:t>
      </w:r>
      <w:r>
        <w:rPr>
          <w:lang w:val="fr-FR"/>
        </w:rPr>
        <w:br/>
      </w:r>
      <w:r w:rsidRPr="008936B0">
        <w:rPr>
          <w:lang w:val="fr-FR"/>
        </w:rPr>
        <w:t>des êtres humains</w:t>
      </w:r>
      <w:r>
        <w:rPr>
          <w:lang w:val="fr-FR"/>
        </w:rPr>
        <w:t xml:space="preserve"> et la prostitution des enfants</w:t>
      </w:r>
    </w:p>
    <w:p w:rsidR="00B424EC" w:rsidRPr="00464133" w:rsidRDefault="00B424EC" w:rsidP="00B424EC">
      <w:pPr>
        <w:pStyle w:val="SingleTxt"/>
        <w:spacing w:after="0" w:line="120" w:lineRule="exact"/>
        <w:rPr>
          <w:sz w:val="10"/>
          <w:lang w:val="fr-FR"/>
        </w:rPr>
      </w:pPr>
    </w:p>
    <w:p w:rsidR="00B424EC" w:rsidRDefault="00B424EC" w:rsidP="00B424EC">
      <w:pPr>
        <w:pStyle w:val="SingleTxt"/>
        <w:numPr>
          <w:ilvl w:val="0"/>
          <w:numId w:val="17"/>
        </w:numPr>
        <w:tabs>
          <w:tab w:val="clear" w:pos="475"/>
          <w:tab w:val="num" w:pos="1742"/>
        </w:tabs>
        <w:ind w:left="1267"/>
        <w:rPr>
          <w:lang w:val="fr-FR"/>
        </w:rPr>
      </w:pPr>
      <w:r>
        <w:rPr>
          <w:lang w:val="fr-FR"/>
        </w:rPr>
        <w:t>Cette unité appartient au ressort de</w:t>
      </w:r>
      <w:r w:rsidRPr="008936B0">
        <w:rPr>
          <w:lang w:val="fr-FR"/>
        </w:rPr>
        <w:t xml:space="preserve"> la ville autonome de Buenos Aires.</w:t>
      </w:r>
    </w:p>
    <w:p w:rsidR="00B424EC" w:rsidRPr="0005507F" w:rsidRDefault="00B424EC" w:rsidP="00B424EC">
      <w:pPr>
        <w:pStyle w:val="SingleTxt"/>
        <w:tabs>
          <w:tab w:val="clear" w:pos="1742"/>
        </w:tabs>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8936B0">
        <w:rPr>
          <w:lang w:val="fr-FR"/>
        </w:rPr>
        <w:tab/>
        <w:t xml:space="preserve">Bureau </w:t>
      </w:r>
      <w:r>
        <w:rPr>
          <w:lang w:val="fr-FR"/>
        </w:rPr>
        <w:t>d</w:t>
      </w:r>
      <w:r w:rsidRPr="008936B0">
        <w:rPr>
          <w:lang w:val="fr-FR"/>
        </w:rPr>
        <w:t>es violences intrafamiliales de la Cour suprême de justice</w:t>
      </w:r>
    </w:p>
    <w:p w:rsidR="00B424EC" w:rsidRPr="0005507F" w:rsidRDefault="00B424EC" w:rsidP="00B424EC">
      <w:pPr>
        <w:pStyle w:val="SingleTxt"/>
        <w:spacing w:after="0" w:line="120" w:lineRule="exact"/>
        <w:rPr>
          <w:b/>
          <w:sz w:val="10"/>
          <w:lang w:val="fr-FR"/>
        </w:rPr>
      </w:pPr>
    </w:p>
    <w:p w:rsidR="00B424EC" w:rsidRDefault="00B424EC" w:rsidP="00B424EC">
      <w:pPr>
        <w:pStyle w:val="SingleTxt"/>
        <w:numPr>
          <w:ilvl w:val="0"/>
          <w:numId w:val="17"/>
        </w:numPr>
        <w:tabs>
          <w:tab w:val="clear" w:pos="475"/>
          <w:tab w:val="num" w:pos="1742"/>
        </w:tabs>
        <w:ind w:left="1267"/>
        <w:rPr>
          <w:lang w:val="fr-FR"/>
        </w:rPr>
      </w:pPr>
      <w:r w:rsidRPr="008936B0">
        <w:rPr>
          <w:lang w:val="fr-FR"/>
        </w:rPr>
        <w:t>Il a</w:t>
      </w:r>
      <w:r>
        <w:rPr>
          <w:lang w:val="fr-FR"/>
        </w:rPr>
        <w:t>pporte aux</w:t>
      </w:r>
      <w:r w:rsidRPr="008936B0">
        <w:rPr>
          <w:lang w:val="fr-FR"/>
        </w:rPr>
        <w:t xml:space="preserve"> victimes </w:t>
      </w:r>
      <w:r>
        <w:rPr>
          <w:lang w:val="fr-FR"/>
        </w:rPr>
        <w:t xml:space="preserve">d’agression </w:t>
      </w:r>
      <w:r w:rsidRPr="008936B0">
        <w:rPr>
          <w:lang w:val="fr-FR"/>
        </w:rPr>
        <w:t xml:space="preserve">physique, psychologique ou économique, dans le cadre </w:t>
      </w:r>
      <w:r>
        <w:rPr>
          <w:lang w:val="fr-FR"/>
        </w:rPr>
        <w:t xml:space="preserve">de la </w:t>
      </w:r>
      <w:r w:rsidRPr="008936B0">
        <w:rPr>
          <w:lang w:val="fr-FR"/>
        </w:rPr>
        <w:t>famill</w:t>
      </w:r>
      <w:r>
        <w:rPr>
          <w:lang w:val="fr-FR"/>
        </w:rPr>
        <w:t>e l’assistance nécessaire pour avoir rapidement accès à</w:t>
      </w:r>
      <w:r w:rsidRPr="008936B0">
        <w:rPr>
          <w:lang w:val="fr-FR"/>
        </w:rPr>
        <w:t xml:space="preserve"> la justice. Il donne des informations et des conseils sur les </w:t>
      </w:r>
      <w:r>
        <w:rPr>
          <w:lang w:val="fr-FR"/>
        </w:rPr>
        <w:t xml:space="preserve">mesures judiciaires à prendre </w:t>
      </w:r>
      <w:r>
        <w:rPr>
          <w:lang w:val="fr-FR"/>
        </w:rPr>
        <w:lastRenderedPageBreak/>
        <w:t xml:space="preserve">en fonction de chaque cas, </w:t>
      </w:r>
      <w:r w:rsidRPr="008936B0">
        <w:rPr>
          <w:lang w:val="fr-FR"/>
        </w:rPr>
        <w:t xml:space="preserve">traite les plaintes, </w:t>
      </w:r>
      <w:r>
        <w:rPr>
          <w:lang w:val="fr-FR"/>
        </w:rPr>
        <w:t>constate</w:t>
      </w:r>
      <w:r w:rsidRPr="008936B0">
        <w:rPr>
          <w:lang w:val="fr-FR"/>
        </w:rPr>
        <w:t xml:space="preserve"> l</w:t>
      </w:r>
      <w:r>
        <w:rPr>
          <w:lang w:val="fr-FR"/>
        </w:rPr>
        <w:t>’</w:t>
      </w:r>
      <w:r w:rsidRPr="008936B0">
        <w:rPr>
          <w:lang w:val="fr-FR"/>
        </w:rPr>
        <w:t>état de la victime</w:t>
      </w:r>
      <w:r>
        <w:rPr>
          <w:lang w:val="fr-FR"/>
        </w:rPr>
        <w:t xml:space="preserve"> et les blessures qu’elle présente et établit immédiatement les certificats. </w:t>
      </w:r>
      <w:r w:rsidRPr="008936B0">
        <w:rPr>
          <w:lang w:val="fr-FR"/>
        </w:rPr>
        <w:t>Il travaille en collaboration avec d</w:t>
      </w:r>
      <w:r>
        <w:rPr>
          <w:lang w:val="fr-FR"/>
        </w:rPr>
        <w:t>’</w:t>
      </w:r>
      <w:r w:rsidRPr="008936B0">
        <w:rPr>
          <w:lang w:val="fr-FR"/>
        </w:rPr>
        <w:t>autres organismes publics auprès desquels il est possible de porter plainte</w:t>
      </w:r>
      <w:r>
        <w:rPr>
          <w:lang w:val="fr-FR"/>
        </w:rPr>
        <w:t> </w:t>
      </w:r>
      <w:r w:rsidRPr="008936B0">
        <w:rPr>
          <w:lang w:val="fr-FR"/>
        </w:rPr>
        <w:t xml:space="preserve">: commissariats, tribunaux, </w:t>
      </w:r>
      <w:r>
        <w:rPr>
          <w:lang w:val="fr-FR"/>
        </w:rPr>
        <w:t>bureaux des procureurs, Programme « L</w:t>
      </w:r>
      <w:r w:rsidRPr="008936B0">
        <w:rPr>
          <w:lang w:val="fr-FR"/>
        </w:rPr>
        <w:t xml:space="preserve">es victimes </w:t>
      </w:r>
      <w:r>
        <w:rPr>
          <w:lang w:val="fr-FR"/>
        </w:rPr>
        <w:t>contre l</w:t>
      </w:r>
      <w:r w:rsidRPr="008936B0">
        <w:rPr>
          <w:lang w:val="fr-FR"/>
        </w:rPr>
        <w:t>e</w:t>
      </w:r>
      <w:r>
        <w:rPr>
          <w:lang w:val="fr-FR"/>
        </w:rPr>
        <w:t>s</w:t>
      </w:r>
      <w:r w:rsidRPr="008936B0">
        <w:rPr>
          <w:lang w:val="fr-FR"/>
        </w:rPr>
        <w:t xml:space="preserve"> violences</w:t>
      </w:r>
      <w:r>
        <w:rPr>
          <w:lang w:val="fr-FR"/>
        </w:rPr>
        <w:t> »</w:t>
      </w:r>
      <w:r w:rsidRPr="008936B0">
        <w:rPr>
          <w:lang w:val="fr-FR"/>
        </w:rPr>
        <w:t>, services d</w:t>
      </w:r>
      <w:r>
        <w:rPr>
          <w:lang w:val="fr-FR"/>
        </w:rPr>
        <w:t>’</w:t>
      </w:r>
      <w:r w:rsidRPr="008936B0">
        <w:rPr>
          <w:lang w:val="fr-FR"/>
        </w:rPr>
        <w:t>urgence</w:t>
      </w:r>
      <w:r>
        <w:rPr>
          <w:lang w:val="fr-FR"/>
        </w:rPr>
        <w:t xml:space="preserve"> de la police</w:t>
      </w:r>
      <w:r w:rsidRPr="008936B0">
        <w:rPr>
          <w:lang w:val="fr-FR"/>
        </w:rPr>
        <w:t>.</w:t>
      </w:r>
    </w:p>
    <w:p w:rsidR="00B424EC" w:rsidRPr="00182B1B" w:rsidRDefault="00B424EC" w:rsidP="00B424EC">
      <w:pPr>
        <w:pStyle w:val="SingleTxt"/>
        <w:tabs>
          <w:tab w:val="clear" w:pos="1742"/>
        </w:tabs>
        <w:spacing w:after="0" w:line="120" w:lineRule="exact"/>
        <w:rPr>
          <w:sz w:val="10"/>
          <w:lang w:val="fr-FR"/>
        </w:rPr>
      </w:pPr>
    </w:p>
    <w:p w:rsidR="00B424EC" w:rsidRPr="00182B1B" w:rsidRDefault="00B424EC" w:rsidP="00B424EC">
      <w:pPr>
        <w:pStyle w:val="SingleTxt"/>
        <w:tabs>
          <w:tab w:val="clear" w:pos="1742"/>
        </w:tabs>
        <w:spacing w:after="0" w:line="120" w:lineRule="exact"/>
        <w:rPr>
          <w:sz w:val="10"/>
          <w:lang w:val="fr-FR"/>
        </w:rPr>
      </w:pPr>
    </w:p>
    <w:p w:rsidR="00B424EC" w:rsidRDefault="00B424EC" w:rsidP="00B424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182B1B">
        <w:rPr>
          <w:lang w:val="fr-FR"/>
        </w:rPr>
        <w:t>C.</w:t>
      </w:r>
      <w:r w:rsidRPr="00182B1B">
        <w:rPr>
          <w:lang w:val="fr-FR"/>
        </w:rPr>
        <w:tab/>
        <w:t>Cadre de la promotion des droits de l</w:t>
      </w:r>
      <w:r>
        <w:rPr>
          <w:lang w:val="fr-FR"/>
        </w:rPr>
        <w:t>’</w:t>
      </w:r>
      <w:r w:rsidRPr="00182B1B">
        <w:rPr>
          <w:lang w:val="fr-FR"/>
        </w:rPr>
        <w:t xml:space="preserve">homme au niveau national </w:t>
      </w:r>
    </w:p>
    <w:p w:rsidR="00B424EC" w:rsidRPr="00182B1B" w:rsidRDefault="00B424EC" w:rsidP="00B424EC">
      <w:pPr>
        <w:pStyle w:val="SingleTxt"/>
        <w:spacing w:after="0" w:line="120" w:lineRule="exact"/>
        <w:rPr>
          <w:sz w:val="10"/>
          <w:lang w:val="fr-FR"/>
        </w:rPr>
      </w:pPr>
    </w:p>
    <w:p w:rsidR="00B424EC" w:rsidRPr="00182B1B" w:rsidRDefault="00B424EC" w:rsidP="00B424EC">
      <w:pPr>
        <w:pStyle w:val="SingleTxt"/>
        <w:spacing w:after="0" w:line="120" w:lineRule="exact"/>
        <w:rPr>
          <w:sz w:val="10"/>
          <w:lang w:val="fr-FR"/>
        </w:rPr>
      </w:pPr>
    </w:p>
    <w:p w:rsidR="00B424EC" w:rsidRPr="00182B1B" w:rsidRDefault="00B424EC" w:rsidP="00B424EC">
      <w:pPr>
        <w:pStyle w:val="SingleTxt"/>
        <w:numPr>
          <w:ilvl w:val="0"/>
          <w:numId w:val="17"/>
        </w:numPr>
        <w:tabs>
          <w:tab w:val="clear" w:pos="475"/>
          <w:tab w:val="num" w:pos="1742"/>
        </w:tabs>
        <w:ind w:left="1267"/>
        <w:rPr>
          <w:lang w:val="fr-FR"/>
        </w:rPr>
      </w:pPr>
      <w:r>
        <w:rPr>
          <w:lang w:val="fr-FR"/>
        </w:rPr>
        <w:t>Le Sous-</w:t>
      </w:r>
      <w:r w:rsidRPr="00182B1B">
        <w:rPr>
          <w:lang w:val="fr-FR"/>
        </w:rPr>
        <w:t>Secrétariat à la promotion des droits de l</w:t>
      </w:r>
      <w:r>
        <w:rPr>
          <w:lang w:val="fr-FR"/>
        </w:rPr>
        <w:t>’</w:t>
      </w:r>
      <w:r w:rsidRPr="00182B1B">
        <w:rPr>
          <w:lang w:val="fr-FR"/>
        </w:rPr>
        <w:t>homme</w:t>
      </w:r>
      <w:r>
        <w:rPr>
          <w:lang w:val="fr-FR"/>
        </w:rPr>
        <w:t xml:space="preserve">, qui relève </w:t>
      </w:r>
      <w:r w:rsidRPr="00182B1B">
        <w:rPr>
          <w:lang w:val="fr-FR"/>
        </w:rPr>
        <w:t>du Se</w:t>
      </w:r>
      <w:r>
        <w:rPr>
          <w:lang w:val="fr-FR"/>
        </w:rPr>
        <w:t>crétariat aux droits de l’homme,</w:t>
      </w:r>
      <w:r w:rsidRPr="00182B1B">
        <w:rPr>
          <w:lang w:val="fr-FR"/>
        </w:rPr>
        <w:t xml:space="preserve"> </w:t>
      </w:r>
      <w:r>
        <w:rPr>
          <w:lang w:val="fr-FR"/>
        </w:rPr>
        <w:t>a</w:t>
      </w:r>
      <w:r w:rsidRPr="00182B1B">
        <w:rPr>
          <w:lang w:val="fr-FR"/>
        </w:rPr>
        <w:t xml:space="preserve"> les fonctions suivantes</w:t>
      </w:r>
      <w:r>
        <w:rPr>
          <w:lang w:val="fr-FR"/>
        </w:rPr>
        <w:t> </w:t>
      </w:r>
      <w:r w:rsidRPr="00182B1B">
        <w:rPr>
          <w:lang w:val="fr-FR"/>
        </w:rPr>
        <w:t xml:space="preserve">: </w:t>
      </w:r>
    </w:p>
    <w:p w:rsidR="00B424EC" w:rsidRPr="008936B0" w:rsidRDefault="00B424EC" w:rsidP="00B424EC">
      <w:pPr>
        <w:pStyle w:val="Bullet1"/>
        <w:rPr>
          <w:lang w:val="fr-FR"/>
        </w:rPr>
      </w:pPr>
      <w:r>
        <w:rPr>
          <w:lang w:val="fr-FR"/>
        </w:rPr>
        <w:t>Il é</w:t>
      </w:r>
      <w:r w:rsidRPr="00182B1B">
        <w:rPr>
          <w:lang w:val="fr-FR"/>
        </w:rPr>
        <w:t>labore des plans et des programmes spécialement destinés à promouvoir les droits de l</w:t>
      </w:r>
      <w:r>
        <w:rPr>
          <w:lang w:val="fr-FR"/>
        </w:rPr>
        <w:t>’</w:t>
      </w:r>
      <w:r w:rsidRPr="00182B1B">
        <w:rPr>
          <w:lang w:val="fr-FR"/>
        </w:rPr>
        <w:t>homme, individuels et collectifs</w:t>
      </w:r>
      <w:r w:rsidRPr="008936B0">
        <w:rPr>
          <w:lang w:val="fr-FR"/>
        </w:rPr>
        <w:t xml:space="preserve">, et surveille leur mise en œuvre; </w:t>
      </w:r>
    </w:p>
    <w:p w:rsidR="00B424EC" w:rsidRPr="008936B0" w:rsidRDefault="00B424EC" w:rsidP="00B424EC">
      <w:pPr>
        <w:pStyle w:val="Bullet1"/>
        <w:rPr>
          <w:lang w:val="fr-FR"/>
        </w:rPr>
      </w:pPr>
      <w:r>
        <w:rPr>
          <w:lang w:val="fr-FR"/>
        </w:rPr>
        <w:t>Il p</w:t>
      </w:r>
      <w:r w:rsidRPr="008936B0">
        <w:rPr>
          <w:lang w:val="fr-FR"/>
        </w:rPr>
        <w:t>articipe aux activités d</w:t>
      </w:r>
      <w:r>
        <w:rPr>
          <w:lang w:val="fr-FR"/>
        </w:rPr>
        <w:t>’information</w:t>
      </w:r>
      <w:r w:rsidRPr="008936B0">
        <w:rPr>
          <w:lang w:val="fr-FR"/>
        </w:rPr>
        <w:t xml:space="preserve"> et aux manifestations culturelles visant à promouvoir les droits de l</w:t>
      </w:r>
      <w:r>
        <w:rPr>
          <w:lang w:val="fr-FR"/>
        </w:rPr>
        <w:t>’</w:t>
      </w:r>
      <w:r w:rsidRPr="008936B0">
        <w:rPr>
          <w:lang w:val="fr-FR"/>
        </w:rPr>
        <w:t xml:space="preserve">homme; </w:t>
      </w:r>
    </w:p>
    <w:p w:rsidR="00B424EC" w:rsidRDefault="00B424EC" w:rsidP="00B424EC">
      <w:pPr>
        <w:pStyle w:val="Bullet1"/>
        <w:rPr>
          <w:lang w:val="fr-FR"/>
        </w:rPr>
      </w:pPr>
      <w:r>
        <w:rPr>
          <w:lang w:val="fr-FR"/>
        </w:rPr>
        <w:t>Il p</w:t>
      </w:r>
      <w:r w:rsidRPr="008936B0">
        <w:rPr>
          <w:lang w:val="fr-FR"/>
        </w:rPr>
        <w:t>lanifie, coordonne et dirige les activités de formation et de renforcement institutionnel dans le domaine des droits de l</w:t>
      </w:r>
      <w:r>
        <w:rPr>
          <w:lang w:val="fr-FR"/>
        </w:rPr>
        <w:t>’</w:t>
      </w:r>
      <w:r w:rsidRPr="008936B0">
        <w:rPr>
          <w:lang w:val="fr-FR"/>
        </w:rPr>
        <w:t>homme et du droit international humanitaire à l</w:t>
      </w:r>
      <w:r>
        <w:rPr>
          <w:lang w:val="fr-FR"/>
        </w:rPr>
        <w:t>’</w:t>
      </w:r>
      <w:r w:rsidRPr="008936B0">
        <w:rPr>
          <w:lang w:val="fr-FR"/>
        </w:rPr>
        <w:t xml:space="preserve">intention de la société civile et des administrations publiques, y compris </w:t>
      </w:r>
      <w:r>
        <w:rPr>
          <w:lang w:val="fr-FR"/>
        </w:rPr>
        <w:t>des forces armées, d</w:t>
      </w:r>
      <w:r w:rsidRPr="008936B0">
        <w:rPr>
          <w:lang w:val="fr-FR"/>
        </w:rPr>
        <w:t>es force</w:t>
      </w:r>
      <w:r>
        <w:rPr>
          <w:lang w:val="fr-FR"/>
        </w:rPr>
        <w:t>s de sécurité et de police et d</w:t>
      </w:r>
      <w:r w:rsidRPr="008936B0">
        <w:rPr>
          <w:lang w:val="fr-FR"/>
        </w:rPr>
        <w:t>es établissements pénitentiaires.</w:t>
      </w:r>
      <w:r>
        <w:rPr>
          <w:lang w:val="fr-FR"/>
        </w:rPr>
        <w:t xml:space="preserve"> </w:t>
      </w:r>
    </w:p>
    <w:p w:rsidR="00B424EC" w:rsidRPr="00182B1B" w:rsidRDefault="00B424EC" w:rsidP="00B424EC">
      <w:pPr>
        <w:pStyle w:val="Bullet1"/>
        <w:numPr>
          <w:ilvl w:val="0"/>
          <w:numId w:val="0"/>
        </w:numPr>
        <w:spacing w:after="0" w:line="120" w:lineRule="exact"/>
        <w:ind w:left="1743"/>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8936B0">
        <w:rPr>
          <w:lang w:val="fr-FR"/>
        </w:rPr>
        <w:tab/>
        <w:t>Promotion de l</w:t>
      </w:r>
      <w:r>
        <w:rPr>
          <w:lang w:val="fr-FR"/>
        </w:rPr>
        <w:t>’</w:t>
      </w:r>
      <w:r w:rsidRPr="008936B0">
        <w:rPr>
          <w:lang w:val="fr-FR"/>
        </w:rPr>
        <w:t>éducation et de la formation aux droits de l</w:t>
      </w:r>
      <w:r>
        <w:rPr>
          <w:lang w:val="fr-FR"/>
        </w:rPr>
        <w:t>’</w:t>
      </w:r>
      <w:r w:rsidRPr="008936B0">
        <w:rPr>
          <w:lang w:val="fr-FR"/>
        </w:rPr>
        <w:t xml:space="preserve">homme </w:t>
      </w:r>
    </w:p>
    <w:p w:rsidR="00B424EC" w:rsidRPr="00182B1B" w:rsidRDefault="00B424EC" w:rsidP="00B424EC">
      <w:pPr>
        <w:pStyle w:val="SingleTxt"/>
        <w:spacing w:after="0" w:line="120" w:lineRule="exact"/>
        <w:rPr>
          <w:sz w:val="10"/>
          <w:lang w:val="fr-FR"/>
        </w:rPr>
      </w:pPr>
    </w:p>
    <w:p w:rsidR="00B424EC" w:rsidRDefault="00B424EC" w:rsidP="00B424EC">
      <w:pPr>
        <w:pStyle w:val="SingleTxt"/>
        <w:numPr>
          <w:ilvl w:val="0"/>
          <w:numId w:val="17"/>
        </w:numPr>
        <w:tabs>
          <w:tab w:val="clear" w:pos="475"/>
          <w:tab w:val="num" w:pos="1742"/>
        </w:tabs>
        <w:ind w:left="1267"/>
        <w:rPr>
          <w:lang w:val="fr-FR"/>
        </w:rPr>
      </w:pPr>
      <w:r w:rsidRPr="008936B0">
        <w:rPr>
          <w:lang w:val="fr-FR"/>
        </w:rPr>
        <w:t>Le Sous-Secrétariat à la promotion des droits de l</w:t>
      </w:r>
      <w:r>
        <w:rPr>
          <w:lang w:val="fr-FR"/>
        </w:rPr>
        <w:t>’</w:t>
      </w:r>
      <w:r w:rsidRPr="008936B0">
        <w:rPr>
          <w:lang w:val="fr-FR"/>
        </w:rPr>
        <w:t xml:space="preserve">homme compte deux directions nationales chargées </w:t>
      </w:r>
      <w:r>
        <w:rPr>
          <w:lang w:val="fr-FR"/>
        </w:rPr>
        <w:t xml:space="preserve">l’une </w:t>
      </w:r>
      <w:r w:rsidRPr="008936B0">
        <w:rPr>
          <w:lang w:val="fr-FR"/>
        </w:rPr>
        <w:t>de la formation aux droits de l</w:t>
      </w:r>
      <w:r>
        <w:rPr>
          <w:lang w:val="fr-FR"/>
        </w:rPr>
        <w:t>’</w:t>
      </w:r>
      <w:r w:rsidRPr="008936B0">
        <w:rPr>
          <w:lang w:val="fr-FR"/>
        </w:rPr>
        <w:t xml:space="preserve">homme et </w:t>
      </w:r>
      <w:r>
        <w:rPr>
          <w:lang w:val="fr-FR"/>
        </w:rPr>
        <w:t xml:space="preserve">l’autre </w:t>
      </w:r>
      <w:r w:rsidRPr="008936B0">
        <w:rPr>
          <w:lang w:val="fr-FR"/>
        </w:rPr>
        <w:t>de l</w:t>
      </w:r>
      <w:r>
        <w:rPr>
          <w:lang w:val="fr-FR"/>
        </w:rPr>
        <w:t>’</w:t>
      </w:r>
      <w:r w:rsidRPr="008936B0">
        <w:rPr>
          <w:lang w:val="fr-FR"/>
        </w:rPr>
        <w:t>élaboration de dispositions sur les droits de l</w:t>
      </w:r>
      <w:r>
        <w:rPr>
          <w:lang w:val="fr-FR"/>
        </w:rPr>
        <w:t>’</w:t>
      </w:r>
      <w:r w:rsidRPr="008936B0">
        <w:rPr>
          <w:lang w:val="fr-FR"/>
        </w:rPr>
        <w:t>homme.</w:t>
      </w:r>
    </w:p>
    <w:p w:rsidR="00B424EC" w:rsidRPr="00182B1B" w:rsidRDefault="00B424EC" w:rsidP="00B424EC">
      <w:pPr>
        <w:pStyle w:val="SingleTxt"/>
        <w:tabs>
          <w:tab w:val="clear" w:pos="1742"/>
        </w:tabs>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8936B0">
        <w:rPr>
          <w:lang w:val="fr-FR"/>
        </w:rPr>
        <w:tab/>
        <w:t>Projet de renforcement du système de protection des droits de l</w:t>
      </w:r>
      <w:r>
        <w:rPr>
          <w:lang w:val="fr-FR"/>
        </w:rPr>
        <w:t>’</w:t>
      </w:r>
      <w:r w:rsidRPr="008936B0">
        <w:rPr>
          <w:lang w:val="fr-FR"/>
        </w:rPr>
        <w:t>homme</w:t>
      </w:r>
    </w:p>
    <w:p w:rsidR="00B424EC" w:rsidRPr="00182B1B" w:rsidRDefault="00B424EC" w:rsidP="00B424EC">
      <w:pPr>
        <w:pStyle w:val="SingleTxt"/>
        <w:spacing w:after="0" w:line="120" w:lineRule="exact"/>
        <w:rPr>
          <w:sz w:val="10"/>
          <w:lang w:val="fr-FR"/>
        </w:rPr>
      </w:pPr>
    </w:p>
    <w:p w:rsidR="00B424EC" w:rsidRDefault="00B424EC" w:rsidP="00B424EC">
      <w:pPr>
        <w:pStyle w:val="SingleTxt"/>
        <w:numPr>
          <w:ilvl w:val="0"/>
          <w:numId w:val="17"/>
        </w:numPr>
        <w:tabs>
          <w:tab w:val="clear" w:pos="475"/>
          <w:tab w:val="num" w:pos="1742"/>
        </w:tabs>
        <w:ind w:left="1267"/>
        <w:rPr>
          <w:lang w:val="fr-FR"/>
        </w:rPr>
      </w:pPr>
      <w:r w:rsidRPr="008936B0">
        <w:rPr>
          <w:lang w:val="fr-FR"/>
        </w:rPr>
        <w:t>Ce projet, qui dépend également du Secrétariat aux droits de l</w:t>
      </w:r>
      <w:r>
        <w:rPr>
          <w:lang w:val="fr-FR"/>
        </w:rPr>
        <w:t>’</w:t>
      </w:r>
      <w:r w:rsidRPr="008936B0">
        <w:rPr>
          <w:lang w:val="fr-FR"/>
        </w:rPr>
        <w:t xml:space="preserve">homme, vise principalement à </w:t>
      </w:r>
      <w:r>
        <w:rPr>
          <w:lang w:val="fr-FR"/>
        </w:rPr>
        <w:t xml:space="preserve">mettre en place </w:t>
      </w:r>
      <w:r w:rsidRPr="008936B0">
        <w:rPr>
          <w:lang w:val="fr-FR"/>
        </w:rPr>
        <w:t>des observatoires des droits de l</w:t>
      </w:r>
      <w:r>
        <w:rPr>
          <w:lang w:val="fr-FR"/>
        </w:rPr>
        <w:t>’</w:t>
      </w:r>
      <w:r w:rsidRPr="008936B0">
        <w:rPr>
          <w:lang w:val="fr-FR"/>
        </w:rPr>
        <w:t xml:space="preserve">homme dans différentes provinces du pays, à mener des campagnes </w:t>
      </w:r>
      <w:r>
        <w:rPr>
          <w:lang w:val="fr-FR"/>
        </w:rPr>
        <w:t xml:space="preserve">d’information et </w:t>
      </w:r>
      <w:r w:rsidRPr="008936B0">
        <w:rPr>
          <w:lang w:val="fr-FR"/>
        </w:rPr>
        <w:t xml:space="preserve">de sensibilisation </w:t>
      </w:r>
      <w:r>
        <w:rPr>
          <w:lang w:val="fr-FR"/>
        </w:rPr>
        <w:t>sur les</w:t>
      </w:r>
      <w:r w:rsidRPr="008936B0">
        <w:rPr>
          <w:lang w:val="fr-FR"/>
        </w:rPr>
        <w:t xml:space="preserve"> droits de l</w:t>
      </w:r>
      <w:r>
        <w:rPr>
          <w:lang w:val="fr-FR"/>
        </w:rPr>
        <w:t>’</w:t>
      </w:r>
      <w:r w:rsidRPr="008936B0">
        <w:rPr>
          <w:lang w:val="fr-FR"/>
        </w:rPr>
        <w:t xml:space="preserve">homme aux niveaux national, provincial et local, à organiser des </w:t>
      </w:r>
      <w:r>
        <w:rPr>
          <w:lang w:val="fr-FR"/>
        </w:rPr>
        <w:t xml:space="preserve">actions de formation théorique et pratique dans le domaine des </w:t>
      </w:r>
      <w:r w:rsidRPr="008936B0">
        <w:rPr>
          <w:lang w:val="fr-FR"/>
        </w:rPr>
        <w:t>droits de l</w:t>
      </w:r>
      <w:r>
        <w:rPr>
          <w:lang w:val="fr-FR"/>
        </w:rPr>
        <w:t>’</w:t>
      </w:r>
      <w:r w:rsidRPr="008936B0">
        <w:rPr>
          <w:lang w:val="fr-FR"/>
        </w:rPr>
        <w:t>homme</w:t>
      </w:r>
      <w:r>
        <w:rPr>
          <w:lang w:val="fr-FR"/>
        </w:rPr>
        <w:t>, notamment des séminaires</w:t>
      </w:r>
      <w:r w:rsidRPr="008936B0">
        <w:rPr>
          <w:lang w:val="fr-FR"/>
        </w:rPr>
        <w:t>.</w:t>
      </w:r>
    </w:p>
    <w:p w:rsidR="00B424EC" w:rsidRPr="00182B1B" w:rsidRDefault="00B424EC" w:rsidP="00B424EC">
      <w:pPr>
        <w:pStyle w:val="SingleTxt"/>
        <w:tabs>
          <w:tab w:val="clear" w:pos="1742"/>
        </w:tabs>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8936B0">
        <w:rPr>
          <w:lang w:val="fr-FR"/>
        </w:rPr>
        <w:tab/>
        <w:t>Commission nationale consultative pour l</w:t>
      </w:r>
      <w:r>
        <w:rPr>
          <w:lang w:val="fr-FR"/>
        </w:rPr>
        <w:t>’</w:t>
      </w:r>
      <w:r w:rsidRPr="008936B0">
        <w:rPr>
          <w:lang w:val="fr-FR"/>
        </w:rPr>
        <w:t xml:space="preserve">intégration des personnes handicapées </w:t>
      </w:r>
    </w:p>
    <w:p w:rsidR="00B424EC" w:rsidRPr="00182B1B" w:rsidRDefault="00B424EC" w:rsidP="00B424EC">
      <w:pPr>
        <w:pStyle w:val="SingleTxt"/>
        <w:spacing w:after="0" w:line="120" w:lineRule="exact"/>
        <w:rPr>
          <w:sz w:val="10"/>
          <w:lang w:val="fr-FR"/>
        </w:rPr>
      </w:pPr>
    </w:p>
    <w:p w:rsidR="00B424EC" w:rsidRPr="008936B0" w:rsidRDefault="00B424EC" w:rsidP="00B424EC">
      <w:pPr>
        <w:pStyle w:val="SingleTxt"/>
        <w:numPr>
          <w:ilvl w:val="0"/>
          <w:numId w:val="17"/>
        </w:numPr>
        <w:tabs>
          <w:tab w:val="clear" w:pos="475"/>
          <w:tab w:val="num" w:pos="1742"/>
        </w:tabs>
        <w:ind w:left="1267"/>
        <w:rPr>
          <w:lang w:val="fr-FR"/>
        </w:rPr>
      </w:pPr>
      <w:r>
        <w:rPr>
          <w:lang w:val="fr-FR"/>
        </w:rPr>
        <w:t>Outre une mission de conseil, ses fonctions consistent à coordonner, normaliser, promouvoir et faire connaître</w:t>
      </w:r>
      <w:r w:rsidRPr="008936B0">
        <w:rPr>
          <w:lang w:val="fr-FR"/>
        </w:rPr>
        <w:t>, au niveau national, toutes les mesures qui contribuent, directement ou indirectement, à l</w:t>
      </w:r>
      <w:r>
        <w:rPr>
          <w:lang w:val="fr-FR"/>
        </w:rPr>
        <w:t>’</w:t>
      </w:r>
      <w:r w:rsidRPr="008936B0">
        <w:rPr>
          <w:lang w:val="fr-FR"/>
        </w:rPr>
        <w:t>intégration des personnes handicapées, sans distinction d</w:t>
      </w:r>
      <w:r>
        <w:rPr>
          <w:lang w:val="fr-FR"/>
        </w:rPr>
        <w:t>’</w:t>
      </w:r>
      <w:r w:rsidRPr="008936B0">
        <w:rPr>
          <w:lang w:val="fr-FR"/>
        </w:rPr>
        <w:t xml:space="preserve">âge, de sexe, de race, de religion ou de situation socioéconomique, en garantissant </w:t>
      </w:r>
      <w:r>
        <w:rPr>
          <w:lang w:val="fr-FR"/>
        </w:rPr>
        <w:t>l’égalité dans la répartition et l’accès des prestations offertes.</w:t>
      </w:r>
    </w:p>
    <w:p w:rsidR="00B424EC" w:rsidRPr="008936B0" w:rsidRDefault="00B424EC" w:rsidP="00B424EC">
      <w:pPr>
        <w:pStyle w:val="SingleTxt"/>
        <w:numPr>
          <w:ilvl w:val="0"/>
          <w:numId w:val="17"/>
        </w:numPr>
        <w:tabs>
          <w:tab w:val="clear" w:pos="475"/>
          <w:tab w:val="num" w:pos="1742"/>
        </w:tabs>
        <w:ind w:left="1267"/>
        <w:rPr>
          <w:lang w:val="fr-FR"/>
        </w:rPr>
      </w:pPr>
      <w:r w:rsidRPr="008936B0">
        <w:rPr>
          <w:lang w:val="fr-FR"/>
        </w:rPr>
        <w:t xml:space="preserve">La </w:t>
      </w:r>
      <w:r>
        <w:rPr>
          <w:lang w:val="fr-FR"/>
        </w:rPr>
        <w:t>C</w:t>
      </w:r>
      <w:r w:rsidRPr="008936B0">
        <w:rPr>
          <w:lang w:val="fr-FR"/>
        </w:rPr>
        <w:t xml:space="preserve">ommission </w:t>
      </w:r>
      <w:r>
        <w:rPr>
          <w:lang w:val="fr-FR"/>
        </w:rPr>
        <w:t>a</w:t>
      </w:r>
      <w:r w:rsidRPr="008936B0">
        <w:rPr>
          <w:lang w:val="fr-FR"/>
        </w:rPr>
        <w:t xml:space="preserve"> un président </w:t>
      </w:r>
      <w:r>
        <w:rPr>
          <w:lang w:val="fr-FR"/>
        </w:rPr>
        <w:t xml:space="preserve">et </w:t>
      </w:r>
      <w:r w:rsidRPr="008936B0">
        <w:rPr>
          <w:lang w:val="fr-FR"/>
        </w:rPr>
        <w:t>un conseil d</w:t>
      </w:r>
      <w:r>
        <w:rPr>
          <w:lang w:val="fr-FR"/>
        </w:rPr>
        <w:t>’</w:t>
      </w:r>
      <w:r w:rsidRPr="008936B0">
        <w:rPr>
          <w:lang w:val="fr-FR"/>
        </w:rPr>
        <w:t>administration composé de trois directeurs et d</w:t>
      </w:r>
      <w:r>
        <w:rPr>
          <w:lang w:val="fr-FR"/>
        </w:rPr>
        <w:t>’</w:t>
      </w:r>
      <w:r w:rsidRPr="008936B0">
        <w:rPr>
          <w:lang w:val="fr-FR"/>
        </w:rPr>
        <w:t xml:space="preserve">un secrétaire général, qui sont spécialisés dans divers domaines en lien avec le handicap (prévention, </w:t>
      </w:r>
      <w:r w:rsidRPr="008936B0">
        <w:t>réadaptation, assistance, action en faveur de l</w:t>
      </w:r>
      <w:r>
        <w:t>’</w:t>
      </w:r>
      <w:r w:rsidRPr="008936B0">
        <w:t>égalité des chances</w:t>
      </w:r>
      <w:r w:rsidRPr="008936B0">
        <w:rPr>
          <w:lang w:val="fr-FR"/>
        </w:rPr>
        <w:t xml:space="preserve">) et fournissent les informations techniques nécessaires à la prise de décisions. Le président, qui </w:t>
      </w:r>
      <w:r>
        <w:rPr>
          <w:lang w:val="fr-FR"/>
        </w:rPr>
        <w:t xml:space="preserve">a </w:t>
      </w:r>
      <w:r w:rsidRPr="008936B0">
        <w:rPr>
          <w:lang w:val="fr-FR"/>
        </w:rPr>
        <w:t>un rang équivalent à celui de secrétaire d</w:t>
      </w:r>
      <w:r>
        <w:rPr>
          <w:lang w:val="fr-FR"/>
        </w:rPr>
        <w:t>’</w:t>
      </w:r>
      <w:r w:rsidRPr="008936B0">
        <w:rPr>
          <w:lang w:val="fr-FR"/>
        </w:rPr>
        <w:t xml:space="preserve">État, dirige et administre la </w:t>
      </w:r>
      <w:r>
        <w:rPr>
          <w:lang w:val="fr-FR"/>
        </w:rPr>
        <w:t>C</w:t>
      </w:r>
      <w:r w:rsidRPr="008936B0">
        <w:rPr>
          <w:lang w:val="fr-FR"/>
        </w:rPr>
        <w:t xml:space="preserve">ommission et en est le représentant légal.  </w:t>
      </w:r>
    </w:p>
    <w:p w:rsidR="00B424EC" w:rsidRPr="008936B0" w:rsidRDefault="00B424EC" w:rsidP="00B424EC">
      <w:pPr>
        <w:pStyle w:val="SingleTxt"/>
        <w:numPr>
          <w:ilvl w:val="0"/>
          <w:numId w:val="17"/>
        </w:numPr>
        <w:tabs>
          <w:tab w:val="clear" w:pos="475"/>
          <w:tab w:val="num" w:pos="1742"/>
        </w:tabs>
        <w:ind w:left="1267"/>
        <w:rPr>
          <w:lang w:val="fr-FR"/>
        </w:rPr>
      </w:pPr>
      <w:r>
        <w:rPr>
          <w:lang w:val="fr-FR"/>
        </w:rPr>
        <w:t>Le décret n</w:t>
      </w:r>
      <w:r w:rsidRPr="00182B1B">
        <w:rPr>
          <w:vertAlign w:val="superscript"/>
          <w:lang w:val="fr-FR"/>
        </w:rPr>
        <w:t>o</w:t>
      </w:r>
      <w:r w:rsidRPr="008936B0">
        <w:rPr>
          <w:lang w:val="fr-FR"/>
        </w:rPr>
        <w:t> 984/1992 porte appro</w:t>
      </w:r>
      <w:r>
        <w:rPr>
          <w:lang w:val="fr-FR"/>
        </w:rPr>
        <w:t>bation de l’organigramme de la C</w:t>
      </w:r>
      <w:r w:rsidRPr="008936B0">
        <w:rPr>
          <w:lang w:val="fr-FR"/>
        </w:rPr>
        <w:t xml:space="preserve">ommission et </w:t>
      </w:r>
      <w:r>
        <w:rPr>
          <w:lang w:val="fr-FR"/>
        </w:rPr>
        <w:t xml:space="preserve">dote celle-ci </w:t>
      </w:r>
      <w:r w:rsidRPr="008936B0">
        <w:rPr>
          <w:lang w:val="fr-FR"/>
        </w:rPr>
        <w:t>d</w:t>
      </w:r>
      <w:r>
        <w:rPr>
          <w:lang w:val="fr-FR"/>
        </w:rPr>
        <w:t>’</w:t>
      </w:r>
      <w:r w:rsidRPr="008936B0">
        <w:rPr>
          <w:lang w:val="fr-FR"/>
        </w:rPr>
        <w:t>un comité technique et d</w:t>
      </w:r>
      <w:r>
        <w:rPr>
          <w:lang w:val="fr-FR"/>
        </w:rPr>
        <w:t>’</w:t>
      </w:r>
      <w:r w:rsidRPr="008936B0">
        <w:rPr>
          <w:lang w:val="fr-FR"/>
        </w:rPr>
        <w:t>un comité consultatif</w:t>
      </w:r>
      <w:r>
        <w:rPr>
          <w:lang w:val="fr-FR"/>
        </w:rPr>
        <w:t xml:space="preserve"> (</w:t>
      </w:r>
      <w:r w:rsidRPr="008936B0">
        <w:rPr>
          <w:lang w:val="fr-FR"/>
        </w:rPr>
        <w:t>art</w:t>
      </w:r>
      <w:r>
        <w:rPr>
          <w:lang w:val="fr-FR"/>
        </w:rPr>
        <w:t>. </w:t>
      </w:r>
      <w:r w:rsidRPr="008936B0">
        <w:rPr>
          <w:lang w:val="fr-FR"/>
        </w:rPr>
        <w:t>8</w:t>
      </w:r>
      <w:r>
        <w:rPr>
          <w:lang w:val="fr-FR"/>
        </w:rPr>
        <w:t>)</w:t>
      </w:r>
      <w:r w:rsidRPr="008936B0">
        <w:rPr>
          <w:lang w:val="fr-FR"/>
        </w:rPr>
        <w:t>. Le comité consultatif est composé de représentants d</w:t>
      </w:r>
      <w:r>
        <w:rPr>
          <w:lang w:val="fr-FR"/>
        </w:rPr>
        <w:t>’</w:t>
      </w:r>
      <w:r w:rsidRPr="008936B0">
        <w:rPr>
          <w:lang w:val="fr-FR"/>
        </w:rPr>
        <w:t>organisations non gouvernementales établies en Argentine</w:t>
      </w:r>
      <w:r>
        <w:rPr>
          <w:lang w:val="fr-FR"/>
        </w:rPr>
        <w:t xml:space="preserve">, qui travaillent </w:t>
      </w:r>
      <w:r w:rsidRPr="008936B0">
        <w:rPr>
          <w:lang w:val="fr-FR"/>
        </w:rPr>
        <w:t xml:space="preserve">dans le domaine du handicap.  </w:t>
      </w:r>
    </w:p>
    <w:p w:rsidR="00B424EC" w:rsidRPr="008936B0" w:rsidRDefault="00B424EC" w:rsidP="00B424EC">
      <w:pPr>
        <w:pStyle w:val="SingleTxt"/>
        <w:numPr>
          <w:ilvl w:val="0"/>
          <w:numId w:val="17"/>
        </w:numPr>
        <w:tabs>
          <w:tab w:val="clear" w:pos="475"/>
          <w:tab w:val="num" w:pos="1742"/>
        </w:tabs>
        <w:ind w:left="1267"/>
        <w:rPr>
          <w:lang w:val="fr-FR"/>
        </w:rPr>
      </w:pPr>
      <w:r w:rsidRPr="008936B0">
        <w:rPr>
          <w:lang w:val="fr-FR"/>
        </w:rPr>
        <w:lastRenderedPageBreak/>
        <w:t xml:space="preserve">Le comité technique est composé de représentants du pouvoir exécutif ainsi que de représentants des corps législatif et judiciaire, qui ont qualité de conseillers.  </w:t>
      </w:r>
    </w:p>
    <w:p w:rsidR="00B424EC" w:rsidRDefault="00B424EC" w:rsidP="00B424EC">
      <w:pPr>
        <w:pStyle w:val="SingleTxt"/>
        <w:numPr>
          <w:ilvl w:val="0"/>
          <w:numId w:val="17"/>
        </w:numPr>
        <w:tabs>
          <w:tab w:val="clear" w:pos="475"/>
          <w:tab w:val="num" w:pos="1742"/>
        </w:tabs>
        <w:ind w:left="1267"/>
        <w:rPr>
          <w:lang w:val="fr-FR"/>
        </w:rPr>
      </w:pPr>
      <w:r>
        <w:rPr>
          <w:lang w:val="fr-FR"/>
        </w:rPr>
        <w:t>Enfin, on notera que la C</w:t>
      </w:r>
      <w:r w:rsidRPr="008936B0">
        <w:rPr>
          <w:lang w:val="fr-FR"/>
        </w:rPr>
        <w:t>ommission préside le Conseil fédéral des personnes</w:t>
      </w:r>
      <w:r w:rsidR="00C51184">
        <w:rPr>
          <w:lang w:val="fr-FR"/>
        </w:rPr>
        <w:t xml:space="preserve"> handicapées, créé par la loi n</w:t>
      </w:r>
      <w:r w:rsidR="00C51184" w:rsidRPr="00C51184">
        <w:rPr>
          <w:vertAlign w:val="superscript"/>
          <w:lang w:val="fr-FR"/>
        </w:rPr>
        <w:t>o</w:t>
      </w:r>
      <w:r w:rsidR="00C51184">
        <w:rPr>
          <w:lang w:val="fr-FR"/>
        </w:rPr>
        <w:t> </w:t>
      </w:r>
      <w:r w:rsidRPr="008936B0">
        <w:rPr>
          <w:lang w:val="fr-FR"/>
        </w:rPr>
        <w:t xml:space="preserve">24 657 de 1996. Ce conseil rassemble les plus hauts fonctionnaires chargés des questions liées au handicap dans chacune des provinces et dans la ville autonome de Buenos Aires ainsi que les représentants des organisations non gouvernementales agissant en faveur des personnes handicapées, </w:t>
      </w:r>
      <w:r>
        <w:rPr>
          <w:lang w:val="fr-FR"/>
        </w:rPr>
        <w:t>d</w:t>
      </w:r>
      <w:r w:rsidRPr="008936B0">
        <w:rPr>
          <w:lang w:val="fr-FR"/>
        </w:rPr>
        <w:t>é</w:t>
      </w:r>
      <w:r>
        <w:rPr>
          <w:lang w:val="fr-FR"/>
        </w:rPr>
        <w:t>signé</w:t>
      </w:r>
      <w:r w:rsidRPr="008936B0">
        <w:rPr>
          <w:lang w:val="fr-FR"/>
        </w:rPr>
        <w:t>s conformément à la loi.</w:t>
      </w:r>
    </w:p>
    <w:p w:rsidR="00B424EC" w:rsidRPr="0011508A" w:rsidRDefault="00B424EC" w:rsidP="00B424EC">
      <w:pPr>
        <w:pStyle w:val="SingleTxt"/>
        <w:tabs>
          <w:tab w:val="clear" w:pos="1742"/>
        </w:tabs>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8936B0">
        <w:rPr>
          <w:lang w:val="fr-FR"/>
        </w:rPr>
        <w:tab/>
        <w:t>Programme national d</w:t>
      </w:r>
      <w:r>
        <w:rPr>
          <w:lang w:val="fr-FR"/>
        </w:rPr>
        <w:t>’</w:t>
      </w:r>
      <w:r w:rsidRPr="008936B0">
        <w:rPr>
          <w:lang w:val="fr-FR"/>
        </w:rPr>
        <w:t xml:space="preserve">aide aux personnes handicapées dans leurs relations </w:t>
      </w:r>
      <w:r>
        <w:rPr>
          <w:lang w:val="fr-FR"/>
        </w:rPr>
        <w:br/>
      </w:r>
      <w:r w:rsidRPr="008936B0">
        <w:rPr>
          <w:lang w:val="fr-FR"/>
        </w:rPr>
        <w:t>avec l</w:t>
      </w:r>
      <w:r>
        <w:rPr>
          <w:lang w:val="fr-FR"/>
        </w:rPr>
        <w:t>’</w:t>
      </w:r>
      <w:r w:rsidRPr="008936B0">
        <w:rPr>
          <w:lang w:val="fr-FR"/>
        </w:rPr>
        <w:t xml:space="preserve">administration judiciaire </w:t>
      </w:r>
    </w:p>
    <w:p w:rsidR="00B424EC" w:rsidRPr="0011508A" w:rsidRDefault="00B424EC" w:rsidP="00B424EC">
      <w:pPr>
        <w:pStyle w:val="SingleTxt"/>
        <w:spacing w:after="0" w:line="120" w:lineRule="exact"/>
        <w:rPr>
          <w:sz w:val="10"/>
          <w:lang w:val="fr-FR"/>
        </w:rPr>
      </w:pPr>
    </w:p>
    <w:p w:rsidR="00B424EC" w:rsidRPr="008936B0" w:rsidRDefault="00B424EC" w:rsidP="00B424EC">
      <w:pPr>
        <w:pStyle w:val="SingleTxt"/>
        <w:numPr>
          <w:ilvl w:val="0"/>
          <w:numId w:val="17"/>
        </w:numPr>
        <w:tabs>
          <w:tab w:val="clear" w:pos="475"/>
          <w:tab w:val="num" w:pos="1742"/>
        </w:tabs>
        <w:ind w:left="1267"/>
        <w:rPr>
          <w:lang w:val="fr-FR"/>
        </w:rPr>
      </w:pPr>
      <w:r>
        <w:rPr>
          <w:lang w:val="fr-FR"/>
        </w:rPr>
        <w:t>C</w:t>
      </w:r>
      <w:r w:rsidRPr="008936B0">
        <w:rPr>
          <w:lang w:val="fr-FR"/>
        </w:rPr>
        <w:t>e programme</w:t>
      </w:r>
      <w:r>
        <w:rPr>
          <w:lang w:val="fr-FR"/>
        </w:rPr>
        <w:t xml:space="preserve"> a été mis en place </w:t>
      </w:r>
      <w:r w:rsidRPr="008936B0">
        <w:rPr>
          <w:lang w:val="fr-FR"/>
        </w:rPr>
        <w:t xml:space="preserve">par la </w:t>
      </w:r>
      <w:r>
        <w:rPr>
          <w:lang w:val="fr-FR"/>
        </w:rPr>
        <w:t>p</w:t>
      </w:r>
      <w:r w:rsidRPr="008936B0">
        <w:rPr>
          <w:lang w:val="fr-FR"/>
        </w:rPr>
        <w:t xml:space="preserve">résidence de la </w:t>
      </w:r>
      <w:r>
        <w:rPr>
          <w:lang w:val="fr-FR"/>
        </w:rPr>
        <w:t>N</w:t>
      </w:r>
      <w:r w:rsidRPr="008936B0">
        <w:rPr>
          <w:lang w:val="fr-FR"/>
        </w:rPr>
        <w:t>ation</w:t>
      </w:r>
      <w:r>
        <w:rPr>
          <w:lang w:val="fr-FR"/>
        </w:rPr>
        <w:t xml:space="preserve"> afin de respecter les obligations qui découlent de </w:t>
      </w:r>
      <w:r w:rsidRPr="008936B0">
        <w:rPr>
          <w:lang w:val="fr-FR"/>
        </w:rPr>
        <w:t xml:space="preserve">la Convention relative aux droits des personnes handicapées et son Protocole facultatif, et en particulier </w:t>
      </w:r>
      <w:r>
        <w:rPr>
          <w:lang w:val="fr-FR"/>
        </w:rPr>
        <w:t>l’</w:t>
      </w:r>
      <w:r w:rsidRPr="008936B0">
        <w:rPr>
          <w:lang w:val="fr-FR"/>
        </w:rPr>
        <w:t>obligation d</w:t>
      </w:r>
      <w:r>
        <w:rPr>
          <w:lang w:val="fr-FR"/>
        </w:rPr>
        <w:t>’</w:t>
      </w:r>
      <w:r w:rsidRPr="008936B0">
        <w:rPr>
          <w:lang w:val="fr-FR"/>
        </w:rPr>
        <w:t>assurer l</w:t>
      </w:r>
      <w:r>
        <w:rPr>
          <w:lang w:val="fr-FR"/>
        </w:rPr>
        <w:t>’</w:t>
      </w:r>
      <w:r w:rsidRPr="008936B0">
        <w:rPr>
          <w:lang w:val="fr-FR"/>
        </w:rPr>
        <w:t xml:space="preserve">accès effectif des personnes handicapées à la justice.  </w:t>
      </w:r>
    </w:p>
    <w:p w:rsidR="00B424EC" w:rsidRPr="008936B0" w:rsidRDefault="00B424EC" w:rsidP="00B424EC">
      <w:pPr>
        <w:pStyle w:val="SingleTxt"/>
        <w:numPr>
          <w:ilvl w:val="0"/>
          <w:numId w:val="17"/>
        </w:numPr>
        <w:tabs>
          <w:tab w:val="clear" w:pos="475"/>
          <w:tab w:val="num" w:pos="1742"/>
        </w:tabs>
        <w:ind w:left="1267"/>
        <w:rPr>
          <w:lang w:val="fr-FR"/>
        </w:rPr>
      </w:pPr>
      <w:r>
        <w:rPr>
          <w:lang w:val="fr-FR"/>
        </w:rPr>
        <w:t>L</w:t>
      </w:r>
      <w:r w:rsidRPr="008936B0">
        <w:rPr>
          <w:lang w:val="fr-FR"/>
        </w:rPr>
        <w:t>e programme relève d</w:t>
      </w:r>
      <w:r>
        <w:rPr>
          <w:lang w:val="fr-FR"/>
        </w:rPr>
        <w:t>u</w:t>
      </w:r>
      <w:r w:rsidRPr="008936B0">
        <w:rPr>
          <w:lang w:val="fr-FR"/>
        </w:rPr>
        <w:t xml:space="preserve"> Secrétariat à la justice et s</w:t>
      </w:r>
      <w:r>
        <w:rPr>
          <w:lang w:val="fr-FR"/>
        </w:rPr>
        <w:t>on objectif s’</w:t>
      </w:r>
      <w:r w:rsidRPr="008936B0">
        <w:rPr>
          <w:lang w:val="fr-FR"/>
        </w:rPr>
        <w:t>inscrit dans l</w:t>
      </w:r>
      <w:r>
        <w:rPr>
          <w:lang w:val="fr-FR"/>
        </w:rPr>
        <w:t xml:space="preserve">es </w:t>
      </w:r>
      <w:r w:rsidRPr="008936B0">
        <w:rPr>
          <w:lang w:val="fr-FR"/>
        </w:rPr>
        <w:t>politiques publiques actuelles d</w:t>
      </w:r>
      <w:r>
        <w:rPr>
          <w:lang w:val="fr-FR"/>
        </w:rPr>
        <w:t>’</w:t>
      </w:r>
      <w:r w:rsidRPr="008936B0">
        <w:rPr>
          <w:lang w:val="fr-FR"/>
        </w:rPr>
        <w:t>inclusion sociale, qui est de renforcer les droits des personnes handicapées par des procédures ap</w:t>
      </w:r>
      <w:r>
        <w:rPr>
          <w:lang w:val="fr-FR"/>
        </w:rPr>
        <w:t>propri</w:t>
      </w:r>
      <w:r w:rsidRPr="008936B0">
        <w:rPr>
          <w:lang w:val="fr-FR"/>
        </w:rPr>
        <w:t xml:space="preserve">ées et une </w:t>
      </w:r>
      <w:r>
        <w:rPr>
          <w:lang w:val="fr-FR"/>
        </w:rPr>
        <w:t>bonne</w:t>
      </w:r>
      <w:r w:rsidRPr="008936B0">
        <w:rPr>
          <w:lang w:val="fr-FR"/>
        </w:rPr>
        <w:t xml:space="preserve"> communication et information. </w:t>
      </w:r>
    </w:p>
    <w:p w:rsidR="00B424EC" w:rsidRPr="008936B0" w:rsidRDefault="00B424EC" w:rsidP="00B424EC">
      <w:pPr>
        <w:pStyle w:val="SingleTxt"/>
        <w:numPr>
          <w:ilvl w:val="0"/>
          <w:numId w:val="17"/>
        </w:numPr>
        <w:tabs>
          <w:tab w:val="clear" w:pos="475"/>
          <w:tab w:val="num" w:pos="1742"/>
        </w:tabs>
        <w:ind w:left="1267"/>
        <w:rPr>
          <w:lang w:val="fr-FR"/>
        </w:rPr>
      </w:pPr>
      <w:r>
        <w:rPr>
          <w:lang w:val="fr-FR"/>
        </w:rPr>
        <w:t xml:space="preserve">Le programme s’adresse </w:t>
      </w:r>
      <w:r w:rsidRPr="008936B0">
        <w:rPr>
          <w:lang w:val="fr-FR"/>
        </w:rPr>
        <w:t>aux personnes handicapées, au</w:t>
      </w:r>
      <w:r>
        <w:rPr>
          <w:lang w:val="fr-FR"/>
        </w:rPr>
        <w:t>x</w:t>
      </w:r>
      <w:r w:rsidRPr="008936B0">
        <w:rPr>
          <w:lang w:val="fr-FR"/>
        </w:rPr>
        <w:t xml:space="preserve"> personnel</w:t>
      </w:r>
      <w:r>
        <w:rPr>
          <w:lang w:val="fr-FR"/>
        </w:rPr>
        <w:t>s</w:t>
      </w:r>
      <w:r w:rsidRPr="008936B0">
        <w:rPr>
          <w:lang w:val="fr-FR"/>
        </w:rPr>
        <w:t xml:space="preserve"> de justice, au</w:t>
      </w:r>
      <w:r>
        <w:rPr>
          <w:lang w:val="fr-FR"/>
        </w:rPr>
        <w:t>x</w:t>
      </w:r>
      <w:r w:rsidRPr="008936B0">
        <w:rPr>
          <w:lang w:val="fr-FR"/>
        </w:rPr>
        <w:t xml:space="preserve"> personnel</w:t>
      </w:r>
      <w:r>
        <w:rPr>
          <w:lang w:val="fr-FR"/>
        </w:rPr>
        <w:t>s</w:t>
      </w:r>
      <w:r w:rsidRPr="008936B0">
        <w:rPr>
          <w:lang w:val="fr-FR"/>
        </w:rPr>
        <w:t xml:space="preserve"> pénitentiaire</w:t>
      </w:r>
      <w:r>
        <w:rPr>
          <w:lang w:val="fr-FR"/>
        </w:rPr>
        <w:t>s</w:t>
      </w:r>
      <w:r w:rsidRPr="008936B0">
        <w:rPr>
          <w:lang w:val="fr-FR"/>
        </w:rPr>
        <w:t>, aux membres des forces de sécurité, aux agents de la fonction publique, aux associations professionnelles et aux organisations de la société civile</w:t>
      </w:r>
      <w:r>
        <w:rPr>
          <w:lang w:val="fr-FR"/>
        </w:rPr>
        <w:t>. Il a</w:t>
      </w:r>
      <w:r w:rsidRPr="008936B0">
        <w:rPr>
          <w:lang w:val="fr-FR"/>
        </w:rPr>
        <w:t xml:space="preserve"> les objectifs suivants</w:t>
      </w:r>
      <w:r>
        <w:rPr>
          <w:lang w:val="fr-FR"/>
        </w:rPr>
        <w:t> </w:t>
      </w:r>
      <w:r w:rsidRPr="008936B0">
        <w:rPr>
          <w:lang w:val="fr-FR"/>
        </w:rPr>
        <w:t>:</w:t>
      </w:r>
    </w:p>
    <w:p w:rsidR="00B424EC" w:rsidRPr="008936B0" w:rsidRDefault="00B424EC" w:rsidP="00B424EC">
      <w:pPr>
        <w:pStyle w:val="Bullet1"/>
        <w:rPr>
          <w:lang w:val="fr-FR"/>
        </w:rPr>
      </w:pPr>
      <w:r>
        <w:rPr>
          <w:lang w:val="fr-FR"/>
        </w:rPr>
        <w:t xml:space="preserve">Conseiller, </w:t>
      </w:r>
      <w:r w:rsidRPr="008936B0">
        <w:rPr>
          <w:lang w:val="fr-FR"/>
        </w:rPr>
        <w:t xml:space="preserve">fournir une assistance technique, </w:t>
      </w:r>
      <w:r>
        <w:rPr>
          <w:lang w:val="fr-FR"/>
        </w:rPr>
        <w:t xml:space="preserve">orienter vers les services appropriés, </w:t>
      </w:r>
      <w:r w:rsidRPr="008936B0">
        <w:rPr>
          <w:lang w:val="fr-FR"/>
        </w:rPr>
        <w:t xml:space="preserve">et élaborer des </w:t>
      </w:r>
      <w:r>
        <w:rPr>
          <w:lang w:val="fr-FR"/>
        </w:rPr>
        <w:t>guide</w:t>
      </w:r>
      <w:r w:rsidRPr="008936B0">
        <w:rPr>
          <w:lang w:val="fr-FR"/>
        </w:rPr>
        <w:t>s et des protocoles d</w:t>
      </w:r>
      <w:r>
        <w:rPr>
          <w:lang w:val="fr-FR"/>
        </w:rPr>
        <w:t>’</w:t>
      </w:r>
      <w:r w:rsidRPr="008936B0">
        <w:rPr>
          <w:lang w:val="fr-FR"/>
        </w:rPr>
        <w:t>intervention;</w:t>
      </w:r>
    </w:p>
    <w:p w:rsidR="00B424EC" w:rsidRPr="008936B0" w:rsidRDefault="00B424EC" w:rsidP="00B424EC">
      <w:pPr>
        <w:pStyle w:val="Bullet1"/>
        <w:rPr>
          <w:lang w:val="fr-FR"/>
        </w:rPr>
      </w:pPr>
      <w:r w:rsidRPr="008936B0">
        <w:rPr>
          <w:lang w:val="fr-FR"/>
        </w:rPr>
        <w:t xml:space="preserve">Dispenser des formations aux </w:t>
      </w:r>
      <w:r>
        <w:rPr>
          <w:lang w:val="fr-FR"/>
        </w:rPr>
        <w:t xml:space="preserve">personnels </w:t>
      </w:r>
      <w:r w:rsidRPr="008936B0">
        <w:rPr>
          <w:lang w:val="fr-FR"/>
        </w:rPr>
        <w:t>judiciaire</w:t>
      </w:r>
      <w:r>
        <w:rPr>
          <w:lang w:val="fr-FR"/>
        </w:rPr>
        <w:t>s</w:t>
      </w:r>
      <w:r w:rsidRPr="008936B0">
        <w:rPr>
          <w:lang w:val="fr-FR"/>
        </w:rPr>
        <w:t>, aux membres d</w:t>
      </w:r>
      <w:r>
        <w:rPr>
          <w:lang w:val="fr-FR"/>
        </w:rPr>
        <w:t xml:space="preserve">es </w:t>
      </w:r>
      <w:r w:rsidRPr="008936B0">
        <w:rPr>
          <w:lang w:val="fr-FR"/>
        </w:rPr>
        <w:t>associations professionnelles et au</w:t>
      </w:r>
      <w:r>
        <w:rPr>
          <w:lang w:val="fr-FR"/>
        </w:rPr>
        <w:t xml:space="preserve">x </w:t>
      </w:r>
      <w:r w:rsidRPr="008936B0">
        <w:rPr>
          <w:lang w:val="fr-FR"/>
        </w:rPr>
        <w:t>personnel</w:t>
      </w:r>
      <w:r>
        <w:rPr>
          <w:lang w:val="fr-FR"/>
        </w:rPr>
        <w:t>s de</w:t>
      </w:r>
      <w:r w:rsidRPr="008936B0">
        <w:rPr>
          <w:lang w:val="fr-FR"/>
        </w:rPr>
        <w:t xml:space="preserve"> </w:t>
      </w:r>
      <w:r>
        <w:rPr>
          <w:lang w:val="fr-FR"/>
        </w:rPr>
        <w:t>l’</w:t>
      </w:r>
      <w:r w:rsidRPr="008936B0">
        <w:rPr>
          <w:lang w:val="fr-FR"/>
        </w:rPr>
        <w:t>administration publique, ainsi qu</w:t>
      </w:r>
      <w:r>
        <w:rPr>
          <w:lang w:val="fr-FR"/>
        </w:rPr>
        <w:t>’</w:t>
      </w:r>
      <w:r w:rsidRPr="008936B0">
        <w:rPr>
          <w:lang w:val="fr-FR"/>
        </w:rPr>
        <w:t xml:space="preserve">aux acteurs privés qui le </w:t>
      </w:r>
      <w:r>
        <w:rPr>
          <w:lang w:val="fr-FR"/>
        </w:rPr>
        <w:t>demand</w:t>
      </w:r>
      <w:r w:rsidRPr="008936B0">
        <w:rPr>
          <w:lang w:val="fr-FR"/>
        </w:rPr>
        <w:t>ent;</w:t>
      </w:r>
    </w:p>
    <w:p w:rsidR="00B424EC" w:rsidRPr="008936B0" w:rsidRDefault="00B424EC" w:rsidP="00B424EC">
      <w:pPr>
        <w:pStyle w:val="Bullet1"/>
        <w:rPr>
          <w:lang w:val="fr-FR"/>
        </w:rPr>
      </w:pPr>
      <w:r w:rsidRPr="008936B0">
        <w:rPr>
          <w:lang w:val="fr-FR"/>
        </w:rPr>
        <w:t xml:space="preserve">Identifier les cas de privation de liberté de personnes handicapées et </w:t>
      </w:r>
      <w:r>
        <w:rPr>
          <w:lang w:val="fr-FR"/>
        </w:rPr>
        <w:t xml:space="preserve">agir </w:t>
      </w:r>
      <w:r w:rsidRPr="008936B0">
        <w:rPr>
          <w:lang w:val="fr-FR"/>
        </w:rPr>
        <w:t>en conséquence;</w:t>
      </w:r>
    </w:p>
    <w:p w:rsidR="00B424EC" w:rsidRPr="008936B0" w:rsidRDefault="00B424EC" w:rsidP="00B424EC">
      <w:pPr>
        <w:pStyle w:val="Bullet1"/>
        <w:rPr>
          <w:lang w:val="fr-FR"/>
        </w:rPr>
      </w:pPr>
      <w:r w:rsidRPr="008936B0">
        <w:rPr>
          <w:lang w:val="fr-FR"/>
        </w:rPr>
        <w:t xml:space="preserve">Adapter les </w:t>
      </w:r>
      <w:r>
        <w:rPr>
          <w:lang w:val="fr-FR"/>
        </w:rPr>
        <w:t>mod</w:t>
      </w:r>
      <w:r w:rsidRPr="008936B0">
        <w:rPr>
          <w:lang w:val="fr-FR"/>
        </w:rPr>
        <w:t xml:space="preserve">es </w:t>
      </w:r>
      <w:r>
        <w:rPr>
          <w:lang w:val="fr-FR"/>
        </w:rPr>
        <w:t xml:space="preserve">d’intervention des </w:t>
      </w:r>
      <w:r w:rsidRPr="008936B0">
        <w:rPr>
          <w:lang w:val="fr-FR"/>
        </w:rPr>
        <w:t>experts lorsque les procédures judiciaires</w:t>
      </w:r>
      <w:r>
        <w:rPr>
          <w:lang w:val="fr-FR"/>
        </w:rPr>
        <w:t xml:space="preserve"> ou les enquêtes</w:t>
      </w:r>
      <w:r w:rsidRPr="008936B0">
        <w:rPr>
          <w:lang w:val="fr-FR"/>
        </w:rPr>
        <w:t xml:space="preserve"> préliminaires concernent des personnes handicapées;</w:t>
      </w:r>
    </w:p>
    <w:p w:rsidR="00B424EC" w:rsidRPr="008936B0" w:rsidRDefault="00B424EC" w:rsidP="00B424EC">
      <w:pPr>
        <w:pStyle w:val="Bullet1"/>
        <w:rPr>
          <w:lang w:val="fr-FR"/>
        </w:rPr>
      </w:pPr>
      <w:r>
        <w:rPr>
          <w:lang w:val="fr-FR"/>
        </w:rPr>
        <w:t>Apporter l’</w:t>
      </w:r>
      <w:r w:rsidRPr="008936B0">
        <w:rPr>
          <w:lang w:val="fr-FR"/>
        </w:rPr>
        <w:t xml:space="preserve">assistance technique </w:t>
      </w:r>
      <w:r>
        <w:rPr>
          <w:lang w:val="fr-FR"/>
        </w:rPr>
        <w:t>nécessaire pour l’adaptation et pour</w:t>
      </w:r>
      <w:r w:rsidRPr="008936B0">
        <w:rPr>
          <w:lang w:val="fr-FR"/>
        </w:rPr>
        <w:t xml:space="preserve"> la modification de la législation;</w:t>
      </w:r>
    </w:p>
    <w:p w:rsidR="00B424EC" w:rsidRPr="008936B0" w:rsidRDefault="00B424EC" w:rsidP="00B424EC">
      <w:pPr>
        <w:pStyle w:val="Bullet1"/>
        <w:rPr>
          <w:lang w:val="fr-FR"/>
        </w:rPr>
      </w:pPr>
      <w:r w:rsidRPr="008936B0">
        <w:rPr>
          <w:lang w:val="fr-FR"/>
        </w:rPr>
        <w:t>Promouvoir la coopération interinstitutions;</w:t>
      </w:r>
    </w:p>
    <w:p w:rsidR="00B424EC" w:rsidRDefault="00B424EC" w:rsidP="00B424EC">
      <w:pPr>
        <w:pStyle w:val="Bullet1"/>
        <w:rPr>
          <w:lang w:val="fr-FR"/>
        </w:rPr>
      </w:pPr>
      <w:r w:rsidRPr="008936B0">
        <w:rPr>
          <w:lang w:val="fr-FR"/>
        </w:rPr>
        <w:t>Encourager la coopération et l</w:t>
      </w:r>
      <w:r>
        <w:rPr>
          <w:lang w:val="fr-FR"/>
        </w:rPr>
        <w:t>’</w:t>
      </w:r>
      <w:r w:rsidRPr="008936B0">
        <w:rPr>
          <w:lang w:val="fr-FR"/>
        </w:rPr>
        <w:t>échange d</w:t>
      </w:r>
      <w:r>
        <w:rPr>
          <w:lang w:val="fr-FR"/>
        </w:rPr>
        <w:t>’</w:t>
      </w:r>
      <w:r w:rsidRPr="008936B0">
        <w:rPr>
          <w:lang w:val="fr-FR"/>
        </w:rPr>
        <w:t>expériences avec des institutions et des organisations internationales.</w:t>
      </w:r>
    </w:p>
    <w:p w:rsidR="00B424EC" w:rsidRPr="005D528E" w:rsidRDefault="00B424EC" w:rsidP="00B424EC">
      <w:pPr>
        <w:pStyle w:val="Bullet1"/>
        <w:numPr>
          <w:ilvl w:val="0"/>
          <w:numId w:val="0"/>
        </w:numPr>
        <w:spacing w:after="0" w:line="120" w:lineRule="exact"/>
        <w:ind w:left="1743"/>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8936B0">
        <w:rPr>
          <w:lang w:val="fr-FR"/>
        </w:rPr>
        <w:tab/>
        <w:t>Secrétariat national à l</w:t>
      </w:r>
      <w:r>
        <w:rPr>
          <w:lang w:val="fr-FR"/>
        </w:rPr>
        <w:t>’</w:t>
      </w:r>
      <w:r w:rsidRPr="008936B0">
        <w:rPr>
          <w:lang w:val="fr-FR"/>
        </w:rPr>
        <w:t>enfance, à</w:t>
      </w:r>
      <w:r>
        <w:rPr>
          <w:lang w:val="fr-FR"/>
        </w:rPr>
        <w:t xml:space="preserve"> l’adolescence et à la famille</w:t>
      </w:r>
    </w:p>
    <w:p w:rsidR="00B424EC" w:rsidRPr="005D528E" w:rsidRDefault="00B424EC" w:rsidP="00B424EC">
      <w:pPr>
        <w:pStyle w:val="SingleTxt"/>
        <w:spacing w:after="0" w:line="120" w:lineRule="exact"/>
        <w:rPr>
          <w:sz w:val="10"/>
          <w:lang w:val="fr-FR"/>
        </w:rPr>
      </w:pPr>
    </w:p>
    <w:p w:rsidR="00B424EC" w:rsidRPr="008936B0" w:rsidRDefault="00B424EC" w:rsidP="00B424EC">
      <w:pPr>
        <w:pStyle w:val="SingleTxt"/>
        <w:numPr>
          <w:ilvl w:val="0"/>
          <w:numId w:val="17"/>
        </w:numPr>
        <w:tabs>
          <w:tab w:val="clear" w:pos="475"/>
          <w:tab w:val="num" w:pos="1742"/>
        </w:tabs>
        <w:ind w:left="1267"/>
        <w:rPr>
          <w:lang w:val="fr-FR"/>
        </w:rPr>
      </w:pPr>
      <w:r w:rsidRPr="008936B0">
        <w:rPr>
          <w:lang w:val="fr-FR"/>
        </w:rPr>
        <w:t>La loi n</w:t>
      </w:r>
      <w:r w:rsidRPr="005D528E">
        <w:rPr>
          <w:vertAlign w:val="superscript"/>
          <w:lang w:val="fr-FR"/>
        </w:rPr>
        <w:t>o</w:t>
      </w:r>
      <w:r>
        <w:rPr>
          <w:lang w:val="fr-FR"/>
        </w:rPr>
        <w:t> </w:t>
      </w:r>
      <w:r w:rsidRPr="008936B0">
        <w:rPr>
          <w:lang w:val="fr-FR"/>
        </w:rPr>
        <w:t>26 061</w:t>
      </w:r>
      <w:r>
        <w:rPr>
          <w:lang w:val="fr-FR"/>
        </w:rPr>
        <w:t xml:space="preserve">, adoptée en </w:t>
      </w:r>
      <w:r w:rsidRPr="008936B0">
        <w:rPr>
          <w:lang w:val="fr-FR"/>
        </w:rPr>
        <w:t xml:space="preserve">2005 </w:t>
      </w:r>
      <w:r>
        <w:rPr>
          <w:lang w:val="fr-FR"/>
        </w:rPr>
        <w:t xml:space="preserve">reflète une conception globale </w:t>
      </w:r>
      <w:r w:rsidRPr="008936B0">
        <w:rPr>
          <w:lang w:val="fr-FR"/>
        </w:rPr>
        <w:t>de la protection de l</w:t>
      </w:r>
      <w:r>
        <w:rPr>
          <w:lang w:val="fr-FR"/>
        </w:rPr>
        <w:t>’</w:t>
      </w:r>
      <w:r w:rsidRPr="008936B0">
        <w:rPr>
          <w:lang w:val="fr-FR"/>
        </w:rPr>
        <w:t>enfance et de l</w:t>
      </w:r>
      <w:r>
        <w:rPr>
          <w:lang w:val="fr-FR"/>
        </w:rPr>
        <w:t>’</w:t>
      </w:r>
      <w:r w:rsidRPr="008936B0">
        <w:rPr>
          <w:lang w:val="fr-FR"/>
        </w:rPr>
        <w:t xml:space="preserve">adolescence.  </w:t>
      </w:r>
    </w:p>
    <w:p w:rsidR="00B424EC" w:rsidRPr="008936B0" w:rsidRDefault="00B424EC" w:rsidP="00B424EC">
      <w:pPr>
        <w:pStyle w:val="SingleTxt"/>
        <w:numPr>
          <w:ilvl w:val="0"/>
          <w:numId w:val="17"/>
        </w:numPr>
        <w:tabs>
          <w:tab w:val="clear" w:pos="475"/>
          <w:tab w:val="num" w:pos="1742"/>
        </w:tabs>
        <w:ind w:left="1267"/>
        <w:rPr>
          <w:lang w:val="fr-FR"/>
        </w:rPr>
      </w:pPr>
      <w:r w:rsidRPr="008936B0">
        <w:rPr>
          <w:lang w:val="fr-FR"/>
        </w:rPr>
        <w:t>Cette loi porte création du Secrétariat national à l</w:t>
      </w:r>
      <w:r>
        <w:rPr>
          <w:lang w:val="fr-FR"/>
        </w:rPr>
        <w:t>’</w:t>
      </w:r>
      <w:r w:rsidRPr="008936B0">
        <w:rPr>
          <w:lang w:val="fr-FR"/>
        </w:rPr>
        <w:t>enfance, à l</w:t>
      </w:r>
      <w:r>
        <w:rPr>
          <w:lang w:val="fr-FR"/>
        </w:rPr>
        <w:t>’</w:t>
      </w:r>
      <w:r w:rsidRPr="008936B0">
        <w:rPr>
          <w:lang w:val="fr-FR"/>
        </w:rPr>
        <w:t>adolescence et à la famille, organe du pouvoir exécutif spécialisé dans les droits des enfants et des adolescents</w:t>
      </w:r>
      <w:r>
        <w:rPr>
          <w:lang w:val="fr-FR"/>
        </w:rPr>
        <w:t xml:space="preserve">, qui dirige les </w:t>
      </w:r>
      <w:r w:rsidRPr="008936B0">
        <w:rPr>
          <w:lang w:val="fr-FR"/>
        </w:rPr>
        <w:t xml:space="preserve">politiques publiques dans ce domaine. </w:t>
      </w:r>
    </w:p>
    <w:p w:rsidR="00B424EC" w:rsidRPr="008936B0" w:rsidRDefault="00B424EC" w:rsidP="00B424EC">
      <w:pPr>
        <w:pStyle w:val="SingleTxt"/>
        <w:numPr>
          <w:ilvl w:val="0"/>
          <w:numId w:val="17"/>
        </w:numPr>
        <w:tabs>
          <w:tab w:val="clear" w:pos="475"/>
          <w:tab w:val="num" w:pos="1742"/>
        </w:tabs>
        <w:ind w:left="1267"/>
        <w:rPr>
          <w:lang w:val="fr-FR"/>
        </w:rPr>
      </w:pPr>
      <w:r>
        <w:rPr>
          <w:rFonts w:eastAsia="Times New Roman"/>
          <w:szCs w:val="24"/>
          <w:lang w:val="fr-FR"/>
        </w:rPr>
        <w:t>Par le décret n</w:t>
      </w:r>
      <w:r w:rsidRPr="005D528E">
        <w:rPr>
          <w:rFonts w:eastAsia="Times New Roman"/>
          <w:szCs w:val="24"/>
          <w:vertAlign w:val="superscript"/>
          <w:lang w:val="fr-FR"/>
        </w:rPr>
        <w:t>o</w:t>
      </w:r>
      <w:r>
        <w:rPr>
          <w:rFonts w:eastAsia="Times New Roman"/>
          <w:szCs w:val="24"/>
          <w:lang w:val="fr-FR"/>
        </w:rPr>
        <w:t xml:space="preserve"> 416/06, le pouvoir exécutif a décidé de rattacher le Secrétariat national à l’enfance, à l’adolescence et à la famille au Ministère du développement social, garantissant ainsi que ses activités soient menées dans le cadre des politiques </w:t>
      </w:r>
      <w:r>
        <w:rPr>
          <w:rFonts w:eastAsia="Times New Roman"/>
          <w:szCs w:val="24"/>
          <w:lang w:val="fr-FR"/>
        </w:rPr>
        <w:lastRenderedPageBreak/>
        <w:t>sociales générales, et il l’a dotée de l’autonomie financière afin de faciliter l’application de ses politiques.</w:t>
      </w:r>
    </w:p>
    <w:p w:rsidR="00B424EC" w:rsidRPr="008936B0" w:rsidRDefault="00B424EC" w:rsidP="00B424EC">
      <w:pPr>
        <w:pStyle w:val="SingleTxt"/>
        <w:numPr>
          <w:ilvl w:val="0"/>
          <w:numId w:val="17"/>
        </w:numPr>
        <w:tabs>
          <w:tab w:val="clear" w:pos="475"/>
          <w:tab w:val="num" w:pos="1742"/>
        </w:tabs>
        <w:ind w:left="1267"/>
        <w:rPr>
          <w:lang w:val="fr-FR"/>
        </w:rPr>
      </w:pPr>
      <w:r>
        <w:rPr>
          <w:rFonts w:eastAsia="Times New Roman"/>
          <w:szCs w:val="24"/>
          <w:lang w:val="fr-FR"/>
        </w:rPr>
        <w:t>Au niveau fédéral</w:t>
      </w:r>
      <w:r w:rsidRPr="005C5E43">
        <w:rPr>
          <w:rFonts w:eastAsia="Times New Roman"/>
          <w:szCs w:val="24"/>
          <w:lang w:val="fr-FR"/>
        </w:rPr>
        <w:t xml:space="preserve">, </w:t>
      </w:r>
      <w:r>
        <w:rPr>
          <w:rFonts w:eastAsia="Times New Roman"/>
          <w:szCs w:val="24"/>
          <w:lang w:val="fr-FR"/>
        </w:rPr>
        <w:t>l’organe chargé de la protection des droits des enfants est le Conseil fédéral de l’enfance, de l’adolescence et de la famille,</w:t>
      </w:r>
      <w:r w:rsidRPr="005C5E43">
        <w:rPr>
          <w:rFonts w:eastAsia="Times New Roman"/>
          <w:szCs w:val="24"/>
          <w:lang w:val="fr-FR"/>
        </w:rPr>
        <w:t xml:space="preserve"> </w:t>
      </w:r>
      <w:r>
        <w:rPr>
          <w:rFonts w:eastAsia="Times New Roman"/>
          <w:szCs w:val="24"/>
          <w:lang w:val="fr-FR"/>
        </w:rPr>
        <w:t>composé du Secrétaire national à l’enfance, à l’adolescence et à la famille, qui en assure la présidence, et des représentants des organes de protection des droits des enfants, des adolescents et de la famille de chacune des provinces et de la ville autonome de Buenos Aires.</w:t>
      </w:r>
      <w:r w:rsidRPr="005C5E43">
        <w:rPr>
          <w:rFonts w:eastAsia="Times New Roman"/>
          <w:szCs w:val="24"/>
          <w:lang w:val="fr-FR"/>
        </w:rPr>
        <w:t xml:space="preserve"> </w:t>
      </w:r>
      <w:r>
        <w:rPr>
          <w:rFonts w:eastAsia="Times New Roman"/>
          <w:szCs w:val="24"/>
          <w:lang w:val="fr-FR"/>
        </w:rPr>
        <w:t>À sa séance inaugurale, le 15 décembre 2006, le Conseil fédéral a pris les engagements suivants :</w:t>
      </w:r>
    </w:p>
    <w:p w:rsidR="00B424EC" w:rsidRPr="008936B0" w:rsidRDefault="00B424EC" w:rsidP="00B424EC">
      <w:pPr>
        <w:pStyle w:val="SingleTxt"/>
        <w:rPr>
          <w:lang w:val="fr-FR"/>
        </w:rPr>
      </w:pPr>
      <w:r w:rsidRPr="008936B0">
        <w:rPr>
          <w:lang w:val="fr-FR"/>
        </w:rPr>
        <w:tab/>
        <w:t>a)</w:t>
      </w:r>
      <w:r w:rsidRPr="008936B0">
        <w:rPr>
          <w:lang w:val="fr-FR"/>
        </w:rPr>
        <w:tab/>
      </w:r>
      <w:r>
        <w:rPr>
          <w:rFonts w:eastAsia="Times New Roman"/>
          <w:szCs w:val="24"/>
          <w:lang w:val="fr-FR"/>
        </w:rPr>
        <w:t>Approfondir le processus de transformation institutionnelle et les réformes législatives au niveau de la Fédération, des provinces et des municipalités, de façon que les institutions et les cadres juridiques soient harmonisés et respectueux des droits, principes et garanties</w:t>
      </w:r>
      <w:r w:rsidRPr="005C5E43">
        <w:rPr>
          <w:rFonts w:eastAsia="Times New Roman"/>
          <w:szCs w:val="24"/>
          <w:lang w:val="fr-FR"/>
        </w:rPr>
        <w:t xml:space="preserve"> </w:t>
      </w:r>
      <w:r>
        <w:rPr>
          <w:rFonts w:eastAsia="Times New Roman"/>
          <w:szCs w:val="24"/>
          <w:lang w:val="fr-FR"/>
        </w:rPr>
        <w:t>consacrés dans la Convention relative aux droits de l’enfant;</w:t>
      </w:r>
    </w:p>
    <w:p w:rsidR="00B424EC" w:rsidRPr="008936B0" w:rsidRDefault="00B424EC" w:rsidP="00B424EC">
      <w:pPr>
        <w:pStyle w:val="SingleTxt"/>
        <w:rPr>
          <w:lang w:val="fr-FR"/>
        </w:rPr>
      </w:pPr>
      <w:r w:rsidRPr="008936B0">
        <w:rPr>
          <w:lang w:val="fr-FR"/>
        </w:rPr>
        <w:tab/>
        <w:t>b)</w:t>
      </w:r>
      <w:r w:rsidRPr="008936B0">
        <w:rPr>
          <w:lang w:val="fr-FR"/>
        </w:rPr>
        <w:tab/>
      </w:r>
      <w:r w:rsidRPr="005C5E43">
        <w:rPr>
          <w:rFonts w:eastAsia="Times New Roman"/>
          <w:szCs w:val="24"/>
          <w:lang w:val="fr-FR"/>
        </w:rPr>
        <w:t>Adopt</w:t>
      </w:r>
      <w:r>
        <w:rPr>
          <w:rFonts w:eastAsia="Times New Roman"/>
          <w:szCs w:val="24"/>
          <w:lang w:val="fr-FR"/>
        </w:rPr>
        <w:t>e</w:t>
      </w:r>
      <w:r w:rsidRPr="005C5E43">
        <w:rPr>
          <w:rFonts w:eastAsia="Times New Roman"/>
          <w:szCs w:val="24"/>
          <w:lang w:val="fr-FR"/>
        </w:rPr>
        <w:t>r</w:t>
      </w:r>
      <w:r>
        <w:rPr>
          <w:rFonts w:eastAsia="Times New Roman"/>
          <w:szCs w:val="24"/>
          <w:lang w:val="fr-FR"/>
        </w:rPr>
        <w:t>, à tous les niveaux de l’administration, des formes d’organisation qui garantissent un système solide de protection globale des droits des enfants et des adolescents, facilite l’accès universel aux droits et aient une capacité d’action efficace et appropriée lorsque ces droits ont été menacés ou violés, en tenant compte dans les interventions des particularités de chaque communauté;</w:t>
      </w:r>
      <w:r w:rsidRPr="005C5E43">
        <w:rPr>
          <w:rFonts w:eastAsia="Times New Roman"/>
          <w:szCs w:val="24"/>
          <w:lang w:val="fr-FR"/>
        </w:rPr>
        <w:t xml:space="preserve"> </w:t>
      </w:r>
    </w:p>
    <w:p w:rsidR="00B424EC" w:rsidRPr="008936B0" w:rsidRDefault="00B424EC" w:rsidP="00B424EC">
      <w:pPr>
        <w:pStyle w:val="SingleTxt"/>
        <w:rPr>
          <w:lang w:val="fr-FR"/>
        </w:rPr>
      </w:pPr>
      <w:r w:rsidRPr="008936B0">
        <w:rPr>
          <w:lang w:val="fr-FR"/>
        </w:rPr>
        <w:tab/>
        <w:t>c)</w:t>
      </w:r>
      <w:r w:rsidRPr="008936B0">
        <w:rPr>
          <w:lang w:val="fr-FR"/>
        </w:rPr>
        <w:tab/>
      </w:r>
      <w:r>
        <w:rPr>
          <w:rFonts w:eastAsia="Times New Roman"/>
          <w:szCs w:val="24"/>
          <w:lang w:val="fr-FR"/>
        </w:rPr>
        <w:t>Promouvoir la participation de la communauté, par l’intermédiaire des organisations de la société civile, à l’élaboration et à la mise en œuvre des politiques de promotion, de prévention et de rétablissement des droits, et l’exercice du droit d’être entendu et du droit de participer parmi les enfants et les adolescents</w:t>
      </w:r>
      <w:r w:rsidRPr="005C5E43">
        <w:rPr>
          <w:rFonts w:eastAsia="Times New Roman"/>
          <w:szCs w:val="24"/>
          <w:lang w:val="fr-FR"/>
        </w:rPr>
        <w:t>;</w:t>
      </w:r>
    </w:p>
    <w:p w:rsidR="00B424EC" w:rsidRDefault="00B424EC" w:rsidP="00B424EC">
      <w:pPr>
        <w:pStyle w:val="SingleTxt"/>
        <w:rPr>
          <w:rFonts w:eastAsia="Times New Roman"/>
          <w:szCs w:val="24"/>
          <w:lang w:val="fr-FR"/>
        </w:rPr>
      </w:pPr>
      <w:r w:rsidRPr="008936B0">
        <w:rPr>
          <w:lang w:val="fr-FR"/>
        </w:rPr>
        <w:tab/>
        <w:t>d)</w:t>
      </w:r>
      <w:r w:rsidRPr="008936B0">
        <w:rPr>
          <w:lang w:val="fr-FR"/>
        </w:rPr>
        <w:tab/>
      </w:r>
      <w:r>
        <w:rPr>
          <w:rFonts w:eastAsia="Times New Roman"/>
          <w:szCs w:val="24"/>
          <w:lang w:val="fr-FR"/>
        </w:rPr>
        <w:t>Renforcer les processus de révision et de transformation des pratiques institutionnelles concernant les enfants et les adolescents, en les adaptant au modèle de la protection globale, en évitant les doubles emplois, la multiplication des structures, les objectifs irréalistes, de manière à unifier, coordonner et optimiser les ressources et les procédures et circuits administratifs.</w:t>
      </w:r>
      <w:r w:rsidRPr="005C5E43">
        <w:rPr>
          <w:rFonts w:eastAsia="Times New Roman"/>
          <w:szCs w:val="24"/>
          <w:lang w:val="fr-FR"/>
        </w:rPr>
        <w:t xml:space="preserve"> </w:t>
      </w:r>
      <w:r>
        <w:rPr>
          <w:rFonts w:eastAsia="Times New Roman"/>
          <w:szCs w:val="24"/>
          <w:lang w:val="fr-FR"/>
        </w:rPr>
        <w:t>Élaborer des normes minimales de qualité pour l’assistance, les protocoles d’intervention et les systèmes d’enregistrement de données sur l’enfance, en particulier sur les enfants et adolescents privés de soins parentaux.</w:t>
      </w:r>
    </w:p>
    <w:p w:rsidR="00B424EC" w:rsidRPr="005D528E" w:rsidRDefault="00B424EC" w:rsidP="00B424EC">
      <w:pPr>
        <w:pStyle w:val="SingleTxt"/>
        <w:spacing w:after="0" w:line="120" w:lineRule="exact"/>
        <w:rPr>
          <w:rFonts w:eastAsia="Times New Roman"/>
          <w:sz w:val="10"/>
          <w:szCs w:val="24"/>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tab/>
      </w:r>
      <w:r w:rsidRPr="008936B0">
        <w:rPr>
          <w:lang w:val="fr-FR"/>
        </w:rPr>
        <w:tab/>
        <w:t>Conseil national de</w:t>
      </w:r>
      <w:r>
        <w:rPr>
          <w:lang w:val="fr-FR"/>
        </w:rPr>
        <w:t xml:space="preserve"> la femme</w:t>
      </w:r>
    </w:p>
    <w:p w:rsidR="00B424EC" w:rsidRPr="005D528E" w:rsidRDefault="00B424EC" w:rsidP="00B424EC">
      <w:pPr>
        <w:pStyle w:val="SingleTxt"/>
        <w:spacing w:after="0" w:line="120" w:lineRule="exact"/>
        <w:rPr>
          <w:b/>
          <w:sz w:val="10"/>
          <w:lang w:val="fr-FR"/>
        </w:rPr>
      </w:pPr>
    </w:p>
    <w:p w:rsidR="00B424EC" w:rsidRPr="008936B0" w:rsidRDefault="00B424EC" w:rsidP="00B424EC">
      <w:pPr>
        <w:pStyle w:val="SingleTxt"/>
        <w:numPr>
          <w:ilvl w:val="0"/>
          <w:numId w:val="17"/>
        </w:numPr>
        <w:tabs>
          <w:tab w:val="clear" w:pos="475"/>
          <w:tab w:val="num" w:pos="1742"/>
        </w:tabs>
        <w:ind w:left="1267"/>
        <w:rPr>
          <w:lang w:val="fr-FR"/>
        </w:rPr>
      </w:pPr>
      <w:r>
        <w:rPr>
          <w:rFonts w:eastAsia="Times New Roman"/>
          <w:szCs w:val="24"/>
          <w:lang w:val="fr-FR"/>
        </w:rPr>
        <w:t>L’Argentine a mis en place un organe chargé de promouvoir la situation des femmes, le Conseil national de la femme, qui dépend du Conseil national de coordination des politiques sociales.</w:t>
      </w:r>
      <w:r w:rsidRPr="005C5E43">
        <w:rPr>
          <w:rFonts w:eastAsia="Times New Roman"/>
          <w:szCs w:val="24"/>
          <w:lang w:val="fr-FR"/>
        </w:rPr>
        <w:t xml:space="preserve"> </w:t>
      </w:r>
      <w:r>
        <w:rPr>
          <w:rFonts w:eastAsia="Times New Roman"/>
          <w:szCs w:val="24"/>
          <w:lang w:val="fr-FR"/>
        </w:rPr>
        <w:t>Il est responsable des politiques relatives à l’égalité des chances et l’égalité de traitement entre les hommes et les femmes; le but est de parvenir à une transformation socioculturelle fondée sur la participation totale, en toute égalité, des femmes à la vie économique et culturelle du pays. Le Conseil a notamment pour objectifs d’encourager et de surveiller l’application effective des dispositions de la Convention sur l’élimination de toutes les formes de discrimination à l’égard des femmes, qui a rang constitutionnel depuis 1994, et de la Convention interaméricaine sur la prévention, la sanction et l’élimination de la violence contre la femme (Conventio</w:t>
      </w:r>
      <w:r w:rsidRPr="005C5E43">
        <w:rPr>
          <w:rFonts w:eastAsia="Times New Roman"/>
          <w:szCs w:val="24"/>
          <w:lang w:val="fr-FR"/>
        </w:rPr>
        <w:t>n de Belém do Pará).</w:t>
      </w:r>
    </w:p>
    <w:p w:rsidR="00B424EC" w:rsidRPr="005D528E" w:rsidRDefault="00B424EC" w:rsidP="00B424EC">
      <w:pPr>
        <w:pStyle w:val="SingleTxt"/>
        <w:numPr>
          <w:ilvl w:val="0"/>
          <w:numId w:val="17"/>
        </w:numPr>
        <w:tabs>
          <w:tab w:val="clear" w:pos="475"/>
          <w:tab w:val="num" w:pos="1742"/>
        </w:tabs>
        <w:ind w:left="1267"/>
        <w:rPr>
          <w:lang w:val="fr-FR"/>
        </w:rPr>
      </w:pPr>
      <w:r>
        <w:rPr>
          <w:rFonts w:eastAsia="Times New Roman"/>
          <w:szCs w:val="24"/>
          <w:lang w:val="fr-FR"/>
        </w:rPr>
        <w:t>Le Conseil national de la femme est aussi chargé de l’application de la loi n</w:t>
      </w:r>
      <w:r w:rsidRPr="005D528E">
        <w:rPr>
          <w:rFonts w:eastAsia="Times New Roman"/>
          <w:szCs w:val="24"/>
          <w:vertAlign w:val="superscript"/>
          <w:lang w:val="fr-FR"/>
        </w:rPr>
        <w:t>o</w:t>
      </w:r>
      <w:r>
        <w:rPr>
          <w:rFonts w:eastAsia="Times New Roman"/>
          <w:szCs w:val="24"/>
          <w:lang w:val="fr-FR"/>
        </w:rPr>
        <w:t> 26 485, votée en 2009, qui vise la prévention, la répression et l’élimination des violences à l’égard des femmes dans leurs relations interpersonnelles. Ce texte a élargi et complété la définition des violences faites aux femmes donnée jusqu’alors dans la législation nationale</w:t>
      </w:r>
      <w:r w:rsidRPr="005C5E43">
        <w:rPr>
          <w:rFonts w:eastAsia="Times New Roman"/>
          <w:szCs w:val="24"/>
          <w:lang w:val="fr-FR"/>
        </w:rPr>
        <w:t xml:space="preserve">, </w:t>
      </w:r>
      <w:r>
        <w:rPr>
          <w:rFonts w:eastAsia="Times New Roman"/>
          <w:szCs w:val="24"/>
          <w:lang w:val="fr-FR"/>
        </w:rPr>
        <w:t>en introduisant différentes catégories précises (violences physiques, psychologiques, sexuelles, économiques et symboliques</w:t>
      </w:r>
      <w:r w:rsidRPr="005C5E43">
        <w:rPr>
          <w:rFonts w:eastAsia="Times New Roman"/>
          <w:szCs w:val="24"/>
          <w:lang w:val="fr-FR"/>
        </w:rPr>
        <w:t xml:space="preserve">) </w:t>
      </w:r>
      <w:r>
        <w:rPr>
          <w:rFonts w:eastAsia="Times New Roman"/>
          <w:szCs w:val="24"/>
          <w:lang w:val="fr-FR"/>
        </w:rPr>
        <w:t>et leur cadre</w:t>
      </w:r>
      <w:r w:rsidRPr="005C5E43">
        <w:rPr>
          <w:rFonts w:eastAsia="Times New Roman"/>
          <w:szCs w:val="24"/>
          <w:lang w:val="fr-FR"/>
        </w:rPr>
        <w:t xml:space="preserve"> (</w:t>
      </w:r>
      <w:r>
        <w:rPr>
          <w:rFonts w:eastAsia="Times New Roman"/>
          <w:szCs w:val="24"/>
          <w:lang w:val="fr-FR"/>
        </w:rPr>
        <w:t>foyer et famille, institution, travail, grossesse et accouchement, médias</w:t>
      </w:r>
      <w:r w:rsidRPr="005C5E43">
        <w:rPr>
          <w:rFonts w:eastAsia="Times New Roman"/>
          <w:szCs w:val="24"/>
          <w:lang w:val="fr-FR"/>
        </w:rPr>
        <w:t>).</w:t>
      </w:r>
    </w:p>
    <w:p w:rsidR="00B424EC" w:rsidRPr="005D528E" w:rsidRDefault="00B424EC" w:rsidP="00B424EC">
      <w:pPr>
        <w:pStyle w:val="SingleTxt"/>
        <w:tabs>
          <w:tab w:val="clear" w:pos="1742"/>
        </w:tabs>
        <w:spacing w:after="0" w:line="120" w:lineRule="exact"/>
        <w:rPr>
          <w:sz w:val="10"/>
          <w:lang w:val="fr-FR"/>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36B0">
        <w:rPr>
          <w:lang w:val="fr-FR"/>
        </w:rPr>
        <w:lastRenderedPageBreak/>
        <w:tab/>
      </w:r>
      <w:r w:rsidRPr="008936B0">
        <w:rPr>
          <w:lang w:val="fr-FR"/>
        </w:rPr>
        <w:tab/>
        <w:t>Institut national des affaires autochtones</w:t>
      </w:r>
    </w:p>
    <w:p w:rsidR="00B424EC" w:rsidRPr="005D528E" w:rsidRDefault="00B424EC" w:rsidP="00B424EC">
      <w:pPr>
        <w:pStyle w:val="SingleTxt"/>
        <w:spacing w:after="0" w:line="120" w:lineRule="exact"/>
        <w:rPr>
          <w:sz w:val="10"/>
          <w:lang w:val="fr-FR"/>
        </w:rPr>
      </w:pPr>
    </w:p>
    <w:p w:rsidR="00B424EC" w:rsidRPr="008936B0" w:rsidRDefault="00B424EC" w:rsidP="00B424EC">
      <w:pPr>
        <w:pStyle w:val="SingleTxt"/>
        <w:numPr>
          <w:ilvl w:val="0"/>
          <w:numId w:val="17"/>
        </w:numPr>
        <w:tabs>
          <w:tab w:val="clear" w:pos="475"/>
          <w:tab w:val="num" w:pos="1742"/>
        </w:tabs>
        <w:ind w:left="1267"/>
        <w:rPr>
          <w:lang w:val="fr-FR"/>
        </w:rPr>
      </w:pPr>
      <w:r>
        <w:rPr>
          <w:rFonts w:eastAsia="Times New Roman"/>
          <w:szCs w:val="24"/>
          <w:lang w:val="fr-FR"/>
        </w:rPr>
        <w:t>Créé en septembre 1985 par la loi n</w:t>
      </w:r>
      <w:r w:rsidRPr="00867E97">
        <w:rPr>
          <w:rFonts w:eastAsia="Times New Roman"/>
          <w:szCs w:val="24"/>
          <w:vertAlign w:val="superscript"/>
          <w:lang w:val="fr-FR"/>
        </w:rPr>
        <w:t>o</w:t>
      </w:r>
      <w:r>
        <w:rPr>
          <w:rFonts w:eastAsia="Times New Roman"/>
          <w:szCs w:val="24"/>
          <w:lang w:val="fr-FR"/>
        </w:rPr>
        <w:t> 23 302 et régi par le décret n</w:t>
      </w:r>
      <w:r w:rsidRPr="00867E97">
        <w:rPr>
          <w:rFonts w:eastAsia="Times New Roman"/>
          <w:szCs w:val="24"/>
          <w:vertAlign w:val="superscript"/>
          <w:lang w:val="fr-FR"/>
        </w:rPr>
        <w:t>o</w:t>
      </w:r>
      <w:r>
        <w:rPr>
          <w:rFonts w:eastAsia="Times New Roman"/>
          <w:szCs w:val="24"/>
          <w:lang w:val="fr-FR"/>
        </w:rPr>
        <w:t xml:space="preserve"> 155 de février 1989, l’Institut national des affaires autochtones est un organisme décentralisé à participation autochtone. Son principal objectif est d’assurer aux personnes appartenant aux peuples autochtones l’exercice des attributs de la citoyenneté, en garantissant le respect des droits consacrés dans la Constitution </w:t>
      </w:r>
      <w:r w:rsidRPr="005C5E43">
        <w:rPr>
          <w:rFonts w:eastAsia="Times New Roman"/>
          <w:szCs w:val="24"/>
          <w:lang w:val="fr-FR"/>
        </w:rPr>
        <w:t>(art. 75</w:t>
      </w:r>
      <w:r>
        <w:rPr>
          <w:rFonts w:eastAsia="Times New Roman"/>
          <w:szCs w:val="24"/>
          <w:lang w:val="fr-FR"/>
        </w:rPr>
        <w:t>, par. 17</w:t>
      </w:r>
      <w:r w:rsidRPr="005C5E43">
        <w:rPr>
          <w:rFonts w:eastAsia="Times New Roman"/>
          <w:szCs w:val="24"/>
          <w:lang w:val="fr-FR"/>
        </w:rPr>
        <w:t>).</w:t>
      </w:r>
    </w:p>
    <w:p w:rsidR="00B424EC" w:rsidRPr="008936B0" w:rsidRDefault="00B424EC" w:rsidP="00B424EC">
      <w:pPr>
        <w:pStyle w:val="SingleTxt"/>
        <w:numPr>
          <w:ilvl w:val="0"/>
          <w:numId w:val="17"/>
        </w:numPr>
        <w:tabs>
          <w:tab w:val="clear" w:pos="475"/>
          <w:tab w:val="num" w:pos="1742"/>
        </w:tabs>
        <w:ind w:left="1267"/>
        <w:rPr>
          <w:lang w:val="fr-FR"/>
        </w:rPr>
      </w:pPr>
      <w:r>
        <w:rPr>
          <w:rFonts w:eastAsia="Times New Roman"/>
          <w:szCs w:val="24"/>
          <w:lang w:val="fr-FR"/>
        </w:rPr>
        <w:t>La mission de l’Institut national des affaires autochtones est d’apporter une aide et un appui aux peuples et communautés autochtones du pays, et d’assurer leur défense et leur développement, leur participation pleine et entière au processus socioéconomique et culturel, en respectant leurs valeurs et leur mode de vie mettant en œuvre des programmes qui leur permettent d’accéder à la propriété foncière et qui soutiennent leurs activités de production agricole, sylvicole, minière, industrielle ou artisanale particulières, la préservation de</w:t>
      </w:r>
      <w:r w:rsidRPr="005C5E43">
        <w:rPr>
          <w:rFonts w:eastAsia="Times New Roman"/>
          <w:szCs w:val="24"/>
          <w:lang w:val="fr-FR"/>
        </w:rPr>
        <w:t xml:space="preserve"> </w:t>
      </w:r>
      <w:r>
        <w:rPr>
          <w:rFonts w:eastAsia="Times New Roman"/>
          <w:szCs w:val="24"/>
          <w:lang w:val="fr-FR"/>
        </w:rPr>
        <w:t>leurs pratiques culturelles dans les programmes d’enseignement et la protection de leur santé, selon les dispositions du décret n</w:t>
      </w:r>
      <w:r w:rsidRPr="00867E97">
        <w:rPr>
          <w:rFonts w:eastAsia="Times New Roman"/>
          <w:szCs w:val="24"/>
          <w:vertAlign w:val="superscript"/>
          <w:lang w:val="fr-FR"/>
        </w:rPr>
        <w:t>o</w:t>
      </w:r>
      <w:r>
        <w:rPr>
          <w:rFonts w:eastAsia="Times New Roman"/>
          <w:szCs w:val="24"/>
          <w:lang w:val="fr-FR"/>
        </w:rPr>
        <w:t> 410/06, qui régit l’organisation de l’Institut.</w:t>
      </w:r>
    </w:p>
    <w:p w:rsidR="00B424EC" w:rsidRPr="008936B0" w:rsidRDefault="00B424EC" w:rsidP="00B424EC">
      <w:pPr>
        <w:pStyle w:val="SingleTxt"/>
        <w:numPr>
          <w:ilvl w:val="0"/>
          <w:numId w:val="17"/>
        </w:numPr>
        <w:tabs>
          <w:tab w:val="clear" w:pos="475"/>
          <w:tab w:val="num" w:pos="1742"/>
        </w:tabs>
        <w:ind w:left="1267"/>
        <w:rPr>
          <w:lang w:val="fr-FR"/>
        </w:rPr>
      </w:pPr>
      <w:r>
        <w:rPr>
          <w:rFonts w:eastAsia="Times New Roman"/>
          <w:szCs w:val="24"/>
          <w:lang w:val="fr-FR"/>
        </w:rPr>
        <w:t>En tant qu’organisme chargé de l’application de la politique autochtone, l’Institut national des affaires autochtones favorise la participation des communautés à la conception et à la gestion des politiques publiques qui les concernent, en respectant leurs formes d’organisation traditionnelles, en les aidant à renforcer leur identité ethnique et culturelle</w:t>
      </w:r>
      <w:r w:rsidRPr="005C5E43">
        <w:rPr>
          <w:rFonts w:eastAsia="Times New Roman"/>
          <w:szCs w:val="24"/>
          <w:lang w:val="fr-FR"/>
        </w:rPr>
        <w:t xml:space="preserve"> </w:t>
      </w:r>
      <w:r>
        <w:rPr>
          <w:rFonts w:eastAsia="Times New Roman"/>
          <w:szCs w:val="24"/>
          <w:lang w:val="fr-FR"/>
        </w:rPr>
        <w:t>et en jetant les bases d’un mode de développement global et durable,</w:t>
      </w:r>
      <w:r w:rsidRPr="005C5E43">
        <w:rPr>
          <w:rFonts w:eastAsia="Times New Roman"/>
          <w:szCs w:val="24"/>
          <w:lang w:val="fr-FR"/>
        </w:rPr>
        <w:t xml:space="preserve"> </w:t>
      </w:r>
      <w:r>
        <w:rPr>
          <w:rFonts w:eastAsia="Times New Roman"/>
          <w:szCs w:val="24"/>
          <w:lang w:val="fr-FR"/>
        </w:rPr>
        <w:t>compatible avec la préservation de l’environnement dans lequel elles vivent.</w:t>
      </w:r>
    </w:p>
    <w:p w:rsidR="00B424EC" w:rsidRPr="008936B0" w:rsidRDefault="00B424EC" w:rsidP="00B424EC">
      <w:pPr>
        <w:pStyle w:val="SingleTxt"/>
        <w:numPr>
          <w:ilvl w:val="0"/>
          <w:numId w:val="17"/>
        </w:numPr>
        <w:tabs>
          <w:tab w:val="clear" w:pos="475"/>
          <w:tab w:val="num" w:pos="1742"/>
        </w:tabs>
        <w:ind w:left="1267"/>
        <w:rPr>
          <w:lang w:val="fr-FR"/>
        </w:rPr>
      </w:pPr>
      <w:r>
        <w:rPr>
          <w:rFonts w:eastAsia="Times New Roman"/>
          <w:szCs w:val="24"/>
          <w:lang w:val="fr-FR"/>
        </w:rPr>
        <w:t>L’Institut national des affaires autochtones s’emploie également, en collaboration avec le Ministère de l’éducation, à mettre en place un enseignement interculturel bilingue, afin de revaloriser et de promouvoir la culture, la langue maternelle et la vision du monde des différentes communautés autochtones.</w:t>
      </w:r>
      <w:r w:rsidRPr="008936B0">
        <w:rPr>
          <w:lang w:val="fr-FR"/>
        </w:rPr>
        <w:t xml:space="preserve"> </w:t>
      </w:r>
    </w:p>
    <w:p w:rsidR="00B424EC" w:rsidRPr="00613187" w:rsidRDefault="00B424EC" w:rsidP="00B424EC">
      <w:pPr>
        <w:pStyle w:val="SingleTxt"/>
        <w:numPr>
          <w:ilvl w:val="0"/>
          <w:numId w:val="17"/>
        </w:numPr>
        <w:tabs>
          <w:tab w:val="clear" w:pos="475"/>
          <w:tab w:val="num" w:pos="1742"/>
        </w:tabs>
        <w:ind w:left="1267"/>
      </w:pPr>
      <w:r>
        <w:rPr>
          <w:rFonts w:eastAsia="Times New Roman"/>
          <w:szCs w:val="24"/>
          <w:lang w:val="fr-FR"/>
        </w:rPr>
        <w:t>Le Gouvernement a pris les initiatives notables ci-après.</w:t>
      </w:r>
    </w:p>
    <w:p w:rsidR="00B424EC" w:rsidRPr="00613187" w:rsidRDefault="00B424EC" w:rsidP="00B424EC">
      <w:pPr>
        <w:pStyle w:val="SingleTxt"/>
        <w:tabs>
          <w:tab w:val="clear" w:pos="1742"/>
        </w:tabs>
        <w:spacing w:after="0" w:line="120" w:lineRule="exact"/>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Plan national pour les droits de l’homme</w:t>
      </w:r>
    </w:p>
    <w:p w:rsidR="00B424EC" w:rsidRPr="00613187" w:rsidRDefault="00B424EC" w:rsidP="00B424EC">
      <w:pPr>
        <w:pStyle w:val="SingleTxt"/>
        <w:spacing w:after="0" w:line="120" w:lineRule="exact"/>
        <w:rPr>
          <w:sz w:val="10"/>
        </w:rPr>
      </w:pPr>
    </w:p>
    <w:p w:rsidR="00B424EC" w:rsidRDefault="00B424EC" w:rsidP="00B424EC">
      <w:pPr>
        <w:pStyle w:val="SingleTxt"/>
        <w:numPr>
          <w:ilvl w:val="0"/>
          <w:numId w:val="17"/>
        </w:numPr>
        <w:tabs>
          <w:tab w:val="clear" w:pos="475"/>
          <w:tab w:val="num" w:pos="1742"/>
        </w:tabs>
        <w:ind w:left="1267"/>
      </w:pPr>
      <w:r w:rsidRPr="00613187">
        <w:t xml:space="preserve">En décembre 2010 </w:t>
      </w:r>
      <w:r>
        <w:t xml:space="preserve">il </w:t>
      </w:r>
      <w:r w:rsidRPr="00613187">
        <w:t xml:space="preserve">a été décidé </w:t>
      </w:r>
      <w:r>
        <w:t xml:space="preserve">d’élaborer le </w:t>
      </w:r>
      <w:r w:rsidRPr="00613187">
        <w:t xml:space="preserve">Plan national </w:t>
      </w:r>
      <w:r>
        <w:t>pour les</w:t>
      </w:r>
      <w:r w:rsidRPr="00613187">
        <w:t xml:space="preserve"> droits de l</w:t>
      </w:r>
      <w:r>
        <w:t>’</w:t>
      </w:r>
      <w:r w:rsidRPr="00613187">
        <w:t xml:space="preserve">homme, </w:t>
      </w:r>
      <w:r>
        <w:t>selon une procédure caractérisée par le</w:t>
      </w:r>
      <w:r w:rsidRPr="00613187">
        <w:t xml:space="preserve"> dialogue et </w:t>
      </w:r>
      <w:r>
        <w:t>la</w:t>
      </w:r>
      <w:r w:rsidRPr="00613187">
        <w:t xml:space="preserve"> participation démocratique. Le Plan </w:t>
      </w:r>
      <w:r>
        <w:t>s’appuie sur les compétences d</w:t>
      </w:r>
      <w:r w:rsidRPr="00613187">
        <w:t xml:space="preserve">es nombreux organes administratifs </w:t>
      </w:r>
      <w:r>
        <w:t xml:space="preserve">chargés de la politique en </w:t>
      </w:r>
      <w:r w:rsidRPr="00613187">
        <w:t>matière de droits de l</w:t>
      </w:r>
      <w:r>
        <w:t>’</w:t>
      </w:r>
      <w:r w:rsidRPr="00613187">
        <w:t>homme</w:t>
      </w:r>
      <w:r>
        <w:t>,</w:t>
      </w:r>
      <w:r w:rsidRPr="00613187">
        <w:t xml:space="preserve"> qui suive</w:t>
      </w:r>
      <w:r>
        <w:t>nt</w:t>
      </w:r>
      <w:r w:rsidRPr="00613187">
        <w:t xml:space="preserve"> et f</w:t>
      </w:r>
      <w:r>
        <w:t>ont</w:t>
      </w:r>
      <w:r w:rsidRPr="00613187">
        <w:t xml:space="preserve"> appliquer les recommandations </w:t>
      </w:r>
      <w:r>
        <w:t>fait</w:t>
      </w:r>
      <w:r w:rsidRPr="00613187">
        <w:t xml:space="preserve">es </w:t>
      </w:r>
      <w:r>
        <w:t>à l’issue</w:t>
      </w:r>
      <w:r w:rsidRPr="00613187">
        <w:t xml:space="preserve"> de l</w:t>
      </w:r>
      <w:r>
        <w:t>’</w:t>
      </w:r>
      <w:r w:rsidRPr="00613187">
        <w:t>Examen périodique universel (EPU). Il comprend une série de mesures que l</w:t>
      </w:r>
      <w:r>
        <w:t xml:space="preserve">’État </w:t>
      </w:r>
      <w:r w:rsidRPr="00613187">
        <w:t>s</w:t>
      </w:r>
      <w:r>
        <w:t>’</w:t>
      </w:r>
      <w:r w:rsidRPr="00613187">
        <w:t>est engagé à mettre en œuvre afin de renforcer le système de protection et de promotion des droits de l</w:t>
      </w:r>
      <w:r>
        <w:t>’</w:t>
      </w:r>
      <w:r w:rsidRPr="00613187">
        <w:t>homme dans les différents domaines de s</w:t>
      </w:r>
      <w:r>
        <w:t>on</w:t>
      </w:r>
      <w:r w:rsidRPr="00613187">
        <w:t xml:space="preserve"> </w:t>
      </w:r>
      <w:r>
        <w:t>ressort.</w:t>
      </w:r>
      <w:r w:rsidRPr="00613187">
        <w:t xml:space="preserve"> Il constitue un cadre d</w:t>
      </w:r>
      <w:r>
        <w:t>’</w:t>
      </w:r>
      <w:r w:rsidRPr="00613187">
        <w:t xml:space="preserve">action </w:t>
      </w:r>
      <w:r>
        <w:t>comportant</w:t>
      </w:r>
      <w:r w:rsidRPr="00613187">
        <w:t xml:space="preserve"> des propositions et recommandations fondées sur les principes </w:t>
      </w:r>
      <w:r>
        <w:t>d’édification de la démocratie, de développement et d</w:t>
      </w:r>
      <w:r w:rsidRPr="00613187">
        <w:t>e respect des droits de l</w:t>
      </w:r>
      <w:r>
        <w:t>’</w:t>
      </w:r>
      <w:r w:rsidRPr="00613187">
        <w:t>homme. L</w:t>
      </w:r>
      <w:r>
        <w:t>’</w:t>
      </w:r>
      <w:r w:rsidRPr="00613187">
        <w:t xml:space="preserve">un des piliers du Plan est le renforcement des droits économiques, sociaux et culturels qui sont </w:t>
      </w:r>
      <w:r>
        <w:t>considér</w:t>
      </w:r>
      <w:r w:rsidRPr="00613187">
        <w:t xml:space="preserve">és </w:t>
      </w:r>
      <w:r>
        <w:t xml:space="preserve">comme </w:t>
      </w:r>
      <w:r w:rsidRPr="00613187">
        <w:t xml:space="preserve">universels, </w:t>
      </w:r>
      <w:r>
        <w:t>glob</w:t>
      </w:r>
      <w:r w:rsidRPr="00613187">
        <w:t xml:space="preserve">aux, interdépendants et progressifs </w:t>
      </w:r>
      <w:r>
        <w:t>d</w:t>
      </w:r>
      <w:r w:rsidRPr="00613187">
        <w:t>a</w:t>
      </w:r>
      <w:r>
        <w:t>ns</w:t>
      </w:r>
      <w:r w:rsidRPr="00613187">
        <w:t xml:space="preserve"> leur réalisation </w:t>
      </w:r>
      <w:r>
        <w:t>et le</w:t>
      </w:r>
      <w:r w:rsidRPr="00613187">
        <w:t xml:space="preserve">ur </w:t>
      </w:r>
      <w:r>
        <w:t xml:space="preserve">exercice. </w:t>
      </w:r>
      <w:r w:rsidRPr="00613187">
        <w:t xml:space="preserve">Les politiques de justice et de vérité et les politiques de </w:t>
      </w:r>
      <w:r>
        <w:t xml:space="preserve">préservation de la </w:t>
      </w:r>
      <w:r w:rsidRPr="00613187">
        <w:t>mémoire o</w:t>
      </w:r>
      <w:r>
        <w:t>ccup</w:t>
      </w:r>
      <w:r w:rsidRPr="00613187">
        <w:t>ent également un</w:t>
      </w:r>
      <w:r>
        <w:t>e</w:t>
      </w:r>
      <w:r w:rsidRPr="00613187">
        <w:t xml:space="preserve"> </w:t>
      </w:r>
      <w:r>
        <w:t>place centrale</w:t>
      </w:r>
      <w:r w:rsidRPr="00613187">
        <w:t>. Le P</w:t>
      </w:r>
      <w:r>
        <w:t xml:space="preserve">lan </w:t>
      </w:r>
      <w:r w:rsidRPr="00613187">
        <w:t>comporte trois axes prioritaires</w:t>
      </w:r>
      <w:r>
        <w:t> </w:t>
      </w:r>
      <w:r w:rsidRPr="00613187">
        <w:t xml:space="preserve">: </w:t>
      </w:r>
      <w:r>
        <w:t>égalité</w:t>
      </w:r>
      <w:r w:rsidRPr="00613187">
        <w:t xml:space="preserve"> et non-discrimination, garanties d</w:t>
      </w:r>
      <w:r>
        <w:t>’</w:t>
      </w:r>
      <w:r w:rsidRPr="00613187">
        <w:t xml:space="preserve">accès aux droits </w:t>
      </w:r>
      <w:r>
        <w:t>e</w:t>
      </w:r>
      <w:r w:rsidRPr="00613187">
        <w:t>t inclusion sociale.</w:t>
      </w:r>
    </w:p>
    <w:p w:rsidR="00B424EC" w:rsidRDefault="00B424EC" w:rsidP="00B424EC">
      <w:pPr>
        <w:pStyle w:val="SingleTxt"/>
      </w:pPr>
      <w:r>
        <w:t>132 </w:t>
      </w:r>
      <w:r>
        <w:rPr>
          <w:i/>
        </w:rPr>
        <w:t>bis</w:t>
      </w:r>
      <w:r w:rsidRPr="00867550">
        <w:t>.</w:t>
      </w:r>
      <w:r>
        <w:rPr>
          <w:i/>
        </w:rPr>
        <w:t xml:space="preserve"> </w:t>
      </w:r>
      <w:r w:rsidRPr="00613187">
        <w:t>Méthode appliquée</w:t>
      </w:r>
      <w:r>
        <w:t> </w:t>
      </w:r>
      <w:r w:rsidRPr="00613187">
        <w:t>:</w:t>
      </w:r>
    </w:p>
    <w:p w:rsidR="00B424EC" w:rsidRDefault="00B424EC" w:rsidP="00B424EC">
      <w:pPr>
        <w:pStyle w:val="Bullet1"/>
      </w:pPr>
      <w:r w:rsidRPr="00094BA2">
        <w:t>Collecte d’informations qui comprend : a) dialogue au plan fédéral; b) dialogue interjuridictionnel à l’échelle nationale; c) consultation d’acteurs de la société civile et d’experts; d) consultation des citoyens;</w:t>
      </w:r>
    </w:p>
    <w:p w:rsidR="00B424EC" w:rsidRPr="00094BA2" w:rsidRDefault="00B424EC" w:rsidP="00B424EC">
      <w:pPr>
        <w:pStyle w:val="Bullet1"/>
      </w:pPr>
      <w:r>
        <w:t>Organ</w:t>
      </w:r>
      <w:r w:rsidRPr="00094BA2">
        <w:t>isation de l’information;</w:t>
      </w:r>
    </w:p>
    <w:p w:rsidR="00B424EC" w:rsidRPr="00613187" w:rsidRDefault="00B424EC" w:rsidP="00B424EC">
      <w:pPr>
        <w:pStyle w:val="Bullet1"/>
      </w:pPr>
      <w:r w:rsidRPr="00613187">
        <w:lastRenderedPageBreak/>
        <w:t>Élaboration de propositions;</w:t>
      </w:r>
    </w:p>
    <w:p w:rsidR="00B424EC" w:rsidRDefault="00B424EC" w:rsidP="00B424EC">
      <w:pPr>
        <w:pStyle w:val="Bullet1"/>
      </w:pPr>
      <w:r>
        <w:t>Rédaction du Plan.</w:t>
      </w:r>
    </w:p>
    <w:p w:rsidR="00B424EC" w:rsidRPr="00346290" w:rsidRDefault="00B424EC" w:rsidP="00B424EC">
      <w:pPr>
        <w:pStyle w:val="Bullet1"/>
        <w:numPr>
          <w:ilvl w:val="0"/>
          <w:numId w:val="0"/>
        </w:numPr>
        <w:spacing w:after="0" w:line="120" w:lineRule="exact"/>
        <w:ind w:left="1743"/>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r>
      <w:r w:rsidRPr="00613187">
        <w:tab/>
        <w:t>Institut de politiques publiques du MERCOSUR en matière de droits de l</w:t>
      </w:r>
      <w:r>
        <w:t>’</w:t>
      </w:r>
      <w:r w:rsidRPr="00613187">
        <w:t>homme (IPPDH)</w:t>
      </w:r>
    </w:p>
    <w:p w:rsidR="00B424EC" w:rsidRPr="00346290" w:rsidRDefault="00B424EC" w:rsidP="00B424EC">
      <w:pPr>
        <w:pStyle w:val="SingleTxt"/>
        <w:spacing w:after="0" w:line="120" w:lineRule="exact"/>
        <w:rPr>
          <w:sz w:val="10"/>
        </w:rPr>
      </w:pPr>
    </w:p>
    <w:p w:rsidR="00B424EC" w:rsidRDefault="00B424EC" w:rsidP="00B424EC">
      <w:pPr>
        <w:pStyle w:val="SingleTxt"/>
        <w:numPr>
          <w:ilvl w:val="0"/>
          <w:numId w:val="17"/>
        </w:numPr>
        <w:tabs>
          <w:tab w:val="clear" w:pos="475"/>
          <w:tab w:val="num" w:pos="1742"/>
        </w:tabs>
        <w:ind w:left="1267"/>
      </w:pPr>
      <w:r w:rsidRPr="00613187">
        <w:t>Le Conseil des ministres du MERCOSUR a approuvé la création de l</w:t>
      </w:r>
      <w:r>
        <w:t>’</w:t>
      </w:r>
      <w:r w:rsidRPr="00613187">
        <w:t>I</w:t>
      </w:r>
      <w:r>
        <w:t xml:space="preserve">nstitut </w:t>
      </w:r>
      <w:r w:rsidRPr="00613187">
        <w:t xml:space="preserve">à la dix-septième Réunion des </w:t>
      </w:r>
      <w:r>
        <w:t>h</w:t>
      </w:r>
      <w:r w:rsidRPr="00613187">
        <w:t>autes autorités de</w:t>
      </w:r>
      <w:r>
        <w:t>s</w:t>
      </w:r>
      <w:r w:rsidRPr="00613187">
        <w:t xml:space="preserve"> droits de l</w:t>
      </w:r>
      <w:r>
        <w:t>’</w:t>
      </w:r>
      <w:r w:rsidRPr="00613187">
        <w:t xml:space="preserve">homme, </w:t>
      </w:r>
      <w:r>
        <w:t>pendant</w:t>
      </w:r>
      <w:r w:rsidRPr="00613187">
        <w:t xml:space="preserve"> la présidence de l</w:t>
      </w:r>
      <w:r>
        <w:t>’</w:t>
      </w:r>
      <w:r w:rsidRPr="00613187">
        <w:t>Argentine. Afin de mettre au point des politiques communes dans d</w:t>
      </w:r>
      <w:r>
        <w:t>ifférents</w:t>
      </w:r>
      <w:r w:rsidRPr="00613187">
        <w:t xml:space="preserve"> domaines </w:t>
      </w:r>
      <w:r>
        <w:t>des</w:t>
      </w:r>
      <w:r w:rsidRPr="00613187">
        <w:t xml:space="preserve"> droits de l</w:t>
      </w:r>
      <w:r>
        <w:t>’</w:t>
      </w:r>
      <w:r w:rsidRPr="00613187">
        <w:t>homme, l</w:t>
      </w:r>
      <w:r>
        <w:t>’</w:t>
      </w:r>
      <w:r w:rsidRPr="00613187">
        <w:t xml:space="preserve">Institut </w:t>
      </w:r>
      <w:r>
        <w:t xml:space="preserve">veille à ce que des </w:t>
      </w:r>
      <w:r w:rsidRPr="00613187">
        <w:t xml:space="preserve">politiques publiques </w:t>
      </w:r>
      <w:r>
        <w:t xml:space="preserve">soient arrêtées et appliquées </w:t>
      </w:r>
      <w:r w:rsidRPr="00613187">
        <w:t>dans l</w:t>
      </w:r>
      <w:r>
        <w:t>’</w:t>
      </w:r>
      <w:r w:rsidRPr="00613187">
        <w:t>ensemble de la région</w:t>
      </w:r>
      <w:r>
        <w:t xml:space="preserve"> et à ce que des</w:t>
      </w:r>
      <w:r w:rsidRPr="00613187">
        <w:t xml:space="preserve"> normes internationales </w:t>
      </w:r>
      <w:r>
        <w:t>soient adoptées</w:t>
      </w:r>
      <w:r w:rsidRPr="00613187">
        <w:t xml:space="preserve">. À cet effet, il </w:t>
      </w:r>
      <w:r>
        <w:t xml:space="preserve">cherche </w:t>
      </w:r>
      <w:r w:rsidRPr="00613187">
        <w:t xml:space="preserve">à combler les vides juridiques dans le domaine de la protection des droits des enfants et des adolescents, </w:t>
      </w:r>
      <w:r>
        <w:t xml:space="preserve">tendre vers l’éradication de la traite et du trafic des personnes, </w:t>
      </w:r>
      <w:r w:rsidRPr="00613187">
        <w:t xml:space="preserve">à garantir la protection des droits des personnes handicapées et la </w:t>
      </w:r>
      <w:r>
        <w:t xml:space="preserve">prévention de la </w:t>
      </w:r>
      <w:r w:rsidRPr="00613187">
        <w:t xml:space="preserve">discrimination </w:t>
      </w:r>
      <w:r>
        <w:t xml:space="preserve">à l’égard </w:t>
      </w:r>
      <w:r w:rsidRPr="00613187">
        <w:t>des LGBTI.</w:t>
      </w:r>
    </w:p>
    <w:p w:rsidR="00B424EC" w:rsidRPr="00346290" w:rsidRDefault="00B424EC" w:rsidP="00B424EC">
      <w:pPr>
        <w:pStyle w:val="SingleTxt"/>
        <w:tabs>
          <w:tab w:val="clear" w:pos="1742"/>
        </w:tabs>
        <w:spacing w:after="0" w:line="120" w:lineRule="exact"/>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r>
      <w:r w:rsidRPr="00613187">
        <w:tab/>
        <w:t>Commissions parlementaires</w:t>
      </w:r>
    </w:p>
    <w:p w:rsidR="00B424EC" w:rsidRPr="00346290" w:rsidRDefault="00B424EC" w:rsidP="00B424EC">
      <w:pPr>
        <w:pStyle w:val="SingleTxt"/>
        <w:spacing w:after="0" w:line="120" w:lineRule="exact"/>
        <w:rPr>
          <w:sz w:val="10"/>
        </w:rPr>
      </w:pPr>
    </w:p>
    <w:p w:rsidR="00B424EC" w:rsidRPr="00613187" w:rsidRDefault="00B424EC" w:rsidP="00B424EC">
      <w:pPr>
        <w:pStyle w:val="SingleTxt"/>
        <w:numPr>
          <w:ilvl w:val="0"/>
          <w:numId w:val="17"/>
        </w:numPr>
        <w:tabs>
          <w:tab w:val="clear" w:pos="475"/>
          <w:tab w:val="num" w:pos="1742"/>
        </w:tabs>
        <w:ind w:left="1267"/>
      </w:pPr>
      <w:r w:rsidRPr="00613187">
        <w:t xml:space="preserve">Des </w:t>
      </w:r>
      <w:r>
        <w:t>organ</w:t>
      </w:r>
      <w:r w:rsidRPr="00613187">
        <w:t>es spécia</w:t>
      </w:r>
      <w:r>
        <w:t>ux</w:t>
      </w:r>
      <w:r w:rsidRPr="00613187">
        <w:t xml:space="preserve"> compétents </w:t>
      </w:r>
      <w:r>
        <w:t xml:space="preserve">dans le domaine </w:t>
      </w:r>
      <w:r w:rsidRPr="00613187">
        <w:t>de</w:t>
      </w:r>
      <w:r>
        <w:t>s</w:t>
      </w:r>
      <w:r w:rsidRPr="00613187">
        <w:t xml:space="preserve"> droits de l</w:t>
      </w:r>
      <w:r>
        <w:t>’</w:t>
      </w:r>
      <w:r w:rsidRPr="00613187">
        <w:t>homme ont ég</w:t>
      </w:r>
      <w:r>
        <w:t>alement été mis</w:t>
      </w:r>
      <w:r w:rsidRPr="00613187">
        <w:t xml:space="preserve"> en place par le pouvoir législatif. La Chambre des députés et le Sénat ont l</w:t>
      </w:r>
      <w:r>
        <w:t>’</w:t>
      </w:r>
      <w:r w:rsidRPr="00613187">
        <w:t>un et l</w:t>
      </w:r>
      <w:r>
        <w:t>’</w:t>
      </w:r>
      <w:r w:rsidRPr="00613187">
        <w:t xml:space="preserve">autre une </w:t>
      </w:r>
      <w:r>
        <w:t>c</w:t>
      </w:r>
      <w:r w:rsidRPr="00613187">
        <w:t>ommission des droits de l</w:t>
      </w:r>
      <w:r>
        <w:t>’</w:t>
      </w:r>
      <w:r w:rsidRPr="00613187">
        <w:t>homme et des garanties. Dans les deux cas, la commission est composée de parlementaires appartenant à tous les partis politiques représentés au Congrès.</w:t>
      </w:r>
    </w:p>
    <w:p w:rsidR="00B424EC" w:rsidRDefault="00B424EC" w:rsidP="00B424EC">
      <w:pPr>
        <w:pStyle w:val="SingleTxt"/>
        <w:numPr>
          <w:ilvl w:val="0"/>
          <w:numId w:val="17"/>
        </w:numPr>
        <w:tabs>
          <w:tab w:val="clear" w:pos="475"/>
          <w:tab w:val="num" w:pos="1742"/>
        </w:tabs>
        <w:ind w:left="1267"/>
      </w:pPr>
      <w:r w:rsidRPr="00613187">
        <w:t>Les travaux de ces commissions sont enrichis par les informations que des fonctionnaires sont périodiquement invités à présenter</w:t>
      </w:r>
      <w:r>
        <w:t>,</w:t>
      </w:r>
      <w:r w:rsidRPr="00613187">
        <w:t xml:space="preserve"> ainsi que par les contributions de spécialistes nationaux et internationaux de la question. Ces commissions ne constituent pas seulement un cadre naturel pour débattre des sujets qui feront l</w:t>
      </w:r>
      <w:r>
        <w:t>’</w:t>
      </w:r>
      <w:r w:rsidRPr="00613187">
        <w:t>objet de lois</w:t>
      </w:r>
      <w:r>
        <w:t>;</w:t>
      </w:r>
      <w:r w:rsidRPr="00613187">
        <w:t xml:space="preserve"> elles demandent également au pouvoir exécutif national de leur faire rapport sur des questions relevant de leur compétence. Les provinces ont </w:t>
      </w:r>
      <w:r>
        <w:t>également doté leur parlement d’organes</w:t>
      </w:r>
      <w:r w:rsidRPr="00613187">
        <w:t xml:space="preserve"> </w:t>
      </w:r>
      <w:r>
        <w:t>qui s’occupe</w:t>
      </w:r>
      <w:r w:rsidRPr="00613187">
        <w:t>nt des droits de l</w:t>
      </w:r>
      <w:r>
        <w:t>’</w:t>
      </w:r>
      <w:r w:rsidRPr="00613187">
        <w:t>homme.</w:t>
      </w:r>
    </w:p>
    <w:p w:rsidR="00B424EC" w:rsidRPr="00346290" w:rsidRDefault="00B424EC" w:rsidP="00B424EC">
      <w:pPr>
        <w:pStyle w:val="SingleTxt"/>
        <w:tabs>
          <w:tab w:val="clear" w:pos="1742"/>
        </w:tabs>
        <w:spacing w:after="0" w:line="120" w:lineRule="exact"/>
        <w:rPr>
          <w:sz w:val="10"/>
        </w:rPr>
      </w:pPr>
    </w:p>
    <w:p w:rsidR="00B424EC" w:rsidRDefault="00B424EC" w:rsidP="00B424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t>D.</w:t>
      </w:r>
      <w:r w:rsidRPr="00613187">
        <w:tab/>
        <w:t>Procédure de présentation des rapports au niveau national</w:t>
      </w:r>
    </w:p>
    <w:p w:rsidR="00B424EC" w:rsidRPr="00346290" w:rsidRDefault="00B424EC" w:rsidP="00B424EC">
      <w:pPr>
        <w:pStyle w:val="SingleTxt"/>
        <w:spacing w:after="0" w:line="120" w:lineRule="exact"/>
        <w:rPr>
          <w:sz w:val="10"/>
        </w:rPr>
      </w:pPr>
    </w:p>
    <w:p w:rsidR="00B424EC" w:rsidRPr="00613187" w:rsidRDefault="00B424EC" w:rsidP="00B424EC">
      <w:pPr>
        <w:pStyle w:val="SingleTxt"/>
        <w:numPr>
          <w:ilvl w:val="0"/>
          <w:numId w:val="17"/>
        </w:numPr>
        <w:tabs>
          <w:tab w:val="clear" w:pos="475"/>
          <w:tab w:val="num" w:pos="1742"/>
        </w:tabs>
        <w:ind w:left="1267"/>
      </w:pPr>
      <w:r w:rsidRPr="00613187">
        <w:t>La Direction générale des droits de l</w:t>
      </w:r>
      <w:r>
        <w:t>’</w:t>
      </w:r>
      <w:r w:rsidRPr="00613187">
        <w:t xml:space="preserve">homme du Ministère des relations extérieures et du culte est </w:t>
      </w:r>
      <w:r>
        <w:t xml:space="preserve">chargée de </w:t>
      </w:r>
      <w:r w:rsidRPr="00613187">
        <w:t>coordonne</w:t>
      </w:r>
      <w:r>
        <w:t>r</w:t>
      </w:r>
      <w:r w:rsidRPr="00613187">
        <w:t xml:space="preserve"> </w:t>
      </w:r>
      <w:r>
        <w:t xml:space="preserve">l’élaboration </w:t>
      </w:r>
      <w:r w:rsidRPr="00613187">
        <w:t xml:space="preserve">des rapports périodiques </w:t>
      </w:r>
      <w:r>
        <w:t>attendus par les</w:t>
      </w:r>
      <w:r w:rsidRPr="00613187">
        <w:t xml:space="preserve"> organes de surveillance de l</w:t>
      </w:r>
      <w:r>
        <w:t>’</w:t>
      </w:r>
      <w:r w:rsidRPr="00613187">
        <w:t xml:space="preserve">application des </w:t>
      </w:r>
      <w:r>
        <w:t>instruments internationaux relatifs aux droits de</w:t>
      </w:r>
      <w:r w:rsidRPr="00613187">
        <w:t xml:space="preserve"> l</w:t>
      </w:r>
      <w:r>
        <w:t>’</w:t>
      </w:r>
      <w:r w:rsidRPr="00613187">
        <w:t>homme, à l</w:t>
      </w:r>
      <w:r>
        <w:t>’</w:t>
      </w:r>
      <w:r w:rsidRPr="00613187">
        <w:t>exception des rapports présentés au Comité pour l</w:t>
      </w:r>
      <w:r>
        <w:t>’</w:t>
      </w:r>
      <w:r w:rsidRPr="00613187">
        <w:t>élimination de la discrimination à l</w:t>
      </w:r>
      <w:r>
        <w:t>’</w:t>
      </w:r>
      <w:r w:rsidRPr="00613187">
        <w:t>égard des femmes</w:t>
      </w:r>
      <w:r>
        <w:t xml:space="preserve"> dont s’occupe la Direction de la femme</w:t>
      </w:r>
      <w:r w:rsidRPr="00613187">
        <w:t>, en collaboration avec le Conseil national de</w:t>
      </w:r>
      <w:r>
        <w:t xml:space="preserve"> la</w:t>
      </w:r>
      <w:r w:rsidRPr="00613187">
        <w:t xml:space="preserve"> femme (CNM).</w:t>
      </w:r>
    </w:p>
    <w:p w:rsidR="00B424EC" w:rsidRPr="00613187" w:rsidRDefault="00B424EC" w:rsidP="00B424EC">
      <w:pPr>
        <w:pStyle w:val="SingleTxt"/>
        <w:numPr>
          <w:ilvl w:val="0"/>
          <w:numId w:val="17"/>
        </w:numPr>
        <w:tabs>
          <w:tab w:val="clear" w:pos="475"/>
          <w:tab w:val="num" w:pos="1742"/>
        </w:tabs>
        <w:ind w:left="1267"/>
      </w:pPr>
      <w:r w:rsidRPr="00613187">
        <w:t>À la demande de la D</w:t>
      </w:r>
      <w:r>
        <w:t>irection générale des droits de l’homme, selon qu’il convient, tous les acteurs du gouvernement dont le domaine touche aux questions</w:t>
      </w:r>
      <w:r w:rsidRPr="00613187">
        <w:t xml:space="preserve"> propres à chaque instrument sont convoqués afin de r</w:t>
      </w:r>
      <w:r>
        <w:t xml:space="preserve">assembler toute l’information </w:t>
      </w:r>
      <w:r w:rsidRPr="00613187">
        <w:t xml:space="preserve">nécessaire </w:t>
      </w:r>
      <w:r>
        <w:t xml:space="preserve">pour </w:t>
      </w:r>
      <w:r w:rsidRPr="00613187">
        <w:t>élabor</w:t>
      </w:r>
      <w:r>
        <w:t>er</w:t>
      </w:r>
      <w:r w:rsidRPr="00613187">
        <w:t xml:space="preserve"> </w:t>
      </w:r>
      <w:r>
        <w:t>le</w:t>
      </w:r>
      <w:r w:rsidRPr="00613187">
        <w:t xml:space="preserve"> rapport</w:t>
      </w:r>
      <w:r>
        <w:t xml:space="preserve"> périodique attendu.</w:t>
      </w:r>
    </w:p>
    <w:p w:rsidR="00B424EC" w:rsidRPr="00613187" w:rsidRDefault="00B424EC" w:rsidP="00B424EC">
      <w:pPr>
        <w:pStyle w:val="SingleTxt"/>
        <w:numPr>
          <w:ilvl w:val="0"/>
          <w:numId w:val="17"/>
        </w:numPr>
        <w:tabs>
          <w:tab w:val="clear" w:pos="475"/>
          <w:tab w:val="num" w:pos="1742"/>
        </w:tabs>
        <w:ind w:left="1267"/>
      </w:pPr>
      <w:r w:rsidRPr="00613187">
        <w:t xml:space="preserve">Dans la majorité des cas, la procédure </w:t>
      </w:r>
      <w:r>
        <w:t>se déroule comme</w:t>
      </w:r>
      <w:r w:rsidRPr="00613187">
        <w:t xml:space="preserve"> suit</w:t>
      </w:r>
      <w:r>
        <w:t> </w:t>
      </w:r>
      <w:r w:rsidRPr="00613187">
        <w:t>:</w:t>
      </w:r>
    </w:p>
    <w:p w:rsidR="00B424EC" w:rsidRPr="00613187" w:rsidRDefault="00B424EC" w:rsidP="00B424EC">
      <w:pPr>
        <w:pStyle w:val="Bullet1"/>
      </w:pPr>
      <w:r>
        <w:t xml:space="preserve">Les </w:t>
      </w:r>
      <w:r w:rsidRPr="00613187">
        <w:t>représentants d</w:t>
      </w:r>
      <w:r>
        <w:t>u Gouvernement, aux niveaux</w:t>
      </w:r>
      <w:r w:rsidRPr="00613187">
        <w:t xml:space="preserve"> national et provincial, ainsi que des organes décentralisés, des conseils consultatifs, des pouvoirs judiciaire et législatif et du </w:t>
      </w:r>
      <w:r>
        <w:t xml:space="preserve">bureau du </w:t>
      </w:r>
      <w:r w:rsidRPr="00613187">
        <w:t xml:space="preserve">Défenseur du Peuple, </w:t>
      </w:r>
      <w:r>
        <w:t xml:space="preserve">sont invités </w:t>
      </w:r>
      <w:r w:rsidRPr="00613187">
        <w:t>par l</w:t>
      </w:r>
      <w:r>
        <w:t>’</w:t>
      </w:r>
      <w:r w:rsidRPr="00613187">
        <w:t>intermédiaire de leurs autorités</w:t>
      </w:r>
      <w:r>
        <w:t xml:space="preserve"> à prendre connaissance du dossier concernant le</w:t>
      </w:r>
      <w:r w:rsidRPr="00613187">
        <w:t xml:space="preserve"> rapport </w:t>
      </w:r>
      <w:r>
        <w:t>et du contexte général, et à</w:t>
      </w:r>
      <w:r w:rsidRPr="00613187">
        <w:t xml:space="preserve"> désigner un coordonnateur;</w:t>
      </w:r>
    </w:p>
    <w:p w:rsidR="00B424EC" w:rsidRPr="00613187" w:rsidRDefault="00B424EC" w:rsidP="00B424EC">
      <w:pPr>
        <w:pStyle w:val="Bullet1"/>
      </w:pPr>
      <w:r w:rsidRPr="00613187">
        <w:t>Une convocation est adressée aux représentants du Conseil fédéral des droits de l</w:t>
      </w:r>
      <w:r>
        <w:t>’</w:t>
      </w:r>
      <w:r w:rsidRPr="00613187">
        <w:t>homme</w:t>
      </w:r>
      <w:r>
        <w:t>, avec notifi</w:t>
      </w:r>
      <w:r w:rsidRPr="00613187">
        <w:t>cation aux gouverneurs de toutes les provinces;</w:t>
      </w:r>
    </w:p>
    <w:p w:rsidR="00B424EC" w:rsidRPr="00613187" w:rsidRDefault="00B424EC" w:rsidP="00B424EC">
      <w:pPr>
        <w:pStyle w:val="Bullet1"/>
      </w:pPr>
      <w:r w:rsidRPr="00613187">
        <w:lastRenderedPageBreak/>
        <w:t xml:space="preserve">Un calendrier des réunions est établi. </w:t>
      </w:r>
      <w:r>
        <w:t>À l</w:t>
      </w:r>
      <w:r w:rsidRPr="00613187">
        <w:t xml:space="preserve">a première </w:t>
      </w:r>
      <w:r>
        <w:t xml:space="preserve">réunion, les participants sont informés du but du travail à accomplir, ils reçoivent </w:t>
      </w:r>
      <w:r w:rsidRPr="00613187">
        <w:t xml:space="preserve">les directives </w:t>
      </w:r>
      <w:r>
        <w:t xml:space="preserve">des comités et les </w:t>
      </w:r>
      <w:r w:rsidRPr="00613187">
        <w:t>sources d</w:t>
      </w:r>
      <w:r>
        <w:t>’</w:t>
      </w:r>
      <w:r w:rsidRPr="00613187">
        <w:t>information à employer</w:t>
      </w:r>
      <w:r>
        <w:t xml:space="preserve"> sont expliquées; les réunions de travail peuvent alors commencer.</w:t>
      </w:r>
    </w:p>
    <w:p w:rsidR="00B424EC" w:rsidRPr="00613187" w:rsidRDefault="00B424EC" w:rsidP="00B424EC">
      <w:pPr>
        <w:pStyle w:val="SingleTxt"/>
        <w:numPr>
          <w:ilvl w:val="0"/>
          <w:numId w:val="17"/>
        </w:numPr>
        <w:tabs>
          <w:tab w:val="clear" w:pos="475"/>
          <w:tab w:val="num" w:pos="1742"/>
        </w:tabs>
        <w:ind w:left="1267"/>
      </w:pPr>
      <w:r w:rsidRPr="00613187">
        <w:t xml:space="preserve">À chaque réunion, </w:t>
      </w:r>
      <w:r>
        <w:t>les</w:t>
      </w:r>
      <w:r w:rsidRPr="00613187">
        <w:t xml:space="preserve"> coordonnateur</w:t>
      </w:r>
      <w:r>
        <w:t>s</w:t>
      </w:r>
      <w:r w:rsidRPr="00613187">
        <w:t xml:space="preserve"> </w:t>
      </w:r>
      <w:r>
        <w:t>exposent ce que l’organe qu’ils représentent a fait dans les domaines visés par l’instrument</w:t>
      </w:r>
      <w:r w:rsidRPr="00613187">
        <w:t>, en présentant des données concrètes sur les activités réalisées.</w:t>
      </w:r>
    </w:p>
    <w:p w:rsidR="00B424EC" w:rsidRPr="00613187" w:rsidRDefault="00B424EC" w:rsidP="00B424EC">
      <w:pPr>
        <w:pStyle w:val="SingleTxt"/>
        <w:numPr>
          <w:ilvl w:val="0"/>
          <w:numId w:val="17"/>
        </w:numPr>
        <w:tabs>
          <w:tab w:val="clear" w:pos="475"/>
          <w:tab w:val="num" w:pos="1742"/>
        </w:tabs>
        <w:ind w:left="1267"/>
      </w:pPr>
      <w:r w:rsidRPr="00613187">
        <w:t xml:space="preserve">Comme il est </w:t>
      </w:r>
      <w:r>
        <w:t xml:space="preserve">d’usage </w:t>
      </w:r>
      <w:r w:rsidRPr="00613187">
        <w:t>pour l</w:t>
      </w:r>
      <w:r>
        <w:t>’</w:t>
      </w:r>
      <w:r w:rsidRPr="00613187">
        <w:t>élaboration de</w:t>
      </w:r>
      <w:r>
        <w:t>s</w:t>
      </w:r>
      <w:r w:rsidRPr="00613187">
        <w:t xml:space="preserve"> rapports périodiques, les autorités compétentes </w:t>
      </w:r>
      <w:r>
        <w:t>envoi</w:t>
      </w:r>
      <w:r w:rsidRPr="00613187">
        <w:t xml:space="preserve">ent un premier projet de </w:t>
      </w:r>
      <w:r>
        <w:t xml:space="preserve">texte </w:t>
      </w:r>
      <w:r w:rsidRPr="00613187">
        <w:t>aux principales organisations de la société civile actives dans le domaine de la protection des droits de l</w:t>
      </w:r>
      <w:r>
        <w:t>’</w:t>
      </w:r>
      <w:r w:rsidRPr="00613187">
        <w:t>homme et invitent celles-ci à formuler leurs observations.</w:t>
      </w:r>
    </w:p>
    <w:p w:rsidR="00B424EC" w:rsidRPr="00613187" w:rsidRDefault="00B424EC" w:rsidP="00B424EC">
      <w:pPr>
        <w:pStyle w:val="SingleTxt"/>
        <w:numPr>
          <w:ilvl w:val="0"/>
          <w:numId w:val="17"/>
        </w:numPr>
        <w:tabs>
          <w:tab w:val="clear" w:pos="475"/>
          <w:tab w:val="num" w:pos="1742"/>
        </w:tabs>
        <w:ind w:left="1267"/>
      </w:pPr>
      <w:r>
        <w:t>Cela étant</w:t>
      </w:r>
      <w:r w:rsidRPr="00613187">
        <w:t xml:space="preserve">, les organisations de la société civile </w:t>
      </w:r>
      <w:r>
        <w:t xml:space="preserve">préfèrent </w:t>
      </w:r>
      <w:r w:rsidRPr="00613187">
        <w:t xml:space="preserve">généralement </w:t>
      </w:r>
      <w:r>
        <w:t>soumettre</w:t>
      </w:r>
      <w:r w:rsidRPr="00613187">
        <w:t xml:space="preserve"> leurs propres rapports </w:t>
      </w:r>
      <w:r>
        <w:t xml:space="preserve">parallèles </w:t>
      </w:r>
      <w:r w:rsidRPr="00613187">
        <w:t>aux organes conventionnels.</w:t>
      </w:r>
    </w:p>
    <w:p w:rsidR="00B424EC" w:rsidRPr="00613187" w:rsidRDefault="00B424EC" w:rsidP="00B424EC">
      <w:pPr>
        <w:pStyle w:val="SingleTxt"/>
        <w:numPr>
          <w:ilvl w:val="0"/>
          <w:numId w:val="17"/>
        </w:numPr>
        <w:tabs>
          <w:tab w:val="clear" w:pos="475"/>
          <w:tab w:val="num" w:pos="1742"/>
        </w:tabs>
        <w:ind w:left="1267"/>
      </w:pPr>
      <w:r>
        <w:t>Toute l’information reçue pendant les</w:t>
      </w:r>
      <w:r w:rsidRPr="00613187">
        <w:t xml:space="preserve"> réunions de travail est </w:t>
      </w:r>
      <w:r>
        <w:t>rassemblée p</w:t>
      </w:r>
      <w:r w:rsidRPr="00613187">
        <w:t>ar la D</w:t>
      </w:r>
      <w:r>
        <w:t>irection générale des droits de l’homme, qu</w:t>
      </w:r>
      <w:r w:rsidRPr="00613187">
        <w:t>i est chargée de l</w:t>
      </w:r>
      <w:r>
        <w:t>’</w:t>
      </w:r>
      <w:r w:rsidRPr="00613187">
        <w:t xml:space="preserve">élaboration, de la rédaction et de la </w:t>
      </w:r>
      <w:r>
        <w:t>soumiss</w:t>
      </w:r>
      <w:r w:rsidRPr="00613187">
        <w:t>ion du rapport.</w:t>
      </w:r>
    </w:p>
    <w:p w:rsidR="00B424EC" w:rsidRDefault="00B424EC" w:rsidP="00B424EC">
      <w:pPr>
        <w:pStyle w:val="SingleTxt"/>
        <w:numPr>
          <w:ilvl w:val="0"/>
          <w:numId w:val="17"/>
        </w:numPr>
        <w:tabs>
          <w:tab w:val="clear" w:pos="475"/>
          <w:tab w:val="num" w:pos="1742"/>
        </w:tabs>
        <w:ind w:left="1267"/>
      </w:pPr>
      <w:r>
        <w:t>La Direction</w:t>
      </w:r>
      <w:r w:rsidRPr="00613187">
        <w:t xml:space="preserve"> est également chargée de coordonner la défense du rapport devant l</w:t>
      </w:r>
      <w:r>
        <w:t>’</w:t>
      </w:r>
      <w:r w:rsidRPr="00613187">
        <w:t>organe conventionnel</w:t>
      </w:r>
      <w:r>
        <w:t>,</w:t>
      </w:r>
      <w:r w:rsidRPr="00613187">
        <w:t xml:space="preserve"> </w:t>
      </w:r>
      <w:r>
        <w:t>dans le cas où l’instrument prévoit la soumission de rapports périodiques</w:t>
      </w:r>
      <w:r w:rsidRPr="00613187">
        <w:t>.</w:t>
      </w:r>
    </w:p>
    <w:p w:rsidR="00B424EC" w:rsidRPr="00F12221" w:rsidRDefault="00B424EC" w:rsidP="00B424EC">
      <w:pPr>
        <w:pStyle w:val="SingleTxt"/>
        <w:tabs>
          <w:tab w:val="clear" w:pos="1742"/>
        </w:tabs>
        <w:spacing w:after="0" w:line="120" w:lineRule="exact"/>
        <w:rPr>
          <w:sz w:val="10"/>
        </w:rPr>
      </w:pPr>
    </w:p>
    <w:p w:rsidR="00B424EC" w:rsidRPr="00F12221" w:rsidRDefault="00B424EC" w:rsidP="00B424EC">
      <w:pPr>
        <w:pStyle w:val="SingleTxt"/>
        <w:tabs>
          <w:tab w:val="clear" w:pos="1742"/>
        </w:tabs>
        <w:spacing w:after="0" w:line="120" w:lineRule="exact"/>
        <w:rPr>
          <w:sz w:val="10"/>
        </w:rPr>
      </w:pPr>
    </w:p>
    <w:p w:rsidR="00B424EC" w:rsidRDefault="00B424EC" w:rsidP="00B424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t>III.</w:t>
      </w:r>
      <w:r w:rsidRPr="00613187">
        <w:tab/>
        <w:t xml:space="preserve">Informations concernant la non-discrimination </w:t>
      </w:r>
      <w:r>
        <w:br/>
      </w:r>
      <w:r w:rsidRPr="00613187">
        <w:t>et l</w:t>
      </w:r>
      <w:r>
        <w:t>’</w:t>
      </w:r>
      <w:r w:rsidRPr="00613187">
        <w:t>égalité et les recours utiles</w:t>
      </w:r>
    </w:p>
    <w:p w:rsidR="00B424EC" w:rsidRPr="00F12221" w:rsidRDefault="00B424EC" w:rsidP="00B424EC">
      <w:pPr>
        <w:pStyle w:val="SingleTxt"/>
        <w:spacing w:after="0" w:line="120" w:lineRule="exact"/>
        <w:rPr>
          <w:sz w:val="10"/>
        </w:rPr>
      </w:pPr>
    </w:p>
    <w:p w:rsidR="00B424EC" w:rsidRPr="00F12221" w:rsidRDefault="00B424EC" w:rsidP="00B424EC">
      <w:pPr>
        <w:pStyle w:val="SingleTxt"/>
        <w:spacing w:after="0" w:line="120" w:lineRule="exact"/>
        <w:rPr>
          <w:sz w:val="10"/>
        </w:rPr>
      </w:pPr>
    </w:p>
    <w:p w:rsidR="00B424EC" w:rsidRDefault="00B424EC" w:rsidP="00B424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t>A.</w:t>
      </w:r>
      <w:r w:rsidRPr="00613187">
        <w:tab/>
        <w:t>Non-discrimination et égalité</w:t>
      </w:r>
    </w:p>
    <w:p w:rsidR="00B424EC" w:rsidRPr="00F12221" w:rsidRDefault="00B424EC" w:rsidP="00B424EC">
      <w:pPr>
        <w:pStyle w:val="SingleTxt"/>
        <w:spacing w:after="0" w:line="120" w:lineRule="exact"/>
        <w:rPr>
          <w:sz w:val="10"/>
        </w:rPr>
      </w:pPr>
    </w:p>
    <w:p w:rsidR="00B424EC" w:rsidRPr="00F12221" w:rsidRDefault="00B424EC" w:rsidP="00B424EC">
      <w:pPr>
        <w:pStyle w:val="SingleTxt"/>
        <w:spacing w:after="0" w:line="120" w:lineRule="exact"/>
        <w:rPr>
          <w:sz w:val="10"/>
        </w:rPr>
      </w:pPr>
    </w:p>
    <w:p w:rsidR="00B424EC" w:rsidRPr="00613187" w:rsidRDefault="00B424EC" w:rsidP="00B424EC">
      <w:pPr>
        <w:pStyle w:val="SingleTxt"/>
        <w:numPr>
          <w:ilvl w:val="0"/>
          <w:numId w:val="17"/>
        </w:numPr>
        <w:tabs>
          <w:tab w:val="clear" w:pos="475"/>
          <w:tab w:val="num" w:pos="1742"/>
        </w:tabs>
        <w:ind w:left="1267"/>
      </w:pPr>
      <w:r>
        <w:t xml:space="preserve">Il va de soi que </w:t>
      </w:r>
      <w:r w:rsidRPr="00613187">
        <w:t xml:space="preserve">chaque pays décide </w:t>
      </w:r>
      <w:r>
        <w:t>librement</w:t>
      </w:r>
      <w:r w:rsidRPr="00613187">
        <w:t xml:space="preserve"> du modèle social </w:t>
      </w:r>
      <w:r>
        <w:t>qu’il souhaite édifier, et l’adoption récente de</w:t>
      </w:r>
      <w:r w:rsidRPr="00613187">
        <w:t xml:space="preserve"> la loi </w:t>
      </w:r>
      <w:r>
        <w:t xml:space="preserve">sur le </w:t>
      </w:r>
      <w:r w:rsidRPr="00613187">
        <w:t xml:space="preserve">mariage </w:t>
      </w:r>
      <w:r>
        <w:t>pour tous a fait de l’Argentine</w:t>
      </w:r>
      <w:r w:rsidRPr="00613187">
        <w:t xml:space="preserve"> le premier État d</w:t>
      </w:r>
      <w:r>
        <w:t>’</w:t>
      </w:r>
      <w:r w:rsidRPr="00613187">
        <w:t xml:space="preserve">Amérique latine et le dixième </w:t>
      </w:r>
      <w:r>
        <w:t>d</w:t>
      </w:r>
      <w:r w:rsidRPr="00613187">
        <w:t>u monde à autoriser sur l</w:t>
      </w:r>
      <w:r>
        <w:t>’</w:t>
      </w:r>
      <w:r w:rsidRPr="00613187">
        <w:t>ensemble de son territoire l</w:t>
      </w:r>
      <w:r>
        <w:t>’</w:t>
      </w:r>
      <w:r w:rsidRPr="00613187">
        <w:t>union de deux personnes du même sexe.</w:t>
      </w:r>
    </w:p>
    <w:p w:rsidR="00B424EC" w:rsidRPr="00613187" w:rsidRDefault="00B424EC" w:rsidP="00B424EC">
      <w:pPr>
        <w:pStyle w:val="SingleTxt"/>
        <w:numPr>
          <w:ilvl w:val="0"/>
          <w:numId w:val="17"/>
        </w:numPr>
        <w:tabs>
          <w:tab w:val="clear" w:pos="475"/>
          <w:tab w:val="num" w:pos="1742"/>
        </w:tabs>
        <w:ind w:left="1267"/>
      </w:pPr>
      <w:r w:rsidRPr="00613187">
        <w:t>L</w:t>
      </w:r>
      <w:r>
        <w:t>’</w:t>
      </w:r>
      <w:r w:rsidRPr="00613187">
        <w:t>Argentine a franchi un</w:t>
      </w:r>
      <w:r>
        <w:t xml:space="preserve"> pas </w:t>
      </w:r>
      <w:r w:rsidRPr="00613187">
        <w:t xml:space="preserve">supplémentaire </w:t>
      </w:r>
      <w:r>
        <w:t>dans</w:t>
      </w:r>
      <w:r w:rsidRPr="00613187">
        <w:t xml:space="preserve"> l</w:t>
      </w:r>
      <w:r>
        <w:t>’</w:t>
      </w:r>
      <w:r w:rsidRPr="00613187">
        <w:t>égalité des droits et la lutte contre la discrimination avec l</w:t>
      </w:r>
      <w:r>
        <w:t>’</w:t>
      </w:r>
      <w:r w:rsidRPr="00613187">
        <w:t>a</w:t>
      </w:r>
      <w:r>
        <w:t>d</w:t>
      </w:r>
      <w:r w:rsidRPr="00613187">
        <w:t>o</w:t>
      </w:r>
      <w:r>
        <w:t>p</w:t>
      </w:r>
      <w:r w:rsidRPr="00613187">
        <w:t>tion par le Congrès, le 9 mai 2012, de la loi relative à l</w:t>
      </w:r>
      <w:r>
        <w:t>’</w:t>
      </w:r>
      <w:r w:rsidRPr="00613187">
        <w:t>ident</w:t>
      </w:r>
      <w:r>
        <w:t>ité de genre, qui dispose que « </w:t>
      </w:r>
      <w:r w:rsidRPr="00613187">
        <w:t>chacun a droit à la reconnaissance de son identité de genre et au libre é</w:t>
      </w:r>
      <w:r>
        <w:t>panouisse</w:t>
      </w:r>
      <w:r w:rsidRPr="00613187">
        <w:t xml:space="preserve">ment de sa personne conformément à </w:t>
      </w:r>
      <w:r>
        <w:t>son</w:t>
      </w:r>
      <w:r w:rsidRPr="00613187">
        <w:t xml:space="preserve"> identité </w:t>
      </w:r>
      <w:r>
        <w:t>de genre </w:t>
      </w:r>
      <w:r w:rsidRPr="00613187">
        <w:t>».</w:t>
      </w:r>
    </w:p>
    <w:p w:rsidR="00B424EC" w:rsidRDefault="00B424EC" w:rsidP="00B424EC">
      <w:pPr>
        <w:pStyle w:val="SingleTxt"/>
        <w:numPr>
          <w:ilvl w:val="0"/>
          <w:numId w:val="17"/>
        </w:numPr>
        <w:tabs>
          <w:tab w:val="clear" w:pos="475"/>
          <w:tab w:val="num" w:pos="1742"/>
        </w:tabs>
        <w:ind w:left="1267"/>
      </w:pPr>
      <w:r w:rsidRPr="00613187">
        <w:t>Aux plans régional et international, l</w:t>
      </w:r>
      <w:r>
        <w:t>’</w:t>
      </w:r>
      <w:r w:rsidRPr="00613187">
        <w:t xml:space="preserve">Argentine a </w:t>
      </w:r>
      <w:r>
        <w:t>encourag</w:t>
      </w:r>
      <w:r w:rsidRPr="00613187">
        <w:t xml:space="preserve">é </w:t>
      </w:r>
      <w:r>
        <w:t>l’élabor</w:t>
      </w:r>
      <w:r w:rsidRPr="00613187">
        <w:t>ation d</w:t>
      </w:r>
      <w:r>
        <w:t>’</w:t>
      </w:r>
      <w:r w:rsidRPr="00613187">
        <w:t>instruments relatifs à la protection des droits de l</w:t>
      </w:r>
      <w:r>
        <w:t>’</w:t>
      </w:r>
      <w:r w:rsidRPr="00613187">
        <w:t>homme et a participé activement</w:t>
      </w:r>
      <w:r>
        <w:t xml:space="preserve"> aux négociations</w:t>
      </w:r>
      <w:r w:rsidRPr="00613187">
        <w:t xml:space="preserve">. En 2011, </w:t>
      </w:r>
      <w:r>
        <w:t xml:space="preserve">avec </w:t>
      </w:r>
      <w:r w:rsidRPr="00613187">
        <w:t xml:space="preserve">la ratification du Protocole facultatif se rapportant au Pacte international relatif aux droits économiques, sociaux et culturels </w:t>
      </w:r>
      <w:r>
        <w:t xml:space="preserve">l’Argentine est devenue partie à tous les </w:t>
      </w:r>
      <w:r w:rsidRPr="00613187">
        <w:t>instruments relatifs aux droits de l</w:t>
      </w:r>
      <w:r>
        <w:t>’</w:t>
      </w:r>
      <w:r w:rsidRPr="00613187">
        <w:t xml:space="preserve">homme les plus </w:t>
      </w:r>
      <w:r>
        <w:t>important</w:t>
      </w:r>
      <w:r w:rsidRPr="00613187">
        <w:t xml:space="preserve">s </w:t>
      </w:r>
      <w:r>
        <w:t>du système universel et</w:t>
      </w:r>
      <w:r w:rsidRPr="00613187">
        <w:t xml:space="preserve"> régional.</w:t>
      </w:r>
    </w:p>
    <w:p w:rsidR="00B424EC" w:rsidRPr="00DB398E" w:rsidRDefault="00B424EC" w:rsidP="00B424EC">
      <w:pPr>
        <w:pStyle w:val="SingleTxt"/>
        <w:tabs>
          <w:tab w:val="clear" w:pos="1742"/>
        </w:tabs>
        <w:spacing w:after="0" w:line="120" w:lineRule="exact"/>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t>1.</w:t>
      </w:r>
      <w:r w:rsidRPr="00613187">
        <w:tab/>
        <w:t>Institut national contre la discrimination, la xénophobie et le racisme (INADI)</w:t>
      </w:r>
    </w:p>
    <w:p w:rsidR="00B424EC" w:rsidRPr="00DB398E" w:rsidRDefault="00B424EC" w:rsidP="00B424EC">
      <w:pPr>
        <w:pStyle w:val="SingleTxt"/>
        <w:spacing w:after="0" w:line="120" w:lineRule="exact"/>
        <w:rPr>
          <w:sz w:val="10"/>
        </w:rPr>
      </w:pPr>
    </w:p>
    <w:p w:rsidR="00B424EC" w:rsidRPr="00613187" w:rsidRDefault="00B424EC" w:rsidP="00B424EC">
      <w:pPr>
        <w:pStyle w:val="SingleTxt"/>
        <w:numPr>
          <w:ilvl w:val="0"/>
          <w:numId w:val="17"/>
        </w:numPr>
        <w:tabs>
          <w:tab w:val="clear" w:pos="475"/>
          <w:tab w:val="num" w:pos="1742"/>
        </w:tabs>
        <w:ind w:left="1267"/>
      </w:pPr>
      <w:r w:rsidRPr="00613187">
        <w:t>Le 5</w:t>
      </w:r>
      <w:r>
        <w:t> </w:t>
      </w:r>
      <w:r w:rsidRPr="00613187">
        <w:t xml:space="preserve">juillet 1995, le Congrès de la Nation a approuvé la loi </w:t>
      </w:r>
      <w:r>
        <w:t>n</w:t>
      </w:r>
      <w:r w:rsidRPr="00DB398E">
        <w:rPr>
          <w:vertAlign w:val="superscript"/>
        </w:rPr>
        <w:t>o</w:t>
      </w:r>
      <w:r>
        <w:t> </w:t>
      </w:r>
      <w:r w:rsidRPr="00613187">
        <w:t>24</w:t>
      </w:r>
      <w:r>
        <w:t> </w:t>
      </w:r>
      <w:r w:rsidRPr="00613187">
        <w:t>515, promulguée le 28</w:t>
      </w:r>
      <w:r>
        <w:t> </w:t>
      </w:r>
      <w:r w:rsidRPr="00613187">
        <w:t>juillet de la même année, portant création de l</w:t>
      </w:r>
      <w:r>
        <w:t>’</w:t>
      </w:r>
      <w:r w:rsidRPr="00613187">
        <w:t>Institut national contre la discrimination, la xénophobie et le racisme (INADI). L</w:t>
      </w:r>
      <w:r>
        <w:t>’</w:t>
      </w:r>
      <w:r w:rsidRPr="00613187">
        <w:t>Institut a commencé ses activités en 1997 en qualité d</w:t>
      </w:r>
      <w:r>
        <w:t>’organe</w:t>
      </w:r>
      <w:r w:rsidRPr="00613187">
        <w:t xml:space="preserve"> décentralisé relevant du Minist</w:t>
      </w:r>
      <w:r>
        <w:t xml:space="preserve">ère de l’intérieur (depuis mars </w:t>
      </w:r>
      <w:r w:rsidRPr="00613187">
        <w:t xml:space="preserve">2005, en vertu du décret présidentiel </w:t>
      </w:r>
      <w:r>
        <w:t>n</w:t>
      </w:r>
      <w:r w:rsidRPr="00DB398E">
        <w:rPr>
          <w:vertAlign w:val="superscript"/>
        </w:rPr>
        <w:t>o</w:t>
      </w:r>
      <w:r>
        <w:t> </w:t>
      </w:r>
      <w:r w:rsidRPr="00613187">
        <w:t>184, il a été placé sous la tutelle du Ministère de la justice et des droits de l</w:t>
      </w:r>
      <w:r>
        <w:t>’</w:t>
      </w:r>
      <w:r w:rsidRPr="00613187">
        <w:t xml:space="preserve">homme); il </w:t>
      </w:r>
      <w:r>
        <w:t>est chargé</w:t>
      </w:r>
      <w:r w:rsidRPr="00613187">
        <w:t xml:space="preserve"> d</w:t>
      </w:r>
      <w:r>
        <w:t>’</w:t>
      </w:r>
      <w:r w:rsidRPr="00613187">
        <w:t xml:space="preserve">élaborer des politiques nationales et des mesures concrètes afin de lutter contre la </w:t>
      </w:r>
      <w:r w:rsidRPr="00613187">
        <w:lastRenderedPageBreak/>
        <w:t>discrimination, la xénophobie et le racisme</w:t>
      </w:r>
      <w:r>
        <w:t>,</w:t>
      </w:r>
      <w:r w:rsidRPr="00613187">
        <w:t xml:space="preserve"> et d</w:t>
      </w:r>
      <w:r>
        <w:t>’</w:t>
      </w:r>
      <w:r w:rsidRPr="00613187">
        <w:t>encourager et mener à bien des initiatives dans ce but.</w:t>
      </w:r>
    </w:p>
    <w:p w:rsidR="00B424EC" w:rsidRPr="00613187" w:rsidRDefault="00B424EC" w:rsidP="00B424EC">
      <w:pPr>
        <w:pStyle w:val="SingleTxt"/>
        <w:numPr>
          <w:ilvl w:val="0"/>
          <w:numId w:val="17"/>
        </w:numPr>
        <w:tabs>
          <w:tab w:val="clear" w:pos="475"/>
          <w:tab w:val="num" w:pos="1742"/>
        </w:tabs>
        <w:ind w:left="1267"/>
      </w:pPr>
      <w:r w:rsidRPr="00613187">
        <w:t>Les actions de l</w:t>
      </w:r>
      <w:r>
        <w:t>’</w:t>
      </w:r>
      <w:r w:rsidRPr="00613187">
        <w:t>INADI visent toutes les personnes victimes de discrimination, qu</w:t>
      </w:r>
      <w:r>
        <w:t>’</w:t>
      </w:r>
      <w:r w:rsidRPr="00613187">
        <w:t>elle soit réelle ou potentielle, avec une place particulière faite aux groupes les plus vulnérables, l</w:t>
      </w:r>
      <w:r>
        <w:t>’</w:t>
      </w:r>
      <w:r w:rsidRPr="00613187">
        <w:t>objectif étant d</w:t>
      </w:r>
      <w:r>
        <w:t>’</w:t>
      </w:r>
      <w:r w:rsidRPr="00613187">
        <w:t>assurer l</w:t>
      </w:r>
      <w:r>
        <w:t>’</w:t>
      </w:r>
      <w:r w:rsidRPr="00613187">
        <w:t>exercice effectif des droits et garanties, en toute égalité et sans subir de discrimination, ce qui implique une réelle égalité des chances et de traitement et non pas seulement l</w:t>
      </w:r>
      <w:r>
        <w:t>’</w:t>
      </w:r>
      <w:r w:rsidRPr="00613187">
        <w:t>égalité devant la loi.</w:t>
      </w:r>
    </w:p>
    <w:p w:rsidR="00B424EC" w:rsidRPr="00613187" w:rsidRDefault="00B424EC" w:rsidP="00B424EC">
      <w:pPr>
        <w:pStyle w:val="SingleTxt"/>
        <w:numPr>
          <w:ilvl w:val="0"/>
          <w:numId w:val="17"/>
        </w:numPr>
        <w:tabs>
          <w:tab w:val="clear" w:pos="475"/>
          <w:tab w:val="num" w:pos="1742"/>
        </w:tabs>
        <w:ind w:left="1267"/>
      </w:pPr>
      <w:r w:rsidRPr="00613187">
        <w:t xml:space="preserve">Les attributions que la loi </w:t>
      </w:r>
      <w:r>
        <w:t>n</w:t>
      </w:r>
      <w:r w:rsidRPr="00DB398E">
        <w:rPr>
          <w:vertAlign w:val="superscript"/>
        </w:rPr>
        <w:t>o</w:t>
      </w:r>
      <w:r>
        <w:t> </w:t>
      </w:r>
      <w:r w:rsidRPr="00613187">
        <w:t>24</w:t>
      </w:r>
      <w:r>
        <w:t> </w:t>
      </w:r>
      <w:r w:rsidRPr="00613187">
        <w:t>515 confère à l</w:t>
      </w:r>
      <w:r>
        <w:t>’</w:t>
      </w:r>
      <w:r w:rsidRPr="00613187">
        <w:t>Institut couvrent un</w:t>
      </w:r>
      <w:r>
        <w:t>e gamme</w:t>
      </w:r>
      <w:r w:rsidRPr="00613187">
        <w:t xml:space="preserve"> étendu</w:t>
      </w:r>
      <w:r>
        <w:t>e :</w:t>
      </w:r>
    </w:p>
    <w:p w:rsidR="00B424EC" w:rsidRPr="00613187" w:rsidRDefault="00B424EC" w:rsidP="00B424EC">
      <w:pPr>
        <w:pStyle w:val="Bullet1"/>
      </w:pPr>
      <w:r w:rsidRPr="00613187">
        <w:t>Prévention/diffusion</w:t>
      </w:r>
      <w:r>
        <w:t> </w:t>
      </w:r>
      <w:r w:rsidRPr="00613187">
        <w:t xml:space="preserve">: diffuser les principes et les normes juridiques en vigueur </w:t>
      </w:r>
      <w:r>
        <w:t xml:space="preserve">en ce qui concerne </w:t>
      </w:r>
      <w:r w:rsidRPr="00613187">
        <w:t>la non</w:t>
      </w:r>
      <w:r>
        <w:t>-</w:t>
      </w:r>
      <w:r w:rsidRPr="00613187">
        <w:t>discrimination et informer l</w:t>
      </w:r>
      <w:r>
        <w:t>’</w:t>
      </w:r>
      <w:r w:rsidRPr="00613187">
        <w:t>opinion publique;</w:t>
      </w:r>
    </w:p>
    <w:p w:rsidR="00B424EC" w:rsidRPr="00613187" w:rsidRDefault="00B424EC" w:rsidP="00B424EC">
      <w:pPr>
        <w:pStyle w:val="Bullet1"/>
      </w:pPr>
      <w:r w:rsidRPr="00613187">
        <w:t>Éducation</w:t>
      </w:r>
      <w:r>
        <w:t> </w:t>
      </w:r>
      <w:r w:rsidRPr="00613187">
        <w:t>: concevoir et promouvoir des campagnes d</w:t>
      </w:r>
      <w:r>
        <w:t>’</w:t>
      </w:r>
      <w:r w:rsidRPr="00613187">
        <w:t>éducation;</w:t>
      </w:r>
    </w:p>
    <w:p w:rsidR="00B424EC" w:rsidRPr="00613187" w:rsidRDefault="00B424EC" w:rsidP="00B424EC">
      <w:pPr>
        <w:pStyle w:val="Bullet1"/>
      </w:pPr>
      <w:r w:rsidRPr="00613187">
        <w:t>Enquêtes</w:t>
      </w:r>
      <w:r>
        <w:t> </w:t>
      </w:r>
      <w:r w:rsidRPr="00613187">
        <w:t>: recevoir, centraliser et consigner les plaintes faisant état de comportements discriminatoires, xénophobes ou racistes;</w:t>
      </w:r>
    </w:p>
    <w:p w:rsidR="00B424EC" w:rsidRPr="00613187" w:rsidRDefault="00B424EC" w:rsidP="00B424EC">
      <w:pPr>
        <w:pStyle w:val="Bullet1"/>
      </w:pPr>
      <w:r w:rsidRPr="00613187">
        <w:t>Services</w:t>
      </w:r>
      <w:r>
        <w:t> </w:t>
      </w:r>
      <w:r w:rsidRPr="00613187">
        <w:t xml:space="preserve">: </w:t>
      </w:r>
      <w:r>
        <w:t>donn</w:t>
      </w:r>
      <w:r w:rsidRPr="00613187">
        <w:t xml:space="preserve">er des conseils aux victimes, assurer une protection gratuite, </w:t>
      </w:r>
      <w:r>
        <w:t>c</w:t>
      </w:r>
      <w:r w:rsidRPr="00613187">
        <w:t>onseiller le ministère public pour les questions relevant de sa compétence;</w:t>
      </w:r>
    </w:p>
    <w:p w:rsidR="00B424EC" w:rsidRPr="00613187" w:rsidRDefault="00B424EC" w:rsidP="00B424EC">
      <w:pPr>
        <w:pStyle w:val="Bullet1"/>
      </w:pPr>
      <w:r w:rsidRPr="00613187">
        <w:t>Documentation</w:t>
      </w:r>
      <w:r>
        <w:t> </w:t>
      </w:r>
      <w:r w:rsidRPr="00613187">
        <w:t>: regrouper et tenir à jour les informations relatives au droit interne, international et comparé en la matière; constituer un registre de la documentation de l</w:t>
      </w:r>
      <w:r>
        <w:t>’</w:t>
      </w:r>
      <w:r w:rsidRPr="00613187">
        <w:t>Institut;</w:t>
      </w:r>
    </w:p>
    <w:p w:rsidR="00B424EC" w:rsidRPr="00613187" w:rsidRDefault="00B424EC" w:rsidP="00B424EC">
      <w:pPr>
        <w:pStyle w:val="Bullet1"/>
      </w:pPr>
      <w:r w:rsidRPr="00613187">
        <w:t>Coopération</w:t>
      </w:r>
      <w:r>
        <w:t> </w:t>
      </w:r>
      <w:r w:rsidRPr="00613187">
        <w:t>: établir des liens avec d</w:t>
      </w:r>
      <w:r>
        <w:t>’</w:t>
      </w:r>
      <w:r w:rsidRPr="00613187">
        <w:t>autres entités partageant les mêmes objectifs</w:t>
      </w:r>
      <w:r>
        <w:t>;</w:t>
      </w:r>
      <w:r w:rsidRPr="00613187">
        <w:t xml:space="preserve"> conclure des accords.</w:t>
      </w:r>
    </w:p>
    <w:p w:rsidR="00B424EC" w:rsidRPr="00613187" w:rsidRDefault="00B424EC" w:rsidP="00B424EC">
      <w:pPr>
        <w:pStyle w:val="SingleTxt"/>
        <w:numPr>
          <w:ilvl w:val="0"/>
          <w:numId w:val="17"/>
        </w:numPr>
        <w:tabs>
          <w:tab w:val="clear" w:pos="475"/>
          <w:tab w:val="num" w:pos="1742"/>
        </w:tabs>
        <w:ind w:left="1267"/>
      </w:pPr>
      <w:r w:rsidRPr="00613187">
        <w:t>L</w:t>
      </w:r>
      <w:r>
        <w:t>’</w:t>
      </w:r>
      <w:r w:rsidRPr="00613187">
        <w:t xml:space="preserve">INADI </w:t>
      </w:r>
      <w:r>
        <w:t>a les missions suivantes :</w:t>
      </w:r>
    </w:p>
    <w:p w:rsidR="00B424EC" w:rsidRPr="00613187" w:rsidRDefault="00B424EC" w:rsidP="00B424EC">
      <w:pPr>
        <w:pStyle w:val="Bullet1"/>
      </w:pPr>
      <w:r>
        <w:t>Faire connaître l</w:t>
      </w:r>
      <w:r w:rsidRPr="00613187">
        <w:t>es principes consacrés par la Constitution, les instruments internationaux relatifs aux droits de l</w:t>
      </w:r>
      <w:r>
        <w:t>’</w:t>
      </w:r>
      <w:r w:rsidRPr="00613187">
        <w:t xml:space="preserve">homme, les normes complémentaires et </w:t>
      </w:r>
      <w:r>
        <w:t xml:space="preserve">les dispositions de </w:t>
      </w:r>
      <w:r w:rsidRPr="00613187">
        <w:t>la loi n</w:t>
      </w:r>
      <w:r w:rsidRPr="00DB398E">
        <w:rPr>
          <w:vertAlign w:val="superscript"/>
        </w:rPr>
        <w:t>o</w:t>
      </w:r>
      <w:r w:rsidRPr="00613187">
        <w:t> 23</w:t>
      </w:r>
      <w:r>
        <w:t> </w:t>
      </w:r>
      <w:r w:rsidRPr="00613187">
        <w:t xml:space="preserve">592 relative aux actes discriminatoires, ainsi que </w:t>
      </w:r>
      <w:r>
        <w:t>l</w:t>
      </w:r>
      <w:r w:rsidRPr="00613187">
        <w:t>es résultats des études réalisées par l</w:t>
      </w:r>
      <w:r>
        <w:t>’</w:t>
      </w:r>
      <w:r w:rsidRPr="00613187">
        <w:t xml:space="preserve">Institut ou auxquelles celui-ci contribue et </w:t>
      </w:r>
      <w:r>
        <w:t>l</w:t>
      </w:r>
      <w:r w:rsidRPr="00613187">
        <w:t>es propositions qu</w:t>
      </w:r>
      <w:r>
        <w:t>’</w:t>
      </w:r>
      <w:r w:rsidRPr="00613187">
        <w:t>i</w:t>
      </w:r>
      <w:r>
        <w:t>l</w:t>
      </w:r>
      <w:r w:rsidRPr="00613187">
        <w:t xml:space="preserve"> </w:t>
      </w:r>
      <w:r>
        <w:t>formule</w:t>
      </w:r>
      <w:r w:rsidRPr="00613187">
        <w:t>;</w:t>
      </w:r>
    </w:p>
    <w:p w:rsidR="00B424EC" w:rsidRPr="00613187" w:rsidRDefault="00B424EC" w:rsidP="00B424EC">
      <w:pPr>
        <w:pStyle w:val="Bullet1"/>
      </w:pPr>
      <w:r w:rsidRPr="00613187">
        <w:t>Conce</w:t>
      </w:r>
      <w:r>
        <w:t>voir</w:t>
      </w:r>
      <w:r w:rsidRPr="00613187">
        <w:t xml:space="preserve"> et </w:t>
      </w:r>
      <w:r>
        <w:t xml:space="preserve">lancer </w:t>
      </w:r>
      <w:r w:rsidRPr="00613187">
        <w:t>de</w:t>
      </w:r>
      <w:r>
        <w:t>s</w:t>
      </w:r>
      <w:r w:rsidRPr="00613187">
        <w:t xml:space="preserve"> campagnes d</w:t>
      </w:r>
      <w:r>
        <w:t>’</w:t>
      </w:r>
      <w:r w:rsidRPr="00613187">
        <w:t>éducation et d</w:t>
      </w:r>
      <w:r>
        <w:t>’inform</w:t>
      </w:r>
      <w:r w:rsidRPr="00613187">
        <w:t xml:space="preserve">ation tendant à mettre en valeur le pluralisme social et culturel et </w:t>
      </w:r>
      <w:r>
        <w:t xml:space="preserve">faire disparaître </w:t>
      </w:r>
      <w:r w:rsidRPr="00613187">
        <w:t>les comportements à caractère discriminatoire, xénophobe ou raciste;</w:t>
      </w:r>
    </w:p>
    <w:p w:rsidR="00B424EC" w:rsidRPr="00613187" w:rsidRDefault="00B424EC" w:rsidP="00B424EC">
      <w:pPr>
        <w:pStyle w:val="Bullet1"/>
      </w:pPr>
      <w:r>
        <w:t xml:space="preserve">Recevoir </w:t>
      </w:r>
      <w:r w:rsidRPr="00613187">
        <w:t>et centralis</w:t>
      </w:r>
      <w:r>
        <w:t>er</w:t>
      </w:r>
      <w:r w:rsidRPr="00613187">
        <w:t xml:space="preserve"> </w:t>
      </w:r>
      <w:r>
        <w:t>l</w:t>
      </w:r>
      <w:r w:rsidRPr="00613187">
        <w:t xml:space="preserve">es plaintes </w:t>
      </w:r>
      <w:r>
        <w:t>pour</w:t>
      </w:r>
      <w:r w:rsidRPr="00613187">
        <w:t xml:space="preserve"> c</w:t>
      </w:r>
      <w:r>
        <w:t>omportement</w:t>
      </w:r>
      <w:r w:rsidRPr="00613187">
        <w:t xml:space="preserve"> discriminatoire, xénophobe ou raciste et ten</w:t>
      </w:r>
      <w:r>
        <w:t>ir</w:t>
      </w:r>
      <w:r w:rsidRPr="00613187">
        <w:t xml:space="preserve"> un registre;</w:t>
      </w:r>
    </w:p>
    <w:p w:rsidR="00B424EC" w:rsidRPr="00613187" w:rsidRDefault="00B424EC" w:rsidP="00B424EC">
      <w:pPr>
        <w:pStyle w:val="Bullet1"/>
      </w:pPr>
      <w:r w:rsidRPr="00613187">
        <w:t>Offr</w:t>
      </w:r>
      <w:r>
        <w:t>ir un</w:t>
      </w:r>
      <w:r w:rsidRPr="00613187">
        <w:t xml:space="preserve"> service </w:t>
      </w:r>
      <w:r>
        <w:t>gratuit de conseils de tout ordre</w:t>
      </w:r>
      <w:r w:rsidRPr="00613187">
        <w:t xml:space="preserve"> aux personnes ou aux groupes faisant l</w:t>
      </w:r>
      <w:r>
        <w:t>’</w:t>
      </w:r>
      <w:r w:rsidRPr="00613187">
        <w:t>objet d</w:t>
      </w:r>
      <w:r>
        <w:t>’un</w:t>
      </w:r>
      <w:r w:rsidRPr="00613187">
        <w:t xml:space="preserve">e discrimination ou victimes de xénophobie ou de racisme, et </w:t>
      </w:r>
      <w:r>
        <w:t>assurer gratuitement la représentation en justice aux personnes qui le demandent.</w:t>
      </w:r>
    </w:p>
    <w:p w:rsidR="00B424EC" w:rsidRDefault="00B424EC" w:rsidP="00B424EC">
      <w:pPr>
        <w:pStyle w:val="SingleTxt"/>
        <w:numPr>
          <w:ilvl w:val="0"/>
          <w:numId w:val="17"/>
        </w:numPr>
        <w:tabs>
          <w:tab w:val="clear" w:pos="475"/>
          <w:tab w:val="num" w:pos="1742"/>
        </w:tabs>
        <w:ind w:left="1267"/>
      </w:pPr>
      <w:r>
        <w:t xml:space="preserve">Le </w:t>
      </w:r>
      <w:r w:rsidRPr="00613187">
        <w:t xml:space="preserve">décret </w:t>
      </w:r>
      <w:r>
        <w:t xml:space="preserve">exécutif </w:t>
      </w:r>
      <w:r w:rsidRPr="00613187">
        <w:t>n</w:t>
      </w:r>
      <w:r w:rsidRPr="000A33D7">
        <w:rPr>
          <w:vertAlign w:val="superscript"/>
        </w:rPr>
        <w:t>o</w:t>
      </w:r>
      <w:r w:rsidRPr="00613187">
        <w:t xml:space="preserve"> 1086/05 portant adoption du </w:t>
      </w:r>
      <w:r>
        <w:t>p</w:t>
      </w:r>
      <w:r w:rsidRPr="00613187">
        <w:t xml:space="preserve">lan national de lutte contre la discrimination, </w:t>
      </w:r>
      <w:r>
        <w:t xml:space="preserve">en </w:t>
      </w:r>
      <w:r w:rsidRPr="00613187">
        <w:t>dat</w:t>
      </w:r>
      <w:r>
        <w:t xml:space="preserve">e du 7 septembre </w:t>
      </w:r>
      <w:r w:rsidRPr="00613187">
        <w:t xml:space="preserve">2005, </w:t>
      </w:r>
      <w:r>
        <w:t>dispose en son article premier que</w:t>
      </w:r>
      <w:r w:rsidRPr="00613187">
        <w:t xml:space="preserve"> l</w:t>
      </w:r>
      <w:r>
        <w:t>’</w:t>
      </w:r>
      <w:r w:rsidRPr="00613187">
        <w:t xml:space="preserve">INADI </w:t>
      </w:r>
      <w:r>
        <w:t xml:space="preserve">a pour mandat la mise en œuvre du plan. C’est pourquoi </w:t>
      </w:r>
      <w:r w:rsidRPr="00613187">
        <w:t>l</w:t>
      </w:r>
      <w:r>
        <w:t>’</w:t>
      </w:r>
      <w:r w:rsidRPr="00613187">
        <w:t>Institut national de lutte contre la discrimination, la xénophobie et le racisme s</w:t>
      </w:r>
      <w:r>
        <w:t>’</w:t>
      </w:r>
      <w:r w:rsidRPr="00613187">
        <w:t xml:space="preserve">est donné comme objectif primordial </w:t>
      </w:r>
      <w:r>
        <w:t xml:space="preserve">la réalisation des </w:t>
      </w:r>
      <w:r w:rsidRPr="00613187">
        <w:t>stratégies suivantes</w:t>
      </w:r>
      <w:r>
        <w:t> : fédéraliser s</w:t>
      </w:r>
      <w:r w:rsidRPr="00613187">
        <w:t>a gestion</w:t>
      </w:r>
      <w:r>
        <w:t>,</w:t>
      </w:r>
      <w:r w:rsidRPr="00613187">
        <w:t xml:space="preserve"> </w:t>
      </w:r>
      <w:r>
        <w:t>organiser</w:t>
      </w:r>
      <w:r w:rsidRPr="00613187">
        <w:t xml:space="preserve"> des campagnes visant à val</w:t>
      </w:r>
      <w:r>
        <w:t>o</w:t>
      </w:r>
      <w:r w:rsidRPr="00613187">
        <w:t>r</w:t>
      </w:r>
      <w:r>
        <w:t>iser</w:t>
      </w:r>
      <w:r w:rsidRPr="00613187">
        <w:t xml:space="preserve"> le pluralisme social et culturel et l</w:t>
      </w:r>
      <w:r>
        <w:t>a diversité et axées sur l’élimination de</w:t>
      </w:r>
      <w:r w:rsidRPr="00613187">
        <w:t xml:space="preserve"> tous les comportements discriminatoires et </w:t>
      </w:r>
      <w:r>
        <w:t xml:space="preserve">faire régulièrement, </w:t>
      </w:r>
      <w:r w:rsidRPr="00613187">
        <w:t xml:space="preserve">au moyen de recherches spécialisées, </w:t>
      </w:r>
      <w:r>
        <w:t xml:space="preserve">le diagnostic </w:t>
      </w:r>
      <w:r w:rsidRPr="00613187">
        <w:t>de la discrimination sur l</w:t>
      </w:r>
      <w:r>
        <w:t>’</w:t>
      </w:r>
      <w:r w:rsidRPr="00613187">
        <w:t>ensemble du territoire.</w:t>
      </w:r>
    </w:p>
    <w:p w:rsidR="00B424EC" w:rsidRPr="002355BC" w:rsidRDefault="00B424EC" w:rsidP="00B424EC">
      <w:pPr>
        <w:pStyle w:val="SingleTxt"/>
        <w:tabs>
          <w:tab w:val="clear" w:pos="1742"/>
        </w:tabs>
        <w:spacing w:after="0" w:line="120" w:lineRule="exact"/>
        <w:rPr>
          <w:sz w:val="10"/>
        </w:rPr>
      </w:pPr>
    </w:p>
    <w:p w:rsidR="00B424EC" w:rsidRDefault="00B424EC" w:rsidP="002879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lastRenderedPageBreak/>
        <w:tab/>
        <w:t>2.</w:t>
      </w:r>
      <w:r w:rsidRPr="00613187">
        <w:tab/>
        <w:t>Plan national de lutte contre la discrimination</w:t>
      </w:r>
    </w:p>
    <w:p w:rsidR="00B424EC" w:rsidRPr="002355BC" w:rsidRDefault="00B424EC" w:rsidP="0028797D">
      <w:pPr>
        <w:pStyle w:val="SingleTxt"/>
        <w:keepNext/>
        <w:keepLines/>
        <w:spacing w:after="0" w:line="120" w:lineRule="exact"/>
        <w:rPr>
          <w:sz w:val="10"/>
        </w:rPr>
      </w:pPr>
    </w:p>
    <w:p w:rsidR="00B424EC" w:rsidRDefault="00B424EC" w:rsidP="0028797D">
      <w:pPr>
        <w:pStyle w:val="SingleTxt"/>
        <w:keepNext/>
        <w:keepLines/>
        <w:numPr>
          <w:ilvl w:val="0"/>
          <w:numId w:val="17"/>
        </w:numPr>
        <w:tabs>
          <w:tab w:val="clear" w:pos="475"/>
          <w:tab w:val="num" w:pos="1742"/>
        </w:tabs>
        <w:ind w:left="1267"/>
      </w:pPr>
      <w:r w:rsidRPr="00613187">
        <w:t xml:space="preserve">Depuis 2005, </w:t>
      </w:r>
      <w:r>
        <w:t>le p</w:t>
      </w:r>
      <w:r w:rsidRPr="00613187">
        <w:t>lan national de lutte contre la discrimination est en vigueur; il s</w:t>
      </w:r>
      <w:r>
        <w:t>’</w:t>
      </w:r>
      <w:r w:rsidRPr="00613187">
        <w:t>agit d</w:t>
      </w:r>
      <w:r>
        <w:t>’</w:t>
      </w:r>
      <w:r w:rsidRPr="00613187">
        <w:t>un cadre de travail qui permet d</w:t>
      </w:r>
      <w:r>
        <w:t>’</w:t>
      </w:r>
      <w:r w:rsidRPr="00613187">
        <w:t xml:space="preserve">effectuer un diagnostic </w:t>
      </w:r>
      <w:r>
        <w:t xml:space="preserve">détaillé </w:t>
      </w:r>
      <w:r w:rsidRPr="00613187">
        <w:t>du problème et d</w:t>
      </w:r>
      <w:r>
        <w:t>’</w:t>
      </w:r>
      <w:r w:rsidRPr="00613187">
        <w:t>offrir des recommandations p</w:t>
      </w:r>
      <w:r>
        <w:t>r</w:t>
      </w:r>
      <w:r w:rsidRPr="00613187">
        <w:t>éci</w:t>
      </w:r>
      <w:r>
        <w:t>s</w:t>
      </w:r>
      <w:r w:rsidRPr="00613187">
        <w:t>es</w:t>
      </w:r>
      <w:r>
        <w:t xml:space="preserve">. Ce plan peut servir de modèle pour </w:t>
      </w:r>
      <w:r w:rsidRPr="00613187">
        <w:t>d</w:t>
      </w:r>
      <w:r>
        <w:t>’</w:t>
      </w:r>
      <w:r w:rsidRPr="00613187">
        <w:t>autres pays.</w:t>
      </w:r>
    </w:p>
    <w:p w:rsidR="00B424EC" w:rsidRPr="002355BC" w:rsidRDefault="00B424EC" w:rsidP="00B424EC">
      <w:pPr>
        <w:pStyle w:val="SingleTxt"/>
        <w:tabs>
          <w:tab w:val="clear" w:pos="1742"/>
        </w:tabs>
        <w:spacing w:after="0" w:line="120" w:lineRule="exact"/>
        <w:rPr>
          <w:sz w:val="10"/>
        </w:rPr>
      </w:pPr>
    </w:p>
    <w:p w:rsidR="00B424EC" w:rsidRPr="002355BC" w:rsidRDefault="00B424EC" w:rsidP="00B424EC">
      <w:pPr>
        <w:pStyle w:val="SingleTxt"/>
        <w:tabs>
          <w:tab w:val="clear" w:pos="1742"/>
        </w:tabs>
        <w:spacing w:after="0" w:line="120" w:lineRule="exact"/>
        <w:rPr>
          <w:sz w:val="10"/>
        </w:rPr>
      </w:pPr>
    </w:p>
    <w:p w:rsidR="00B424EC" w:rsidRDefault="00B424EC" w:rsidP="00B424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t>B.</w:t>
      </w:r>
      <w:r w:rsidRPr="00613187">
        <w:tab/>
        <w:t>Recours utiles</w:t>
      </w:r>
    </w:p>
    <w:p w:rsidR="00B424EC" w:rsidRPr="002355BC" w:rsidRDefault="00B424EC" w:rsidP="00B424EC">
      <w:pPr>
        <w:pStyle w:val="SingleTxt"/>
        <w:spacing w:after="0" w:line="120" w:lineRule="exact"/>
        <w:rPr>
          <w:sz w:val="10"/>
        </w:rPr>
      </w:pPr>
    </w:p>
    <w:p w:rsidR="00B424EC" w:rsidRPr="002355BC" w:rsidRDefault="00B424EC" w:rsidP="00B424EC">
      <w:pPr>
        <w:pStyle w:val="SingleTxt"/>
        <w:spacing w:after="0" w:line="120" w:lineRule="exact"/>
        <w:rPr>
          <w:sz w:val="10"/>
        </w:rPr>
      </w:pPr>
    </w:p>
    <w:p w:rsidR="00B424EC" w:rsidRPr="00613187" w:rsidRDefault="00B424EC" w:rsidP="00B424EC">
      <w:pPr>
        <w:pStyle w:val="SingleTxt"/>
        <w:numPr>
          <w:ilvl w:val="0"/>
          <w:numId w:val="17"/>
        </w:numPr>
        <w:tabs>
          <w:tab w:val="clear" w:pos="475"/>
          <w:tab w:val="num" w:pos="1742"/>
        </w:tabs>
        <w:ind w:left="1267"/>
      </w:pPr>
      <w:r w:rsidRPr="00613187">
        <w:t>Tous les résidents de la République argentine disposent d</w:t>
      </w:r>
      <w:r>
        <w:t>’</w:t>
      </w:r>
      <w:r w:rsidRPr="00613187">
        <w:t>un ensemble de recours de diverse nature permettant, en cas de violation de leurs droits fondamentaux, de régler la situation. Ces recours, qui sont rég</w:t>
      </w:r>
      <w:r>
        <w:t>i</w:t>
      </w:r>
      <w:r w:rsidRPr="00613187">
        <w:t xml:space="preserve">s par la législation ordinaire, diffèrent selon leur objet. Le droit de recours en </w:t>
      </w:r>
      <w:r w:rsidRPr="00613187">
        <w:rPr>
          <w:i/>
        </w:rPr>
        <w:t>amparo</w:t>
      </w:r>
      <w:r w:rsidRPr="00613187">
        <w:t xml:space="preserve">, en </w:t>
      </w:r>
      <w:r w:rsidRPr="00613187">
        <w:rPr>
          <w:i/>
        </w:rPr>
        <w:t>habeas corpus</w:t>
      </w:r>
      <w:r w:rsidRPr="00613187">
        <w:t xml:space="preserve"> et en </w:t>
      </w:r>
      <w:r w:rsidRPr="00613187">
        <w:rPr>
          <w:i/>
        </w:rPr>
        <w:t>habeas data</w:t>
      </w:r>
      <w:r w:rsidRPr="00613187">
        <w:t xml:space="preserve"> est consacré par l</w:t>
      </w:r>
      <w:r>
        <w:t>’</w:t>
      </w:r>
      <w:r w:rsidRPr="00613187">
        <w:t>article 43 de la Constitution.</w:t>
      </w:r>
    </w:p>
    <w:p w:rsidR="00B424EC" w:rsidRPr="00613187" w:rsidRDefault="00B424EC" w:rsidP="00B424EC">
      <w:pPr>
        <w:pStyle w:val="SingleTxt"/>
        <w:numPr>
          <w:ilvl w:val="0"/>
          <w:numId w:val="17"/>
        </w:numPr>
        <w:tabs>
          <w:tab w:val="clear" w:pos="475"/>
          <w:tab w:val="num" w:pos="1742"/>
        </w:tabs>
        <w:ind w:left="1267"/>
      </w:pPr>
      <w:r w:rsidRPr="00613187">
        <w:t>Le Code de procédure pénale dispose que « toute personne qui s</w:t>
      </w:r>
      <w:r>
        <w:t>’</w:t>
      </w:r>
      <w:r w:rsidRPr="00613187">
        <w:t>estime lésée du fait d</w:t>
      </w:r>
      <w:r>
        <w:t>’</w:t>
      </w:r>
      <w:r w:rsidRPr="00613187">
        <w:t>une infraction susceptible de poursuites d</w:t>
      </w:r>
      <w:r>
        <w:t>’</w:t>
      </w:r>
      <w:r w:rsidRPr="00613187">
        <w:t>office ou qui, sans prétendre être lésée, a connaissance d</w:t>
      </w:r>
      <w:r>
        <w:t>’</w:t>
      </w:r>
      <w:r w:rsidRPr="00613187">
        <w:t>une telle infraction, peut porter plainte devant le juge d</w:t>
      </w:r>
      <w:r>
        <w:t>’</w:t>
      </w:r>
      <w:r w:rsidRPr="00613187">
        <w:t>instruction, le ministère public ou la police. Lorsque l</w:t>
      </w:r>
      <w:r>
        <w:t>’</w:t>
      </w:r>
      <w:r w:rsidRPr="00613187">
        <w:t>action pénale émane d</w:t>
      </w:r>
      <w:r>
        <w:t>’</w:t>
      </w:r>
      <w:r w:rsidRPr="00613187">
        <w:t>un particulier, seule peut porter plainte une personne ayant le droit d</w:t>
      </w:r>
      <w:r>
        <w:t>’</w:t>
      </w:r>
      <w:r w:rsidRPr="00613187">
        <w:t xml:space="preserve">ester, conformément aux dispositions </w:t>
      </w:r>
      <w:r>
        <w:t>du</w:t>
      </w:r>
      <w:r w:rsidRPr="00613187">
        <w:t xml:space="preserve"> Code pénal. Selon les formalités prévues […] le plaignant peut demander à se porter partie civile ».</w:t>
      </w:r>
    </w:p>
    <w:p w:rsidR="00B424EC" w:rsidRDefault="00B424EC" w:rsidP="00B424EC">
      <w:pPr>
        <w:pStyle w:val="SingleTxt"/>
        <w:numPr>
          <w:ilvl w:val="0"/>
          <w:numId w:val="17"/>
        </w:numPr>
        <w:tabs>
          <w:tab w:val="clear" w:pos="475"/>
          <w:tab w:val="num" w:pos="1742"/>
        </w:tabs>
        <w:ind w:left="1267"/>
      </w:pPr>
      <w:r w:rsidRPr="00613187">
        <w:rPr>
          <w:rFonts w:eastAsia="Times New Roman"/>
          <w:szCs w:val="24"/>
          <w:lang w:val="fr-FR"/>
        </w:rPr>
        <w:t>Selon</w:t>
      </w:r>
      <w:r w:rsidRPr="00613187">
        <w:t xml:space="preserve"> l</w:t>
      </w:r>
      <w:r>
        <w:t>’</w:t>
      </w:r>
      <w:r w:rsidRPr="00613187">
        <w:t>article 177 du Code de procédure pénale, toute infraction passible de poursuites d</w:t>
      </w:r>
      <w:r>
        <w:t>’</w:t>
      </w:r>
      <w:r w:rsidRPr="00613187">
        <w:t>office doit être dénoncée par les fonctionnaires ou employés publics qui en ont connaissance dans l</w:t>
      </w:r>
      <w:r>
        <w:t>’</w:t>
      </w:r>
      <w:r w:rsidRPr="00613187">
        <w:t>exercice de leurs fonctions, les médecins, sages-femmes, pharmaciens et autres personnes qui dispensent des soins dans quelque branche que ce soit</w:t>
      </w:r>
      <w:r>
        <w:t xml:space="preserve">, </w:t>
      </w:r>
      <w:r w:rsidRPr="00613187">
        <w:t>sauf si les faits connus sont protégés par le secret médical.</w:t>
      </w:r>
    </w:p>
    <w:p w:rsidR="00B424EC" w:rsidRPr="002355BC" w:rsidRDefault="00B424EC" w:rsidP="00B424EC">
      <w:pPr>
        <w:pStyle w:val="SingleTxt"/>
        <w:tabs>
          <w:tab w:val="clear" w:pos="1742"/>
        </w:tabs>
        <w:spacing w:after="0" w:line="120" w:lineRule="exact"/>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613187">
        <w:tab/>
        <w:t>1.</w:t>
      </w:r>
      <w:r w:rsidRPr="00613187">
        <w:tab/>
        <w:t xml:space="preserve">Recours en </w:t>
      </w:r>
      <w:r w:rsidRPr="00613187">
        <w:rPr>
          <w:i/>
        </w:rPr>
        <w:t>amparo</w:t>
      </w:r>
    </w:p>
    <w:p w:rsidR="00B424EC" w:rsidRPr="002355BC" w:rsidRDefault="00B424EC" w:rsidP="00B424EC">
      <w:pPr>
        <w:pStyle w:val="SingleTxt"/>
        <w:spacing w:after="0" w:line="120" w:lineRule="exact"/>
        <w:rPr>
          <w:sz w:val="10"/>
        </w:rPr>
      </w:pPr>
    </w:p>
    <w:p w:rsidR="00B424EC" w:rsidRPr="00613187" w:rsidRDefault="00B424EC" w:rsidP="00B424EC">
      <w:pPr>
        <w:pStyle w:val="SingleTxt"/>
        <w:numPr>
          <w:ilvl w:val="0"/>
          <w:numId w:val="17"/>
        </w:numPr>
        <w:tabs>
          <w:tab w:val="clear" w:pos="475"/>
          <w:tab w:val="num" w:pos="1742"/>
        </w:tabs>
        <w:ind w:left="1267"/>
      </w:pPr>
      <w:r>
        <w:t>La loi n</w:t>
      </w:r>
      <w:r w:rsidRPr="002355BC">
        <w:rPr>
          <w:vertAlign w:val="superscript"/>
        </w:rPr>
        <w:t>o</w:t>
      </w:r>
      <w:r w:rsidRPr="00613187">
        <w:t> 16</w:t>
      </w:r>
      <w:r>
        <w:t> </w:t>
      </w:r>
      <w:r w:rsidRPr="00613187">
        <w:t xml:space="preserve">986 régit le recours en </w:t>
      </w:r>
      <w:r w:rsidRPr="00613187">
        <w:rPr>
          <w:i/>
        </w:rPr>
        <w:t>amparo</w:t>
      </w:r>
      <w:r w:rsidRPr="00613187">
        <w:t xml:space="preserve"> formé pour faire respecter des droits ou garanties reconnus explicitement ou implicitement par la Constitution, à l</w:t>
      </w:r>
      <w:r>
        <w:t>’</w:t>
      </w:r>
      <w:r w:rsidRPr="00613187">
        <w:t>exception de la liberté individuelle</w:t>
      </w:r>
      <w:r>
        <w:t>,</w:t>
      </w:r>
      <w:r w:rsidRPr="00613187">
        <w:t xml:space="preserve"> qui est protégée par le recours en </w:t>
      </w:r>
      <w:r w:rsidRPr="00613187">
        <w:rPr>
          <w:i/>
        </w:rPr>
        <w:t>habeas corpus</w:t>
      </w:r>
      <w:r w:rsidRPr="00613187">
        <w:t>. Le recours peut être formé contre tout acte ou omission d</w:t>
      </w:r>
      <w:r>
        <w:t>’</w:t>
      </w:r>
      <w:r w:rsidRPr="00613187">
        <w:t>une autorité publique ou d</w:t>
      </w:r>
      <w:r>
        <w:t>’</w:t>
      </w:r>
      <w:r w:rsidRPr="00613187">
        <w:t>un particulier qui porte atteinte ou risque de porter atteinte aux droits et garanties consacrés par la Constitution, un traité ou une loi, ou risque de limiter ces droits et garanties. Le juge peut déclarer inconstitutionnelle la disposition sur laquelle se fonde l</w:t>
      </w:r>
      <w:r>
        <w:t>’</w:t>
      </w:r>
      <w:r w:rsidRPr="00613187">
        <w:t>acte ou l</w:t>
      </w:r>
      <w:r>
        <w:t>’</w:t>
      </w:r>
      <w:r w:rsidRPr="00613187">
        <w:t>omission préjudiciable.</w:t>
      </w:r>
    </w:p>
    <w:p w:rsidR="00B424EC" w:rsidRPr="00613187" w:rsidRDefault="00B424EC" w:rsidP="00B424EC">
      <w:pPr>
        <w:pStyle w:val="SingleTxt"/>
        <w:numPr>
          <w:ilvl w:val="0"/>
          <w:numId w:val="17"/>
        </w:numPr>
        <w:tabs>
          <w:tab w:val="clear" w:pos="475"/>
          <w:tab w:val="num" w:pos="1742"/>
        </w:tabs>
        <w:ind w:left="1267"/>
      </w:pPr>
      <w:r w:rsidRPr="00613187">
        <w:t>Ce recours peut être engagé contre toute forme de discrimination et contre toute atteinte aux droits liés à la protection de l</w:t>
      </w:r>
      <w:r>
        <w:t>’</w:t>
      </w:r>
      <w:r w:rsidRPr="00613187">
        <w:t>environnement, de la concurrence, de l</w:t>
      </w:r>
      <w:r>
        <w:t>’</w:t>
      </w:r>
      <w:r w:rsidRPr="00613187">
        <w:t>usager et du consommateur, ou aux droits collectifs en général, par la personne lésée, le Défenseur du peuple et les associations de promotion de ces droits, enregistrées conformément à la loi qui définit les conditions d</w:t>
      </w:r>
      <w:r>
        <w:t>’</w:t>
      </w:r>
      <w:r w:rsidRPr="00613187">
        <w:t>établissement et les formes d</w:t>
      </w:r>
      <w:r>
        <w:t>’</w:t>
      </w:r>
      <w:r w:rsidRPr="00613187">
        <w:t>organisation.</w:t>
      </w:r>
    </w:p>
    <w:p w:rsidR="00B424EC" w:rsidRPr="00613187" w:rsidRDefault="00B424EC" w:rsidP="00B424EC">
      <w:pPr>
        <w:pStyle w:val="SingleTxt"/>
        <w:numPr>
          <w:ilvl w:val="0"/>
          <w:numId w:val="17"/>
        </w:numPr>
        <w:tabs>
          <w:tab w:val="clear" w:pos="475"/>
          <w:tab w:val="num" w:pos="1742"/>
        </w:tabs>
        <w:ind w:left="1267"/>
      </w:pPr>
      <w:r w:rsidRPr="00613187">
        <w:t>Le recours doit être présenté devant le juge de première instance ayant compétence au lieu où l</w:t>
      </w:r>
      <w:r>
        <w:t>’</w:t>
      </w:r>
      <w:r w:rsidRPr="00613187">
        <w:t>acte a été accompli</w:t>
      </w:r>
      <w:r>
        <w:t>, a</w:t>
      </w:r>
      <w:r w:rsidRPr="00613187">
        <w:t xml:space="preserve"> ou pourrait avoir des effets. Si le recours est recevable, le juge demande à l</w:t>
      </w:r>
      <w:r>
        <w:t>’</w:t>
      </w:r>
      <w:r w:rsidRPr="00613187">
        <w:t>autorité compétente un rapport détaillé sur les circonstances et les fondements de la mesure contestée, lequel doit être présenté dans le délai raisonnable fixé par le juge (en général cinq jours). Une fois le rapport présenté ou à l</w:t>
      </w:r>
      <w:r>
        <w:t>’</w:t>
      </w:r>
      <w:r w:rsidRPr="00613187">
        <w:t>expiration du délai fixé sans que celui-ci ait été présenté, l</w:t>
      </w:r>
      <w:r>
        <w:t>’</w:t>
      </w:r>
      <w:r w:rsidRPr="00613187">
        <w:t>auteur</w:t>
      </w:r>
      <w:r>
        <w:t xml:space="preserve"> du recours n’ayant pas à appor</w:t>
      </w:r>
      <w:r w:rsidRPr="00613187">
        <w:t xml:space="preserve">ter de preuves, le juge rend dans les </w:t>
      </w:r>
      <w:r>
        <w:t>quarante-huit</w:t>
      </w:r>
      <w:r w:rsidRPr="00613187">
        <w:t xml:space="preserve"> heures un jugement motivé accordant ou non l</w:t>
      </w:r>
      <w:r>
        <w:t>’</w:t>
      </w:r>
      <w:r w:rsidRPr="00613187">
        <w:rPr>
          <w:i/>
        </w:rPr>
        <w:t>amparo</w:t>
      </w:r>
      <w:r w:rsidRPr="00613187">
        <w:t>.</w:t>
      </w:r>
    </w:p>
    <w:p w:rsidR="00B424EC" w:rsidRPr="00613187" w:rsidRDefault="00B424EC" w:rsidP="00B424EC">
      <w:pPr>
        <w:pStyle w:val="SingleTxt"/>
        <w:numPr>
          <w:ilvl w:val="0"/>
          <w:numId w:val="17"/>
        </w:numPr>
        <w:tabs>
          <w:tab w:val="clear" w:pos="475"/>
          <w:tab w:val="num" w:pos="1742"/>
        </w:tabs>
        <w:ind w:left="1267"/>
      </w:pPr>
      <w:r w:rsidRPr="00613187">
        <w:lastRenderedPageBreak/>
        <w:t xml:space="preserve">Le recours en </w:t>
      </w:r>
      <w:r w:rsidRPr="00613187">
        <w:rPr>
          <w:i/>
        </w:rPr>
        <w:t>amparo</w:t>
      </w:r>
      <w:r w:rsidRPr="00613187">
        <w:t xml:space="preserve"> contre un acte ou une omission d</w:t>
      </w:r>
      <w:r>
        <w:t>’</w:t>
      </w:r>
      <w:r w:rsidRPr="00613187">
        <w:t>un particulier est régi par l</w:t>
      </w:r>
      <w:r>
        <w:t>’</w:t>
      </w:r>
      <w:r w:rsidRPr="00613187">
        <w:t>article 321 du Code de procédure en matière civile et commerciale.</w:t>
      </w:r>
      <w:r>
        <w:t xml:space="preserve"> La procédure sommaire est applicable.</w:t>
      </w:r>
    </w:p>
    <w:p w:rsidR="00B424EC" w:rsidRDefault="00B424EC" w:rsidP="00B424EC">
      <w:pPr>
        <w:pStyle w:val="SingleTxt"/>
        <w:numPr>
          <w:ilvl w:val="0"/>
          <w:numId w:val="17"/>
        </w:numPr>
        <w:tabs>
          <w:tab w:val="clear" w:pos="475"/>
          <w:tab w:val="num" w:pos="1742"/>
        </w:tabs>
        <w:ind w:left="1267"/>
      </w:pPr>
      <w:r w:rsidRPr="00613187">
        <w:t>L</w:t>
      </w:r>
      <w:r>
        <w:t>’</w:t>
      </w:r>
      <w:r w:rsidRPr="00613187">
        <w:t xml:space="preserve">article 28 de la loi relative aux procédures administratives (loi </w:t>
      </w:r>
      <w:r>
        <w:t>n</w:t>
      </w:r>
      <w:r w:rsidRPr="007839A1">
        <w:rPr>
          <w:vertAlign w:val="superscript"/>
        </w:rPr>
        <w:t>o</w:t>
      </w:r>
      <w:r>
        <w:t> </w:t>
      </w:r>
      <w:r w:rsidRPr="00613187">
        <w:t xml:space="preserve">19 549 modifiée) consacre le recours en </w:t>
      </w:r>
      <w:r w:rsidRPr="00613187">
        <w:rPr>
          <w:i/>
        </w:rPr>
        <w:t>amparo</w:t>
      </w:r>
      <w:r w:rsidRPr="00613187">
        <w:t xml:space="preserve"> pour un retard administratif, lorsque l</w:t>
      </w:r>
      <w:r>
        <w:t>’</w:t>
      </w:r>
      <w:r w:rsidRPr="00613187">
        <w:t>autorité administrative a laissé expirer les délais fixés ou, s</w:t>
      </w:r>
      <w:r>
        <w:t>’</w:t>
      </w:r>
      <w:r w:rsidRPr="00613187">
        <w:t>il n</w:t>
      </w:r>
      <w:r>
        <w:t>’</w:t>
      </w:r>
      <w:r w:rsidRPr="00613187">
        <w:t>a pas été fixé de délai, lorsqu</w:t>
      </w:r>
      <w:r>
        <w:t>’</w:t>
      </w:r>
      <w:r w:rsidRPr="00613187">
        <w:t>un laps de temps excessif s</w:t>
      </w:r>
      <w:r>
        <w:t>’</w:t>
      </w:r>
      <w:r w:rsidRPr="00613187">
        <w:t>est écoulé sans que le jugement ou la décision sur la forme ou le fond que demande l</w:t>
      </w:r>
      <w:r>
        <w:t>’</w:t>
      </w:r>
      <w:r w:rsidRPr="00613187">
        <w:t xml:space="preserve">intéressé </w:t>
      </w:r>
      <w:r>
        <w:t>ait été rendu</w:t>
      </w:r>
      <w:r w:rsidRPr="00613187">
        <w:t xml:space="preserve">. Le juge se </w:t>
      </w:r>
      <w:r>
        <w:t>p</w:t>
      </w:r>
      <w:r w:rsidRPr="00613187">
        <w:t>rononce alors sur la recevabilité de la demande présentée, en tenant compte des circonstances de l</w:t>
      </w:r>
      <w:r>
        <w:t>’</w:t>
      </w:r>
      <w:r w:rsidRPr="00613187">
        <w:t>espèce et, s</w:t>
      </w:r>
      <w:r>
        <w:t>’</w:t>
      </w:r>
      <w:r w:rsidRPr="00613187">
        <w:t>il le juge opportun, demande à l</w:t>
      </w:r>
      <w:r>
        <w:t>’</w:t>
      </w:r>
      <w:r w:rsidRPr="00613187">
        <w:t>autorité administrative en cause d</w:t>
      </w:r>
      <w:r>
        <w:t>’</w:t>
      </w:r>
      <w:r w:rsidRPr="00613187">
        <w:t>exposer, dans un délai qu</w:t>
      </w:r>
      <w:r>
        <w:t>’</w:t>
      </w:r>
      <w:r w:rsidRPr="00613187">
        <w:t>il fixe, les causes du retard.</w:t>
      </w:r>
    </w:p>
    <w:p w:rsidR="00B424EC" w:rsidRPr="002355BC" w:rsidRDefault="00B424EC" w:rsidP="00B424EC">
      <w:pPr>
        <w:pStyle w:val="SingleTxt"/>
        <w:tabs>
          <w:tab w:val="clear" w:pos="1742"/>
        </w:tabs>
        <w:spacing w:after="0" w:line="120" w:lineRule="exact"/>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t>2.</w:t>
      </w:r>
      <w:r w:rsidRPr="00613187">
        <w:tab/>
      </w:r>
      <w:r w:rsidRPr="002355BC">
        <w:rPr>
          <w:i/>
        </w:rPr>
        <w:t>Habeas corpus</w:t>
      </w:r>
    </w:p>
    <w:p w:rsidR="00B424EC" w:rsidRPr="002355BC" w:rsidRDefault="00B424EC" w:rsidP="00B424EC">
      <w:pPr>
        <w:pStyle w:val="SingleTxt"/>
        <w:spacing w:after="0" w:line="120" w:lineRule="exact"/>
        <w:rPr>
          <w:sz w:val="10"/>
        </w:rPr>
      </w:pPr>
    </w:p>
    <w:p w:rsidR="00B424EC" w:rsidRPr="00613187" w:rsidRDefault="00B424EC" w:rsidP="00B424EC">
      <w:pPr>
        <w:pStyle w:val="SingleTxt"/>
        <w:numPr>
          <w:ilvl w:val="0"/>
          <w:numId w:val="17"/>
        </w:numPr>
        <w:tabs>
          <w:tab w:val="clear" w:pos="475"/>
          <w:tab w:val="num" w:pos="1742"/>
        </w:tabs>
        <w:ind w:left="1267"/>
      </w:pPr>
      <w:r w:rsidRPr="00613187">
        <w:t>Lorsque le droit auquel il est porté atteinte, ou qui est limité, modifié ou restreint concerne la liberté physique, ou en cas d</w:t>
      </w:r>
      <w:r>
        <w:t>’</w:t>
      </w:r>
      <w:r w:rsidRPr="00613187">
        <w:t>aggravation illicite de la forme ou des modalités de détention, ou en cas de disparition forcée, l</w:t>
      </w:r>
      <w:r>
        <w:t>’</w:t>
      </w:r>
      <w:r w:rsidRPr="00613187">
        <w:t xml:space="preserve">intéressé ou toute autre personne agissant en son nom peut former un recours en </w:t>
      </w:r>
      <w:r w:rsidRPr="00613187">
        <w:rPr>
          <w:i/>
        </w:rPr>
        <w:t>habeas corpus</w:t>
      </w:r>
      <w:r w:rsidRPr="00613187">
        <w:t xml:space="preserve"> et le juge statue immédiatement, même </w:t>
      </w:r>
      <w:r>
        <w:t xml:space="preserve">en </w:t>
      </w:r>
      <w:r w:rsidRPr="00613187">
        <w:t>période de siège.</w:t>
      </w:r>
    </w:p>
    <w:p w:rsidR="00B424EC" w:rsidRPr="00613187" w:rsidRDefault="00B424EC" w:rsidP="00B424EC">
      <w:pPr>
        <w:pStyle w:val="SingleTxt"/>
        <w:numPr>
          <w:ilvl w:val="0"/>
          <w:numId w:val="17"/>
        </w:numPr>
        <w:tabs>
          <w:tab w:val="clear" w:pos="475"/>
          <w:tab w:val="num" w:pos="1742"/>
        </w:tabs>
        <w:ind w:left="1267"/>
      </w:pPr>
      <w:r>
        <w:t>La loi n</w:t>
      </w:r>
      <w:r w:rsidRPr="007839A1">
        <w:rPr>
          <w:vertAlign w:val="superscript"/>
        </w:rPr>
        <w:t>o</w:t>
      </w:r>
      <w:r>
        <w:t> 23 </w:t>
      </w:r>
      <w:r w:rsidRPr="00613187">
        <w:t xml:space="preserve">098 dispose que le recours en </w:t>
      </w:r>
      <w:r w:rsidRPr="00613187">
        <w:rPr>
          <w:i/>
        </w:rPr>
        <w:t>habeas corpus</w:t>
      </w:r>
      <w:r w:rsidRPr="00613187">
        <w:t xml:space="preserve"> est ouvert en cas d</w:t>
      </w:r>
      <w:r>
        <w:t>’</w:t>
      </w:r>
      <w:r w:rsidRPr="00613187">
        <w:t>acte ou d</w:t>
      </w:r>
      <w:r>
        <w:t>’</w:t>
      </w:r>
      <w:r w:rsidRPr="00613187">
        <w:t>omission d</w:t>
      </w:r>
      <w:r>
        <w:t>’</w:t>
      </w:r>
      <w:r w:rsidRPr="00613187">
        <w:t>une autorité publique qui entraîne</w:t>
      </w:r>
      <w:r>
        <w:t xml:space="preserve"> : a) </w:t>
      </w:r>
      <w:r w:rsidRPr="00613187">
        <w:t>une restriction de la liberté de circulation sans mandat écrit de l</w:t>
      </w:r>
      <w:r>
        <w:t>’</w:t>
      </w:r>
      <w:r w:rsidRPr="00613187">
        <w:t>autorité compétente ou une menace de restriction; b) une aggravation illicite des modalités de la privation de liberté, sans préjudice des pouvoirs particuliers du magistrat chargé de la cause, le cas échéant.</w:t>
      </w:r>
    </w:p>
    <w:p w:rsidR="00B424EC" w:rsidRPr="00613187" w:rsidRDefault="00B424EC" w:rsidP="00B424EC">
      <w:pPr>
        <w:pStyle w:val="SingleTxt"/>
        <w:numPr>
          <w:ilvl w:val="0"/>
          <w:numId w:val="17"/>
        </w:numPr>
        <w:tabs>
          <w:tab w:val="clear" w:pos="475"/>
          <w:tab w:val="num" w:pos="1742"/>
        </w:tabs>
        <w:ind w:left="1267"/>
      </w:pPr>
      <w:r w:rsidRPr="00613187">
        <w:t>Si la liberté d</w:t>
      </w:r>
      <w:r>
        <w:t>’</w:t>
      </w:r>
      <w:r w:rsidRPr="00613187">
        <w:t>une personne est limitée par suite de la proclamation de l</w:t>
      </w:r>
      <w:r>
        <w:t>’</w:t>
      </w:r>
      <w:r w:rsidRPr="00613187">
        <w:t xml:space="preserve">état de siège, le recours en </w:t>
      </w:r>
      <w:r w:rsidRPr="00613187">
        <w:rPr>
          <w:i/>
        </w:rPr>
        <w:t>habeas corpus</w:t>
      </w:r>
      <w:r w:rsidRPr="00613187">
        <w:t xml:space="preserve"> peut avoir pour objet de vérifier, en l</w:t>
      </w:r>
      <w:r>
        <w:t>’</w:t>
      </w:r>
      <w:r w:rsidRPr="00613187">
        <w:t>espèce</w:t>
      </w:r>
      <w:r>
        <w:t> </w:t>
      </w:r>
      <w:r w:rsidRPr="00613187">
        <w:t>:</w:t>
      </w:r>
      <w:r>
        <w:t xml:space="preserve"> a) </w:t>
      </w:r>
      <w:r w:rsidRPr="00613187">
        <w:t>le bien</w:t>
      </w:r>
      <w:r>
        <w:t>-</w:t>
      </w:r>
      <w:r w:rsidRPr="00613187">
        <w:t>fondé de la proclamation de l</w:t>
      </w:r>
      <w:r>
        <w:t>’</w:t>
      </w:r>
      <w:r w:rsidRPr="00613187">
        <w:t>état de siège; b)</w:t>
      </w:r>
      <w:r>
        <w:t xml:space="preserve"> </w:t>
      </w:r>
      <w:r w:rsidRPr="00613187">
        <w:t>la corrélation entre l</w:t>
      </w:r>
      <w:r>
        <w:t>’</w:t>
      </w:r>
      <w:r w:rsidRPr="00613187">
        <w:t>ordre de privation de liberté et les circonstances qui sont à l</w:t>
      </w:r>
      <w:r>
        <w:t>’</w:t>
      </w:r>
      <w:r w:rsidRPr="00613187">
        <w:t>origine de la proclamation de l</w:t>
      </w:r>
      <w:r>
        <w:t>’</w:t>
      </w:r>
      <w:r w:rsidRPr="00613187">
        <w:t>état de siège; c)</w:t>
      </w:r>
      <w:r>
        <w:t xml:space="preserve"> </w:t>
      </w:r>
      <w:r w:rsidRPr="00613187">
        <w:t>l</w:t>
      </w:r>
      <w:r>
        <w:t>’</w:t>
      </w:r>
      <w:r w:rsidRPr="00613187">
        <w:t>aggravation illicite de la forme et des modalités de la privation de liberté, l</w:t>
      </w:r>
      <w:r>
        <w:t>’</w:t>
      </w:r>
      <w:r w:rsidRPr="00613187">
        <w:t>intéressé ne devant en aucun cas être placé dans un établissement prévu pour l</w:t>
      </w:r>
      <w:r>
        <w:t>’</w:t>
      </w:r>
      <w:r w:rsidRPr="00613187">
        <w:t>exécution des peines; d) si la faculté de quitter le territoire national a été effectivement exercée.</w:t>
      </w:r>
    </w:p>
    <w:p w:rsidR="00B424EC" w:rsidRPr="00613187" w:rsidRDefault="00B424EC" w:rsidP="00B424EC">
      <w:pPr>
        <w:pStyle w:val="SingleTxt"/>
        <w:numPr>
          <w:ilvl w:val="0"/>
          <w:numId w:val="17"/>
        </w:numPr>
        <w:tabs>
          <w:tab w:val="clear" w:pos="475"/>
          <w:tab w:val="num" w:pos="1742"/>
        </w:tabs>
        <w:ind w:left="1267"/>
      </w:pPr>
      <w:r w:rsidRPr="00613187">
        <w:rPr>
          <w:rFonts w:eastAsia="Times New Roman"/>
          <w:szCs w:val="24"/>
          <w:lang w:val="fr-FR"/>
        </w:rPr>
        <w:t>S</w:t>
      </w:r>
      <w:r>
        <w:rPr>
          <w:rFonts w:eastAsia="Times New Roman"/>
          <w:szCs w:val="24"/>
          <w:lang w:val="fr-FR"/>
        </w:rPr>
        <w:t>’</w:t>
      </w:r>
      <w:r w:rsidRPr="00613187">
        <w:rPr>
          <w:rFonts w:eastAsia="Times New Roman"/>
          <w:szCs w:val="24"/>
          <w:lang w:val="fr-FR"/>
        </w:rPr>
        <w:t>agissant</w:t>
      </w:r>
      <w:r w:rsidRPr="00613187">
        <w:t xml:space="preserve"> de la privation de liberté, une fois la plainte formulée, le juge ordonne immédiatement que l</w:t>
      </w:r>
      <w:r>
        <w:t>’</w:t>
      </w:r>
      <w:r w:rsidRPr="00613187">
        <w:t>autorité en cause, le cas échéant, lui présente le détenu et fasse un exposé circonstancié du motif de la mesure prise ainsi que de la forme et des modalités d</w:t>
      </w:r>
      <w:r>
        <w:t>’</w:t>
      </w:r>
      <w:r w:rsidRPr="00613187">
        <w:t xml:space="preserve">application, en précisant si elle a </w:t>
      </w:r>
      <w:r>
        <w:t>agi</w:t>
      </w:r>
      <w:r w:rsidRPr="00613187">
        <w:t xml:space="preserve"> sur ordre écrit d</w:t>
      </w:r>
      <w:r>
        <w:t>’</w:t>
      </w:r>
      <w:r w:rsidRPr="00613187">
        <w:t>une autorité c</w:t>
      </w:r>
      <w:r>
        <w:t>ompétente, auquel cas celle-</w:t>
      </w:r>
      <w:r w:rsidRPr="00613187">
        <w:t>ci devra l</w:t>
      </w:r>
      <w:r>
        <w:t>’</w:t>
      </w:r>
      <w:r w:rsidRPr="00613187">
        <w:t>accompagner, et si le détenu a été mis à la disposition d</w:t>
      </w:r>
      <w:r>
        <w:t>’</w:t>
      </w:r>
      <w:r w:rsidRPr="00613187">
        <w:t>une autre autorité, laquelle et pour quelle raison, et à quelle occasion le transfert a été effectué. S</w:t>
      </w:r>
      <w:r>
        <w:t>’</w:t>
      </w:r>
      <w:r w:rsidRPr="00613187">
        <w:t>il s</w:t>
      </w:r>
      <w:r>
        <w:t>’</w:t>
      </w:r>
      <w:r w:rsidRPr="00613187">
        <w:t>agit d</w:t>
      </w:r>
      <w:r>
        <w:t>’</w:t>
      </w:r>
      <w:r w:rsidRPr="00613187">
        <w:t>une menace de privation de liberté, le juge ordonne que l</w:t>
      </w:r>
      <w:r>
        <w:t>’</w:t>
      </w:r>
      <w:r w:rsidRPr="00613187">
        <w:t>autorité en cause présente le rapport visé.</w:t>
      </w:r>
    </w:p>
    <w:p w:rsidR="00B424EC" w:rsidRDefault="00B424EC" w:rsidP="00B424EC">
      <w:pPr>
        <w:pStyle w:val="SingleTxt"/>
        <w:numPr>
          <w:ilvl w:val="0"/>
          <w:numId w:val="17"/>
        </w:numPr>
        <w:tabs>
          <w:tab w:val="clear" w:pos="475"/>
          <w:tab w:val="num" w:pos="1742"/>
        </w:tabs>
        <w:ind w:left="1267"/>
      </w:pPr>
      <w:r w:rsidRPr="00613187">
        <w:t>Si le tribunal ou le juge compétent apprend, preuves satisfaisantes à l</w:t>
      </w:r>
      <w:r>
        <w:t>’</w:t>
      </w:r>
      <w:r w:rsidRPr="00613187">
        <w:t>appui, qu</w:t>
      </w:r>
      <w:r>
        <w:t>’</w:t>
      </w:r>
      <w:r w:rsidRPr="00613187">
        <w:t>une personne est maintenue en garde, en détention ou en ré</w:t>
      </w:r>
      <w:r>
        <w:t>clus</w:t>
      </w:r>
      <w:r w:rsidRPr="00613187">
        <w:t>ion par un fonctionnaire de son ressort ou un subalterne administratif, politique ou militaire, et qu</w:t>
      </w:r>
      <w:r>
        <w:t>’</w:t>
      </w:r>
      <w:r w:rsidRPr="00613187">
        <w:t>il y a lieu de craindre qu</w:t>
      </w:r>
      <w:r>
        <w:t>’</w:t>
      </w:r>
      <w:r w:rsidRPr="00613187">
        <w:t>elle ne soit transportée hors de sa juridiction ou qu</w:t>
      </w:r>
      <w:r>
        <w:t>’</w:t>
      </w:r>
      <w:r w:rsidRPr="00613187">
        <w:t>elle ne subisse un préjudice irréparable avant de pouvoir bénéficier d</w:t>
      </w:r>
      <w:r>
        <w:t>’</w:t>
      </w:r>
      <w:r w:rsidRPr="00613187">
        <w:t xml:space="preserve">un recours en </w:t>
      </w:r>
      <w:r w:rsidRPr="00613187">
        <w:rPr>
          <w:i/>
        </w:rPr>
        <w:t>habeas corpus</w:t>
      </w:r>
      <w:r w:rsidRPr="00613187">
        <w:t>, il peut statuer d</w:t>
      </w:r>
      <w:r>
        <w:t>’</w:t>
      </w:r>
      <w:r w:rsidRPr="00613187">
        <w:t>office et ordonner à l</w:t>
      </w:r>
      <w:r>
        <w:t>’</w:t>
      </w:r>
      <w:r w:rsidRPr="00613187">
        <w:t>autorité qui la détient ou à tout commissaire, agent de police ou autre employé, d</w:t>
      </w:r>
      <w:r>
        <w:t>’</w:t>
      </w:r>
      <w:r w:rsidRPr="00613187">
        <w:t xml:space="preserve">amener la personne détenue ou menacée </w:t>
      </w:r>
      <w:r>
        <w:t xml:space="preserve">devant lui </w:t>
      </w:r>
      <w:r w:rsidRPr="00613187">
        <w:t>afin de décider ce qu</w:t>
      </w:r>
      <w:r>
        <w:t>’</w:t>
      </w:r>
      <w:r w:rsidRPr="00613187">
        <w:t>il convient de faire de droit.</w:t>
      </w:r>
    </w:p>
    <w:p w:rsidR="00B424EC" w:rsidRPr="007F5317" w:rsidRDefault="00B424EC" w:rsidP="00B424EC">
      <w:pPr>
        <w:pStyle w:val="SingleTxt"/>
        <w:tabs>
          <w:tab w:val="clear" w:pos="1742"/>
        </w:tabs>
        <w:spacing w:after="0" w:line="120" w:lineRule="exact"/>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t>3.</w:t>
      </w:r>
      <w:r w:rsidRPr="00613187">
        <w:tab/>
      </w:r>
      <w:r w:rsidRPr="007F5317">
        <w:rPr>
          <w:i/>
        </w:rPr>
        <w:t>Habeas data</w:t>
      </w:r>
    </w:p>
    <w:p w:rsidR="00B424EC" w:rsidRPr="007F5317" w:rsidRDefault="00B424EC" w:rsidP="00B424EC">
      <w:pPr>
        <w:pStyle w:val="SingleTxt"/>
        <w:spacing w:after="0" w:line="120" w:lineRule="exact"/>
        <w:rPr>
          <w:sz w:val="10"/>
        </w:rPr>
      </w:pPr>
    </w:p>
    <w:p w:rsidR="00B424EC" w:rsidRDefault="00B424EC" w:rsidP="00B424EC">
      <w:pPr>
        <w:pStyle w:val="SingleTxt"/>
        <w:numPr>
          <w:ilvl w:val="0"/>
          <w:numId w:val="17"/>
        </w:numPr>
        <w:tabs>
          <w:tab w:val="clear" w:pos="475"/>
          <w:tab w:val="num" w:pos="1742"/>
        </w:tabs>
        <w:ind w:left="1267"/>
      </w:pPr>
      <w:r w:rsidRPr="00613187">
        <w:t xml:space="preserve">Toute personne peut former un recours en </w:t>
      </w:r>
      <w:r w:rsidRPr="00613187">
        <w:rPr>
          <w:i/>
        </w:rPr>
        <w:t>habeas data</w:t>
      </w:r>
      <w:r w:rsidRPr="00613187">
        <w:t xml:space="preserve"> pour connaître la teneur et la finalité des données la concernant conservées dans des registres ou des banques de </w:t>
      </w:r>
      <w:r w:rsidRPr="00613187">
        <w:lastRenderedPageBreak/>
        <w:t>données publics ou privés qui servent à fournir des renseignements</w:t>
      </w:r>
      <w:r>
        <w:t>;</w:t>
      </w:r>
      <w:r w:rsidRPr="00613187">
        <w:t xml:space="preserve"> </w:t>
      </w:r>
      <w:r>
        <w:t>si</w:t>
      </w:r>
      <w:r w:rsidRPr="00613187">
        <w:t xml:space="preserve"> les données sont fausses ou discriminatoires, </w:t>
      </w:r>
      <w:r>
        <w:t>elle peut</w:t>
      </w:r>
      <w:r w:rsidRPr="00613187">
        <w:t xml:space="preserve"> exiger que les données soient supprimées, rectifiées, rendues confidentielles ou actualisées. Le secret des sources d</w:t>
      </w:r>
      <w:r>
        <w:t>’</w:t>
      </w:r>
      <w:r w:rsidRPr="00613187">
        <w:t>information des journalistes est protégé.</w:t>
      </w:r>
    </w:p>
    <w:p w:rsidR="00B424EC" w:rsidRPr="00440D16" w:rsidRDefault="00B424EC" w:rsidP="00B424EC">
      <w:pPr>
        <w:pStyle w:val="SingleTxt"/>
        <w:tabs>
          <w:tab w:val="clear" w:pos="1742"/>
        </w:tabs>
        <w:spacing w:after="0" w:line="120" w:lineRule="exact"/>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t>4.</w:t>
      </w:r>
      <w:r w:rsidRPr="00613187">
        <w:tab/>
        <w:t>Recours extraordinaire</w:t>
      </w:r>
    </w:p>
    <w:p w:rsidR="00B424EC" w:rsidRPr="00440D16" w:rsidRDefault="00B424EC" w:rsidP="00B424EC">
      <w:pPr>
        <w:pStyle w:val="SingleTxt"/>
        <w:spacing w:after="0" w:line="120" w:lineRule="exact"/>
        <w:rPr>
          <w:b/>
          <w:sz w:val="10"/>
        </w:rPr>
      </w:pPr>
    </w:p>
    <w:p w:rsidR="00B424EC" w:rsidRPr="00613187" w:rsidRDefault="00B424EC" w:rsidP="00B424EC">
      <w:pPr>
        <w:pStyle w:val="SingleTxt"/>
        <w:numPr>
          <w:ilvl w:val="0"/>
          <w:numId w:val="17"/>
        </w:numPr>
        <w:tabs>
          <w:tab w:val="clear" w:pos="475"/>
          <w:tab w:val="num" w:pos="1742"/>
        </w:tabs>
        <w:ind w:left="1267"/>
      </w:pPr>
      <w:r w:rsidRPr="00613187">
        <w:t>L</w:t>
      </w:r>
      <w:r>
        <w:t>’</w:t>
      </w:r>
      <w:r w:rsidRPr="00613187">
        <w:t xml:space="preserve">article 14 de la loi </w:t>
      </w:r>
      <w:r>
        <w:t>n</w:t>
      </w:r>
      <w:r w:rsidRPr="00440D16">
        <w:rPr>
          <w:vertAlign w:val="superscript"/>
        </w:rPr>
        <w:t>o</w:t>
      </w:r>
      <w:r>
        <w:t> </w:t>
      </w:r>
      <w:r w:rsidRPr="00613187">
        <w:t>48, qui régit le recours extraordinaire devant la Cour suprême de justice de la Nation, dispose que ce recours peut être formé avant le jugement définitif dans les cas suivants</w:t>
      </w:r>
      <w:r>
        <w:t> </w:t>
      </w:r>
      <w:r w:rsidRPr="00613187">
        <w:t>: a)</w:t>
      </w:r>
      <w:r>
        <w:t xml:space="preserve"> </w:t>
      </w:r>
      <w:r w:rsidRPr="00613187">
        <w:t>contestation de la validité d</w:t>
      </w:r>
      <w:r>
        <w:t>’</w:t>
      </w:r>
      <w:r w:rsidRPr="00613187">
        <w:t>un traité, d</w:t>
      </w:r>
      <w:r>
        <w:t>’</w:t>
      </w:r>
      <w:r w:rsidRPr="00613187">
        <w:t>une loi du Congrès ou d</w:t>
      </w:r>
      <w:r>
        <w:t>’</w:t>
      </w:r>
      <w:r w:rsidRPr="00613187">
        <w:t>un acte d</w:t>
      </w:r>
      <w:r>
        <w:t>’</w:t>
      </w:r>
      <w:r w:rsidRPr="00613187">
        <w:t xml:space="preserve">une </w:t>
      </w:r>
      <w:r>
        <w:t>autorité agissant au nom de la N</w:t>
      </w:r>
      <w:r w:rsidRPr="00613187">
        <w:t>ation, lorsque le tribunal s</w:t>
      </w:r>
      <w:r>
        <w:t>’</w:t>
      </w:r>
      <w:r w:rsidRPr="00613187">
        <w:t>est prononcé contre la validité contestée; b)</w:t>
      </w:r>
      <w:r>
        <w:t xml:space="preserve"> </w:t>
      </w:r>
      <w:r w:rsidRPr="00613187">
        <w:t>contestation de la validité d</w:t>
      </w:r>
      <w:r>
        <w:t>’</w:t>
      </w:r>
      <w:r w:rsidRPr="00613187">
        <w:t>une loi, d</w:t>
      </w:r>
      <w:r>
        <w:t>’</w:t>
      </w:r>
      <w:r w:rsidRPr="00613187">
        <w:t>un décret ou d</w:t>
      </w:r>
      <w:r>
        <w:t>’</w:t>
      </w:r>
      <w:r w:rsidRPr="00613187">
        <w:t>un acte d</w:t>
      </w:r>
      <w:r>
        <w:t>’</w:t>
      </w:r>
      <w:r w:rsidRPr="00613187">
        <w:t>une autorité de province au motif d</w:t>
      </w:r>
      <w:r>
        <w:t>’</w:t>
      </w:r>
      <w:r w:rsidRPr="00613187">
        <w:t>incompatibilité avec la Constitution nationale, les traités ou les lois du Congrès, lorsque le tribunal a confirmé la validité de la loi ou de l</w:t>
      </w:r>
      <w:r>
        <w:t>’</w:t>
      </w:r>
      <w:r w:rsidRPr="00613187">
        <w:t>act</w:t>
      </w:r>
      <w:r>
        <w:t xml:space="preserve">e de l’autorité de province; c) </w:t>
      </w:r>
      <w:r w:rsidRPr="00613187">
        <w:t>contestation de l</w:t>
      </w:r>
      <w:r>
        <w:t>’</w:t>
      </w:r>
      <w:r w:rsidRPr="00613187">
        <w:t>interprétation de l</w:t>
      </w:r>
      <w:r>
        <w:t>’</w:t>
      </w:r>
      <w:r w:rsidRPr="00613187">
        <w:t>une quelconque des dispositions de la Constitution, d</w:t>
      </w:r>
      <w:r>
        <w:t>’</w:t>
      </w:r>
      <w:r w:rsidRPr="00613187">
        <w:t>un traité ou d</w:t>
      </w:r>
      <w:r>
        <w:t>’</w:t>
      </w:r>
      <w:r w:rsidRPr="00613187">
        <w:t>une loi du Congrès, ou d</w:t>
      </w:r>
      <w:r>
        <w:t>’</w:t>
      </w:r>
      <w:r w:rsidRPr="00613187">
        <w:t>un acte commis au nom de l</w:t>
      </w:r>
      <w:r>
        <w:t>’</w:t>
      </w:r>
      <w:r w:rsidRPr="00613187">
        <w:t>autorité nationale, lorsque le tribunal s</w:t>
      </w:r>
      <w:r>
        <w:t>’</w:t>
      </w:r>
      <w:r w:rsidRPr="00613187">
        <w:t>est prononcé contre la validité du titre, du droit, du privilège ou de l</w:t>
      </w:r>
      <w:r>
        <w:t>’</w:t>
      </w:r>
      <w:r w:rsidRPr="00613187">
        <w:t>exemption découlant de cette disposition et qui fait l</w:t>
      </w:r>
      <w:r>
        <w:t>’</w:t>
      </w:r>
      <w:r w:rsidRPr="00613187">
        <w:t>objet du litige.</w:t>
      </w:r>
    </w:p>
    <w:p w:rsidR="00B424EC" w:rsidRDefault="00B424EC" w:rsidP="00B424EC">
      <w:pPr>
        <w:pStyle w:val="SingleTxt"/>
        <w:numPr>
          <w:ilvl w:val="0"/>
          <w:numId w:val="17"/>
        </w:numPr>
        <w:tabs>
          <w:tab w:val="clear" w:pos="475"/>
          <w:tab w:val="num" w:pos="1742"/>
        </w:tabs>
        <w:ind w:left="1267"/>
      </w:pPr>
      <w:r w:rsidRPr="00613187">
        <w:t>La jurisprudence de la Cour suprême de justice de la Nation a étendu le recours extraordinaire aux décisions arbitraires, c</w:t>
      </w:r>
      <w:r>
        <w:t>’est-à-</w:t>
      </w:r>
      <w:r w:rsidRPr="00613187">
        <w:t>dire les cas où d</w:t>
      </w:r>
      <w:r>
        <w:t>’</w:t>
      </w:r>
      <w:r w:rsidRPr="00613187">
        <w:t>une manière ou d</w:t>
      </w:r>
      <w:r>
        <w:t>’</w:t>
      </w:r>
      <w:r w:rsidRPr="00613187">
        <w:t xml:space="preserve">une autre il est porté atteinte aux droits à la défense au cours du procès </w:t>
      </w:r>
      <w:r>
        <w:t>–</w:t>
      </w:r>
      <w:r w:rsidRPr="00613187">
        <w:t xml:space="preserve"> par exemple, lorsque le juge a appliqué des lois caduques, n</w:t>
      </w:r>
      <w:r>
        <w:t>’</w:t>
      </w:r>
      <w:r w:rsidRPr="00613187">
        <w:t>a pas tenu compte des preuves, ne s</w:t>
      </w:r>
      <w:r>
        <w:t>’</w:t>
      </w:r>
      <w:r w:rsidRPr="00613187">
        <w:t>est pas prononcé sur des questions faisant l</w:t>
      </w:r>
      <w:r>
        <w:t>’</w:t>
      </w:r>
      <w:r w:rsidRPr="00613187">
        <w:t>objet du procès.</w:t>
      </w:r>
    </w:p>
    <w:p w:rsidR="00B424EC" w:rsidRPr="00440D16" w:rsidRDefault="00B424EC" w:rsidP="00B424EC">
      <w:pPr>
        <w:pStyle w:val="SingleTxt"/>
        <w:tabs>
          <w:tab w:val="clear" w:pos="1742"/>
        </w:tabs>
        <w:spacing w:after="0" w:line="120" w:lineRule="exact"/>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t>5.</w:t>
      </w:r>
      <w:r w:rsidRPr="00613187">
        <w:tab/>
        <w:t>Recours administratif</w:t>
      </w:r>
      <w:r>
        <w:t>s</w:t>
      </w:r>
    </w:p>
    <w:p w:rsidR="00B424EC" w:rsidRPr="00440D16" w:rsidRDefault="00B424EC" w:rsidP="00B424EC">
      <w:pPr>
        <w:pStyle w:val="SingleTxt"/>
        <w:spacing w:after="0" w:line="120" w:lineRule="exact"/>
        <w:rPr>
          <w:sz w:val="10"/>
        </w:rPr>
      </w:pPr>
    </w:p>
    <w:p w:rsidR="00B424EC" w:rsidRDefault="00B424EC" w:rsidP="00B424EC">
      <w:pPr>
        <w:pStyle w:val="SingleTxt"/>
        <w:numPr>
          <w:ilvl w:val="0"/>
          <w:numId w:val="17"/>
        </w:numPr>
        <w:tabs>
          <w:tab w:val="clear" w:pos="475"/>
          <w:tab w:val="num" w:pos="1742"/>
        </w:tabs>
        <w:ind w:left="1267"/>
      </w:pPr>
      <w:r w:rsidRPr="00613187">
        <w:t xml:space="preserve">La loi </w:t>
      </w:r>
      <w:r>
        <w:t>n</w:t>
      </w:r>
      <w:r w:rsidRPr="00440D16">
        <w:rPr>
          <w:vertAlign w:val="superscript"/>
        </w:rPr>
        <w:t>o</w:t>
      </w:r>
      <w:r>
        <w:t> </w:t>
      </w:r>
      <w:r w:rsidRPr="00613187">
        <w:t>19</w:t>
      </w:r>
      <w:r>
        <w:t> </w:t>
      </w:r>
      <w:r w:rsidRPr="00613187">
        <w:t>549 relative aux procédures administratives régit les recours qui peuvent être formés contre les actes de l</w:t>
      </w:r>
      <w:r>
        <w:t>’</w:t>
      </w:r>
      <w:r w:rsidRPr="00613187">
        <w:t>administration</w:t>
      </w:r>
      <w:r>
        <w:t> </w:t>
      </w:r>
      <w:r w:rsidRPr="00613187">
        <w:t>: recours en révision devant l</w:t>
      </w:r>
      <w:r>
        <w:t>’</w:t>
      </w:r>
      <w:r w:rsidRPr="00613187">
        <w:t>organe qui a ordonné l</w:t>
      </w:r>
      <w:r>
        <w:t>’</w:t>
      </w:r>
      <w:r w:rsidRPr="00613187">
        <w:t>acte contesté, et recours hiérarchique, devant la même autorité, mais qui doit être réglé par le ministre dans le domaine de compétence duquel l</w:t>
      </w:r>
      <w:r>
        <w:t>’</w:t>
      </w:r>
      <w:r w:rsidRPr="00613187">
        <w:t xml:space="preserve">acte a été ordonné. Le Président de la </w:t>
      </w:r>
      <w:r>
        <w:t>N</w:t>
      </w:r>
      <w:r w:rsidRPr="00613187">
        <w:t>ation statue sur les recours hiérarchiques formés contre les actes de ses ministres.</w:t>
      </w:r>
    </w:p>
    <w:p w:rsidR="00B424EC" w:rsidRPr="00440D16" w:rsidRDefault="00B424EC" w:rsidP="00B424EC">
      <w:pPr>
        <w:pStyle w:val="SingleTxt"/>
        <w:tabs>
          <w:tab w:val="clear" w:pos="1742"/>
        </w:tabs>
        <w:spacing w:after="0" w:line="120" w:lineRule="exact"/>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t>6.</w:t>
      </w:r>
      <w:r w:rsidRPr="00613187">
        <w:tab/>
        <w:t>Systèmes d</w:t>
      </w:r>
      <w:r>
        <w:t>’</w:t>
      </w:r>
      <w:r w:rsidRPr="00613187">
        <w:t>indemnisation</w:t>
      </w:r>
    </w:p>
    <w:p w:rsidR="00B424EC" w:rsidRPr="00440D16" w:rsidRDefault="00B424EC" w:rsidP="00B424EC">
      <w:pPr>
        <w:pStyle w:val="SingleTxt"/>
        <w:spacing w:after="0" w:line="120" w:lineRule="exact"/>
        <w:rPr>
          <w:sz w:val="10"/>
        </w:rPr>
      </w:pPr>
    </w:p>
    <w:p w:rsidR="00B424EC" w:rsidRDefault="00B424EC" w:rsidP="00B424EC">
      <w:pPr>
        <w:pStyle w:val="SingleTxt"/>
        <w:numPr>
          <w:ilvl w:val="0"/>
          <w:numId w:val="17"/>
        </w:numPr>
        <w:tabs>
          <w:tab w:val="clear" w:pos="475"/>
          <w:tab w:val="num" w:pos="1742"/>
        </w:tabs>
        <w:ind w:left="1267"/>
      </w:pPr>
      <w:r w:rsidRPr="00613187">
        <w:t>L</w:t>
      </w:r>
      <w:r>
        <w:t>’</w:t>
      </w:r>
      <w:r w:rsidRPr="00613187">
        <w:t>indemnisation en tant que réparation du préjudice découle de la responsabilité. En tant que telle, c</w:t>
      </w:r>
      <w:r>
        <w:t>’</w:t>
      </w:r>
      <w:r w:rsidRPr="00613187">
        <w:t>est aux autorités judiciaires qu</w:t>
      </w:r>
      <w:r>
        <w:t>’</w:t>
      </w:r>
      <w:r w:rsidRPr="00613187">
        <w:t>il appartient de la déterminer, qu</w:t>
      </w:r>
      <w:r>
        <w:t>’</w:t>
      </w:r>
      <w:r w:rsidRPr="00613187">
        <w:t>il s</w:t>
      </w:r>
      <w:r>
        <w:t>’</w:t>
      </w:r>
      <w:r w:rsidRPr="00613187">
        <w:t>agisse des procédures pénales ou autres.</w:t>
      </w:r>
    </w:p>
    <w:p w:rsidR="00B424EC" w:rsidRPr="00440D16" w:rsidRDefault="00B424EC" w:rsidP="00B424EC">
      <w:pPr>
        <w:pStyle w:val="SingleTxt"/>
        <w:tabs>
          <w:tab w:val="clear" w:pos="1742"/>
        </w:tabs>
        <w:spacing w:after="0" w:line="120" w:lineRule="exact"/>
        <w:rPr>
          <w:sz w:val="10"/>
        </w:rPr>
      </w:pPr>
    </w:p>
    <w:p w:rsidR="00B424EC" w:rsidRPr="00440D16" w:rsidRDefault="00B424EC" w:rsidP="00B424EC">
      <w:pPr>
        <w:pStyle w:val="SingleTxt"/>
        <w:tabs>
          <w:tab w:val="clear" w:pos="1742"/>
        </w:tabs>
        <w:spacing w:after="0" w:line="120" w:lineRule="exact"/>
        <w:rPr>
          <w:sz w:val="10"/>
        </w:rPr>
      </w:pPr>
    </w:p>
    <w:p w:rsidR="00B424EC" w:rsidRDefault="00B424EC" w:rsidP="00B424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t>C.</w:t>
      </w:r>
      <w:r w:rsidRPr="00613187">
        <w:tab/>
        <w:t>Autres informations relatives aux droits de l</w:t>
      </w:r>
      <w:r>
        <w:t>’</w:t>
      </w:r>
      <w:r w:rsidRPr="00613187">
        <w:t>homme</w:t>
      </w:r>
    </w:p>
    <w:p w:rsidR="00B424EC" w:rsidRPr="00440D16" w:rsidRDefault="00B424EC" w:rsidP="00B424EC">
      <w:pPr>
        <w:pStyle w:val="SingleTxt"/>
        <w:spacing w:after="0" w:line="120" w:lineRule="exact"/>
        <w:rPr>
          <w:sz w:val="10"/>
        </w:rPr>
      </w:pPr>
    </w:p>
    <w:p w:rsidR="00B424EC" w:rsidRPr="00440D16" w:rsidRDefault="00B424EC" w:rsidP="00B424EC">
      <w:pPr>
        <w:pStyle w:val="SingleTxt"/>
        <w:spacing w:after="0" w:line="120" w:lineRule="exact"/>
        <w:rPr>
          <w:sz w:val="10"/>
        </w:rPr>
      </w:pPr>
    </w:p>
    <w:p w:rsidR="00B424EC" w:rsidRPr="00613187" w:rsidRDefault="00B424EC" w:rsidP="00B424EC">
      <w:pPr>
        <w:pStyle w:val="SingleTxt"/>
        <w:numPr>
          <w:ilvl w:val="0"/>
          <w:numId w:val="17"/>
        </w:numPr>
        <w:tabs>
          <w:tab w:val="clear" w:pos="475"/>
          <w:tab w:val="num" w:pos="1742"/>
        </w:tabs>
        <w:ind w:left="1267"/>
      </w:pPr>
      <w:r w:rsidRPr="00613187">
        <w:t>Depuis l</w:t>
      </w:r>
      <w:r>
        <w:t>e rétablissement</w:t>
      </w:r>
      <w:r w:rsidRPr="00613187">
        <w:t xml:space="preserve"> de la démocratie, et en particulier depuis 2003, la promotion et la protection des droits de l</w:t>
      </w:r>
      <w:r>
        <w:t>’</w:t>
      </w:r>
      <w:r w:rsidRPr="00613187">
        <w:t xml:space="preserve">homme </w:t>
      </w:r>
      <w:r>
        <w:t xml:space="preserve">sont au cœur </w:t>
      </w:r>
      <w:r w:rsidRPr="00613187">
        <w:t>d</w:t>
      </w:r>
      <w:r>
        <w:t>’</w:t>
      </w:r>
      <w:r w:rsidRPr="00613187">
        <w:t>une politique d</w:t>
      </w:r>
      <w:r>
        <w:t>’</w:t>
      </w:r>
      <w:r w:rsidRPr="00613187">
        <w:t xml:space="preserve">État qui </w:t>
      </w:r>
      <w:r>
        <w:t xml:space="preserve">tient compte des </w:t>
      </w:r>
      <w:r w:rsidRPr="00613187">
        <w:t>principales revendications de la société argentine. La défense et la promotion de</w:t>
      </w:r>
      <w:r>
        <w:t>s</w:t>
      </w:r>
      <w:r w:rsidRPr="00613187">
        <w:t xml:space="preserve"> </w:t>
      </w:r>
      <w:r>
        <w:t>droits de l’homme sont au centre</w:t>
      </w:r>
      <w:r w:rsidRPr="00613187">
        <w:t xml:space="preserve"> de la politique extérieure du pays.</w:t>
      </w:r>
    </w:p>
    <w:p w:rsidR="00B424EC" w:rsidRPr="00613187" w:rsidRDefault="00B424EC" w:rsidP="00B424EC">
      <w:pPr>
        <w:pStyle w:val="SingleTxt"/>
        <w:numPr>
          <w:ilvl w:val="0"/>
          <w:numId w:val="17"/>
        </w:numPr>
        <w:tabs>
          <w:tab w:val="clear" w:pos="475"/>
          <w:tab w:val="num" w:pos="1742"/>
        </w:tabs>
        <w:ind w:left="1267"/>
      </w:pPr>
      <w:r w:rsidRPr="00613187">
        <w:t>La Constitution définit une société démocratique et pluraliste</w:t>
      </w:r>
      <w:r>
        <w:t xml:space="preserve">, fondée sur le </w:t>
      </w:r>
      <w:r w:rsidRPr="00613187">
        <w:t xml:space="preserve">respect </w:t>
      </w:r>
      <w:r>
        <w:t>total d</w:t>
      </w:r>
      <w:r w:rsidRPr="00613187">
        <w:t>es droits de l</w:t>
      </w:r>
      <w:r>
        <w:t>’</w:t>
      </w:r>
      <w:r w:rsidRPr="00613187">
        <w:t>homme et sur les principes de l</w:t>
      </w:r>
      <w:r>
        <w:t>’</w:t>
      </w:r>
      <w:r w:rsidRPr="00613187">
        <w:t xml:space="preserve">égalité absolue de tous les </w:t>
      </w:r>
      <w:r>
        <w:t>réside</w:t>
      </w:r>
      <w:r w:rsidRPr="00613187">
        <w:t>nts</w:t>
      </w:r>
      <w:r>
        <w:t>,</w:t>
      </w:r>
      <w:r w:rsidRPr="00613187">
        <w:t xml:space="preserve"> </w:t>
      </w:r>
      <w:r>
        <w:t xml:space="preserve">argentins ou étrangers, </w:t>
      </w:r>
      <w:r w:rsidRPr="00613187">
        <w:t>dans l</w:t>
      </w:r>
      <w:r>
        <w:t>’</w:t>
      </w:r>
      <w:r w:rsidRPr="00613187">
        <w:t>exercice de leurs droits</w:t>
      </w:r>
      <w:r>
        <w:t xml:space="preserve"> </w:t>
      </w:r>
      <w:r w:rsidRPr="00613187">
        <w:t>de la non-discrimination et de la séparation des pouvoirs.</w:t>
      </w:r>
    </w:p>
    <w:p w:rsidR="00B424EC" w:rsidRPr="00613187" w:rsidRDefault="00B424EC" w:rsidP="00B424EC">
      <w:pPr>
        <w:pStyle w:val="SingleTxt"/>
        <w:numPr>
          <w:ilvl w:val="0"/>
          <w:numId w:val="17"/>
        </w:numPr>
        <w:tabs>
          <w:tab w:val="clear" w:pos="475"/>
          <w:tab w:val="num" w:pos="1742"/>
        </w:tabs>
        <w:ind w:left="1267"/>
      </w:pPr>
      <w:r w:rsidRPr="00613187">
        <w:t xml:space="preserve">En 1994, </w:t>
      </w:r>
      <w:r>
        <w:t xml:space="preserve">avec </w:t>
      </w:r>
      <w:r w:rsidRPr="00613187">
        <w:t>la réforme de la Constitution l</w:t>
      </w:r>
      <w:r>
        <w:t>’</w:t>
      </w:r>
      <w:r w:rsidRPr="00613187">
        <w:t>engagement en faveur de la protection et de la promotion des droits de l</w:t>
      </w:r>
      <w:r>
        <w:t>’</w:t>
      </w:r>
      <w:r w:rsidRPr="00613187">
        <w:t>homme</w:t>
      </w:r>
      <w:r>
        <w:t xml:space="preserve"> s’est encore renforcé par </w:t>
      </w:r>
      <w:r>
        <w:lastRenderedPageBreak/>
        <w:t>l’incorporation dans le droit interne des</w:t>
      </w:r>
      <w:r w:rsidRPr="00613187">
        <w:t xml:space="preserve"> principaux instruments internationa</w:t>
      </w:r>
      <w:r>
        <w:t>ux</w:t>
      </w:r>
      <w:r w:rsidRPr="00613187">
        <w:t xml:space="preserve"> </w:t>
      </w:r>
      <w:r>
        <w:t>relatifs aux</w:t>
      </w:r>
      <w:r w:rsidRPr="00613187">
        <w:t xml:space="preserve"> droits de l</w:t>
      </w:r>
      <w:r>
        <w:t>’</w:t>
      </w:r>
      <w:r w:rsidRPr="00613187">
        <w:t>homme.</w:t>
      </w:r>
    </w:p>
    <w:p w:rsidR="00B424EC" w:rsidRPr="00613187" w:rsidRDefault="00B424EC" w:rsidP="00B424EC">
      <w:pPr>
        <w:pStyle w:val="SingleTxt"/>
        <w:numPr>
          <w:ilvl w:val="0"/>
          <w:numId w:val="17"/>
        </w:numPr>
        <w:tabs>
          <w:tab w:val="clear" w:pos="475"/>
          <w:tab w:val="num" w:pos="1742"/>
        </w:tabs>
        <w:ind w:left="1267"/>
        <w:rPr>
          <w:iCs/>
        </w:rPr>
      </w:pPr>
      <w:r w:rsidRPr="00613187">
        <w:rPr>
          <w:iCs/>
        </w:rPr>
        <w:t>L</w:t>
      </w:r>
      <w:r>
        <w:rPr>
          <w:iCs/>
        </w:rPr>
        <w:t>’</w:t>
      </w:r>
      <w:r w:rsidRPr="00613187">
        <w:rPr>
          <w:iCs/>
        </w:rPr>
        <w:t xml:space="preserve">Argentine a récemment jeté les bases </w:t>
      </w:r>
      <w:r>
        <w:rPr>
          <w:iCs/>
        </w:rPr>
        <w:t xml:space="preserve">pour le lancement </w:t>
      </w:r>
      <w:r w:rsidRPr="00613187">
        <w:rPr>
          <w:iCs/>
        </w:rPr>
        <w:t>d</w:t>
      </w:r>
      <w:r>
        <w:rPr>
          <w:iCs/>
        </w:rPr>
        <w:t>’</w:t>
      </w:r>
      <w:r w:rsidRPr="00613187">
        <w:rPr>
          <w:iCs/>
        </w:rPr>
        <w:t xml:space="preserve">un plan national </w:t>
      </w:r>
      <w:r>
        <w:rPr>
          <w:iCs/>
        </w:rPr>
        <w:t xml:space="preserve">des </w:t>
      </w:r>
      <w:r w:rsidRPr="00613187">
        <w:rPr>
          <w:iCs/>
        </w:rPr>
        <w:t>droits de l</w:t>
      </w:r>
      <w:r>
        <w:rPr>
          <w:iCs/>
        </w:rPr>
        <w:t>’</w:t>
      </w:r>
      <w:r w:rsidRPr="00613187">
        <w:rPr>
          <w:iCs/>
        </w:rPr>
        <w:t xml:space="preserve">homme, </w:t>
      </w:r>
      <w:r>
        <w:rPr>
          <w:iCs/>
        </w:rPr>
        <w:t xml:space="preserve">conçu comme </w:t>
      </w:r>
      <w:r w:rsidRPr="00613187">
        <w:rPr>
          <w:iCs/>
        </w:rPr>
        <w:t xml:space="preserve">un espace de dialogue et de participation démocratique </w:t>
      </w:r>
      <w:r>
        <w:rPr>
          <w:iCs/>
        </w:rPr>
        <w:t xml:space="preserve">tendant à </w:t>
      </w:r>
      <w:r w:rsidRPr="00613187">
        <w:rPr>
          <w:iCs/>
        </w:rPr>
        <w:t xml:space="preserve">réaffirmer </w:t>
      </w:r>
      <w:r>
        <w:rPr>
          <w:iCs/>
        </w:rPr>
        <w:t>le respect effectif des</w:t>
      </w:r>
      <w:r w:rsidRPr="00613187">
        <w:rPr>
          <w:iCs/>
        </w:rPr>
        <w:t xml:space="preserve"> droits de l</w:t>
      </w:r>
      <w:r>
        <w:rPr>
          <w:iCs/>
        </w:rPr>
        <w:t>’</w:t>
      </w:r>
      <w:r w:rsidRPr="00613187">
        <w:rPr>
          <w:iCs/>
        </w:rPr>
        <w:t xml:space="preserve">homme en Argentine, et à </w:t>
      </w:r>
      <w:r>
        <w:rPr>
          <w:iCs/>
        </w:rPr>
        <w:t>p</w:t>
      </w:r>
      <w:r w:rsidRPr="00613187">
        <w:rPr>
          <w:iCs/>
        </w:rPr>
        <w:t>er</w:t>
      </w:r>
      <w:r>
        <w:rPr>
          <w:iCs/>
        </w:rPr>
        <w:t>mettre encore davantage d’</w:t>
      </w:r>
      <w:r w:rsidRPr="00613187">
        <w:rPr>
          <w:iCs/>
        </w:rPr>
        <w:t>approfondi</w:t>
      </w:r>
      <w:r>
        <w:rPr>
          <w:iCs/>
        </w:rPr>
        <w:t>r</w:t>
      </w:r>
      <w:r w:rsidRPr="00613187">
        <w:rPr>
          <w:iCs/>
        </w:rPr>
        <w:t xml:space="preserve"> et </w:t>
      </w:r>
      <w:r>
        <w:rPr>
          <w:iCs/>
        </w:rPr>
        <w:t>de</w:t>
      </w:r>
      <w:r w:rsidRPr="00613187">
        <w:rPr>
          <w:iCs/>
        </w:rPr>
        <w:t xml:space="preserve"> renforce</w:t>
      </w:r>
      <w:r>
        <w:rPr>
          <w:iCs/>
        </w:rPr>
        <w:t>r l</w:t>
      </w:r>
      <w:r w:rsidRPr="00613187">
        <w:rPr>
          <w:iCs/>
        </w:rPr>
        <w:t>es engagements internationa</w:t>
      </w:r>
      <w:r>
        <w:rPr>
          <w:iCs/>
        </w:rPr>
        <w:t>ux</w:t>
      </w:r>
      <w:r w:rsidRPr="00613187">
        <w:rPr>
          <w:iCs/>
        </w:rPr>
        <w:t>.</w:t>
      </w:r>
    </w:p>
    <w:p w:rsidR="00B424EC" w:rsidRPr="00613187" w:rsidRDefault="00B424EC" w:rsidP="00B424EC">
      <w:pPr>
        <w:pStyle w:val="SingleTxt"/>
        <w:numPr>
          <w:ilvl w:val="0"/>
          <w:numId w:val="17"/>
        </w:numPr>
        <w:tabs>
          <w:tab w:val="clear" w:pos="475"/>
          <w:tab w:val="num" w:pos="1742"/>
        </w:tabs>
        <w:ind w:left="1267"/>
        <w:rPr>
          <w:iCs/>
        </w:rPr>
      </w:pPr>
      <w:r>
        <w:rPr>
          <w:iCs/>
        </w:rPr>
        <w:t xml:space="preserve">En outre, </w:t>
      </w:r>
      <w:r w:rsidRPr="00613187">
        <w:rPr>
          <w:iCs/>
        </w:rPr>
        <w:t xml:space="preserve">le Plan national de lutte contre la discrimination a été </w:t>
      </w:r>
      <w:r>
        <w:rPr>
          <w:iCs/>
        </w:rPr>
        <w:t xml:space="preserve">lancé en 2005; </w:t>
      </w:r>
      <w:r w:rsidRPr="00613187">
        <w:t>il s</w:t>
      </w:r>
      <w:r>
        <w:t>’</w:t>
      </w:r>
      <w:r w:rsidRPr="00613187">
        <w:t>agit d</w:t>
      </w:r>
      <w:r>
        <w:t>’</w:t>
      </w:r>
      <w:r w:rsidRPr="00613187">
        <w:t xml:space="preserve">un </w:t>
      </w:r>
      <w:r>
        <w:t xml:space="preserve">outil </w:t>
      </w:r>
      <w:r w:rsidRPr="00613187">
        <w:t>qui permet d</w:t>
      </w:r>
      <w:r>
        <w:t>’</w:t>
      </w:r>
      <w:r w:rsidRPr="00613187">
        <w:t xml:space="preserve">effectuer un diagnostic minutieux </w:t>
      </w:r>
      <w:r>
        <w:t xml:space="preserve">de cette </w:t>
      </w:r>
      <w:r w:rsidRPr="00613187">
        <w:t>probl</w:t>
      </w:r>
      <w:r>
        <w:t xml:space="preserve">ématique et contient </w:t>
      </w:r>
      <w:r w:rsidRPr="00613187">
        <w:t>des recommandations p</w:t>
      </w:r>
      <w:r>
        <w:t>r</w:t>
      </w:r>
      <w:r w:rsidRPr="00613187">
        <w:t>éci</w:t>
      </w:r>
      <w:r>
        <w:t>s</w:t>
      </w:r>
      <w:r w:rsidRPr="00613187">
        <w:t xml:space="preserve">es, qui </w:t>
      </w:r>
      <w:r>
        <w:t xml:space="preserve">peut servir de modèle </w:t>
      </w:r>
      <w:r w:rsidRPr="00613187">
        <w:t>pour l</w:t>
      </w:r>
      <w:r>
        <w:t>’</w:t>
      </w:r>
      <w:r w:rsidRPr="00613187">
        <w:t>élaboration de plans analogues dans d</w:t>
      </w:r>
      <w:r>
        <w:t>’</w:t>
      </w:r>
      <w:r w:rsidRPr="00613187">
        <w:t>autres pays.</w:t>
      </w:r>
    </w:p>
    <w:p w:rsidR="00B424EC" w:rsidRPr="00613187" w:rsidRDefault="00B424EC" w:rsidP="00B424EC">
      <w:pPr>
        <w:pStyle w:val="SingleTxt"/>
        <w:numPr>
          <w:ilvl w:val="0"/>
          <w:numId w:val="17"/>
        </w:numPr>
        <w:tabs>
          <w:tab w:val="clear" w:pos="475"/>
          <w:tab w:val="num" w:pos="1742"/>
        </w:tabs>
        <w:ind w:left="1267"/>
        <w:rPr>
          <w:iCs/>
        </w:rPr>
      </w:pPr>
      <w:r w:rsidRPr="00613187">
        <w:rPr>
          <w:iCs/>
        </w:rPr>
        <w:t>L</w:t>
      </w:r>
      <w:r>
        <w:rPr>
          <w:iCs/>
        </w:rPr>
        <w:t>’</w:t>
      </w:r>
      <w:r w:rsidRPr="00613187">
        <w:rPr>
          <w:iCs/>
        </w:rPr>
        <w:t xml:space="preserve">Argentine </w:t>
      </w:r>
      <w:r>
        <w:rPr>
          <w:iCs/>
        </w:rPr>
        <w:t>s’est attachée</w:t>
      </w:r>
      <w:r w:rsidRPr="00613187">
        <w:rPr>
          <w:iCs/>
        </w:rPr>
        <w:t xml:space="preserve"> tout particulière</w:t>
      </w:r>
      <w:r>
        <w:rPr>
          <w:iCs/>
        </w:rPr>
        <w:t xml:space="preserve">ment à </w:t>
      </w:r>
      <w:r w:rsidRPr="00613187">
        <w:rPr>
          <w:iCs/>
        </w:rPr>
        <w:t>intégr</w:t>
      </w:r>
      <w:r>
        <w:rPr>
          <w:iCs/>
        </w:rPr>
        <w:t>er</w:t>
      </w:r>
      <w:r w:rsidRPr="00613187">
        <w:rPr>
          <w:iCs/>
        </w:rPr>
        <w:t xml:space="preserve"> progressive</w:t>
      </w:r>
      <w:r>
        <w:rPr>
          <w:iCs/>
        </w:rPr>
        <w:t>ment les pratiques et l</w:t>
      </w:r>
      <w:r w:rsidRPr="00613187">
        <w:rPr>
          <w:iCs/>
        </w:rPr>
        <w:t>es normes internationales dans le domaine des droits de l</w:t>
      </w:r>
      <w:r>
        <w:rPr>
          <w:iCs/>
        </w:rPr>
        <w:t>’</w:t>
      </w:r>
      <w:r w:rsidRPr="00613187">
        <w:rPr>
          <w:iCs/>
        </w:rPr>
        <w:t>homme.</w:t>
      </w:r>
    </w:p>
    <w:p w:rsidR="00B424EC" w:rsidRDefault="00B424EC" w:rsidP="00B424EC">
      <w:pPr>
        <w:pStyle w:val="SingleTxt"/>
        <w:numPr>
          <w:ilvl w:val="0"/>
          <w:numId w:val="17"/>
        </w:numPr>
        <w:tabs>
          <w:tab w:val="clear" w:pos="475"/>
          <w:tab w:val="num" w:pos="1742"/>
        </w:tabs>
        <w:ind w:left="1267"/>
      </w:pPr>
      <w:r>
        <w:rPr>
          <w:iCs/>
        </w:rPr>
        <w:t>L</w:t>
      </w:r>
      <w:r w:rsidRPr="00613187">
        <w:rPr>
          <w:iCs/>
        </w:rPr>
        <w:t>a nouvelle loi relative aux migrations</w:t>
      </w:r>
      <w:r>
        <w:rPr>
          <w:iCs/>
        </w:rPr>
        <w:t xml:space="preserve"> (loi n</w:t>
      </w:r>
      <w:r w:rsidRPr="00030161">
        <w:rPr>
          <w:iCs/>
          <w:vertAlign w:val="superscript"/>
        </w:rPr>
        <w:t>o</w:t>
      </w:r>
      <w:r w:rsidRPr="00613187">
        <w:rPr>
          <w:iCs/>
        </w:rPr>
        <w:t> 25</w:t>
      </w:r>
      <w:r>
        <w:rPr>
          <w:iCs/>
        </w:rPr>
        <w:t> </w:t>
      </w:r>
      <w:r w:rsidRPr="00613187">
        <w:rPr>
          <w:iCs/>
        </w:rPr>
        <w:t>871</w:t>
      </w:r>
      <w:r>
        <w:rPr>
          <w:iCs/>
        </w:rPr>
        <w:t>)</w:t>
      </w:r>
      <w:r w:rsidRPr="00613187">
        <w:rPr>
          <w:iCs/>
        </w:rPr>
        <w:t xml:space="preserve">, </w:t>
      </w:r>
      <w:r>
        <w:rPr>
          <w:iCs/>
        </w:rPr>
        <w:t xml:space="preserve">adoptée en 2004, a abrogé les normes héritées de la </w:t>
      </w:r>
      <w:r w:rsidRPr="00613187">
        <w:rPr>
          <w:iCs/>
        </w:rPr>
        <w:t>dictature militaire</w:t>
      </w:r>
      <w:r>
        <w:rPr>
          <w:iCs/>
        </w:rPr>
        <w:t xml:space="preserve"> et</w:t>
      </w:r>
      <w:r w:rsidRPr="00613187">
        <w:rPr>
          <w:iCs/>
        </w:rPr>
        <w:t xml:space="preserve"> établi des principes ancrés dans la Constitution et les instruments internationaux relatifs aux droits de l</w:t>
      </w:r>
      <w:r>
        <w:rPr>
          <w:iCs/>
        </w:rPr>
        <w:t>’</w:t>
      </w:r>
      <w:r w:rsidRPr="00613187">
        <w:rPr>
          <w:iCs/>
        </w:rPr>
        <w:t>homme. L</w:t>
      </w:r>
      <w:r>
        <w:rPr>
          <w:iCs/>
        </w:rPr>
        <w:t xml:space="preserve">e décret d’application de la </w:t>
      </w:r>
      <w:r w:rsidRPr="00613187">
        <w:rPr>
          <w:iCs/>
        </w:rPr>
        <w:t>loi a renforcé l</w:t>
      </w:r>
      <w:r>
        <w:rPr>
          <w:iCs/>
        </w:rPr>
        <w:t>’</w:t>
      </w:r>
      <w:r w:rsidRPr="00613187">
        <w:rPr>
          <w:iCs/>
        </w:rPr>
        <w:t xml:space="preserve">attention </w:t>
      </w:r>
      <w:r>
        <w:rPr>
          <w:iCs/>
        </w:rPr>
        <w:t>p</w:t>
      </w:r>
      <w:r w:rsidRPr="00613187">
        <w:rPr>
          <w:iCs/>
        </w:rPr>
        <w:t>o</w:t>
      </w:r>
      <w:r>
        <w:rPr>
          <w:iCs/>
        </w:rPr>
        <w:t>rt</w:t>
      </w:r>
      <w:r w:rsidRPr="00613187">
        <w:rPr>
          <w:iCs/>
        </w:rPr>
        <w:t xml:space="preserve">ée aux migrants dans la politique de non-discrimination, à travers la mise en œuvre de deux programmes spéciaux </w:t>
      </w:r>
      <w:r>
        <w:rPr>
          <w:iCs/>
        </w:rPr>
        <w:t>de</w:t>
      </w:r>
      <w:r w:rsidRPr="00613187">
        <w:rPr>
          <w:iCs/>
        </w:rPr>
        <w:t xml:space="preserve"> régularisation des titres de séjour</w:t>
      </w:r>
      <w:r>
        <w:rPr>
          <w:iCs/>
        </w:rPr>
        <w:t> :</w:t>
      </w:r>
      <w:r w:rsidRPr="00613187">
        <w:rPr>
          <w:iCs/>
        </w:rPr>
        <w:t xml:space="preserve"> l</w:t>
      </w:r>
      <w:r>
        <w:rPr>
          <w:iCs/>
        </w:rPr>
        <w:t>’</w:t>
      </w:r>
      <w:r w:rsidRPr="00613187">
        <w:rPr>
          <w:iCs/>
        </w:rPr>
        <w:t xml:space="preserve">un </w:t>
      </w:r>
      <w:r>
        <w:rPr>
          <w:iCs/>
        </w:rPr>
        <w:t xml:space="preserve">règle la situation des </w:t>
      </w:r>
      <w:r w:rsidRPr="00613187">
        <w:rPr>
          <w:iCs/>
        </w:rPr>
        <w:t xml:space="preserve">migrants </w:t>
      </w:r>
      <w:r>
        <w:rPr>
          <w:iCs/>
        </w:rPr>
        <w:t xml:space="preserve">provenant de pays extérieurs à </w:t>
      </w:r>
      <w:r w:rsidRPr="00613187">
        <w:rPr>
          <w:iCs/>
        </w:rPr>
        <w:t>la région du MERCOSUR, et l</w:t>
      </w:r>
      <w:r>
        <w:rPr>
          <w:iCs/>
        </w:rPr>
        <w:t>’</w:t>
      </w:r>
      <w:r w:rsidRPr="00613187">
        <w:rPr>
          <w:iCs/>
        </w:rPr>
        <w:t>autre, le Programme national de régularisation des titres de séjour «</w:t>
      </w:r>
      <w:r>
        <w:rPr>
          <w:iCs/>
        </w:rPr>
        <w:t> </w:t>
      </w:r>
      <w:r w:rsidRPr="00613187">
        <w:rPr>
          <w:iCs/>
        </w:rPr>
        <w:t>Patria Grande</w:t>
      </w:r>
      <w:r>
        <w:rPr>
          <w:iCs/>
        </w:rPr>
        <w:t> </w:t>
      </w:r>
      <w:r w:rsidRPr="00613187">
        <w:rPr>
          <w:iCs/>
        </w:rPr>
        <w:t xml:space="preserve">», </w:t>
      </w:r>
      <w:r>
        <w:rPr>
          <w:iCs/>
        </w:rPr>
        <w:t>règle celle des im</w:t>
      </w:r>
      <w:r w:rsidRPr="00613187">
        <w:rPr>
          <w:iCs/>
        </w:rPr>
        <w:t xml:space="preserve">migrants originaires des pays </w:t>
      </w:r>
      <w:r>
        <w:rPr>
          <w:iCs/>
        </w:rPr>
        <w:t>membres du</w:t>
      </w:r>
      <w:r w:rsidRPr="00613187">
        <w:rPr>
          <w:iCs/>
        </w:rPr>
        <w:t xml:space="preserve"> </w:t>
      </w:r>
      <w:r w:rsidRPr="00613187">
        <w:t xml:space="preserve">MERCOSUR, </w:t>
      </w:r>
      <w:r>
        <w:t xml:space="preserve">et des pays associés; </w:t>
      </w:r>
      <w:r w:rsidRPr="00613187">
        <w:t>420 000</w:t>
      </w:r>
      <w:r>
        <w:t> </w:t>
      </w:r>
      <w:r w:rsidRPr="00613187">
        <w:t xml:space="preserve">personnes </w:t>
      </w:r>
      <w:r>
        <w:t xml:space="preserve">ont demandé le statut de résident au titre de ce programme. Ces nouvelles mesures viennent </w:t>
      </w:r>
      <w:r w:rsidRPr="00613187">
        <w:t>renforcer une politique migratoire qui facilite l</w:t>
      </w:r>
      <w:r>
        <w:t>’</w:t>
      </w:r>
      <w:r w:rsidRPr="00613187">
        <w:t>accès des immigrants au statut de résident, ce qui est essentiel pour garantir aux travailleurs</w:t>
      </w:r>
      <w:r>
        <w:t xml:space="preserve"> qui s’install</w:t>
      </w:r>
      <w:r w:rsidRPr="00613187">
        <w:t xml:space="preserve">ent en Argentine </w:t>
      </w:r>
      <w:r>
        <w:t xml:space="preserve">et aux nationaux </w:t>
      </w:r>
      <w:r w:rsidRPr="00613187">
        <w:t xml:space="preserve">qui se déplacent sur le territoire sud-américain </w:t>
      </w:r>
      <w:r>
        <w:t xml:space="preserve">un </w:t>
      </w:r>
      <w:r w:rsidRPr="00613187">
        <w:t>emploi dans des conditions dignes.</w:t>
      </w:r>
    </w:p>
    <w:p w:rsidR="00B424EC" w:rsidRPr="00AA4DB2" w:rsidRDefault="00B424EC" w:rsidP="00B424EC">
      <w:pPr>
        <w:pStyle w:val="SingleTxt"/>
        <w:tabs>
          <w:tab w:val="clear" w:pos="1742"/>
        </w:tabs>
        <w:spacing w:after="0" w:line="120" w:lineRule="exact"/>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t>1.</w:t>
      </w:r>
      <w:r w:rsidRPr="00613187">
        <w:tab/>
        <w:t>Inclusion sociale</w:t>
      </w:r>
    </w:p>
    <w:p w:rsidR="00B424EC" w:rsidRPr="00AA4DB2" w:rsidRDefault="00B424EC" w:rsidP="00B424EC">
      <w:pPr>
        <w:pStyle w:val="SingleTxt"/>
        <w:spacing w:after="0" w:line="120" w:lineRule="exact"/>
        <w:rPr>
          <w:sz w:val="10"/>
        </w:rPr>
      </w:pPr>
    </w:p>
    <w:p w:rsidR="00B424EC" w:rsidRPr="00613187" w:rsidRDefault="00B424EC" w:rsidP="00B424EC">
      <w:pPr>
        <w:pStyle w:val="SingleTxt"/>
        <w:numPr>
          <w:ilvl w:val="0"/>
          <w:numId w:val="17"/>
        </w:numPr>
        <w:tabs>
          <w:tab w:val="clear" w:pos="475"/>
          <w:tab w:val="num" w:pos="1742"/>
        </w:tabs>
        <w:ind w:left="1267"/>
        <w:rPr>
          <w:iCs/>
        </w:rPr>
      </w:pPr>
      <w:r w:rsidRPr="00613187">
        <w:t>L</w:t>
      </w:r>
      <w:r>
        <w:t>e décret</w:t>
      </w:r>
      <w:r w:rsidRPr="00613187">
        <w:t xml:space="preserve"> n</w:t>
      </w:r>
      <w:r w:rsidRPr="00AA4DB2">
        <w:rPr>
          <w:vertAlign w:val="superscript"/>
        </w:rPr>
        <w:t>o</w:t>
      </w:r>
      <w:r w:rsidRPr="00613187">
        <w:t> 1</w:t>
      </w:r>
      <w:r>
        <w:t> </w:t>
      </w:r>
      <w:r w:rsidRPr="00613187">
        <w:t>602 de 2009 a instauré un régime d</w:t>
      </w:r>
      <w:r>
        <w:t>’</w:t>
      </w:r>
      <w:r w:rsidRPr="00613187">
        <w:t>allocation universelle par enfant</w:t>
      </w:r>
      <w:r>
        <w:t>,</w:t>
      </w:r>
      <w:r w:rsidRPr="00613187">
        <w:t xml:space="preserve"> </w:t>
      </w:r>
      <w:r>
        <w:t xml:space="preserve">au bénéfice duquel se trouvent </w:t>
      </w:r>
      <w:r w:rsidRPr="00613187">
        <w:t>actuellement plus de 3,6 millions d</w:t>
      </w:r>
      <w:r>
        <w:t>’</w:t>
      </w:r>
      <w:r w:rsidRPr="00613187">
        <w:t>enfants et d</w:t>
      </w:r>
      <w:r>
        <w:t>’</w:t>
      </w:r>
      <w:r w:rsidRPr="00613187">
        <w:rPr>
          <w:iCs/>
        </w:rPr>
        <w:t xml:space="preserve">adolescents </w:t>
      </w:r>
      <w:r>
        <w:rPr>
          <w:iCs/>
        </w:rPr>
        <w:t>âgés de</w:t>
      </w:r>
      <w:r w:rsidRPr="00613187">
        <w:rPr>
          <w:iCs/>
        </w:rPr>
        <w:t xml:space="preserve"> 0 </w:t>
      </w:r>
      <w:r>
        <w:rPr>
          <w:iCs/>
        </w:rPr>
        <w:t>à</w:t>
      </w:r>
      <w:r w:rsidRPr="00613187">
        <w:rPr>
          <w:iCs/>
        </w:rPr>
        <w:t xml:space="preserve"> 18 ans. </w:t>
      </w:r>
      <w:r>
        <w:rPr>
          <w:iCs/>
        </w:rPr>
        <w:t>Le décret</w:t>
      </w:r>
      <w:r w:rsidRPr="00613187">
        <w:rPr>
          <w:iCs/>
        </w:rPr>
        <w:t xml:space="preserve"> présidentiel n</w:t>
      </w:r>
      <w:r w:rsidRPr="00AA4DB2">
        <w:rPr>
          <w:iCs/>
          <w:vertAlign w:val="superscript"/>
        </w:rPr>
        <w:t>o</w:t>
      </w:r>
      <w:r w:rsidRPr="00613187">
        <w:rPr>
          <w:iCs/>
        </w:rPr>
        <w:t xml:space="preserve"> 446 de 2011 </w:t>
      </w:r>
      <w:r>
        <w:rPr>
          <w:iCs/>
        </w:rPr>
        <w:t xml:space="preserve">a introduit une </w:t>
      </w:r>
      <w:r w:rsidRPr="00613187">
        <w:rPr>
          <w:iCs/>
        </w:rPr>
        <w:t xml:space="preserve">allocation universelle </w:t>
      </w:r>
      <w:r>
        <w:rPr>
          <w:iCs/>
        </w:rPr>
        <w:t xml:space="preserve">de grossesse visant à faire bénéficier les </w:t>
      </w:r>
      <w:r w:rsidRPr="00613187">
        <w:rPr>
          <w:iCs/>
        </w:rPr>
        <w:t xml:space="preserve">femmes sans </w:t>
      </w:r>
      <w:r>
        <w:rPr>
          <w:iCs/>
        </w:rPr>
        <w:t>emploi</w:t>
      </w:r>
      <w:r w:rsidRPr="00613187">
        <w:rPr>
          <w:iCs/>
        </w:rPr>
        <w:t>, employées de maison ou travaillant dans l</w:t>
      </w:r>
      <w:r>
        <w:rPr>
          <w:iCs/>
        </w:rPr>
        <w:t>’</w:t>
      </w:r>
      <w:r w:rsidRPr="00613187">
        <w:rPr>
          <w:iCs/>
        </w:rPr>
        <w:t>économie informelle</w:t>
      </w:r>
      <w:r>
        <w:rPr>
          <w:iCs/>
        </w:rPr>
        <w:t xml:space="preserve"> d’une protection </w:t>
      </w:r>
      <w:r w:rsidRPr="00613187">
        <w:rPr>
          <w:iCs/>
        </w:rPr>
        <w:t>sociale, dès le troisième mois de grossesse.</w:t>
      </w:r>
    </w:p>
    <w:p w:rsidR="00B424EC" w:rsidRPr="00613187" w:rsidRDefault="00B424EC" w:rsidP="00B424EC">
      <w:pPr>
        <w:pStyle w:val="SingleTxt"/>
        <w:numPr>
          <w:ilvl w:val="0"/>
          <w:numId w:val="17"/>
        </w:numPr>
        <w:tabs>
          <w:tab w:val="clear" w:pos="475"/>
          <w:tab w:val="num" w:pos="1742"/>
        </w:tabs>
        <w:ind w:left="1267"/>
        <w:rPr>
          <w:iCs/>
        </w:rPr>
      </w:pPr>
      <w:r>
        <w:rPr>
          <w:iCs/>
        </w:rPr>
        <w:t>Toutes c</w:t>
      </w:r>
      <w:r w:rsidRPr="00613187">
        <w:rPr>
          <w:iCs/>
        </w:rPr>
        <w:t>es mesures ont élargi le</w:t>
      </w:r>
      <w:r>
        <w:rPr>
          <w:iCs/>
        </w:rPr>
        <w:t>s bases</w:t>
      </w:r>
      <w:r w:rsidRPr="00613187">
        <w:rPr>
          <w:iCs/>
        </w:rPr>
        <w:t xml:space="preserve"> du régime de protection sociale argentin et ont permis d</w:t>
      </w:r>
      <w:r>
        <w:rPr>
          <w:iCs/>
        </w:rPr>
        <w:t xml:space="preserve">e mettre en œuvre les </w:t>
      </w:r>
      <w:r w:rsidRPr="00613187">
        <w:rPr>
          <w:iCs/>
        </w:rPr>
        <w:t>politiques de manière efficace.</w:t>
      </w:r>
    </w:p>
    <w:p w:rsidR="00B424EC" w:rsidRPr="00613187" w:rsidRDefault="00B424EC" w:rsidP="00B424EC">
      <w:pPr>
        <w:pStyle w:val="SingleTxt"/>
        <w:numPr>
          <w:ilvl w:val="0"/>
          <w:numId w:val="17"/>
        </w:numPr>
        <w:tabs>
          <w:tab w:val="clear" w:pos="475"/>
          <w:tab w:val="num" w:pos="1742"/>
        </w:tabs>
        <w:ind w:left="1267"/>
      </w:pPr>
      <w:r w:rsidRPr="00B554EC">
        <w:rPr>
          <w:rFonts w:eastAsia="Times New Roman"/>
          <w:iCs/>
          <w:szCs w:val="24"/>
        </w:rPr>
        <w:t>L</w:t>
      </w:r>
      <w:r>
        <w:rPr>
          <w:rFonts w:eastAsia="Times New Roman"/>
          <w:iCs/>
          <w:szCs w:val="24"/>
        </w:rPr>
        <w:t>’</w:t>
      </w:r>
      <w:r w:rsidRPr="00B554EC">
        <w:rPr>
          <w:rFonts w:eastAsia="Times New Roman"/>
          <w:iCs/>
          <w:szCs w:val="24"/>
        </w:rPr>
        <w:t>adoption d</w:t>
      </w:r>
      <w:r>
        <w:rPr>
          <w:rFonts w:eastAsia="Times New Roman"/>
          <w:iCs/>
          <w:szCs w:val="24"/>
        </w:rPr>
        <w:t>e la loi n</w:t>
      </w:r>
      <w:r w:rsidRPr="00F20560">
        <w:rPr>
          <w:rFonts w:eastAsia="Times New Roman"/>
          <w:iCs/>
          <w:szCs w:val="24"/>
          <w:vertAlign w:val="superscript"/>
        </w:rPr>
        <w:t>o</w:t>
      </w:r>
      <w:r w:rsidRPr="00B554EC">
        <w:rPr>
          <w:rFonts w:eastAsia="Times New Roman"/>
          <w:iCs/>
          <w:szCs w:val="24"/>
        </w:rPr>
        <w:t> 26</w:t>
      </w:r>
      <w:r>
        <w:rPr>
          <w:rFonts w:eastAsia="Times New Roman"/>
          <w:iCs/>
          <w:szCs w:val="24"/>
        </w:rPr>
        <w:t xml:space="preserve"> </w:t>
      </w:r>
      <w:r w:rsidRPr="00B554EC">
        <w:rPr>
          <w:rFonts w:eastAsia="Times New Roman"/>
          <w:iCs/>
          <w:szCs w:val="24"/>
        </w:rPr>
        <w:t xml:space="preserve">657 relative à la santé mentale </w:t>
      </w:r>
      <w:r>
        <w:rPr>
          <w:rFonts w:eastAsia="Times New Roman"/>
          <w:iCs/>
          <w:szCs w:val="24"/>
        </w:rPr>
        <w:t xml:space="preserve">représente </w:t>
      </w:r>
      <w:r w:rsidRPr="00B554EC">
        <w:rPr>
          <w:rFonts w:eastAsia="Times New Roman"/>
          <w:iCs/>
          <w:szCs w:val="24"/>
        </w:rPr>
        <w:t>un changement d</w:t>
      </w:r>
      <w:r>
        <w:rPr>
          <w:rFonts w:eastAsia="Times New Roman"/>
          <w:iCs/>
          <w:szCs w:val="24"/>
        </w:rPr>
        <w:t>’optique important, puisque</w:t>
      </w:r>
      <w:r w:rsidRPr="00B554EC">
        <w:rPr>
          <w:rFonts w:eastAsia="Times New Roman"/>
          <w:iCs/>
          <w:szCs w:val="24"/>
        </w:rPr>
        <w:t xml:space="preserve"> les personnes atteintes de handicap mental n</w:t>
      </w:r>
      <w:r>
        <w:rPr>
          <w:rFonts w:eastAsia="Times New Roman"/>
          <w:iCs/>
          <w:szCs w:val="24"/>
        </w:rPr>
        <w:t>e sont pl</w:t>
      </w:r>
      <w:r w:rsidRPr="00B554EC">
        <w:rPr>
          <w:rFonts w:eastAsia="Times New Roman"/>
          <w:iCs/>
          <w:szCs w:val="24"/>
        </w:rPr>
        <w:t>us considérées comme de</w:t>
      </w:r>
      <w:r>
        <w:rPr>
          <w:rFonts w:eastAsia="Times New Roman"/>
          <w:iCs/>
          <w:szCs w:val="24"/>
        </w:rPr>
        <w:t>vant faire l’objet d’une assistance mais sont vues</w:t>
      </w:r>
      <w:r w:rsidRPr="00B554EC">
        <w:rPr>
          <w:rFonts w:eastAsia="Times New Roman"/>
          <w:iCs/>
          <w:szCs w:val="24"/>
        </w:rPr>
        <w:t xml:space="preserve"> comme des sujets de droit</w:t>
      </w:r>
      <w:r w:rsidRPr="00B554EC">
        <w:rPr>
          <w:rFonts w:eastAsia="Times New Roman"/>
          <w:szCs w:val="24"/>
        </w:rPr>
        <w:t xml:space="preserve">. </w:t>
      </w:r>
      <w:r>
        <w:rPr>
          <w:rFonts w:eastAsia="Times New Roman"/>
          <w:szCs w:val="24"/>
        </w:rPr>
        <w:t>La</w:t>
      </w:r>
      <w:r w:rsidRPr="00B554EC">
        <w:rPr>
          <w:rFonts w:eastAsia="Times New Roman"/>
          <w:szCs w:val="24"/>
        </w:rPr>
        <w:t xml:space="preserve"> loi </w:t>
      </w:r>
      <w:r>
        <w:rPr>
          <w:rFonts w:eastAsia="Times New Roman"/>
          <w:szCs w:val="24"/>
        </w:rPr>
        <w:t>privilégie trois aspects : la désinstitutionnalisation, la réadaptation et la réinsertion du patient</w:t>
      </w:r>
      <w:r w:rsidRPr="00B554EC">
        <w:rPr>
          <w:rFonts w:eastAsia="Times New Roman"/>
          <w:szCs w:val="24"/>
        </w:rPr>
        <w:t xml:space="preserve"> dans la communauté</w:t>
      </w:r>
      <w:r>
        <w:rPr>
          <w:rFonts w:eastAsia="Times New Roman"/>
          <w:szCs w:val="24"/>
        </w:rPr>
        <w:t>. Les ressources nécessaires atteindront</w:t>
      </w:r>
      <w:r w:rsidRPr="00B554EC">
        <w:rPr>
          <w:rFonts w:eastAsia="Times New Roman"/>
          <w:szCs w:val="24"/>
        </w:rPr>
        <w:t xml:space="preserve"> 10 % d</w:t>
      </w:r>
      <w:r>
        <w:rPr>
          <w:rFonts w:eastAsia="Times New Roman"/>
          <w:szCs w:val="24"/>
        </w:rPr>
        <w:t>u budget total de la santé.</w:t>
      </w:r>
    </w:p>
    <w:p w:rsidR="00B424EC" w:rsidRDefault="00B424EC" w:rsidP="00B424EC">
      <w:pPr>
        <w:pStyle w:val="SingleTxt"/>
        <w:numPr>
          <w:ilvl w:val="0"/>
          <w:numId w:val="17"/>
        </w:numPr>
        <w:tabs>
          <w:tab w:val="clear" w:pos="475"/>
          <w:tab w:val="num" w:pos="1742"/>
        </w:tabs>
        <w:ind w:left="1267"/>
      </w:pPr>
      <w:r>
        <w:t>L</w:t>
      </w:r>
      <w:r w:rsidRPr="00613187">
        <w:t>a loi n</w:t>
      </w:r>
      <w:r w:rsidRPr="00F20560">
        <w:rPr>
          <w:vertAlign w:val="superscript"/>
        </w:rPr>
        <w:t>o</w:t>
      </w:r>
      <w:r w:rsidRPr="00613187">
        <w:t> 26</w:t>
      </w:r>
      <w:r>
        <w:t> </w:t>
      </w:r>
      <w:r w:rsidRPr="00613187">
        <w:t>827 portant création du Mécanisme national de prévention de la torture</w:t>
      </w:r>
      <w:r>
        <w:t xml:space="preserve"> a été adoptée en novembre 2012, ce qui donne effet aux </w:t>
      </w:r>
      <w:r w:rsidRPr="00613187">
        <w:t>dispositions du Protocole facultatif se rapportant à la Convention contre la torture.</w:t>
      </w:r>
    </w:p>
    <w:p w:rsidR="00B424EC" w:rsidRPr="00F20560" w:rsidRDefault="00B424EC" w:rsidP="00B424EC">
      <w:pPr>
        <w:pStyle w:val="SingleTxt"/>
        <w:tabs>
          <w:tab w:val="clear" w:pos="1742"/>
        </w:tabs>
        <w:spacing w:after="0" w:line="120" w:lineRule="exact"/>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t>2.</w:t>
      </w:r>
      <w:r w:rsidRPr="00613187">
        <w:tab/>
        <w:t>Égalité</w:t>
      </w:r>
    </w:p>
    <w:p w:rsidR="00B424EC" w:rsidRPr="00F20560" w:rsidRDefault="00B424EC" w:rsidP="00B424EC">
      <w:pPr>
        <w:pStyle w:val="SingleTxt"/>
        <w:spacing w:after="0" w:line="120" w:lineRule="exact"/>
        <w:rPr>
          <w:sz w:val="10"/>
        </w:rPr>
      </w:pPr>
    </w:p>
    <w:p w:rsidR="00B424EC" w:rsidRPr="00613187" w:rsidRDefault="00B424EC" w:rsidP="00B424EC">
      <w:pPr>
        <w:pStyle w:val="SingleTxt"/>
        <w:numPr>
          <w:ilvl w:val="0"/>
          <w:numId w:val="17"/>
        </w:numPr>
        <w:tabs>
          <w:tab w:val="clear" w:pos="475"/>
          <w:tab w:val="num" w:pos="1742"/>
        </w:tabs>
        <w:ind w:left="1267"/>
      </w:pPr>
      <w:r w:rsidRPr="00613187">
        <w:t>L</w:t>
      </w:r>
      <w:r>
        <w:t>’</w:t>
      </w:r>
      <w:r w:rsidRPr="00613187">
        <w:t>Argentine a franchi un</w:t>
      </w:r>
      <w:r>
        <w:t xml:space="preserve"> pas</w:t>
      </w:r>
      <w:r w:rsidRPr="00613187">
        <w:t xml:space="preserve"> supplémentaire </w:t>
      </w:r>
      <w:r>
        <w:t xml:space="preserve">dans </w:t>
      </w:r>
      <w:r w:rsidRPr="00613187">
        <w:t>l</w:t>
      </w:r>
      <w:r>
        <w:t>’</w:t>
      </w:r>
      <w:r w:rsidRPr="00613187">
        <w:t>égalité des droits et la lutte contre la discrimination, avec l</w:t>
      </w:r>
      <w:r>
        <w:t>’</w:t>
      </w:r>
      <w:r w:rsidRPr="00613187">
        <w:t>a</w:t>
      </w:r>
      <w:r>
        <w:t>d</w:t>
      </w:r>
      <w:r w:rsidRPr="00613187">
        <w:t>o</w:t>
      </w:r>
      <w:r>
        <w:t>p</w:t>
      </w:r>
      <w:r w:rsidRPr="00613187">
        <w:t>tion par le Congrès national, le 9 mai</w:t>
      </w:r>
      <w:r>
        <w:t xml:space="preserve"> </w:t>
      </w:r>
      <w:r w:rsidRPr="00613187">
        <w:t xml:space="preserve">2012, de la </w:t>
      </w:r>
      <w:r w:rsidRPr="00613187">
        <w:lastRenderedPageBreak/>
        <w:t>loi relative à l</w:t>
      </w:r>
      <w:r>
        <w:t>’</w:t>
      </w:r>
      <w:r w:rsidRPr="00613187">
        <w:t>ident</w:t>
      </w:r>
      <w:r>
        <w:t>ité de genre, qui dispose que « </w:t>
      </w:r>
      <w:r w:rsidRPr="00613187">
        <w:t>chacun a droit à la reconnaissance de son identité de genre et au libre ép</w:t>
      </w:r>
      <w:r>
        <w:t>anouiss</w:t>
      </w:r>
      <w:r w:rsidRPr="00613187">
        <w:t xml:space="preserve">ement de </w:t>
      </w:r>
      <w:r>
        <w:t>sa personne conformément à son</w:t>
      </w:r>
      <w:r w:rsidRPr="00613187">
        <w:t xml:space="preserve"> identité</w:t>
      </w:r>
      <w:r>
        <w:t xml:space="preserve"> de genre </w:t>
      </w:r>
      <w:r w:rsidRPr="00613187">
        <w:t>».</w:t>
      </w:r>
    </w:p>
    <w:p w:rsidR="00B424EC" w:rsidRDefault="00B424EC" w:rsidP="00B424EC">
      <w:pPr>
        <w:pStyle w:val="SingleTxt"/>
        <w:numPr>
          <w:ilvl w:val="0"/>
          <w:numId w:val="17"/>
        </w:numPr>
        <w:tabs>
          <w:tab w:val="clear" w:pos="475"/>
          <w:tab w:val="num" w:pos="1742"/>
        </w:tabs>
        <w:ind w:left="1267"/>
      </w:pPr>
      <w:r w:rsidRPr="00613187">
        <w:t>Aux plans régional et international, l</w:t>
      </w:r>
      <w:r>
        <w:t>’</w:t>
      </w:r>
      <w:r w:rsidRPr="00613187">
        <w:t xml:space="preserve">Argentine a </w:t>
      </w:r>
      <w:r>
        <w:t>encouragé l’élab</w:t>
      </w:r>
      <w:r w:rsidRPr="00613187">
        <w:t>o</w:t>
      </w:r>
      <w:r>
        <w:t>ra</w:t>
      </w:r>
      <w:r w:rsidRPr="00613187">
        <w:t>tion d</w:t>
      </w:r>
      <w:r>
        <w:t>’</w:t>
      </w:r>
      <w:r w:rsidRPr="00613187">
        <w:t>instruments relatifs à la protection des droits de l</w:t>
      </w:r>
      <w:r>
        <w:t>’</w:t>
      </w:r>
      <w:r w:rsidRPr="00613187">
        <w:t>homme et a participé activement</w:t>
      </w:r>
      <w:r>
        <w:t xml:space="preserve"> aux négociations.</w:t>
      </w:r>
      <w:r w:rsidRPr="00613187">
        <w:t xml:space="preserve"> En 2011, </w:t>
      </w:r>
      <w:r>
        <w:t xml:space="preserve">avec </w:t>
      </w:r>
      <w:r w:rsidRPr="00613187">
        <w:t xml:space="preserve">la ratification du Protocole facultatif se rapportant au Pacte international relatif aux droits économiques, sociaux et culturels </w:t>
      </w:r>
      <w:r>
        <w:t xml:space="preserve">l’Argentine est devenue partie à tous les </w:t>
      </w:r>
      <w:r w:rsidRPr="00613187">
        <w:t>instruments relatifs aux droits de l</w:t>
      </w:r>
      <w:r>
        <w:t>’</w:t>
      </w:r>
      <w:r w:rsidRPr="00613187">
        <w:t xml:space="preserve">homme les plus </w:t>
      </w:r>
      <w:r>
        <w:t xml:space="preserve">importants du système universel et </w:t>
      </w:r>
      <w:r w:rsidRPr="00613187">
        <w:t>régional.</w:t>
      </w:r>
    </w:p>
    <w:p w:rsidR="00B424EC" w:rsidRPr="00F20560" w:rsidRDefault="00B424EC" w:rsidP="00B424EC">
      <w:pPr>
        <w:pStyle w:val="SingleTxt"/>
        <w:tabs>
          <w:tab w:val="clear" w:pos="1742"/>
        </w:tabs>
        <w:spacing w:after="0" w:line="120" w:lineRule="exact"/>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t>3.</w:t>
      </w:r>
      <w:r w:rsidRPr="00613187">
        <w:tab/>
        <w:t>Politique étrangère</w:t>
      </w:r>
    </w:p>
    <w:p w:rsidR="00B424EC" w:rsidRPr="00F20560" w:rsidRDefault="00B424EC" w:rsidP="00B424EC">
      <w:pPr>
        <w:pStyle w:val="SingleTxt"/>
        <w:spacing w:after="0" w:line="120" w:lineRule="exact"/>
        <w:rPr>
          <w:sz w:val="10"/>
        </w:rPr>
      </w:pPr>
    </w:p>
    <w:p w:rsidR="00B424EC" w:rsidRPr="00613187" w:rsidRDefault="00B424EC" w:rsidP="00B424EC">
      <w:pPr>
        <w:pStyle w:val="SingleTxt"/>
        <w:numPr>
          <w:ilvl w:val="0"/>
          <w:numId w:val="17"/>
        </w:numPr>
        <w:tabs>
          <w:tab w:val="clear" w:pos="475"/>
          <w:tab w:val="num" w:pos="1742"/>
        </w:tabs>
        <w:ind w:left="1267"/>
      </w:pPr>
      <w:r w:rsidRPr="00613187">
        <w:t xml:space="preserve">La politique étrangère </w:t>
      </w:r>
      <w:r>
        <w:t>de l’A</w:t>
      </w:r>
      <w:r w:rsidRPr="00613187">
        <w:t xml:space="preserve">rgentine tend au renforcement du droit international, de la coopération et de la promotion des valeurs universelles et du respect </w:t>
      </w:r>
      <w:r>
        <w:t xml:space="preserve">sans réserve </w:t>
      </w:r>
      <w:r w:rsidRPr="00613187">
        <w:t>des droits de l</w:t>
      </w:r>
      <w:r>
        <w:t>’</w:t>
      </w:r>
      <w:r w:rsidRPr="00613187">
        <w:t>homme.</w:t>
      </w:r>
    </w:p>
    <w:p w:rsidR="00B424EC" w:rsidRPr="00613187" w:rsidRDefault="00B424EC" w:rsidP="00B424EC">
      <w:pPr>
        <w:pStyle w:val="SingleTxt"/>
        <w:numPr>
          <w:ilvl w:val="0"/>
          <w:numId w:val="17"/>
        </w:numPr>
        <w:tabs>
          <w:tab w:val="clear" w:pos="475"/>
          <w:tab w:val="num" w:pos="1742"/>
        </w:tabs>
        <w:ind w:left="1267"/>
      </w:pPr>
      <w:r w:rsidRPr="00613187">
        <w:t>L</w:t>
      </w:r>
      <w:r>
        <w:t>’</w:t>
      </w:r>
      <w:r w:rsidRPr="00613187">
        <w:t xml:space="preserve">Argentine suit les recommandations formulées </w:t>
      </w:r>
      <w:r>
        <w:t>à l’issue de l’Examen périodique universel; ainsi elle a ratifié, en 2008, le deuxième P</w:t>
      </w:r>
      <w:r w:rsidRPr="00613187">
        <w:t xml:space="preserve">rotocole facultatif se rapportant au Pacte international relatif aux droits civils et politiques </w:t>
      </w:r>
      <w:r>
        <w:t xml:space="preserve">et </w:t>
      </w:r>
      <w:r w:rsidRPr="00613187">
        <w:t>la Convention relative aux droit</w:t>
      </w:r>
      <w:r>
        <w:t>s des personnes handicapées et l</w:t>
      </w:r>
      <w:r w:rsidRPr="00613187">
        <w:t>e Protocole facultatif</w:t>
      </w:r>
      <w:r>
        <w:t xml:space="preserve"> s’y rapportant. Dans l</w:t>
      </w:r>
      <w:r w:rsidRPr="00613187">
        <w:t xml:space="preserve">e dernier cas, des mesures énergiques ont été prises </w:t>
      </w:r>
      <w:r>
        <w:t xml:space="preserve">pour assurer la mise en œuvre entière et effective des instruments par </w:t>
      </w:r>
      <w:r w:rsidRPr="00613187">
        <w:t>la Commission consultative nationale pour l</w:t>
      </w:r>
      <w:r>
        <w:t>’</w:t>
      </w:r>
      <w:r w:rsidRPr="00613187">
        <w:t>intégration des personnes handicapées, avec la participation active des organisations de la société civile.</w:t>
      </w:r>
    </w:p>
    <w:p w:rsidR="00B424EC" w:rsidRPr="00F20560" w:rsidRDefault="00B424EC" w:rsidP="00B424EC">
      <w:pPr>
        <w:pStyle w:val="SingleTxt"/>
        <w:numPr>
          <w:ilvl w:val="0"/>
          <w:numId w:val="17"/>
        </w:numPr>
        <w:tabs>
          <w:tab w:val="clear" w:pos="475"/>
          <w:tab w:val="num" w:pos="1742"/>
        </w:tabs>
        <w:ind w:left="1267"/>
      </w:pPr>
      <w:r>
        <w:rPr>
          <w:rFonts w:eastAsia="Times New Roman"/>
          <w:szCs w:val="24"/>
        </w:rPr>
        <w:t xml:space="preserve">Pour ce qui est de la surveillance de l’application </w:t>
      </w:r>
      <w:r w:rsidRPr="00B554EC">
        <w:rPr>
          <w:rFonts w:eastAsia="Times New Roman"/>
          <w:szCs w:val="24"/>
        </w:rPr>
        <w:t>des instruments relatifs aux droits de l</w:t>
      </w:r>
      <w:r>
        <w:rPr>
          <w:rFonts w:eastAsia="Times New Roman"/>
          <w:szCs w:val="24"/>
        </w:rPr>
        <w:t>’</w:t>
      </w:r>
      <w:r w:rsidRPr="00B554EC">
        <w:rPr>
          <w:rFonts w:eastAsia="Times New Roman"/>
          <w:szCs w:val="24"/>
        </w:rPr>
        <w:t>homme,</w:t>
      </w:r>
      <w:r>
        <w:rPr>
          <w:rFonts w:eastAsia="Times New Roman"/>
          <w:szCs w:val="24"/>
        </w:rPr>
        <w:t xml:space="preserve"> l’Argentine</w:t>
      </w:r>
      <w:r w:rsidRPr="00B554EC">
        <w:rPr>
          <w:rFonts w:eastAsia="Times New Roman"/>
          <w:szCs w:val="24"/>
        </w:rPr>
        <w:t xml:space="preserve"> </w:t>
      </w:r>
      <w:r>
        <w:rPr>
          <w:rFonts w:eastAsia="Times New Roman"/>
          <w:szCs w:val="24"/>
        </w:rPr>
        <w:t>s’est acquittée de s</w:t>
      </w:r>
      <w:r w:rsidRPr="00B554EC">
        <w:rPr>
          <w:rFonts w:eastAsia="Times New Roman"/>
          <w:szCs w:val="24"/>
        </w:rPr>
        <w:t xml:space="preserve">es obligations </w:t>
      </w:r>
      <w:r>
        <w:rPr>
          <w:rFonts w:eastAsia="Times New Roman"/>
          <w:szCs w:val="24"/>
        </w:rPr>
        <w:t>en ce qui concerne la soumission des rapports périodiques aux organes de contrôle et des obligations attachées au système de plaintes émanant de particuliers.</w:t>
      </w:r>
      <w:r w:rsidRPr="00B554EC">
        <w:rPr>
          <w:rFonts w:eastAsia="Times New Roman"/>
          <w:szCs w:val="24"/>
        </w:rPr>
        <w:t xml:space="preserve"> Il convient de rappeler que l</w:t>
      </w:r>
      <w:r>
        <w:rPr>
          <w:rFonts w:eastAsia="Times New Roman"/>
          <w:szCs w:val="24"/>
        </w:rPr>
        <w:t>’</w:t>
      </w:r>
      <w:r w:rsidRPr="00B554EC">
        <w:rPr>
          <w:rFonts w:eastAsia="Times New Roman"/>
          <w:szCs w:val="24"/>
        </w:rPr>
        <w:t xml:space="preserve">Argentine a reconnu la compétence des </w:t>
      </w:r>
      <w:r>
        <w:rPr>
          <w:rFonts w:eastAsia="Times New Roman"/>
          <w:szCs w:val="24"/>
        </w:rPr>
        <w:t xml:space="preserve">comités pour examiner les plaintes émanant de personnes qui s’estiment victimes </w:t>
      </w:r>
      <w:r w:rsidRPr="00B554EC">
        <w:rPr>
          <w:rFonts w:eastAsia="Times New Roman"/>
          <w:szCs w:val="24"/>
        </w:rPr>
        <w:t xml:space="preserve">de violations des droits consacrés par les instruments </w:t>
      </w:r>
      <w:r>
        <w:rPr>
          <w:rFonts w:eastAsia="Times New Roman"/>
          <w:szCs w:val="24"/>
        </w:rPr>
        <w:t xml:space="preserve">qui prévoient cette procédure </w:t>
      </w:r>
      <w:r w:rsidRPr="00B554EC">
        <w:rPr>
          <w:rFonts w:eastAsia="Times New Roman"/>
          <w:szCs w:val="24"/>
        </w:rPr>
        <w:t>(Com</w:t>
      </w:r>
      <w:r>
        <w:rPr>
          <w:rFonts w:eastAsia="Times New Roman"/>
          <w:szCs w:val="24"/>
        </w:rPr>
        <w:t>ité</w:t>
      </w:r>
      <w:r w:rsidRPr="00B554EC">
        <w:rPr>
          <w:rFonts w:eastAsia="Times New Roman"/>
          <w:szCs w:val="24"/>
        </w:rPr>
        <w:t xml:space="preserve"> des droits de l</w:t>
      </w:r>
      <w:r>
        <w:rPr>
          <w:rFonts w:eastAsia="Times New Roman"/>
          <w:szCs w:val="24"/>
        </w:rPr>
        <w:t>’</w:t>
      </w:r>
      <w:r w:rsidRPr="00B554EC">
        <w:rPr>
          <w:rFonts w:eastAsia="Times New Roman"/>
          <w:szCs w:val="24"/>
        </w:rPr>
        <w:t>homme, Comité des droits de l</w:t>
      </w:r>
      <w:r>
        <w:rPr>
          <w:rFonts w:eastAsia="Times New Roman"/>
          <w:szCs w:val="24"/>
        </w:rPr>
        <w:t>’</w:t>
      </w:r>
      <w:r w:rsidRPr="00B554EC">
        <w:rPr>
          <w:rFonts w:eastAsia="Times New Roman"/>
          <w:szCs w:val="24"/>
        </w:rPr>
        <w:t>enfant, Comité pour l</w:t>
      </w:r>
      <w:r>
        <w:rPr>
          <w:rFonts w:eastAsia="Times New Roman"/>
          <w:szCs w:val="24"/>
        </w:rPr>
        <w:t>’</w:t>
      </w:r>
      <w:r w:rsidRPr="00B554EC">
        <w:rPr>
          <w:rFonts w:eastAsia="Times New Roman"/>
          <w:szCs w:val="24"/>
        </w:rPr>
        <w:t>élimination de la discrimination raciale, Comité pour l</w:t>
      </w:r>
      <w:r>
        <w:rPr>
          <w:rFonts w:eastAsia="Times New Roman"/>
          <w:szCs w:val="24"/>
        </w:rPr>
        <w:t>’</w:t>
      </w:r>
      <w:r w:rsidRPr="00B554EC">
        <w:rPr>
          <w:rFonts w:eastAsia="Times New Roman"/>
          <w:szCs w:val="24"/>
        </w:rPr>
        <w:t>élimination de la discrimination à l</w:t>
      </w:r>
      <w:r>
        <w:rPr>
          <w:rFonts w:eastAsia="Times New Roman"/>
          <w:szCs w:val="24"/>
        </w:rPr>
        <w:t>’</w:t>
      </w:r>
      <w:r w:rsidRPr="00B554EC">
        <w:rPr>
          <w:rFonts w:eastAsia="Times New Roman"/>
          <w:szCs w:val="24"/>
        </w:rPr>
        <w:t>égard des femmes, Comité contre la torture et Comité des disparitions forcées).</w:t>
      </w:r>
    </w:p>
    <w:p w:rsidR="00B424EC" w:rsidRPr="00F20560" w:rsidRDefault="00B424EC" w:rsidP="00B424EC">
      <w:pPr>
        <w:pStyle w:val="SingleTxt"/>
        <w:tabs>
          <w:tab w:val="clear" w:pos="1742"/>
        </w:tabs>
        <w:spacing w:after="0" w:line="120" w:lineRule="exact"/>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t>4.</w:t>
      </w:r>
      <w:r w:rsidRPr="00613187">
        <w:tab/>
        <w:t>Mémoire, vérité et justice</w:t>
      </w:r>
    </w:p>
    <w:p w:rsidR="00B424EC" w:rsidRPr="00F20560" w:rsidRDefault="00B424EC" w:rsidP="00B424EC">
      <w:pPr>
        <w:pStyle w:val="SingleTxt"/>
        <w:spacing w:after="0" w:line="120" w:lineRule="exact"/>
        <w:rPr>
          <w:sz w:val="10"/>
        </w:rPr>
      </w:pPr>
    </w:p>
    <w:p w:rsidR="00B424EC" w:rsidRPr="00613187" w:rsidRDefault="00B424EC" w:rsidP="00B424EC">
      <w:pPr>
        <w:pStyle w:val="SingleTxt"/>
        <w:numPr>
          <w:ilvl w:val="0"/>
          <w:numId w:val="17"/>
        </w:numPr>
        <w:tabs>
          <w:tab w:val="clear" w:pos="475"/>
          <w:tab w:val="num" w:pos="1742"/>
        </w:tabs>
        <w:ind w:left="1267"/>
      </w:pPr>
      <w:r w:rsidRPr="00613187">
        <w:t>L</w:t>
      </w:r>
      <w:r>
        <w:t>e chemin</w:t>
      </w:r>
      <w:r w:rsidRPr="00613187">
        <w:t xml:space="preserve"> parcouru depuis 1983, en particulier avec la </w:t>
      </w:r>
      <w:r>
        <w:t xml:space="preserve">volonté résolue manifestée à partir de 2003 de soutenir le combat </w:t>
      </w:r>
      <w:r w:rsidRPr="00613187">
        <w:t>pour la revendication et la protection des droits de l</w:t>
      </w:r>
      <w:r>
        <w:t>’</w:t>
      </w:r>
      <w:r w:rsidRPr="00613187">
        <w:t>homme, a placé l</w:t>
      </w:r>
      <w:r>
        <w:t xml:space="preserve">’Argentine en tête de ce mouvement </w:t>
      </w:r>
      <w:r w:rsidRPr="00613187">
        <w:t>au niveau mondial. Ces progrès sont le fruit de l</w:t>
      </w:r>
      <w:r>
        <w:t xml:space="preserve">’inlassable travail </w:t>
      </w:r>
      <w:r w:rsidRPr="00613187">
        <w:t>déployé par les organismes locaux de défense des droits d</w:t>
      </w:r>
      <w:r>
        <w:t>e l’homme qui, sous la devise « M</w:t>
      </w:r>
      <w:r w:rsidRPr="00613187">
        <w:t xml:space="preserve">émoire, </w:t>
      </w:r>
      <w:r>
        <w:t>Vérité et J</w:t>
      </w:r>
      <w:r w:rsidRPr="00613187">
        <w:t>ustice</w:t>
      </w:r>
      <w:r>
        <w:t xml:space="preserve"> », </w:t>
      </w:r>
      <w:r w:rsidRPr="00613187">
        <w:t xml:space="preserve">ont </w:t>
      </w:r>
      <w:r>
        <w:t xml:space="preserve">constamment fait pression pour que </w:t>
      </w:r>
      <w:r w:rsidRPr="00613187">
        <w:t>l</w:t>
      </w:r>
      <w:r>
        <w:t>’</w:t>
      </w:r>
      <w:r w:rsidRPr="00613187">
        <w:t xml:space="preserve">État assure le bon fonctionnement des institutions démocratiques et ont mis en avant, en </w:t>
      </w:r>
      <w:r>
        <w:t>tant que représentants de</w:t>
      </w:r>
      <w:r w:rsidRPr="00613187">
        <w:t xml:space="preserve"> la société civile, des propositions de politiques publiques </w:t>
      </w:r>
      <w:r>
        <w:t xml:space="preserve">conformes aux </w:t>
      </w:r>
      <w:r w:rsidRPr="00613187">
        <w:t xml:space="preserve">normes internationales </w:t>
      </w:r>
      <w:r>
        <w:t>de</w:t>
      </w:r>
      <w:r w:rsidRPr="00613187">
        <w:t xml:space="preserve"> protection des droits de l</w:t>
      </w:r>
      <w:r>
        <w:t>’</w:t>
      </w:r>
      <w:r w:rsidRPr="00613187">
        <w:t>homme.</w:t>
      </w:r>
    </w:p>
    <w:p w:rsidR="00B424EC" w:rsidRPr="00613187" w:rsidRDefault="00B424EC" w:rsidP="00B424EC">
      <w:pPr>
        <w:pStyle w:val="SingleTxt"/>
        <w:numPr>
          <w:ilvl w:val="0"/>
          <w:numId w:val="17"/>
        </w:numPr>
        <w:tabs>
          <w:tab w:val="clear" w:pos="475"/>
          <w:tab w:val="num" w:pos="1742"/>
        </w:tabs>
        <w:ind w:left="1267"/>
      </w:pPr>
      <w:r w:rsidRPr="00613187">
        <w:t>Le développement du droit à la vérité, les initiatives visant à prévenir les violations massives des droits de l</w:t>
      </w:r>
      <w:r>
        <w:t>’</w:t>
      </w:r>
      <w:r w:rsidRPr="00613187">
        <w:t xml:space="preserve">homme, les propositions relatives à la Convention internationale pour la protection de toutes les personnes contre les disparitions forcées, </w:t>
      </w:r>
      <w:r>
        <w:t xml:space="preserve">ne </w:t>
      </w:r>
      <w:r w:rsidRPr="00613187">
        <w:t xml:space="preserve">sont </w:t>
      </w:r>
      <w:r>
        <w:t xml:space="preserve">que quelques exemples </w:t>
      </w:r>
      <w:r w:rsidRPr="00613187">
        <w:t>des domaines dans lesquels l</w:t>
      </w:r>
      <w:r>
        <w:t>’</w:t>
      </w:r>
      <w:r w:rsidRPr="00613187">
        <w:t>Argentine montre la voie.</w:t>
      </w:r>
    </w:p>
    <w:p w:rsidR="00B424EC" w:rsidRPr="00613187" w:rsidRDefault="00B424EC" w:rsidP="00B424EC">
      <w:pPr>
        <w:pStyle w:val="SingleTxt"/>
        <w:numPr>
          <w:ilvl w:val="0"/>
          <w:numId w:val="17"/>
        </w:numPr>
        <w:tabs>
          <w:tab w:val="clear" w:pos="475"/>
          <w:tab w:val="num" w:pos="1742"/>
        </w:tabs>
        <w:ind w:left="1267"/>
      </w:pPr>
      <w:r w:rsidRPr="00613187">
        <w:t>La lutte contre l</w:t>
      </w:r>
      <w:r>
        <w:t>’</w:t>
      </w:r>
      <w:r w:rsidRPr="00613187">
        <w:t>impunité</w:t>
      </w:r>
      <w:r>
        <w:t xml:space="preserve"> et </w:t>
      </w:r>
      <w:r w:rsidRPr="00613187">
        <w:t xml:space="preserve">les </w:t>
      </w:r>
      <w:r>
        <w:t xml:space="preserve">exigences de </w:t>
      </w:r>
      <w:r w:rsidRPr="00613187">
        <w:t xml:space="preserve">vérité, </w:t>
      </w:r>
      <w:r>
        <w:t xml:space="preserve">de </w:t>
      </w:r>
      <w:r w:rsidRPr="00613187">
        <w:t xml:space="preserve">justice et </w:t>
      </w:r>
      <w:r>
        <w:t xml:space="preserve">de </w:t>
      </w:r>
      <w:r w:rsidRPr="00613187">
        <w:t>réparation pour les victimes de violations graves des droits de l</w:t>
      </w:r>
      <w:r>
        <w:t>’</w:t>
      </w:r>
      <w:r w:rsidRPr="00613187">
        <w:t>homme pendant l</w:t>
      </w:r>
      <w:r>
        <w:t>a dictature</w:t>
      </w:r>
      <w:r w:rsidRPr="00613187">
        <w:t xml:space="preserve"> </w:t>
      </w:r>
      <w:r w:rsidRPr="00613187">
        <w:lastRenderedPageBreak/>
        <w:t>militaire</w:t>
      </w:r>
      <w:r>
        <w:t xml:space="preserve"> sont des piliers </w:t>
      </w:r>
      <w:r w:rsidRPr="00613187">
        <w:t xml:space="preserve">de la politique </w:t>
      </w:r>
      <w:r>
        <w:t>globale de</w:t>
      </w:r>
      <w:r w:rsidRPr="00613187">
        <w:t xml:space="preserve"> l</w:t>
      </w:r>
      <w:r>
        <w:t>’</w:t>
      </w:r>
      <w:r w:rsidRPr="00613187">
        <w:t>État en matière de droits de l</w:t>
      </w:r>
      <w:r>
        <w:t>’</w:t>
      </w:r>
      <w:r w:rsidRPr="00613187">
        <w:t>homme.</w:t>
      </w:r>
    </w:p>
    <w:p w:rsidR="00B424EC" w:rsidRDefault="00B424EC" w:rsidP="00B424EC">
      <w:pPr>
        <w:pStyle w:val="SingleTxt"/>
        <w:numPr>
          <w:ilvl w:val="0"/>
          <w:numId w:val="17"/>
        </w:numPr>
        <w:tabs>
          <w:tab w:val="clear" w:pos="475"/>
          <w:tab w:val="num" w:pos="1742"/>
        </w:tabs>
        <w:ind w:left="1267"/>
      </w:pPr>
      <w:r>
        <w:t xml:space="preserve">Eu égard à son histoire et aux </w:t>
      </w:r>
      <w:r w:rsidRPr="00613187">
        <w:t>engagements</w:t>
      </w:r>
      <w:r>
        <w:t xml:space="preserve"> qu’a pris le pays</w:t>
      </w:r>
      <w:r w:rsidRPr="00613187">
        <w:t xml:space="preserve">, la </w:t>
      </w:r>
      <w:r>
        <w:t xml:space="preserve">répression </w:t>
      </w:r>
      <w:r w:rsidRPr="00613187">
        <w:t>des crimes contre l</w:t>
      </w:r>
      <w:r>
        <w:t>’</w:t>
      </w:r>
      <w:r w:rsidRPr="00613187">
        <w:t>humanité et la prévention du génocide revêtent une importance toute particulière. C</w:t>
      </w:r>
      <w:r>
        <w:t>’</w:t>
      </w:r>
      <w:r w:rsidRPr="00613187">
        <w:t>est pourquoi l</w:t>
      </w:r>
      <w:r>
        <w:t>’</w:t>
      </w:r>
      <w:r w:rsidRPr="00613187">
        <w:t>Argentine a participé activement à la création de la Cour pénale internationale.</w:t>
      </w:r>
    </w:p>
    <w:p w:rsidR="00B424EC" w:rsidRPr="00BF7814" w:rsidRDefault="00B424EC" w:rsidP="00B424EC">
      <w:pPr>
        <w:pStyle w:val="SingleTxt"/>
        <w:tabs>
          <w:tab w:val="clear" w:pos="1742"/>
        </w:tabs>
        <w:spacing w:after="0" w:line="120" w:lineRule="exact"/>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F7814">
        <w:tab/>
        <w:t>5.</w:t>
      </w:r>
      <w:r w:rsidRPr="00BF7814">
        <w:tab/>
        <w:t>Participation internationale</w:t>
      </w:r>
    </w:p>
    <w:p w:rsidR="00B424EC" w:rsidRPr="00BF7814" w:rsidRDefault="00B424EC" w:rsidP="00B424EC">
      <w:pPr>
        <w:pStyle w:val="SingleTxt"/>
        <w:spacing w:after="0" w:line="120" w:lineRule="exact"/>
        <w:rPr>
          <w:sz w:val="10"/>
        </w:rPr>
      </w:pPr>
    </w:p>
    <w:p w:rsidR="00B424EC" w:rsidRPr="00613187" w:rsidRDefault="00B424EC" w:rsidP="00B424EC">
      <w:pPr>
        <w:pStyle w:val="SingleTxt"/>
        <w:numPr>
          <w:ilvl w:val="0"/>
          <w:numId w:val="17"/>
        </w:numPr>
        <w:tabs>
          <w:tab w:val="clear" w:pos="475"/>
          <w:tab w:val="num" w:pos="1742"/>
        </w:tabs>
        <w:ind w:left="1267"/>
      </w:pPr>
      <w:r w:rsidRPr="00613187">
        <w:t>Dans le cadre des Nations Unies, l</w:t>
      </w:r>
      <w:r>
        <w:t>’</w:t>
      </w:r>
      <w:r w:rsidRPr="00613187">
        <w:t>Argentine a siégé à la Commission des droits de l</w:t>
      </w:r>
      <w:r>
        <w:t>’</w:t>
      </w:r>
      <w:r w:rsidRPr="00613187">
        <w:t>homme de 1957 à 1962, puis de 1966 à 1968 et de 1980 à 1993. Depuis 1997, elle y a participé sans interruption</w:t>
      </w:r>
      <w:r>
        <w:t>, et a été</w:t>
      </w:r>
      <w:r w:rsidRPr="00613187">
        <w:t xml:space="preserve"> réélue en mai 2005 jusqu</w:t>
      </w:r>
      <w:r>
        <w:t>’</w:t>
      </w:r>
      <w:r w:rsidRPr="00613187">
        <w:t>à la création du Conseil des droits de l</w:t>
      </w:r>
      <w:r>
        <w:t>’</w:t>
      </w:r>
      <w:r w:rsidRPr="00613187">
        <w:t>homme, dont elle a été membre pendant une année.</w:t>
      </w:r>
    </w:p>
    <w:p w:rsidR="00B424EC" w:rsidRPr="00613187" w:rsidRDefault="00B424EC" w:rsidP="00B424EC">
      <w:pPr>
        <w:pStyle w:val="SingleTxt"/>
        <w:numPr>
          <w:ilvl w:val="0"/>
          <w:numId w:val="17"/>
        </w:numPr>
        <w:tabs>
          <w:tab w:val="clear" w:pos="475"/>
          <w:tab w:val="num" w:pos="1742"/>
        </w:tabs>
        <w:ind w:left="1267"/>
        <w:rPr>
          <w:iCs/>
        </w:rPr>
      </w:pPr>
      <w:r w:rsidRPr="00613187">
        <w:rPr>
          <w:rFonts w:eastAsia="Times New Roman"/>
          <w:szCs w:val="24"/>
          <w:lang w:val="fr-FR"/>
        </w:rPr>
        <w:t>L</w:t>
      </w:r>
      <w:r>
        <w:rPr>
          <w:rFonts w:eastAsia="Times New Roman"/>
          <w:szCs w:val="24"/>
          <w:lang w:val="fr-FR"/>
        </w:rPr>
        <w:t>’</w:t>
      </w:r>
      <w:r w:rsidRPr="00613187">
        <w:rPr>
          <w:rFonts w:eastAsia="Times New Roman"/>
          <w:szCs w:val="24"/>
          <w:lang w:val="fr-FR"/>
        </w:rPr>
        <w:t>Argentine</w:t>
      </w:r>
      <w:r w:rsidRPr="00613187">
        <w:t xml:space="preserve"> a collaboré avec tous les titulaires de mandat au titre des procédures spéciales</w:t>
      </w:r>
      <w:r>
        <w:t xml:space="preserve"> du Conseil</w:t>
      </w:r>
      <w:r w:rsidRPr="00613187">
        <w:t xml:space="preserve">. Elle a reçu des rapporteurs spéciaux et des groupes de travail </w:t>
      </w:r>
      <w:r>
        <w:t xml:space="preserve">dont le mandat porte sur la </w:t>
      </w:r>
      <w:r w:rsidRPr="00613187">
        <w:t>promotion et la protection des droits de l</w:t>
      </w:r>
      <w:r>
        <w:t>’</w:t>
      </w:r>
      <w:r w:rsidRPr="00613187">
        <w:t xml:space="preserve">homme </w:t>
      </w:r>
      <w:r>
        <w:t>et</w:t>
      </w:r>
      <w:r w:rsidRPr="00613187">
        <w:t xml:space="preserve"> a appuyé </w:t>
      </w:r>
      <w:r>
        <w:t>l</w:t>
      </w:r>
      <w:r w:rsidRPr="00613187">
        <w:t>es initiatives prévoyant la prorogation de mandats existants ou l</w:t>
      </w:r>
      <w:r>
        <w:t xml:space="preserve">a création </w:t>
      </w:r>
      <w:r w:rsidRPr="00613187">
        <w:t>de nouveaux</w:t>
      </w:r>
      <w:r>
        <w:t>.</w:t>
      </w:r>
      <w:r w:rsidRPr="00613187">
        <w:t xml:space="preserve"> </w:t>
      </w:r>
      <w:r>
        <w:t>D</w:t>
      </w:r>
      <w:r w:rsidRPr="00613187">
        <w:t>ans le cadre du Conseil</w:t>
      </w:r>
      <w:r>
        <w:t xml:space="preserve"> é</w:t>
      </w:r>
      <w:r w:rsidRPr="00613187">
        <w:t>galement, divers projets innovants ont été présentés, et l</w:t>
      </w:r>
      <w:r>
        <w:t>’</w:t>
      </w:r>
      <w:r w:rsidRPr="00613187">
        <w:t xml:space="preserve">introduction </w:t>
      </w:r>
      <w:r>
        <w:t>à</w:t>
      </w:r>
      <w:r w:rsidRPr="00613187">
        <w:t xml:space="preserve"> l</w:t>
      </w:r>
      <w:r>
        <w:t>’</w:t>
      </w:r>
      <w:r w:rsidRPr="00613187">
        <w:t xml:space="preserve">ordre du jour international de la question du droit à la vérité est particulièrement </w:t>
      </w:r>
      <w:r>
        <w:t>notabl</w:t>
      </w:r>
      <w:r w:rsidRPr="00613187">
        <w:t>e</w:t>
      </w:r>
      <w:r w:rsidRPr="00613187">
        <w:rPr>
          <w:iCs/>
        </w:rPr>
        <w:t xml:space="preserve">. </w:t>
      </w:r>
      <w:r>
        <w:rPr>
          <w:iCs/>
        </w:rPr>
        <w:t xml:space="preserve">Le développement de </w:t>
      </w:r>
      <w:r w:rsidRPr="00613187">
        <w:rPr>
          <w:iCs/>
        </w:rPr>
        <w:t>ce droit</w:t>
      </w:r>
      <w:r>
        <w:rPr>
          <w:iCs/>
        </w:rPr>
        <w:t xml:space="preserve"> fait une place centrale à </w:t>
      </w:r>
      <w:r w:rsidRPr="00613187">
        <w:rPr>
          <w:iCs/>
        </w:rPr>
        <w:t>la prévention des violations massives des droits de l</w:t>
      </w:r>
      <w:r>
        <w:rPr>
          <w:iCs/>
        </w:rPr>
        <w:t>’</w:t>
      </w:r>
      <w:r w:rsidRPr="00613187">
        <w:rPr>
          <w:iCs/>
        </w:rPr>
        <w:t xml:space="preserve">homme dans le monde. Ainsi, depuis 2009, ont été présentées des initiatives </w:t>
      </w:r>
      <w:r>
        <w:rPr>
          <w:iCs/>
        </w:rPr>
        <w:t xml:space="preserve">dans le domaine de la </w:t>
      </w:r>
      <w:r w:rsidRPr="00613187">
        <w:rPr>
          <w:iCs/>
        </w:rPr>
        <w:t>génétique médico-légale et de</w:t>
      </w:r>
      <w:r>
        <w:rPr>
          <w:iCs/>
        </w:rPr>
        <w:t>s</w:t>
      </w:r>
      <w:r w:rsidRPr="00613187">
        <w:rPr>
          <w:iCs/>
        </w:rPr>
        <w:t xml:space="preserve"> droits de l</w:t>
      </w:r>
      <w:r>
        <w:rPr>
          <w:iCs/>
        </w:rPr>
        <w:t>’</w:t>
      </w:r>
      <w:r w:rsidRPr="00613187">
        <w:rPr>
          <w:iCs/>
        </w:rPr>
        <w:t>homme.</w:t>
      </w:r>
    </w:p>
    <w:p w:rsidR="00B424EC" w:rsidRPr="00613187" w:rsidRDefault="00B424EC" w:rsidP="00B424EC">
      <w:pPr>
        <w:pStyle w:val="SingleTxt"/>
        <w:numPr>
          <w:ilvl w:val="0"/>
          <w:numId w:val="17"/>
        </w:numPr>
        <w:tabs>
          <w:tab w:val="clear" w:pos="475"/>
          <w:tab w:val="num" w:pos="1742"/>
        </w:tabs>
        <w:ind w:left="1267"/>
      </w:pPr>
      <w:r>
        <w:t xml:space="preserve">On soulignera la création récente du </w:t>
      </w:r>
      <w:r w:rsidRPr="00613187">
        <w:t>nouveau mandat d</w:t>
      </w:r>
      <w:r>
        <w:t>e</w:t>
      </w:r>
      <w:r w:rsidRPr="00613187">
        <w:t xml:space="preserve"> Rapporteur spécial sur la promotion de la vérité, de la justice, de la réparation et des garanties de non-répétition</w:t>
      </w:r>
      <w:r>
        <w:t xml:space="preserve">; la résolution avait été </w:t>
      </w:r>
      <w:r w:rsidRPr="00613187">
        <w:t xml:space="preserve">présentée </w:t>
      </w:r>
      <w:r>
        <w:t xml:space="preserve">conjointement </w:t>
      </w:r>
      <w:r w:rsidRPr="00613187">
        <w:t xml:space="preserve">avec la Suisse et </w:t>
      </w:r>
      <w:r>
        <w:t xml:space="preserve">avait </w:t>
      </w:r>
      <w:r w:rsidRPr="00613187">
        <w:t xml:space="preserve">notamment </w:t>
      </w:r>
      <w:r>
        <w:t>pour coauteurs</w:t>
      </w:r>
      <w:r w:rsidRPr="00613187">
        <w:t xml:space="preserve"> le Maroc, la Côte d</w:t>
      </w:r>
      <w:r>
        <w:t>’</w:t>
      </w:r>
      <w:r w:rsidRPr="00613187">
        <w:t>Ivoire et la France.</w:t>
      </w:r>
    </w:p>
    <w:p w:rsidR="00B424EC" w:rsidRPr="00613187" w:rsidRDefault="00B424EC" w:rsidP="00B424EC">
      <w:pPr>
        <w:pStyle w:val="SingleTxt"/>
        <w:numPr>
          <w:ilvl w:val="0"/>
          <w:numId w:val="17"/>
        </w:numPr>
        <w:tabs>
          <w:tab w:val="clear" w:pos="475"/>
          <w:tab w:val="num" w:pos="1742"/>
        </w:tabs>
        <w:ind w:left="1267"/>
      </w:pPr>
      <w:r w:rsidRPr="00613187">
        <w:t xml:space="preserve">Les activités </w:t>
      </w:r>
      <w:r>
        <w:t xml:space="preserve">visant l’application universelle </w:t>
      </w:r>
      <w:r w:rsidRPr="00613187">
        <w:t>de la Convention internationale pour la protection de toutes les personnes contre les disparitions forcées, entrée en vigueur le 23 décembre</w:t>
      </w:r>
      <w:r>
        <w:t xml:space="preserve"> </w:t>
      </w:r>
      <w:r w:rsidRPr="00613187">
        <w:t xml:space="preserve">2010 et </w:t>
      </w:r>
      <w:r>
        <w:t xml:space="preserve">instituant un Comité dont </w:t>
      </w:r>
      <w:r w:rsidRPr="00613187">
        <w:t>l</w:t>
      </w:r>
      <w:r>
        <w:t>’</w:t>
      </w:r>
      <w:r w:rsidRPr="00613187">
        <w:t xml:space="preserve">Argentine a </w:t>
      </w:r>
      <w:r>
        <w:t xml:space="preserve">accepté </w:t>
      </w:r>
      <w:r w:rsidRPr="00613187">
        <w:t xml:space="preserve">la compétence, constituent un axe central de la politique extérieure du pays, </w:t>
      </w:r>
      <w:r>
        <w:t>tout comme les effort</w:t>
      </w:r>
      <w:r w:rsidRPr="00613187">
        <w:t xml:space="preserve">s déployés </w:t>
      </w:r>
      <w:r>
        <w:t xml:space="preserve">à </w:t>
      </w:r>
      <w:r w:rsidRPr="00613187">
        <w:t>l</w:t>
      </w:r>
      <w:r>
        <w:t>’</w:t>
      </w:r>
      <w:r w:rsidRPr="00613187">
        <w:t xml:space="preserve">Organisation des États américains (OEA) et </w:t>
      </w:r>
      <w:r>
        <w:t>à</w:t>
      </w:r>
      <w:r w:rsidRPr="00613187">
        <w:t xml:space="preserve"> l</w:t>
      </w:r>
      <w:r>
        <w:t>’</w:t>
      </w:r>
      <w:r w:rsidRPr="00613187">
        <w:t>Assemblée générale en vue d</w:t>
      </w:r>
      <w:r>
        <w:t>’</w:t>
      </w:r>
      <w:r w:rsidRPr="00613187">
        <w:t xml:space="preserve">élaborer une convention </w:t>
      </w:r>
      <w:r>
        <w:t xml:space="preserve">pour </w:t>
      </w:r>
      <w:r w:rsidRPr="00613187">
        <w:t>la protection des droits des personnes âgées.</w:t>
      </w:r>
    </w:p>
    <w:p w:rsidR="00B424EC" w:rsidRDefault="00B424EC" w:rsidP="00B424EC">
      <w:pPr>
        <w:pStyle w:val="SingleTxt"/>
        <w:numPr>
          <w:ilvl w:val="0"/>
          <w:numId w:val="17"/>
        </w:numPr>
        <w:tabs>
          <w:tab w:val="clear" w:pos="475"/>
          <w:tab w:val="num" w:pos="1742"/>
        </w:tabs>
        <w:ind w:left="1267"/>
      </w:pPr>
      <w:r w:rsidRPr="00613187">
        <w:t>L</w:t>
      </w:r>
      <w:r>
        <w:t>’</w:t>
      </w:r>
      <w:r w:rsidRPr="00613187">
        <w:t>Argentine s</w:t>
      </w:r>
      <w:r>
        <w:t>’</w:t>
      </w:r>
      <w:r w:rsidRPr="00613187">
        <w:t xml:space="preserve">emploie à </w:t>
      </w:r>
      <w:r>
        <w:t xml:space="preserve">donner suite aux </w:t>
      </w:r>
      <w:r w:rsidRPr="00613187">
        <w:t xml:space="preserve">recommandations formulées par les États </w:t>
      </w:r>
      <w:r>
        <w:t xml:space="preserve">à l’issue de l’Examen périodique universel et a, pour s’acquitter de ses engagements, soumis volontairement au Conseil à sa quinzième session (septembre 2010) un rapport intérimaire </w:t>
      </w:r>
      <w:r w:rsidRPr="00613187">
        <w:t>sur le respect des dispositions, qui résum</w:t>
      </w:r>
      <w:r>
        <w:t>ait</w:t>
      </w:r>
      <w:r w:rsidRPr="00613187">
        <w:t xml:space="preserve"> les mesures adoptées jusqu</w:t>
      </w:r>
      <w:r>
        <w:t>’</w:t>
      </w:r>
      <w:r w:rsidRPr="00613187">
        <w:t>alors.</w:t>
      </w:r>
    </w:p>
    <w:p w:rsidR="00B424EC" w:rsidRPr="00C50EB9" w:rsidRDefault="00B424EC" w:rsidP="00B424EC">
      <w:pPr>
        <w:pStyle w:val="SingleTxt"/>
        <w:tabs>
          <w:tab w:val="clear" w:pos="1742"/>
        </w:tabs>
        <w:spacing w:after="0" w:line="120" w:lineRule="exact"/>
        <w:rPr>
          <w:sz w:val="10"/>
        </w:rPr>
      </w:pPr>
    </w:p>
    <w:p w:rsidR="00B424EC" w:rsidRDefault="00B424EC" w:rsidP="00B4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3187">
        <w:tab/>
        <w:t>6.</w:t>
      </w:r>
      <w:r w:rsidRPr="00613187">
        <w:tab/>
        <w:t>Participation régionale</w:t>
      </w:r>
    </w:p>
    <w:p w:rsidR="00B424EC" w:rsidRPr="00C50EB9" w:rsidRDefault="00B424EC" w:rsidP="00B424EC">
      <w:pPr>
        <w:pStyle w:val="SingleTxt"/>
        <w:spacing w:after="0" w:line="120" w:lineRule="exact"/>
        <w:rPr>
          <w:sz w:val="10"/>
        </w:rPr>
      </w:pPr>
    </w:p>
    <w:p w:rsidR="00B424EC" w:rsidRPr="00613187" w:rsidRDefault="00B424EC" w:rsidP="00B424EC">
      <w:pPr>
        <w:pStyle w:val="SingleTxt"/>
        <w:numPr>
          <w:ilvl w:val="0"/>
          <w:numId w:val="17"/>
        </w:numPr>
        <w:tabs>
          <w:tab w:val="clear" w:pos="475"/>
          <w:tab w:val="num" w:pos="1742"/>
        </w:tabs>
        <w:ind w:left="1267"/>
      </w:pPr>
      <w:r w:rsidRPr="00613187">
        <w:t>L</w:t>
      </w:r>
      <w:r>
        <w:t>’</w:t>
      </w:r>
      <w:r w:rsidRPr="00613187">
        <w:t>Argentine participe activement à toutes les négociations relatives aux droits de l</w:t>
      </w:r>
      <w:r>
        <w:t>’</w:t>
      </w:r>
      <w:r w:rsidRPr="00613187">
        <w:t>homme dans le cadre de l</w:t>
      </w:r>
      <w:r>
        <w:t>’</w:t>
      </w:r>
      <w:r w:rsidRPr="00613187">
        <w:t>OEA et maintient un dialogue</w:t>
      </w:r>
      <w:r>
        <w:t xml:space="preserve"> constant avec les États de la r</w:t>
      </w:r>
      <w:r w:rsidRPr="00613187">
        <w:t>égion.</w:t>
      </w:r>
    </w:p>
    <w:p w:rsidR="00B424EC" w:rsidRPr="00613187" w:rsidRDefault="00B424EC" w:rsidP="00B424EC">
      <w:pPr>
        <w:pStyle w:val="SingleTxt"/>
        <w:numPr>
          <w:ilvl w:val="0"/>
          <w:numId w:val="17"/>
        </w:numPr>
        <w:tabs>
          <w:tab w:val="clear" w:pos="475"/>
          <w:tab w:val="num" w:pos="1742"/>
        </w:tabs>
        <w:ind w:left="1267"/>
      </w:pPr>
      <w:r>
        <w:t xml:space="preserve">Comme elle l’a fait avec les </w:t>
      </w:r>
      <w:r w:rsidRPr="00613187">
        <w:t>mécanismes des Nations Unies, l</w:t>
      </w:r>
      <w:r>
        <w:t>’</w:t>
      </w:r>
      <w:r w:rsidRPr="00613187">
        <w:t xml:space="preserve">Argentine a adressé une invitation permanente aux organes du </w:t>
      </w:r>
      <w:r>
        <w:t>s</w:t>
      </w:r>
      <w:r w:rsidRPr="00613187">
        <w:t>ystème interaméricain des droits de l</w:t>
      </w:r>
      <w:r>
        <w:t>’</w:t>
      </w:r>
      <w:r w:rsidRPr="00613187">
        <w:t xml:space="preserve">homme. De même, </w:t>
      </w:r>
      <w:r>
        <w:t>elle</w:t>
      </w:r>
      <w:r w:rsidRPr="00613187">
        <w:t xml:space="preserve"> a reconnu la compétence de la Commission interaméricaine des droits de l</w:t>
      </w:r>
      <w:r>
        <w:t>’</w:t>
      </w:r>
      <w:r w:rsidRPr="00613187">
        <w:t>homme (CIDH) et de la Cour interaméricaine des droits de l</w:t>
      </w:r>
      <w:r>
        <w:t>’</w:t>
      </w:r>
      <w:r w:rsidRPr="00613187">
        <w:t>homme pour connaître des plaintes dé</w:t>
      </w:r>
      <w:r>
        <w:t>nonçant les</w:t>
      </w:r>
      <w:r w:rsidRPr="00613187">
        <w:t xml:space="preserve"> violation</w:t>
      </w:r>
      <w:r>
        <w:t>s</w:t>
      </w:r>
      <w:r w:rsidRPr="00613187">
        <w:t xml:space="preserve"> des droits de l</w:t>
      </w:r>
      <w:r>
        <w:t>’</w:t>
      </w:r>
      <w:r w:rsidRPr="00613187">
        <w:t>homme</w:t>
      </w:r>
      <w:r>
        <w:t xml:space="preserve"> qui la mettent en cause</w:t>
      </w:r>
      <w:r w:rsidRPr="00613187">
        <w:t>.</w:t>
      </w:r>
    </w:p>
    <w:p w:rsidR="00B424EC" w:rsidRPr="00613187" w:rsidRDefault="00B424EC" w:rsidP="00B424EC">
      <w:pPr>
        <w:pStyle w:val="SingleTxt"/>
        <w:numPr>
          <w:ilvl w:val="0"/>
          <w:numId w:val="17"/>
        </w:numPr>
        <w:tabs>
          <w:tab w:val="clear" w:pos="475"/>
          <w:tab w:val="num" w:pos="1742"/>
        </w:tabs>
        <w:ind w:left="1267"/>
      </w:pPr>
      <w:r w:rsidRPr="00613187">
        <w:lastRenderedPageBreak/>
        <w:t xml:space="preserve">En 2009 la CIDH </w:t>
      </w:r>
      <w:r>
        <w:t xml:space="preserve">a </w:t>
      </w:r>
      <w:r w:rsidRPr="00613187">
        <w:t xml:space="preserve">tenu à Buenos Aires une session extraordinaire </w:t>
      </w:r>
      <w:r>
        <w:t xml:space="preserve">pour célébrer l’anniversaire de sa création (1959), de l’installation </w:t>
      </w:r>
      <w:r w:rsidRPr="00613187">
        <w:t>de la Cour interaméricaine des droits de l</w:t>
      </w:r>
      <w:r>
        <w:t>’</w:t>
      </w:r>
      <w:r w:rsidRPr="00613187">
        <w:t xml:space="preserve">homme (1979) et de la </w:t>
      </w:r>
      <w:r>
        <w:t xml:space="preserve">mission </w:t>
      </w:r>
      <w:r w:rsidRPr="00613187">
        <w:t xml:space="preserve">historique </w:t>
      </w:r>
      <w:r>
        <w:t xml:space="preserve">qu’elle avait </w:t>
      </w:r>
      <w:r w:rsidRPr="00613187">
        <w:t>effectuée en Argentine en 1979.</w:t>
      </w:r>
    </w:p>
    <w:p w:rsidR="00B424EC" w:rsidRDefault="00B424EC" w:rsidP="00EE09E3">
      <w:pPr>
        <w:pStyle w:val="SingleTxt"/>
        <w:numPr>
          <w:ilvl w:val="0"/>
          <w:numId w:val="17"/>
        </w:numPr>
        <w:tabs>
          <w:tab w:val="clear" w:pos="475"/>
          <w:tab w:val="num" w:pos="1742"/>
        </w:tabs>
        <w:ind w:left="1267"/>
      </w:pPr>
      <w:r>
        <w:t xml:space="preserve">Enfin les </w:t>
      </w:r>
      <w:r w:rsidRPr="00613187">
        <w:t xml:space="preserve">résolutions </w:t>
      </w:r>
      <w:r>
        <w:t>sur le « D</w:t>
      </w:r>
      <w:r w:rsidRPr="00613187">
        <w:t>roit à la vérité</w:t>
      </w:r>
      <w:r>
        <w:t> </w:t>
      </w:r>
      <w:r w:rsidRPr="00613187">
        <w:t>», «</w:t>
      </w:r>
      <w:r>
        <w:t xml:space="preserve"> Les </w:t>
      </w:r>
      <w:r w:rsidRPr="00613187">
        <w:t xml:space="preserve">personnes âgées et </w:t>
      </w:r>
      <w:r>
        <w:t>les</w:t>
      </w:r>
      <w:r w:rsidRPr="00613187">
        <w:t xml:space="preserve"> droits </w:t>
      </w:r>
      <w:r>
        <w:t>de l’homme </w:t>
      </w:r>
      <w:r w:rsidRPr="00613187">
        <w:t>», «</w:t>
      </w:r>
      <w:r>
        <w:t> La</w:t>
      </w:r>
      <w:r w:rsidRPr="00613187">
        <w:t xml:space="preserve"> </w:t>
      </w:r>
      <w:r>
        <w:t>p</w:t>
      </w:r>
      <w:r w:rsidRPr="00613187">
        <w:t>rotection des demandeurs d</w:t>
      </w:r>
      <w:r>
        <w:t>’</w:t>
      </w:r>
      <w:r w:rsidRPr="00613187">
        <w:t xml:space="preserve">asile </w:t>
      </w:r>
      <w:r>
        <w:t xml:space="preserve">du statut de réfugié </w:t>
      </w:r>
      <w:r w:rsidRPr="00613187">
        <w:t>dans les Amériques</w:t>
      </w:r>
      <w:r>
        <w:t> </w:t>
      </w:r>
      <w:r w:rsidRPr="00613187">
        <w:t>»</w:t>
      </w:r>
      <w:r>
        <w:t>, « L’</w:t>
      </w:r>
      <w:r w:rsidRPr="00613187">
        <w:t>accès à la justice</w:t>
      </w:r>
      <w:r>
        <w:t> </w:t>
      </w:r>
      <w:r w:rsidRPr="00613187">
        <w:t xml:space="preserve">», </w:t>
      </w:r>
      <w:r>
        <w:t>et le</w:t>
      </w:r>
      <w:r w:rsidRPr="00613187">
        <w:t xml:space="preserve"> «</w:t>
      </w:r>
      <w:r>
        <w:t> R</w:t>
      </w:r>
      <w:r w:rsidRPr="00613187">
        <w:t>ôle des défenseurs publics</w:t>
      </w:r>
      <w:r>
        <w:t> </w:t>
      </w:r>
      <w:r w:rsidRPr="00613187">
        <w:t>»,</w:t>
      </w:r>
      <w:r>
        <w:t xml:space="preserve"> adoptées</w:t>
      </w:r>
      <w:r w:rsidRPr="00613187">
        <w:t xml:space="preserve"> récemment </w:t>
      </w:r>
      <w:r>
        <w:t xml:space="preserve">à la quarante et unième </w:t>
      </w:r>
      <w:r w:rsidRPr="00613187">
        <w:t>session de l</w:t>
      </w:r>
      <w:r>
        <w:t>’</w:t>
      </w:r>
      <w:r w:rsidRPr="00613187">
        <w:t>Assemblée générale de l</w:t>
      </w:r>
      <w:r>
        <w:t>’</w:t>
      </w:r>
      <w:r w:rsidRPr="00613187">
        <w:t xml:space="preserve">OEA, </w:t>
      </w:r>
      <w:r>
        <w:t xml:space="preserve">sont des </w:t>
      </w:r>
      <w:r w:rsidRPr="00613187">
        <w:t xml:space="preserve">initiatives </w:t>
      </w:r>
      <w:r>
        <w:t>de l’A</w:t>
      </w:r>
      <w:r w:rsidRPr="00613187">
        <w:t>rgentine.</w:t>
      </w:r>
    </w:p>
    <w:bookmarkStart w:id="1" w:name="_GoBack"/>
    <w:bookmarkEnd w:id="1"/>
    <w:p w:rsidR="00B424EC" w:rsidRPr="00B424EC" w:rsidRDefault="00B424EC" w:rsidP="00B424EC">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p&#10;wJ4m2gEAAA4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B424EC" w:rsidRPr="00B424EC" w:rsidSect="00C67BB8">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4T14:21:00Z" w:initials="Start">
    <w:p w:rsidR="00FE42C6" w:rsidRDefault="00FE42C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NO&gt;&gt;N1515112F&lt;&lt;ODS JOB NO&gt;&gt;</w:t>
      </w:r>
    </w:p>
    <w:p w:rsidR="00FE42C6" w:rsidRDefault="00FE42C6">
      <w:pPr>
        <w:pStyle w:val="CommentText"/>
      </w:pPr>
      <w:r>
        <w:t>&lt;&lt;ODS DOC SYMBOL1&gt;&gt;HRI/CORE/ARG/2014&lt;&lt;ODS DOC SYMBOL1&gt;&gt;</w:t>
      </w:r>
    </w:p>
    <w:p w:rsidR="00FE42C6" w:rsidRDefault="00FE42C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C6" w:rsidRDefault="00FE42C6" w:rsidP="00F3330B">
      <w:pPr>
        <w:spacing w:line="240" w:lineRule="auto"/>
      </w:pPr>
      <w:r>
        <w:separator/>
      </w:r>
    </w:p>
  </w:endnote>
  <w:endnote w:type="continuationSeparator" w:id="0">
    <w:p w:rsidR="00FE42C6" w:rsidRDefault="00FE42C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E42C6" w:rsidTr="00C67BB8">
      <w:trPr>
        <w:jc w:val="center"/>
      </w:trPr>
      <w:tc>
        <w:tcPr>
          <w:tcW w:w="5126" w:type="dxa"/>
          <w:shd w:val="clear" w:color="auto" w:fill="auto"/>
        </w:tcPr>
        <w:p w:rsidR="00FE42C6" w:rsidRPr="00C67BB8" w:rsidRDefault="00FE42C6" w:rsidP="00C67BB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7F6A">
            <w:rPr>
              <w:b w:val="0"/>
              <w:w w:val="103"/>
              <w:sz w:val="14"/>
            </w:rPr>
            <w:t>GE.15-11341</w:t>
          </w:r>
          <w:r>
            <w:rPr>
              <w:b w:val="0"/>
              <w:w w:val="103"/>
              <w:sz w:val="14"/>
            </w:rPr>
            <w:fldChar w:fldCharType="end"/>
          </w:r>
        </w:p>
      </w:tc>
      <w:tc>
        <w:tcPr>
          <w:tcW w:w="5127" w:type="dxa"/>
          <w:shd w:val="clear" w:color="auto" w:fill="auto"/>
        </w:tcPr>
        <w:p w:rsidR="00FE42C6" w:rsidRPr="00C67BB8" w:rsidRDefault="00FE42C6" w:rsidP="00C67BB8">
          <w:pPr>
            <w:pStyle w:val="Footer"/>
            <w:rPr>
              <w:w w:val="103"/>
            </w:rPr>
          </w:pPr>
          <w:r>
            <w:rPr>
              <w:w w:val="103"/>
            </w:rPr>
            <w:fldChar w:fldCharType="begin"/>
          </w:r>
          <w:r>
            <w:rPr>
              <w:w w:val="103"/>
            </w:rPr>
            <w:instrText xml:space="preserve"> PAGE  \* Arabic  \* MERGEFORMAT </w:instrText>
          </w:r>
          <w:r>
            <w:rPr>
              <w:w w:val="103"/>
            </w:rPr>
            <w:fldChar w:fldCharType="separate"/>
          </w:r>
          <w:r w:rsidR="00067F6A">
            <w:rPr>
              <w:noProof/>
              <w:w w:val="103"/>
            </w:rPr>
            <w:t>38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67F6A">
            <w:rPr>
              <w:noProof/>
              <w:w w:val="103"/>
            </w:rPr>
            <w:t>38</w:t>
          </w:r>
          <w:r>
            <w:rPr>
              <w:w w:val="103"/>
            </w:rPr>
            <w:fldChar w:fldCharType="end"/>
          </w:r>
        </w:p>
      </w:tc>
    </w:tr>
  </w:tbl>
  <w:p w:rsidR="00FE42C6" w:rsidRPr="00C67BB8" w:rsidRDefault="00FE42C6" w:rsidP="00C67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E42C6" w:rsidTr="00C67BB8">
      <w:trPr>
        <w:jc w:val="center"/>
      </w:trPr>
      <w:tc>
        <w:tcPr>
          <w:tcW w:w="5126" w:type="dxa"/>
          <w:shd w:val="clear" w:color="auto" w:fill="auto"/>
        </w:tcPr>
        <w:p w:rsidR="00FE42C6" w:rsidRPr="00C67BB8" w:rsidRDefault="00FE42C6" w:rsidP="00C67BB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67F6A">
            <w:rPr>
              <w:noProof/>
              <w:w w:val="103"/>
            </w:rPr>
            <w:t>37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67F6A">
            <w:rPr>
              <w:noProof/>
              <w:w w:val="103"/>
            </w:rPr>
            <w:t>38</w:t>
          </w:r>
          <w:r>
            <w:rPr>
              <w:w w:val="103"/>
            </w:rPr>
            <w:fldChar w:fldCharType="end"/>
          </w:r>
        </w:p>
      </w:tc>
      <w:tc>
        <w:tcPr>
          <w:tcW w:w="5127" w:type="dxa"/>
          <w:shd w:val="clear" w:color="auto" w:fill="auto"/>
        </w:tcPr>
        <w:p w:rsidR="00FE42C6" w:rsidRPr="00C67BB8" w:rsidRDefault="00FE42C6" w:rsidP="00C67BB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7F6A">
            <w:rPr>
              <w:b w:val="0"/>
              <w:w w:val="103"/>
              <w:sz w:val="14"/>
            </w:rPr>
            <w:t>GE.15-11341</w:t>
          </w:r>
          <w:r>
            <w:rPr>
              <w:b w:val="0"/>
              <w:w w:val="103"/>
              <w:sz w:val="14"/>
            </w:rPr>
            <w:fldChar w:fldCharType="end"/>
          </w:r>
        </w:p>
      </w:tc>
    </w:tr>
  </w:tbl>
  <w:p w:rsidR="00FE42C6" w:rsidRPr="00C67BB8" w:rsidRDefault="00FE42C6" w:rsidP="00C67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6" w:rsidRDefault="00FE42C6">
    <w:pPr>
      <w:pStyle w:val="Footer"/>
    </w:pPr>
    <w:r>
      <w:rPr>
        <w:noProof/>
      </w:rPr>
      <w:drawing>
        <wp:anchor distT="0" distB="0" distL="114300" distR="114300" simplePos="0" relativeHeight="251658240" behindDoc="0" locked="0" layoutInCell="1" allowOverlap="1" wp14:anchorId="12861F71" wp14:editId="3E70E88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HRI/CORE/ARG/201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HRI/CORE/ARG/201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E42C6" w:rsidTr="00C67BB8">
      <w:tc>
        <w:tcPr>
          <w:tcW w:w="3859" w:type="dxa"/>
        </w:tcPr>
        <w:p w:rsidR="00FE42C6" w:rsidRDefault="00FE42C6" w:rsidP="00C67BB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67F6A">
            <w:rPr>
              <w:b w:val="0"/>
              <w:sz w:val="20"/>
            </w:rPr>
            <w:t>GE.15-11341 (F)</w:t>
          </w:r>
          <w:r>
            <w:rPr>
              <w:b w:val="0"/>
              <w:sz w:val="20"/>
            </w:rPr>
            <w:fldChar w:fldCharType="end"/>
          </w:r>
          <w:r>
            <w:rPr>
              <w:b w:val="0"/>
              <w:sz w:val="20"/>
            </w:rPr>
            <w:t xml:space="preserve">    140116    1</w:t>
          </w:r>
          <w:r w:rsidR="00524418">
            <w:rPr>
              <w:b w:val="0"/>
              <w:sz w:val="20"/>
            </w:rPr>
            <w:t>9</w:t>
          </w:r>
          <w:r>
            <w:rPr>
              <w:b w:val="0"/>
              <w:sz w:val="20"/>
            </w:rPr>
            <w:t>0116</w:t>
          </w:r>
        </w:p>
        <w:p w:rsidR="00FE42C6" w:rsidRPr="00C67BB8" w:rsidRDefault="00FE42C6" w:rsidP="00C67BB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67F6A">
            <w:rPr>
              <w:rFonts w:ascii="Barcode 3 of 9 by request" w:hAnsi="Barcode 3 of 9 by request"/>
              <w:b w:val="0"/>
              <w:spacing w:val="0"/>
              <w:w w:val="100"/>
              <w:sz w:val="24"/>
            </w:rPr>
            <w:t>*1511341*</w:t>
          </w:r>
          <w:r>
            <w:rPr>
              <w:rFonts w:ascii="Barcode 3 of 9 by request" w:hAnsi="Barcode 3 of 9 by request"/>
              <w:b w:val="0"/>
              <w:spacing w:val="0"/>
              <w:w w:val="100"/>
              <w:sz w:val="24"/>
            </w:rPr>
            <w:fldChar w:fldCharType="end"/>
          </w:r>
        </w:p>
      </w:tc>
      <w:tc>
        <w:tcPr>
          <w:tcW w:w="5127" w:type="dxa"/>
        </w:tcPr>
        <w:p w:rsidR="00FE42C6" w:rsidRDefault="00FE42C6" w:rsidP="00C67BB8">
          <w:pPr>
            <w:pStyle w:val="Footer"/>
            <w:spacing w:line="240" w:lineRule="atLeast"/>
            <w:jc w:val="right"/>
            <w:rPr>
              <w:b w:val="0"/>
              <w:sz w:val="20"/>
            </w:rPr>
          </w:pPr>
          <w:r>
            <w:rPr>
              <w:b w:val="0"/>
              <w:noProof/>
              <w:sz w:val="20"/>
            </w:rPr>
            <w:drawing>
              <wp:inline distT="0" distB="0" distL="0" distR="0" wp14:anchorId="0C95388C" wp14:editId="53A6FA7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E42C6" w:rsidRPr="00C67BB8" w:rsidRDefault="00FE42C6" w:rsidP="00C67BB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C6" w:rsidRPr="007F3013" w:rsidRDefault="00FE42C6" w:rsidP="007F3013">
      <w:pPr>
        <w:pStyle w:val="Footer"/>
        <w:spacing w:after="80"/>
        <w:ind w:left="792"/>
        <w:rPr>
          <w:sz w:val="16"/>
        </w:rPr>
      </w:pPr>
      <w:r w:rsidRPr="007F3013">
        <w:rPr>
          <w:sz w:val="16"/>
        </w:rPr>
        <w:t>__________________</w:t>
      </w:r>
    </w:p>
  </w:footnote>
  <w:footnote w:type="continuationSeparator" w:id="0">
    <w:p w:rsidR="00FE42C6" w:rsidRPr="007F3013" w:rsidRDefault="00FE42C6" w:rsidP="007F3013">
      <w:pPr>
        <w:pStyle w:val="Footer"/>
        <w:spacing w:after="80"/>
        <w:ind w:left="792"/>
        <w:rPr>
          <w:sz w:val="16"/>
        </w:rPr>
      </w:pPr>
      <w:r w:rsidRPr="007F3013">
        <w:rPr>
          <w:sz w:val="16"/>
        </w:rPr>
        <w:t>__________________</w:t>
      </w:r>
    </w:p>
  </w:footnote>
  <w:footnote w:id="1">
    <w:p w:rsidR="00FE42C6" w:rsidRPr="00B35E44" w:rsidRDefault="00FE42C6" w:rsidP="007F3013">
      <w:pPr>
        <w:pStyle w:val="FootnoteText"/>
        <w:tabs>
          <w:tab w:val="right" w:pos="1195"/>
          <w:tab w:val="left" w:pos="1267"/>
          <w:tab w:val="left" w:pos="1742"/>
          <w:tab w:val="left" w:pos="2218"/>
          <w:tab w:val="left" w:pos="2693"/>
        </w:tabs>
        <w:ind w:left="1267" w:right="1260" w:hanging="432"/>
      </w:pPr>
      <w:r>
        <w:tab/>
      </w:r>
      <w:r w:rsidRPr="00493875">
        <w:rPr>
          <w:rStyle w:val="FootnoteReference"/>
          <w:szCs w:val="17"/>
          <w:vertAlign w:val="baseline"/>
        </w:rPr>
        <w:t>*</w:t>
      </w:r>
      <w:r>
        <w:rPr>
          <w:sz w:val="20"/>
        </w:rPr>
        <w:tab/>
      </w:r>
      <w:r>
        <w:t>Le présent document n’a pas fait l’objet d’une relecture sur le fond par les services d’édition.</w:t>
      </w:r>
    </w:p>
  </w:footnote>
  <w:footnote w:id="2">
    <w:p w:rsidR="00FE42C6" w:rsidRDefault="00FE42C6" w:rsidP="007F3013">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95491F">
        <w:t xml:space="preserve">Les îles Malvinas, la Géorgie du Sud, les îles Sandwich du Sud et les espaces maritimes environnants font partie intégrante du territoire national argentin. </w:t>
      </w:r>
      <w:r>
        <w:t>Comme</w:t>
      </w:r>
      <w:r w:rsidRPr="0095491F">
        <w:t xml:space="preserve"> ces territoires sont </w:t>
      </w:r>
      <w:r>
        <w:t xml:space="preserve">occupés illégalement par le </w:t>
      </w:r>
      <w:r w:rsidRPr="0095491F">
        <w:t>Royaume-Uni de Grande-Bretagne et d</w:t>
      </w:r>
      <w:r>
        <w:t>’</w:t>
      </w:r>
      <w:r w:rsidRPr="0095491F">
        <w:t>Irlande du Nord, la République argentine n</w:t>
      </w:r>
      <w:r>
        <w:t>’</w:t>
      </w:r>
      <w:r w:rsidRPr="0095491F">
        <w:t>a pas été en mesure de réaliser le recensement de 2010 dans cette zone.</w:t>
      </w:r>
    </w:p>
    <w:p w:rsidR="00FE42C6" w:rsidRPr="0067590F" w:rsidRDefault="00FE42C6" w:rsidP="007F3013">
      <w:pPr>
        <w:pStyle w:val="FootnoteText"/>
        <w:tabs>
          <w:tab w:val="right" w:pos="1195"/>
          <w:tab w:val="left" w:pos="1267"/>
          <w:tab w:val="left" w:pos="1742"/>
          <w:tab w:val="left" w:pos="2218"/>
          <w:tab w:val="left" w:pos="2693"/>
        </w:tabs>
        <w:ind w:left="1267" w:right="1260" w:hanging="432"/>
        <w:rPr>
          <w:spacing w:val="5"/>
          <w:w w:val="104"/>
        </w:rPr>
      </w:pPr>
      <w:r>
        <w:tab/>
      </w:r>
      <w:r>
        <w:tab/>
      </w:r>
      <w:r w:rsidRPr="002E2F2C">
        <w:rPr>
          <w:i/>
        </w:rPr>
        <w:t>Source</w:t>
      </w:r>
      <w:r>
        <w:t> </w:t>
      </w:r>
      <w:r w:rsidRPr="0095491F">
        <w:t>: INDEC</w:t>
      </w:r>
      <w:r>
        <w:t>.</w:t>
      </w:r>
      <w:r w:rsidRPr="0095491F">
        <w:t xml:space="preserve"> Recensement national de la population, des ménages et du logement, 2010. La population totale </w:t>
      </w:r>
      <w:r>
        <w:t>inclut</w:t>
      </w:r>
      <w:r w:rsidRPr="0095491F">
        <w:t xml:space="preserve"> les sans-abri.</w:t>
      </w:r>
    </w:p>
  </w:footnote>
  <w:footnote w:id="3">
    <w:p w:rsidR="00FE42C6" w:rsidRDefault="00FE42C6" w:rsidP="007F301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Les îles Malvinas, la Géorgie du Sud, les îles Sandwich du Sud et les espaces maritimes environnants font partie intégrante du territoire national argentin. Comme ces territoires sont occupés illégalement par le Royaume-Uni de Grande-Bretagne et d’Irlande du Nord, la République argentine n’a pas été en mesure de réaliser le recensement de 2010 dans cette zone.</w:t>
      </w:r>
    </w:p>
  </w:footnote>
  <w:footnote w:id="4">
    <w:p w:rsidR="00FE42C6" w:rsidRPr="000921C7" w:rsidRDefault="00FE42C6" w:rsidP="000921C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 xml:space="preserve"> </w:t>
      </w:r>
      <w:r>
        <w:tab/>
        <w:t>Les îles Malvinas,</w:t>
      </w:r>
      <w:r w:rsidRPr="001A1CD8">
        <w:t xml:space="preserve"> la Géorgie du Sud, </w:t>
      </w:r>
      <w:r>
        <w:t xml:space="preserve">les îles </w:t>
      </w:r>
      <w:r w:rsidRPr="001A1CD8">
        <w:t>Sandwich du sud et les espaces maritimes envi</w:t>
      </w:r>
      <w:r>
        <w:t>ronnants font partie intégrante</w:t>
      </w:r>
      <w:r w:rsidRPr="001A1CD8">
        <w:t xml:space="preserve"> du territoire argentin et sont actuellement </w:t>
      </w:r>
      <w:r>
        <w:t>occupés illégalement par le</w:t>
      </w:r>
      <w:r w:rsidRPr="001A1CD8">
        <w:t xml:space="preserve"> Royaume-Uni de Grande-Bretagne et d</w:t>
      </w:r>
      <w:r>
        <w:t>’</w:t>
      </w:r>
      <w:r w:rsidRPr="001A1CD8">
        <w:t>Irlande du Nord</w:t>
      </w:r>
      <w:r>
        <w:t> : i</w:t>
      </w:r>
      <w:r w:rsidRPr="001A1CD8">
        <w:t>ls font l</w:t>
      </w:r>
      <w:r>
        <w:t>’</w:t>
      </w:r>
      <w:r w:rsidRPr="001A1CD8">
        <w:t>objet d</w:t>
      </w:r>
      <w:r>
        <w:t>’</w:t>
      </w:r>
      <w:r w:rsidRPr="001A1CD8">
        <w:t>un différend de souveraineté entre les deux pays</w:t>
      </w:r>
      <w:r>
        <w:t>,</w:t>
      </w:r>
      <w:r w:rsidRPr="001A1CD8">
        <w:t xml:space="preserve"> qui est reconnu par les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E42C6" w:rsidTr="00C67BB8">
      <w:trPr>
        <w:trHeight w:hRule="exact" w:val="864"/>
        <w:jc w:val="center"/>
      </w:trPr>
      <w:tc>
        <w:tcPr>
          <w:tcW w:w="4882" w:type="dxa"/>
          <w:shd w:val="clear" w:color="auto" w:fill="auto"/>
          <w:vAlign w:val="bottom"/>
        </w:tcPr>
        <w:p w:rsidR="00FE42C6" w:rsidRPr="00C67BB8" w:rsidRDefault="00FE42C6" w:rsidP="00C67BB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7F6A">
            <w:rPr>
              <w:b/>
              <w:color w:val="000000"/>
            </w:rPr>
            <w:t>HRI/CORE/ARG/2014</w:t>
          </w:r>
          <w:r>
            <w:rPr>
              <w:b/>
              <w:color w:val="000000"/>
            </w:rPr>
            <w:fldChar w:fldCharType="end"/>
          </w:r>
        </w:p>
      </w:tc>
      <w:tc>
        <w:tcPr>
          <w:tcW w:w="5127" w:type="dxa"/>
          <w:shd w:val="clear" w:color="auto" w:fill="auto"/>
          <w:vAlign w:val="bottom"/>
        </w:tcPr>
        <w:p w:rsidR="00FE42C6" w:rsidRDefault="00FE42C6" w:rsidP="00C67BB8">
          <w:pPr>
            <w:pStyle w:val="Header"/>
          </w:pPr>
        </w:p>
      </w:tc>
    </w:tr>
  </w:tbl>
  <w:p w:rsidR="00FE42C6" w:rsidRPr="00C67BB8" w:rsidRDefault="00FE42C6" w:rsidP="00C67BB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E42C6" w:rsidTr="00C67BB8">
      <w:trPr>
        <w:trHeight w:hRule="exact" w:val="864"/>
        <w:jc w:val="center"/>
      </w:trPr>
      <w:tc>
        <w:tcPr>
          <w:tcW w:w="4882" w:type="dxa"/>
          <w:shd w:val="clear" w:color="auto" w:fill="auto"/>
          <w:vAlign w:val="bottom"/>
        </w:tcPr>
        <w:p w:rsidR="00FE42C6" w:rsidRDefault="00FE42C6" w:rsidP="00C67BB8">
          <w:pPr>
            <w:pStyle w:val="Header"/>
          </w:pPr>
        </w:p>
      </w:tc>
      <w:tc>
        <w:tcPr>
          <w:tcW w:w="5127" w:type="dxa"/>
          <w:shd w:val="clear" w:color="auto" w:fill="auto"/>
          <w:vAlign w:val="bottom"/>
        </w:tcPr>
        <w:p w:rsidR="00FE42C6" w:rsidRPr="00C67BB8" w:rsidRDefault="00FE42C6" w:rsidP="00C67BB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7F6A">
            <w:rPr>
              <w:b/>
              <w:color w:val="000000"/>
            </w:rPr>
            <w:t>HRI/CORE/ARG/2014</w:t>
          </w:r>
          <w:r>
            <w:rPr>
              <w:b/>
              <w:color w:val="000000"/>
            </w:rPr>
            <w:fldChar w:fldCharType="end"/>
          </w:r>
        </w:p>
      </w:tc>
    </w:tr>
  </w:tbl>
  <w:p w:rsidR="00FE42C6" w:rsidRPr="00C67BB8" w:rsidRDefault="00FE42C6" w:rsidP="00C67BB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E42C6" w:rsidTr="00C67BB8">
      <w:trPr>
        <w:trHeight w:hRule="exact" w:val="864"/>
      </w:trPr>
      <w:tc>
        <w:tcPr>
          <w:tcW w:w="1267" w:type="dxa"/>
          <w:tcBorders>
            <w:bottom w:val="single" w:sz="4" w:space="0" w:color="auto"/>
          </w:tcBorders>
          <w:shd w:val="clear" w:color="auto" w:fill="auto"/>
          <w:vAlign w:val="bottom"/>
        </w:tcPr>
        <w:p w:rsidR="00FE42C6" w:rsidRDefault="00FE42C6" w:rsidP="00C67BB8">
          <w:pPr>
            <w:pStyle w:val="Header"/>
            <w:spacing w:after="120"/>
          </w:pPr>
        </w:p>
      </w:tc>
      <w:tc>
        <w:tcPr>
          <w:tcW w:w="2059" w:type="dxa"/>
          <w:tcBorders>
            <w:bottom w:val="single" w:sz="4" w:space="0" w:color="auto"/>
          </w:tcBorders>
          <w:shd w:val="clear" w:color="auto" w:fill="auto"/>
          <w:vAlign w:val="bottom"/>
        </w:tcPr>
        <w:p w:rsidR="00FE42C6" w:rsidRPr="00C67BB8" w:rsidRDefault="00FE42C6" w:rsidP="00C67BB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E42C6" w:rsidRDefault="00FE42C6" w:rsidP="00C67BB8">
          <w:pPr>
            <w:pStyle w:val="Header"/>
            <w:spacing w:after="120"/>
          </w:pPr>
        </w:p>
      </w:tc>
      <w:tc>
        <w:tcPr>
          <w:tcW w:w="6653" w:type="dxa"/>
          <w:gridSpan w:val="4"/>
          <w:tcBorders>
            <w:bottom w:val="single" w:sz="4" w:space="0" w:color="auto"/>
          </w:tcBorders>
          <w:shd w:val="clear" w:color="auto" w:fill="auto"/>
          <w:vAlign w:val="bottom"/>
        </w:tcPr>
        <w:p w:rsidR="00FE42C6" w:rsidRPr="00C67BB8" w:rsidRDefault="00FE42C6" w:rsidP="00C67BB8">
          <w:pPr>
            <w:spacing w:after="80" w:line="240" w:lineRule="auto"/>
            <w:jc w:val="right"/>
            <w:rPr>
              <w:position w:val="-4"/>
            </w:rPr>
          </w:pPr>
          <w:r>
            <w:rPr>
              <w:position w:val="-4"/>
              <w:sz w:val="40"/>
            </w:rPr>
            <w:t>HRI</w:t>
          </w:r>
          <w:r>
            <w:rPr>
              <w:position w:val="-4"/>
            </w:rPr>
            <w:t>/CORE/ARG/2014</w:t>
          </w:r>
        </w:p>
      </w:tc>
    </w:tr>
    <w:tr w:rsidR="00FE42C6" w:rsidRPr="00C67BB8" w:rsidTr="00C67BB8">
      <w:trPr>
        <w:gridAfter w:val="1"/>
        <w:wAfter w:w="18" w:type="dxa"/>
        <w:trHeight w:hRule="exact" w:val="2880"/>
      </w:trPr>
      <w:tc>
        <w:tcPr>
          <w:tcW w:w="1267" w:type="dxa"/>
          <w:tcBorders>
            <w:top w:val="single" w:sz="4" w:space="0" w:color="auto"/>
            <w:bottom w:val="single" w:sz="12" w:space="0" w:color="auto"/>
          </w:tcBorders>
          <w:shd w:val="clear" w:color="auto" w:fill="auto"/>
        </w:tcPr>
        <w:p w:rsidR="00FE42C6" w:rsidRPr="00C67BB8" w:rsidRDefault="00FE42C6" w:rsidP="00C67BB8">
          <w:pPr>
            <w:pStyle w:val="Header"/>
            <w:spacing w:before="120" w:line="240" w:lineRule="auto"/>
            <w:ind w:left="-72"/>
            <w:jc w:val="center"/>
          </w:pPr>
          <w:r>
            <w:t xml:space="preserve">  </w:t>
          </w:r>
          <w:r>
            <w:rPr>
              <w:noProof/>
            </w:rPr>
            <w:drawing>
              <wp:inline distT="0" distB="0" distL="0" distR="0" wp14:anchorId="497FC720" wp14:editId="4606EB8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E42C6" w:rsidRPr="00C67BB8" w:rsidRDefault="00FE42C6" w:rsidP="00C67BB8">
          <w:pPr>
            <w:pStyle w:val="XLarge"/>
            <w:spacing w:before="109"/>
          </w:pPr>
          <w:r>
            <w:t xml:space="preserve">Instruments internationaux relatifs aux droits de l’homme </w:t>
          </w:r>
        </w:p>
      </w:tc>
      <w:tc>
        <w:tcPr>
          <w:tcW w:w="245" w:type="dxa"/>
          <w:tcBorders>
            <w:top w:val="single" w:sz="4" w:space="0" w:color="auto"/>
            <w:bottom w:val="single" w:sz="12" w:space="0" w:color="auto"/>
          </w:tcBorders>
          <w:shd w:val="clear" w:color="auto" w:fill="auto"/>
        </w:tcPr>
        <w:p w:rsidR="00FE42C6" w:rsidRPr="00C67BB8" w:rsidRDefault="00FE42C6" w:rsidP="00C67BB8">
          <w:pPr>
            <w:pStyle w:val="Header"/>
            <w:spacing w:before="109"/>
          </w:pPr>
        </w:p>
      </w:tc>
      <w:tc>
        <w:tcPr>
          <w:tcW w:w="3280" w:type="dxa"/>
          <w:tcBorders>
            <w:top w:val="single" w:sz="4" w:space="0" w:color="auto"/>
            <w:bottom w:val="single" w:sz="12" w:space="0" w:color="auto"/>
          </w:tcBorders>
          <w:shd w:val="clear" w:color="auto" w:fill="auto"/>
        </w:tcPr>
        <w:p w:rsidR="00FE42C6" w:rsidRDefault="00FE42C6" w:rsidP="005C0827">
          <w:pPr>
            <w:pStyle w:val="Distribution"/>
            <w:spacing w:line="240" w:lineRule="exact"/>
            <w:rPr>
              <w:color w:val="000000"/>
            </w:rPr>
          </w:pPr>
          <w:r>
            <w:rPr>
              <w:color w:val="000000"/>
            </w:rPr>
            <w:t>Distr. générale</w:t>
          </w:r>
        </w:p>
        <w:p w:rsidR="00FE42C6" w:rsidRDefault="00FE42C6" w:rsidP="005C0827">
          <w:pPr>
            <w:pStyle w:val="Publication"/>
            <w:spacing w:line="240" w:lineRule="exact"/>
            <w:rPr>
              <w:color w:val="000000"/>
            </w:rPr>
          </w:pPr>
          <w:r>
            <w:rPr>
              <w:color w:val="000000"/>
            </w:rPr>
            <w:t>8 juillet 2015</w:t>
          </w:r>
        </w:p>
        <w:p w:rsidR="00FE42C6" w:rsidRDefault="00FE42C6" w:rsidP="005C0827">
          <w:pPr>
            <w:rPr>
              <w:lang w:val="en-US"/>
            </w:rPr>
          </w:pPr>
          <w:r>
            <w:rPr>
              <w:lang w:val="en-US"/>
            </w:rPr>
            <w:t>Français</w:t>
          </w:r>
        </w:p>
        <w:p w:rsidR="00FE42C6" w:rsidRPr="00C67BB8" w:rsidRDefault="00FE42C6" w:rsidP="005C0827">
          <w:pPr>
            <w:pStyle w:val="Original"/>
            <w:spacing w:line="240" w:lineRule="exact"/>
            <w:rPr>
              <w:color w:val="000000"/>
            </w:rPr>
          </w:pPr>
          <w:r>
            <w:rPr>
              <w:color w:val="000000"/>
            </w:rPr>
            <w:t>Original : espagnol</w:t>
          </w:r>
        </w:p>
      </w:tc>
    </w:tr>
  </w:tbl>
  <w:p w:rsidR="00FE42C6" w:rsidRPr="00C67BB8" w:rsidRDefault="00FE42C6" w:rsidP="00C67BB8">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F2112A0"/>
    <w:multiLevelType w:val="multilevel"/>
    <w:tmpl w:val="1BC6F4B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7D6C86"/>
    <w:multiLevelType w:val="singleLevel"/>
    <w:tmpl w:val="8A3A688A"/>
    <w:lvl w:ilvl="0">
      <w:start w:val="1"/>
      <w:numFmt w:val="decimal"/>
      <w:lvlRestart w:val="0"/>
      <w:lvlText w:val="%1."/>
      <w:lvlJc w:val="left"/>
      <w:pPr>
        <w:tabs>
          <w:tab w:val="num" w:pos="475"/>
        </w:tabs>
        <w:ind w:left="0" w:firstLine="0"/>
      </w:pPr>
      <w:rPr>
        <w:w w:val="100"/>
      </w:r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3BB1E73"/>
    <w:multiLevelType w:val="singleLevel"/>
    <w:tmpl w:val="0409000F"/>
    <w:lvl w:ilvl="0">
      <w:start w:val="1"/>
      <w:numFmt w:val="decimal"/>
      <w:lvlText w:val="%1."/>
      <w:lvlJc w:val="left"/>
      <w:pPr>
        <w:ind w:left="720" w:hanging="360"/>
      </w:pPr>
    </w:lvl>
  </w:abstractNum>
  <w:abstractNum w:abstractNumId="6">
    <w:nsid w:val="145B2C7B"/>
    <w:multiLevelType w:val="singleLevel"/>
    <w:tmpl w:val="0409000F"/>
    <w:lvl w:ilvl="0">
      <w:start w:val="1"/>
      <w:numFmt w:val="decimal"/>
      <w:lvlText w:val="%1."/>
      <w:lvlJc w:val="left"/>
      <w:pPr>
        <w:ind w:left="720" w:hanging="360"/>
      </w:pPr>
    </w:lvl>
  </w:abstractNum>
  <w:abstractNum w:abstractNumId="7">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424AB"/>
    <w:multiLevelType w:val="singleLevel"/>
    <w:tmpl w:val="0409000F"/>
    <w:lvl w:ilvl="0">
      <w:start w:val="1"/>
      <w:numFmt w:val="decimal"/>
      <w:lvlText w:val="%1."/>
      <w:lvlJc w:val="left"/>
      <w:pPr>
        <w:ind w:left="720" w:hanging="360"/>
      </w:pPr>
    </w:lvl>
  </w:abstractNum>
  <w:abstractNum w:abstractNumId="9">
    <w:nsid w:val="26F958BC"/>
    <w:multiLevelType w:val="singleLevel"/>
    <w:tmpl w:val="9C42F8A4"/>
    <w:lvl w:ilvl="0">
      <w:start w:val="81"/>
      <w:numFmt w:val="decimal"/>
      <w:lvlRestart w:val="0"/>
      <w:lvlText w:val="%1."/>
      <w:lvlJc w:val="left"/>
      <w:pPr>
        <w:tabs>
          <w:tab w:val="num" w:pos="475"/>
        </w:tabs>
        <w:ind w:left="0" w:firstLine="0"/>
      </w:pPr>
      <w:rPr>
        <w:rFonts w:hint="default"/>
        <w:w w:val="100"/>
      </w:rPr>
    </w:lvl>
  </w:abstractNum>
  <w:abstractNum w:abstractNumId="10">
    <w:nsid w:val="27D26C24"/>
    <w:multiLevelType w:val="singleLevel"/>
    <w:tmpl w:val="B126A70C"/>
    <w:lvl w:ilvl="0">
      <w:start w:val="1"/>
      <w:numFmt w:val="decimal"/>
      <w:lvlRestart w:val="0"/>
      <w:lvlText w:val="%1."/>
      <w:lvlJc w:val="left"/>
      <w:pPr>
        <w:tabs>
          <w:tab w:val="num" w:pos="475"/>
        </w:tabs>
        <w:ind w:left="0" w:firstLine="0"/>
      </w:pPr>
      <w:rPr>
        <w:w w:val="100"/>
      </w:rPr>
    </w:lvl>
  </w:abstractNum>
  <w:abstractNum w:abstractNumId="11">
    <w:nsid w:val="2B912329"/>
    <w:multiLevelType w:val="singleLevel"/>
    <w:tmpl w:val="0409000F"/>
    <w:lvl w:ilvl="0">
      <w:start w:val="1"/>
      <w:numFmt w:val="decimal"/>
      <w:lvlText w:val="%1."/>
      <w:lvlJc w:val="left"/>
      <w:pPr>
        <w:ind w:left="720" w:hanging="360"/>
      </w:pPr>
    </w:lvl>
  </w:abstractNum>
  <w:abstractNum w:abstractNumId="12">
    <w:nsid w:val="42DB0356"/>
    <w:multiLevelType w:val="singleLevel"/>
    <w:tmpl w:val="9C42F8A4"/>
    <w:lvl w:ilvl="0">
      <w:start w:val="81"/>
      <w:numFmt w:val="decimal"/>
      <w:lvlRestart w:val="0"/>
      <w:lvlText w:val="%1."/>
      <w:lvlJc w:val="left"/>
      <w:pPr>
        <w:tabs>
          <w:tab w:val="num" w:pos="475"/>
        </w:tabs>
        <w:ind w:left="0" w:firstLine="0"/>
      </w:pPr>
      <w:rPr>
        <w:rFonts w:hint="default"/>
        <w:w w:val="100"/>
      </w:rPr>
    </w:lvl>
  </w:abstractNum>
  <w:abstractNum w:abstractNumId="13">
    <w:nsid w:val="47122FB2"/>
    <w:multiLevelType w:val="singleLevel"/>
    <w:tmpl w:val="0409000F"/>
    <w:lvl w:ilvl="0">
      <w:start w:val="1"/>
      <w:numFmt w:val="decimal"/>
      <w:lvlText w:val="%1."/>
      <w:lvlJc w:val="left"/>
      <w:pPr>
        <w:ind w:left="720" w:hanging="360"/>
      </w:pPr>
    </w:lvl>
  </w:abstractNum>
  <w:abstractNum w:abstractNumId="1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641C86"/>
    <w:multiLevelType w:val="singleLevel"/>
    <w:tmpl w:val="B126A70C"/>
    <w:lvl w:ilvl="0">
      <w:start w:val="1"/>
      <w:numFmt w:val="decimal"/>
      <w:lvlRestart w:val="0"/>
      <w:lvlText w:val="%1."/>
      <w:lvlJc w:val="left"/>
      <w:pPr>
        <w:tabs>
          <w:tab w:val="num" w:pos="475"/>
        </w:tabs>
        <w:ind w:left="0" w:firstLine="0"/>
      </w:pPr>
      <w:rPr>
        <w:w w:val="100"/>
      </w:rPr>
    </w:lvl>
  </w:abstractNum>
  <w:abstractNum w:abstractNumId="16">
    <w:nsid w:val="5323303E"/>
    <w:multiLevelType w:val="singleLevel"/>
    <w:tmpl w:val="0409000F"/>
    <w:lvl w:ilvl="0">
      <w:start w:val="1"/>
      <w:numFmt w:val="decimal"/>
      <w:lvlText w:val="%1."/>
      <w:lvlJc w:val="left"/>
      <w:pPr>
        <w:ind w:left="720" w:hanging="360"/>
      </w:pPr>
    </w:lvl>
  </w:abstractNum>
  <w:num w:numId="1">
    <w:abstractNumId w:val="4"/>
  </w:num>
  <w:num w:numId="2">
    <w:abstractNumId w:val="2"/>
  </w:num>
  <w:num w:numId="3">
    <w:abstractNumId w:val="7"/>
  </w:num>
  <w:num w:numId="4">
    <w:abstractNumId w:val="14"/>
  </w:num>
  <w:num w:numId="5">
    <w:abstractNumId w:val="0"/>
  </w:num>
  <w:num w:numId="6">
    <w:abstractNumId w:val="1"/>
  </w:num>
  <w:num w:numId="7">
    <w:abstractNumId w:val="10"/>
  </w:num>
  <w:num w:numId="8">
    <w:abstractNumId w:val="15"/>
  </w:num>
  <w:num w:numId="9">
    <w:abstractNumId w:val="8"/>
  </w:num>
  <w:num w:numId="10">
    <w:abstractNumId w:val="13"/>
  </w:num>
  <w:num w:numId="11">
    <w:abstractNumId w:val="5"/>
  </w:num>
  <w:num w:numId="12">
    <w:abstractNumId w:val="6"/>
  </w:num>
  <w:num w:numId="13">
    <w:abstractNumId w:val="11"/>
  </w:num>
  <w:num w:numId="14">
    <w:abstractNumId w:val="16"/>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doNotHyphenateCaps/>
  <w:evenAndOddHeaders/>
  <w:characterSpacingControl w:val="doNotCompress"/>
  <w:hdrShapeDefaults>
    <o:shapedefaults v:ext="edit" spidmax="1433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341*"/>
    <w:docVar w:name="CreationDt" w:val="1/14/2016 2:21: PM"/>
    <w:docVar w:name="DocCategory" w:val="Doc"/>
    <w:docVar w:name="DocType" w:val="Final"/>
    <w:docVar w:name="DutyStation" w:val="Geneva"/>
    <w:docVar w:name="FooterJN" w:val="GE.15-11341"/>
    <w:docVar w:name="jobn" w:val="GE.15-11341 (F)"/>
    <w:docVar w:name="jobnDT" w:val="GE.15-11341 (F)   140116"/>
    <w:docVar w:name="jobnDTDT" w:val="GE.15-11341 (F)   140116   140116"/>
    <w:docVar w:name="JobNo" w:val="GE.1511341F"/>
    <w:docVar w:name="JobNo2" w:val="GE.1515112F"/>
    <w:docVar w:name="LocalDrive" w:val="0"/>
    <w:docVar w:name="OandT" w:val="C. ROBERT"/>
    <w:docVar w:name="PaperSize" w:val="A4"/>
    <w:docVar w:name="sss1" w:val="HRI/CORE/ARG/2014"/>
    <w:docVar w:name="sss2" w:val="-"/>
    <w:docVar w:name="Symbol1" w:val="HRI/CORE/ARG/2014"/>
    <w:docVar w:name="Symbol2" w:val="-"/>
  </w:docVars>
  <w:rsids>
    <w:rsidRoot w:val="0071263A"/>
    <w:rsid w:val="000013D1"/>
    <w:rsid w:val="000015B8"/>
    <w:rsid w:val="000046A5"/>
    <w:rsid w:val="000055FB"/>
    <w:rsid w:val="00010C97"/>
    <w:rsid w:val="00012B3F"/>
    <w:rsid w:val="00016483"/>
    <w:rsid w:val="00022173"/>
    <w:rsid w:val="0002226F"/>
    <w:rsid w:val="00022B4A"/>
    <w:rsid w:val="00023E37"/>
    <w:rsid w:val="000249FF"/>
    <w:rsid w:val="00025DE5"/>
    <w:rsid w:val="000274C2"/>
    <w:rsid w:val="00031E65"/>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67F6A"/>
    <w:rsid w:val="00071173"/>
    <w:rsid w:val="0007246F"/>
    <w:rsid w:val="000746A5"/>
    <w:rsid w:val="00074EA0"/>
    <w:rsid w:val="000776CA"/>
    <w:rsid w:val="00077CC4"/>
    <w:rsid w:val="00083D89"/>
    <w:rsid w:val="00085112"/>
    <w:rsid w:val="00086984"/>
    <w:rsid w:val="0008708F"/>
    <w:rsid w:val="00091BC1"/>
    <w:rsid w:val="00091DBD"/>
    <w:rsid w:val="000921C7"/>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0977"/>
    <w:rsid w:val="001027E2"/>
    <w:rsid w:val="00103526"/>
    <w:rsid w:val="0010575E"/>
    <w:rsid w:val="00106549"/>
    <w:rsid w:val="00107710"/>
    <w:rsid w:val="00107C97"/>
    <w:rsid w:val="00110242"/>
    <w:rsid w:val="0011255C"/>
    <w:rsid w:val="001126A7"/>
    <w:rsid w:val="00112FE9"/>
    <w:rsid w:val="00114397"/>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4C98"/>
    <w:rsid w:val="00155B70"/>
    <w:rsid w:val="00160E65"/>
    <w:rsid w:val="00161368"/>
    <w:rsid w:val="0016199B"/>
    <w:rsid w:val="00162C83"/>
    <w:rsid w:val="001639FC"/>
    <w:rsid w:val="00163D26"/>
    <w:rsid w:val="00164BB5"/>
    <w:rsid w:val="00166384"/>
    <w:rsid w:val="001709F1"/>
    <w:rsid w:val="00177D83"/>
    <w:rsid w:val="00177DB9"/>
    <w:rsid w:val="00180387"/>
    <w:rsid w:val="001818CC"/>
    <w:rsid w:val="00183EBF"/>
    <w:rsid w:val="00186793"/>
    <w:rsid w:val="00187384"/>
    <w:rsid w:val="0019082C"/>
    <w:rsid w:val="00192D05"/>
    <w:rsid w:val="00193A8C"/>
    <w:rsid w:val="00196A82"/>
    <w:rsid w:val="001A2E2D"/>
    <w:rsid w:val="001A4A8B"/>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4AF1"/>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0FB5"/>
    <w:rsid w:val="002515C7"/>
    <w:rsid w:val="002523F6"/>
    <w:rsid w:val="00252402"/>
    <w:rsid w:val="00254656"/>
    <w:rsid w:val="0025545A"/>
    <w:rsid w:val="00261E82"/>
    <w:rsid w:val="0026332C"/>
    <w:rsid w:val="0026552F"/>
    <w:rsid w:val="0026565F"/>
    <w:rsid w:val="00266AFD"/>
    <w:rsid w:val="00270780"/>
    <w:rsid w:val="00272A2D"/>
    <w:rsid w:val="002730C7"/>
    <w:rsid w:val="002733E0"/>
    <w:rsid w:val="0027435B"/>
    <w:rsid w:val="00276E85"/>
    <w:rsid w:val="00280143"/>
    <w:rsid w:val="00280E2F"/>
    <w:rsid w:val="002810F0"/>
    <w:rsid w:val="00281BC7"/>
    <w:rsid w:val="00285DC4"/>
    <w:rsid w:val="00286531"/>
    <w:rsid w:val="002867C7"/>
    <w:rsid w:val="0028797D"/>
    <w:rsid w:val="0029018C"/>
    <w:rsid w:val="002A07EF"/>
    <w:rsid w:val="002A2122"/>
    <w:rsid w:val="002A27E5"/>
    <w:rsid w:val="002A4632"/>
    <w:rsid w:val="002A530D"/>
    <w:rsid w:val="002A69DB"/>
    <w:rsid w:val="002B037D"/>
    <w:rsid w:val="002B1D15"/>
    <w:rsid w:val="002B4A7F"/>
    <w:rsid w:val="002B5449"/>
    <w:rsid w:val="002B5928"/>
    <w:rsid w:val="002C2913"/>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2F2C"/>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1319"/>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194C"/>
    <w:rsid w:val="003C222D"/>
    <w:rsid w:val="003C252F"/>
    <w:rsid w:val="003C6DDA"/>
    <w:rsid w:val="003C7AEA"/>
    <w:rsid w:val="003C7D21"/>
    <w:rsid w:val="003D15A3"/>
    <w:rsid w:val="003D35C1"/>
    <w:rsid w:val="003D635C"/>
    <w:rsid w:val="003D7BC4"/>
    <w:rsid w:val="003E1642"/>
    <w:rsid w:val="003E2E01"/>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3038"/>
    <w:rsid w:val="00414C9D"/>
    <w:rsid w:val="0041575B"/>
    <w:rsid w:val="00415A2B"/>
    <w:rsid w:val="00416293"/>
    <w:rsid w:val="004204AE"/>
    <w:rsid w:val="004216F7"/>
    <w:rsid w:val="0042753D"/>
    <w:rsid w:val="004309B5"/>
    <w:rsid w:val="0043103D"/>
    <w:rsid w:val="00432662"/>
    <w:rsid w:val="004335A6"/>
    <w:rsid w:val="00433AB0"/>
    <w:rsid w:val="004342B2"/>
    <w:rsid w:val="004371C4"/>
    <w:rsid w:val="00441593"/>
    <w:rsid w:val="00443A00"/>
    <w:rsid w:val="00444609"/>
    <w:rsid w:val="004448E6"/>
    <w:rsid w:val="00450D24"/>
    <w:rsid w:val="00452DA5"/>
    <w:rsid w:val="00453DAB"/>
    <w:rsid w:val="0045423E"/>
    <w:rsid w:val="004548AC"/>
    <w:rsid w:val="00455176"/>
    <w:rsid w:val="00455E42"/>
    <w:rsid w:val="00456EF1"/>
    <w:rsid w:val="00457D04"/>
    <w:rsid w:val="00460112"/>
    <w:rsid w:val="00461788"/>
    <w:rsid w:val="004627F7"/>
    <w:rsid w:val="00462FE3"/>
    <w:rsid w:val="004638A8"/>
    <w:rsid w:val="00464787"/>
    <w:rsid w:val="004669E9"/>
    <w:rsid w:val="00470F14"/>
    <w:rsid w:val="00472794"/>
    <w:rsid w:val="00475F9F"/>
    <w:rsid w:val="0047652C"/>
    <w:rsid w:val="00476698"/>
    <w:rsid w:val="00477592"/>
    <w:rsid w:val="004814BB"/>
    <w:rsid w:val="00481634"/>
    <w:rsid w:val="00487428"/>
    <w:rsid w:val="00491B67"/>
    <w:rsid w:val="00491CD5"/>
    <w:rsid w:val="00492510"/>
    <w:rsid w:val="00492DC3"/>
    <w:rsid w:val="00493875"/>
    <w:rsid w:val="004973EC"/>
    <w:rsid w:val="004A0AA6"/>
    <w:rsid w:val="004A1763"/>
    <w:rsid w:val="004A186E"/>
    <w:rsid w:val="004A2319"/>
    <w:rsid w:val="004A2455"/>
    <w:rsid w:val="004A66F8"/>
    <w:rsid w:val="004A698E"/>
    <w:rsid w:val="004A7606"/>
    <w:rsid w:val="004B1DBB"/>
    <w:rsid w:val="004B56C6"/>
    <w:rsid w:val="004B7E99"/>
    <w:rsid w:val="004C1A6A"/>
    <w:rsid w:val="004C304C"/>
    <w:rsid w:val="004C3678"/>
    <w:rsid w:val="004C38FF"/>
    <w:rsid w:val="004C5C41"/>
    <w:rsid w:val="004D13C8"/>
    <w:rsid w:val="004D4F44"/>
    <w:rsid w:val="004D5D20"/>
    <w:rsid w:val="004D6212"/>
    <w:rsid w:val="004D789D"/>
    <w:rsid w:val="004E0FB8"/>
    <w:rsid w:val="004E272F"/>
    <w:rsid w:val="004E2B64"/>
    <w:rsid w:val="004E4258"/>
    <w:rsid w:val="004E47A4"/>
    <w:rsid w:val="004E608A"/>
    <w:rsid w:val="004F1F9F"/>
    <w:rsid w:val="004F2765"/>
    <w:rsid w:val="004F5238"/>
    <w:rsid w:val="004F53F0"/>
    <w:rsid w:val="004F69D3"/>
    <w:rsid w:val="004F6B7C"/>
    <w:rsid w:val="005049A9"/>
    <w:rsid w:val="00505F1C"/>
    <w:rsid w:val="0050603C"/>
    <w:rsid w:val="00506B44"/>
    <w:rsid w:val="005100BC"/>
    <w:rsid w:val="0051451F"/>
    <w:rsid w:val="005161B1"/>
    <w:rsid w:val="0051666F"/>
    <w:rsid w:val="0051772A"/>
    <w:rsid w:val="00517E8B"/>
    <w:rsid w:val="00520271"/>
    <w:rsid w:val="00520B7B"/>
    <w:rsid w:val="00521F7B"/>
    <w:rsid w:val="00522110"/>
    <w:rsid w:val="00522657"/>
    <w:rsid w:val="00523069"/>
    <w:rsid w:val="00523378"/>
    <w:rsid w:val="0052413A"/>
    <w:rsid w:val="00524418"/>
    <w:rsid w:val="00525A3D"/>
    <w:rsid w:val="00527615"/>
    <w:rsid w:val="00527DD0"/>
    <w:rsid w:val="00533905"/>
    <w:rsid w:val="005372C0"/>
    <w:rsid w:val="00541630"/>
    <w:rsid w:val="0054168D"/>
    <w:rsid w:val="00542357"/>
    <w:rsid w:val="00550E71"/>
    <w:rsid w:val="00551176"/>
    <w:rsid w:val="00551EAE"/>
    <w:rsid w:val="00552150"/>
    <w:rsid w:val="005522D6"/>
    <w:rsid w:val="005536AE"/>
    <w:rsid w:val="00554B37"/>
    <w:rsid w:val="0055536F"/>
    <w:rsid w:val="00557289"/>
    <w:rsid w:val="00561B4F"/>
    <w:rsid w:val="005669CA"/>
    <w:rsid w:val="00575199"/>
    <w:rsid w:val="005770F6"/>
    <w:rsid w:val="00577899"/>
    <w:rsid w:val="00577955"/>
    <w:rsid w:val="00577BDD"/>
    <w:rsid w:val="005811A3"/>
    <w:rsid w:val="00583566"/>
    <w:rsid w:val="00584E7A"/>
    <w:rsid w:val="00585CA8"/>
    <w:rsid w:val="00585DEA"/>
    <w:rsid w:val="005863F2"/>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0827"/>
    <w:rsid w:val="005C1353"/>
    <w:rsid w:val="005C1587"/>
    <w:rsid w:val="005C3A63"/>
    <w:rsid w:val="005C3ED3"/>
    <w:rsid w:val="005C65C2"/>
    <w:rsid w:val="005C765D"/>
    <w:rsid w:val="005C7B4D"/>
    <w:rsid w:val="005D7CA9"/>
    <w:rsid w:val="005E0F5F"/>
    <w:rsid w:val="005E1E21"/>
    <w:rsid w:val="005F12E0"/>
    <w:rsid w:val="005F2726"/>
    <w:rsid w:val="005F2A30"/>
    <w:rsid w:val="005F2FA6"/>
    <w:rsid w:val="005F34E5"/>
    <w:rsid w:val="005F35C5"/>
    <w:rsid w:val="005F43E1"/>
    <w:rsid w:val="005F47D4"/>
    <w:rsid w:val="005F6A9F"/>
    <w:rsid w:val="005F6E3F"/>
    <w:rsid w:val="005F799B"/>
    <w:rsid w:val="0060033F"/>
    <w:rsid w:val="00603211"/>
    <w:rsid w:val="0060375B"/>
    <w:rsid w:val="00606A0C"/>
    <w:rsid w:val="00607448"/>
    <w:rsid w:val="0060792E"/>
    <w:rsid w:val="00611860"/>
    <w:rsid w:val="00611DA0"/>
    <w:rsid w:val="00612407"/>
    <w:rsid w:val="006125AC"/>
    <w:rsid w:val="006132C7"/>
    <w:rsid w:val="00616984"/>
    <w:rsid w:val="00616E84"/>
    <w:rsid w:val="00617EBE"/>
    <w:rsid w:val="006204FE"/>
    <w:rsid w:val="0062117B"/>
    <w:rsid w:val="00622055"/>
    <w:rsid w:val="006225AD"/>
    <w:rsid w:val="006244D1"/>
    <w:rsid w:val="00632332"/>
    <w:rsid w:val="00633885"/>
    <w:rsid w:val="00633E85"/>
    <w:rsid w:val="006361EE"/>
    <w:rsid w:val="0063657E"/>
    <w:rsid w:val="00636EB6"/>
    <w:rsid w:val="00637232"/>
    <w:rsid w:val="006407EF"/>
    <w:rsid w:val="00640A2D"/>
    <w:rsid w:val="0064115E"/>
    <w:rsid w:val="006423E0"/>
    <w:rsid w:val="00646C6A"/>
    <w:rsid w:val="00646F60"/>
    <w:rsid w:val="0064762B"/>
    <w:rsid w:val="00650623"/>
    <w:rsid w:val="0065129E"/>
    <w:rsid w:val="006512C8"/>
    <w:rsid w:val="00653CD3"/>
    <w:rsid w:val="00656E62"/>
    <w:rsid w:val="006573FC"/>
    <w:rsid w:val="00660D00"/>
    <w:rsid w:val="00662686"/>
    <w:rsid w:val="00665605"/>
    <w:rsid w:val="00665692"/>
    <w:rsid w:val="006660B5"/>
    <w:rsid w:val="0067151A"/>
    <w:rsid w:val="00671687"/>
    <w:rsid w:val="00673F2C"/>
    <w:rsid w:val="0067590F"/>
    <w:rsid w:val="00675A53"/>
    <w:rsid w:val="006770E8"/>
    <w:rsid w:val="006803F5"/>
    <w:rsid w:val="006817AB"/>
    <w:rsid w:val="00683C7E"/>
    <w:rsid w:val="006853D8"/>
    <w:rsid w:val="006866E8"/>
    <w:rsid w:val="00687CA7"/>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263A"/>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62C"/>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2B11"/>
    <w:rsid w:val="0079302E"/>
    <w:rsid w:val="0079379B"/>
    <w:rsid w:val="0079452A"/>
    <w:rsid w:val="00794EC6"/>
    <w:rsid w:val="00794FED"/>
    <w:rsid w:val="00795AD7"/>
    <w:rsid w:val="007961E2"/>
    <w:rsid w:val="007A345A"/>
    <w:rsid w:val="007A3D35"/>
    <w:rsid w:val="007A6D9F"/>
    <w:rsid w:val="007A78C2"/>
    <w:rsid w:val="007B05E9"/>
    <w:rsid w:val="007B148E"/>
    <w:rsid w:val="007B1E17"/>
    <w:rsid w:val="007B4C73"/>
    <w:rsid w:val="007C0C1F"/>
    <w:rsid w:val="007C206E"/>
    <w:rsid w:val="007C2936"/>
    <w:rsid w:val="007C4A36"/>
    <w:rsid w:val="007C5C03"/>
    <w:rsid w:val="007C662A"/>
    <w:rsid w:val="007C7D7F"/>
    <w:rsid w:val="007D33BA"/>
    <w:rsid w:val="007D385A"/>
    <w:rsid w:val="007D6FCB"/>
    <w:rsid w:val="007D7FD4"/>
    <w:rsid w:val="007E2FEB"/>
    <w:rsid w:val="007E3CF9"/>
    <w:rsid w:val="007E74E9"/>
    <w:rsid w:val="007F0ED6"/>
    <w:rsid w:val="007F1AB9"/>
    <w:rsid w:val="007F3013"/>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43B"/>
    <w:rsid w:val="00837549"/>
    <w:rsid w:val="008415FE"/>
    <w:rsid w:val="00842319"/>
    <w:rsid w:val="008430ED"/>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8B5"/>
    <w:rsid w:val="00890BEA"/>
    <w:rsid w:val="00890EF0"/>
    <w:rsid w:val="0089184F"/>
    <w:rsid w:val="00891ADA"/>
    <w:rsid w:val="008962D4"/>
    <w:rsid w:val="00897DCE"/>
    <w:rsid w:val="008A3ABC"/>
    <w:rsid w:val="008A4C0E"/>
    <w:rsid w:val="008A5334"/>
    <w:rsid w:val="008A630B"/>
    <w:rsid w:val="008A734B"/>
    <w:rsid w:val="008B24ED"/>
    <w:rsid w:val="008B5932"/>
    <w:rsid w:val="008B75EF"/>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136F"/>
    <w:rsid w:val="008F2C00"/>
    <w:rsid w:val="008F3DAE"/>
    <w:rsid w:val="008F6630"/>
    <w:rsid w:val="008F7622"/>
    <w:rsid w:val="0090311E"/>
    <w:rsid w:val="0090438E"/>
    <w:rsid w:val="00906016"/>
    <w:rsid w:val="00906110"/>
    <w:rsid w:val="0090704E"/>
    <w:rsid w:val="0091108F"/>
    <w:rsid w:val="009133F5"/>
    <w:rsid w:val="00914786"/>
    <w:rsid w:val="00915680"/>
    <w:rsid w:val="00915FB9"/>
    <w:rsid w:val="0091610E"/>
    <w:rsid w:val="00916373"/>
    <w:rsid w:val="00916548"/>
    <w:rsid w:val="00916A77"/>
    <w:rsid w:val="00921BE8"/>
    <w:rsid w:val="00922E3D"/>
    <w:rsid w:val="00927DC6"/>
    <w:rsid w:val="009316DC"/>
    <w:rsid w:val="00931752"/>
    <w:rsid w:val="00932FDF"/>
    <w:rsid w:val="00936529"/>
    <w:rsid w:val="00940B65"/>
    <w:rsid w:val="0094133A"/>
    <w:rsid w:val="0094148D"/>
    <w:rsid w:val="009419AD"/>
    <w:rsid w:val="0095064A"/>
    <w:rsid w:val="00950CD9"/>
    <w:rsid w:val="00951A0B"/>
    <w:rsid w:val="009535B3"/>
    <w:rsid w:val="00953A36"/>
    <w:rsid w:val="00953F33"/>
    <w:rsid w:val="0095491F"/>
    <w:rsid w:val="00955DBA"/>
    <w:rsid w:val="00957244"/>
    <w:rsid w:val="00960637"/>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5C40"/>
    <w:rsid w:val="009A7DEC"/>
    <w:rsid w:val="009B0AF7"/>
    <w:rsid w:val="009B0BFB"/>
    <w:rsid w:val="009B3F5A"/>
    <w:rsid w:val="009B4398"/>
    <w:rsid w:val="009B4EEC"/>
    <w:rsid w:val="009C1815"/>
    <w:rsid w:val="009C5249"/>
    <w:rsid w:val="009C70D0"/>
    <w:rsid w:val="009C7F1B"/>
    <w:rsid w:val="009D514D"/>
    <w:rsid w:val="009D5A2E"/>
    <w:rsid w:val="009D702B"/>
    <w:rsid w:val="009E0573"/>
    <w:rsid w:val="009E06DE"/>
    <w:rsid w:val="009E09FA"/>
    <w:rsid w:val="009E246F"/>
    <w:rsid w:val="009E433D"/>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3D60"/>
    <w:rsid w:val="00A75482"/>
    <w:rsid w:val="00A75A3C"/>
    <w:rsid w:val="00A75E0B"/>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4AC5"/>
    <w:rsid w:val="00AB50E6"/>
    <w:rsid w:val="00AB6814"/>
    <w:rsid w:val="00AB6863"/>
    <w:rsid w:val="00AB6BE3"/>
    <w:rsid w:val="00AB71F3"/>
    <w:rsid w:val="00AC0555"/>
    <w:rsid w:val="00AC625F"/>
    <w:rsid w:val="00AC67C3"/>
    <w:rsid w:val="00AC6CA3"/>
    <w:rsid w:val="00AC6DB5"/>
    <w:rsid w:val="00AC722F"/>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2DD9"/>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24EC"/>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42CC"/>
    <w:rsid w:val="00B76414"/>
    <w:rsid w:val="00B77EB8"/>
    <w:rsid w:val="00B81A2A"/>
    <w:rsid w:val="00B82E95"/>
    <w:rsid w:val="00B84109"/>
    <w:rsid w:val="00B85BDA"/>
    <w:rsid w:val="00B870D6"/>
    <w:rsid w:val="00B874A9"/>
    <w:rsid w:val="00B9256B"/>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3F3D"/>
    <w:rsid w:val="00BE5325"/>
    <w:rsid w:val="00BE5439"/>
    <w:rsid w:val="00BE62DB"/>
    <w:rsid w:val="00BE7E1A"/>
    <w:rsid w:val="00BF041C"/>
    <w:rsid w:val="00BF055A"/>
    <w:rsid w:val="00BF0B13"/>
    <w:rsid w:val="00BF2B0B"/>
    <w:rsid w:val="00BF4E69"/>
    <w:rsid w:val="00BF58A4"/>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1058"/>
    <w:rsid w:val="00C23EFE"/>
    <w:rsid w:val="00C25B46"/>
    <w:rsid w:val="00C26CD3"/>
    <w:rsid w:val="00C3047B"/>
    <w:rsid w:val="00C30749"/>
    <w:rsid w:val="00C3163F"/>
    <w:rsid w:val="00C35E4D"/>
    <w:rsid w:val="00C436F7"/>
    <w:rsid w:val="00C45692"/>
    <w:rsid w:val="00C46175"/>
    <w:rsid w:val="00C472E3"/>
    <w:rsid w:val="00C47E57"/>
    <w:rsid w:val="00C51184"/>
    <w:rsid w:val="00C55B02"/>
    <w:rsid w:val="00C56142"/>
    <w:rsid w:val="00C56B3A"/>
    <w:rsid w:val="00C56EFE"/>
    <w:rsid w:val="00C57F00"/>
    <w:rsid w:val="00C60C0B"/>
    <w:rsid w:val="00C63009"/>
    <w:rsid w:val="00C66382"/>
    <w:rsid w:val="00C67BB8"/>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2D0E"/>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5C4E"/>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BDE"/>
    <w:rsid w:val="00DC23FE"/>
    <w:rsid w:val="00DC38B9"/>
    <w:rsid w:val="00DC5B37"/>
    <w:rsid w:val="00DC5DDD"/>
    <w:rsid w:val="00DD309E"/>
    <w:rsid w:val="00DD57F9"/>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2C45"/>
    <w:rsid w:val="00E02ECC"/>
    <w:rsid w:val="00E036CD"/>
    <w:rsid w:val="00E0543E"/>
    <w:rsid w:val="00E05EF6"/>
    <w:rsid w:val="00E0753F"/>
    <w:rsid w:val="00E10BF1"/>
    <w:rsid w:val="00E11B5C"/>
    <w:rsid w:val="00E13E2B"/>
    <w:rsid w:val="00E22DB7"/>
    <w:rsid w:val="00E23026"/>
    <w:rsid w:val="00E23C1B"/>
    <w:rsid w:val="00E24D2B"/>
    <w:rsid w:val="00E25DDC"/>
    <w:rsid w:val="00E345BF"/>
    <w:rsid w:val="00E34D59"/>
    <w:rsid w:val="00E35AE0"/>
    <w:rsid w:val="00E35C78"/>
    <w:rsid w:val="00E405EA"/>
    <w:rsid w:val="00E40877"/>
    <w:rsid w:val="00E444DA"/>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A85"/>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4B6"/>
    <w:rsid w:val="00ED7BC4"/>
    <w:rsid w:val="00EE09E3"/>
    <w:rsid w:val="00EE104D"/>
    <w:rsid w:val="00EE5F6D"/>
    <w:rsid w:val="00EF0701"/>
    <w:rsid w:val="00EF11F2"/>
    <w:rsid w:val="00EF236F"/>
    <w:rsid w:val="00EF3067"/>
    <w:rsid w:val="00F03AFB"/>
    <w:rsid w:val="00F03CB2"/>
    <w:rsid w:val="00F13DC7"/>
    <w:rsid w:val="00F14729"/>
    <w:rsid w:val="00F14ED7"/>
    <w:rsid w:val="00F150D6"/>
    <w:rsid w:val="00F17670"/>
    <w:rsid w:val="00F17A37"/>
    <w:rsid w:val="00F17A90"/>
    <w:rsid w:val="00F2031D"/>
    <w:rsid w:val="00F20C65"/>
    <w:rsid w:val="00F2622B"/>
    <w:rsid w:val="00F26369"/>
    <w:rsid w:val="00F30FD1"/>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3D67"/>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0AE4"/>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40F"/>
    <w:rsid w:val="00FD7CD4"/>
    <w:rsid w:val="00FE2498"/>
    <w:rsid w:val="00FE3548"/>
    <w:rsid w:val="00FE3F2D"/>
    <w:rsid w:val="00FE42C6"/>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Body Text" w:uiPriority="0"/>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H"/>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67BB8"/>
    <w:rPr>
      <w:sz w:val="16"/>
      <w:szCs w:val="16"/>
    </w:rPr>
  </w:style>
  <w:style w:type="paragraph" w:styleId="CommentText">
    <w:name w:val="annotation text"/>
    <w:basedOn w:val="Normal"/>
    <w:link w:val="CommentTextChar"/>
    <w:uiPriority w:val="99"/>
    <w:semiHidden/>
    <w:unhideWhenUsed/>
    <w:rsid w:val="00C67BB8"/>
    <w:pPr>
      <w:spacing w:line="240" w:lineRule="auto"/>
    </w:pPr>
    <w:rPr>
      <w:szCs w:val="20"/>
    </w:rPr>
  </w:style>
  <w:style w:type="character" w:customStyle="1" w:styleId="CommentTextChar">
    <w:name w:val="Comment Text Char"/>
    <w:basedOn w:val="DefaultParagraphFont"/>
    <w:link w:val="CommentText"/>
    <w:uiPriority w:val="99"/>
    <w:semiHidden/>
    <w:rsid w:val="00C67BB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67BB8"/>
    <w:rPr>
      <w:b/>
      <w:bCs/>
    </w:rPr>
  </w:style>
  <w:style w:type="character" w:customStyle="1" w:styleId="CommentSubjectChar">
    <w:name w:val="Comment Subject Char"/>
    <w:basedOn w:val="CommentTextChar"/>
    <w:link w:val="CommentSubject"/>
    <w:uiPriority w:val="99"/>
    <w:semiHidden/>
    <w:rsid w:val="00C67BB8"/>
    <w:rPr>
      <w:rFonts w:ascii="Times New Roman" w:hAnsi="Times New Roman"/>
      <w:b/>
      <w:bCs/>
      <w:spacing w:val="4"/>
      <w:w w:val="103"/>
      <w:kern w:val="14"/>
      <w:lang w:val="fr-CA"/>
    </w:rPr>
  </w:style>
  <w:style w:type="paragraph" w:customStyle="1" w:styleId="SingleTxtG">
    <w:name w:val="_ Single Txt_G"/>
    <w:basedOn w:val="Normal"/>
    <w:link w:val="SingleTxtGCar"/>
    <w:uiPriority w:val="99"/>
    <w:qFormat/>
    <w:rsid w:val="005C0827"/>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rPr>
  </w:style>
  <w:style w:type="character" w:customStyle="1" w:styleId="SingleTxtGCar">
    <w:name w:val="_ Single Txt_G Car"/>
    <w:link w:val="SingleTxtG"/>
    <w:uiPriority w:val="99"/>
    <w:locked/>
    <w:rsid w:val="005C0827"/>
    <w:rPr>
      <w:rFonts w:ascii="Times New Roman" w:eastAsia="Calibri" w:hAnsi="Times New Roman"/>
      <w:sz w:val="24"/>
      <w:lang w:val="fr-CH"/>
    </w:rPr>
  </w:style>
  <w:style w:type="character" w:customStyle="1" w:styleId="admitted">
    <w:name w:val="admitted"/>
    <w:basedOn w:val="DefaultParagraphFont"/>
    <w:rsid w:val="005C0827"/>
  </w:style>
  <w:style w:type="character" w:customStyle="1" w:styleId="preferred">
    <w:name w:val="preferred"/>
    <w:basedOn w:val="DefaultParagraphFont"/>
    <w:rsid w:val="005C0827"/>
  </w:style>
  <w:style w:type="paragraph" w:styleId="BodyText">
    <w:name w:val="Body Text"/>
    <w:basedOn w:val="Normal"/>
    <w:link w:val="BodyTextChar"/>
    <w:rsid w:val="002A4632"/>
    <w:pPr>
      <w:spacing w:after="120" w:line="240" w:lineRule="atLeast"/>
    </w:pPr>
    <w:rPr>
      <w:rFonts w:eastAsia="Times New Roman"/>
      <w:spacing w:val="0"/>
      <w:w w:val="100"/>
      <w:kern w:val="0"/>
      <w:szCs w:val="20"/>
      <w:lang w:val="es-ES" w:eastAsia="es-ES"/>
    </w:rPr>
  </w:style>
  <w:style w:type="character" w:customStyle="1" w:styleId="BodyTextChar">
    <w:name w:val="Body Text Char"/>
    <w:basedOn w:val="DefaultParagraphFont"/>
    <w:link w:val="BodyText"/>
    <w:rsid w:val="002A4632"/>
    <w:rPr>
      <w:rFonts w:ascii="Times New Roman" w:eastAsia="Times New Roman" w:hAnsi="Times New Roman"/>
      <w:lang w:val="es-ES" w:eastAsia="es-ES"/>
    </w:rPr>
  </w:style>
  <w:style w:type="character" w:styleId="Hyperlink">
    <w:name w:val="Hyperlink"/>
    <w:basedOn w:val="DefaultParagraphFont"/>
    <w:uiPriority w:val="99"/>
    <w:unhideWhenUsed/>
    <w:rsid w:val="002A4632"/>
    <w:rPr>
      <w:color w:val="0000FF" w:themeColor="hyperlink"/>
      <w:u w:val="single"/>
    </w:rPr>
  </w:style>
  <w:style w:type="character" w:customStyle="1" w:styleId="apple-converted-space">
    <w:name w:val="apple-converted-space"/>
    <w:rsid w:val="00031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Body Text" w:uiPriority="0"/>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H"/>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67BB8"/>
    <w:rPr>
      <w:sz w:val="16"/>
      <w:szCs w:val="16"/>
    </w:rPr>
  </w:style>
  <w:style w:type="paragraph" w:styleId="CommentText">
    <w:name w:val="annotation text"/>
    <w:basedOn w:val="Normal"/>
    <w:link w:val="CommentTextChar"/>
    <w:uiPriority w:val="99"/>
    <w:semiHidden/>
    <w:unhideWhenUsed/>
    <w:rsid w:val="00C67BB8"/>
    <w:pPr>
      <w:spacing w:line="240" w:lineRule="auto"/>
    </w:pPr>
    <w:rPr>
      <w:szCs w:val="20"/>
    </w:rPr>
  </w:style>
  <w:style w:type="character" w:customStyle="1" w:styleId="CommentTextChar">
    <w:name w:val="Comment Text Char"/>
    <w:basedOn w:val="DefaultParagraphFont"/>
    <w:link w:val="CommentText"/>
    <w:uiPriority w:val="99"/>
    <w:semiHidden/>
    <w:rsid w:val="00C67BB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67BB8"/>
    <w:rPr>
      <w:b/>
      <w:bCs/>
    </w:rPr>
  </w:style>
  <w:style w:type="character" w:customStyle="1" w:styleId="CommentSubjectChar">
    <w:name w:val="Comment Subject Char"/>
    <w:basedOn w:val="CommentTextChar"/>
    <w:link w:val="CommentSubject"/>
    <w:uiPriority w:val="99"/>
    <w:semiHidden/>
    <w:rsid w:val="00C67BB8"/>
    <w:rPr>
      <w:rFonts w:ascii="Times New Roman" w:hAnsi="Times New Roman"/>
      <w:b/>
      <w:bCs/>
      <w:spacing w:val="4"/>
      <w:w w:val="103"/>
      <w:kern w:val="14"/>
      <w:lang w:val="fr-CA"/>
    </w:rPr>
  </w:style>
  <w:style w:type="paragraph" w:customStyle="1" w:styleId="SingleTxtG">
    <w:name w:val="_ Single Txt_G"/>
    <w:basedOn w:val="Normal"/>
    <w:link w:val="SingleTxtGCar"/>
    <w:uiPriority w:val="99"/>
    <w:qFormat/>
    <w:rsid w:val="005C0827"/>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rPr>
  </w:style>
  <w:style w:type="character" w:customStyle="1" w:styleId="SingleTxtGCar">
    <w:name w:val="_ Single Txt_G Car"/>
    <w:link w:val="SingleTxtG"/>
    <w:uiPriority w:val="99"/>
    <w:locked/>
    <w:rsid w:val="005C0827"/>
    <w:rPr>
      <w:rFonts w:ascii="Times New Roman" w:eastAsia="Calibri" w:hAnsi="Times New Roman"/>
      <w:sz w:val="24"/>
      <w:lang w:val="fr-CH"/>
    </w:rPr>
  </w:style>
  <w:style w:type="character" w:customStyle="1" w:styleId="admitted">
    <w:name w:val="admitted"/>
    <w:basedOn w:val="DefaultParagraphFont"/>
    <w:rsid w:val="005C0827"/>
  </w:style>
  <w:style w:type="character" w:customStyle="1" w:styleId="preferred">
    <w:name w:val="preferred"/>
    <w:basedOn w:val="DefaultParagraphFont"/>
    <w:rsid w:val="005C0827"/>
  </w:style>
  <w:style w:type="paragraph" w:styleId="BodyText">
    <w:name w:val="Body Text"/>
    <w:basedOn w:val="Normal"/>
    <w:link w:val="BodyTextChar"/>
    <w:rsid w:val="002A4632"/>
    <w:pPr>
      <w:spacing w:after="120" w:line="240" w:lineRule="atLeast"/>
    </w:pPr>
    <w:rPr>
      <w:rFonts w:eastAsia="Times New Roman"/>
      <w:spacing w:val="0"/>
      <w:w w:val="100"/>
      <w:kern w:val="0"/>
      <w:szCs w:val="20"/>
      <w:lang w:val="es-ES" w:eastAsia="es-ES"/>
    </w:rPr>
  </w:style>
  <w:style w:type="character" w:customStyle="1" w:styleId="BodyTextChar">
    <w:name w:val="Body Text Char"/>
    <w:basedOn w:val="DefaultParagraphFont"/>
    <w:link w:val="BodyText"/>
    <w:rsid w:val="002A4632"/>
    <w:rPr>
      <w:rFonts w:ascii="Times New Roman" w:eastAsia="Times New Roman" w:hAnsi="Times New Roman"/>
      <w:lang w:val="es-ES" w:eastAsia="es-ES"/>
    </w:rPr>
  </w:style>
  <w:style w:type="character" w:styleId="Hyperlink">
    <w:name w:val="Hyperlink"/>
    <w:basedOn w:val="DefaultParagraphFont"/>
    <w:uiPriority w:val="99"/>
    <w:unhideWhenUsed/>
    <w:rsid w:val="002A4632"/>
    <w:rPr>
      <w:color w:val="0000FF" w:themeColor="hyperlink"/>
      <w:u w:val="single"/>
    </w:rPr>
  </w:style>
  <w:style w:type="character" w:customStyle="1" w:styleId="apple-converted-space">
    <w:name w:val="apple-converted-space"/>
    <w:rsid w:val="0003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ommons.wikimedia.org/wiki/File:Yes_check.svg"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commons.wikimedia.org/wiki/File:Zeichen_101.sv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483F-C1D4-4AA0-B16A-CDF351D1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15924</Words>
  <Characters>90771</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106483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Robert Corinne</dc:creator>
  <cp:keywords/>
  <dc:description/>
  <cp:lastModifiedBy>crelier</cp:lastModifiedBy>
  <cp:revision>3</cp:revision>
  <cp:lastPrinted>2016-01-18T16:12:00Z</cp:lastPrinted>
  <dcterms:created xsi:type="dcterms:W3CDTF">2016-01-18T16:12:00Z</dcterms:created>
  <dcterms:modified xsi:type="dcterms:W3CDTF">2016-01-18T16:12:00Z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1511341F</vt:lpwstr>
  </property>
  <property fmtid="{D5CDD505-2E9C-101B-9397-08002B2CF9AE}" pid="3" name="ODSRefJobNo">
    <vt:lpwstr>1515112F</vt:lpwstr>
  </property>
  <property fmtid="{D5CDD505-2E9C-101B-9397-08002B2CF9AE}" pid="4" name="Symbol1">
    <vt:lpwstr>HRI/CORE/ARG/2014</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8 juillet 2015</vt:lpwstr>
  </property>
  <property fmtid="{D5CDD505-2E9C-101B-9397-08002B2CF9AE}" pid="12" name="Original">
    <vt:lpwstr>espagnol</vt:lpwstr>
  </property>
  <property fmtid="{D5CDD505-2E9C-101B-9397-08002B2CF9AE}" pid="13" name="Release Date">
    <vt:lpwstr>140116</vt:lpwstr>
  </property>
</Properties>
</file>