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864AC">
        <w:trPr>
          <w:cantSplit/>
          <w:trHeight w:hRule="exact" w:val="851"/>
        </w:trPr>
        <w:tc>
          <w:tcPr>
            <w:tcW w:w="1276" w:type="dxa"/>
            <w:tcBorders>
              <w:bottom w:val="single" w:sz="4" w:space="0" w:color="auto"/>
            </w:tcBorders>
            <w:vAlign w:val="bottom"/>
          </w:tcPr>
          <w:p w:rsidR="00B56E9C" w:rsidRDefault="00B56E9C" w:rsidP="00A864AC">
            <w:pPr>
              <w:spacing w:after="80"/>
            </w:pPr>
          </w:p>
        </w:tc>
        <w:tc>
          <w:tcPr>
            <w:tcW w:w="2268" w:type="dxa"/>
            <w:tcBorders>
              <w:bottom w:val="single" w:sz="4" w:space="0" w:color="auto"/>
            </w:tcBorders>
            <w:vAlign w:val="bottom"/>
          </w:tcPr>
          <w:p w:rsidR="00B56E9C" w:rsidRPr="00B97172" w:rsidRDefault="00B56E9C" w:rsidP="00A864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05DA7" w:rsidP="00005DA7">
            <w:pPr>
              <w:suppressAutoHyphens w:val="0"/>
              <w:spacing w:after="20"/>
              <w:jc w:val="right"/>
            </w:pPr>
            <w:r w:rsidRPr="00005DA7">
              <w:rPr>
                <w:sz w:val="40"/>
              </w:rPr>
              <w:t>HRI</w:t>
            </w:r>
            <w:r>
              <w:t>/CORE/SSD/2020</w:t>
            </w:r>
          </w:p>
        </w:tc>
      </w:tr>
      <w:tr w:rsidR="00B56E9C" w:rsidTr="00A864AC">
        <w:trPr>
          <w:cantSplit/>
          <w:trHeight w:hRule="exact" w:val="2835"/>
        </w:trPr>
        <w:tc>
          <w:tcPr>
            <w:tcW w:w="1276" w:type="dxa"/>
            <w:tcBorders>
              <w:top w:val="single" w:sz="4" w:space="0" w:color="auto"/>
              <w:bottom w:val="single" w:sz="12" w:space="0" w:color="auto"/>
            </w:tcBorders>
          </w:tcPr>
          <w:p w:rsidR="00B56E9C" w:rsidRDefault="00A2046E" w:rsidP="00A864AC">
            <w:pPr>
              <w:spacing w:before="120"/>
            </w:pPr>
            <w:r>
              <w:rPr>
                <w:noProof/>
                <w:lang w:val="en-US"/>
              </w:rPr>
              <w:drawing>
                <wp:inline distT="0" distB="0" distL="0" distR="0" wp14:anchorId="2B4A685A" wp14:editId="609203C9">
                  <wp:extent cx="71374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6E9C" w:rsidP="00A864AC">
            <w:pPr>
              <w:spacing w:before="120" w:line="380" w:lineRule="exact"/>
              <w:rPr>
                <w:sz w:val="34"/>
              </w:rPr>
            </w:pPr>
            <w:r w:rsidRPr="00267F5F">
              <w:rPr>
                <w:b/>
                <w:sz w:val="34"/>
                <w:szCs w:val="40"/>
              </w:rPr>
              <w:t xml:space="preserve">International </w:t>
            </w:r>
            <w:r w:rsidR="00584DAE">
              <w:rPr>
                <w:b/>
                <w:sz w:val="34"/>
                <w:szCs w:val="40"/>
              </w:rPr>
              <w:t>Human Rights Instruments</w:t>
            </w:r>
          </w:p>
        </w:tc>
        <w:tc>
          <w:tcPr>
            <w:tcW w:w="2835" w:type="dxa"/>
            <w:tcBorders>
              <w:top w:val="single" w:sz="4" w:space="0" w:color="auto"/>
              <w:bottom w:val="single" w:sz="12" w:space="0" w:color="auto"/>
            </w:tcBorders>
          </w:tcPr>
          <w:p w:rsidR="00B56E9C" w:rsidRDefault="00005DA7" w:rsidP="00005DA7">
            <w:pPr>
              <w:suppressAutoHyphens w:val="0"/>
              <w:spacing w:before="240"/>
            </w:pPr>
            <w:r>
              <w:t>Distr.: General</w:t>
            </w:r>
          </w:p>
          <w:p w:rsidR="00005DA7" w:rsidRDefault="008F2EBA" w:rsidP="00005DA7">
            <w:pPr>
              <w:suppressAutoHyphens w:val="0"/>
            </w:pPr>
            <w:r>
              <w:t>28</w:t>
            </w:r>
            <w:r w:rsidR="00005DA7">
              <w:t xml:space="preserve"> February 2020</w:t>
            </w:r>
          </w:p>
          <w:p w:rsidR="00005DA7" w:rsidRDefault="00005DA7" w:rsidP="00005DA7">
            <w:pPr>
              <w:suppressAutoHyphens w:val="0"/>
            </w:pPr>
          </w:p>
          <w:p w:rsidR="00005DA7" w:rsidRDefault="00005DA7" w:rsidP="00005DA7">
            <w:pPr>
              <w:suppressAutoHyphens w:val="0"/>
            </w:pPr>
            <w:r>
              <w:t>Original: English</w:t>
            </w:r>
          </w:p>
        </w:tc>
      </w:tr>
    </w:tbl>
    <w:p w:rsidR="00005DA7" w:rsidRPr="00005DA7" w:rsidRDefault="00005DA7" w:rsidP="00005DA7">
      <w:pPr>
        <w:pStyle w:val="HMG"/>
      </w:pPr>
      <w:r w:rsidRPr="00005DA7">
        <w:rPr>
          <w:lang w:val="fr-CH"/>
        </w:rPr>
        <w:tab/>
      </w:r>
      <w:r w:rsidRPr="00005DA7">
        <w:rPr>
          <w:lang w:val="fr-CH"/>
        </w:rPr>
        <w:tab/>
      </w:r>
      <w:r w:rsidRPr="00005DA7">
        <w:t>Common core document forming part of the reports of States parties</w:t>
      </w:r>
    </w:p>
    <w:p w:rsidR="00005DA7" w:rsidRPr="00005DA7" w:rsidRDefault="00005DA7" w:rsidP="00005DA7">
      <w:pPr>
        <w:pStyle w:val="HMG"/>
      </w:pPr>
      <w:r w:rsidRPr="00005DA7">
        <w:tab/>
      </w:r>
      <w:r w:rsidRPr="00005DA7">
        <w:tab/>
        <w:t>South Sudan</w:t>
      </w:r>
      <w:r w:rsidRPr="00005DA7">
        <w:rPr>
          <w:b w:val="0"/>
          <w:bCs/>
          <w:sz w:val="20"/>
          <w:szCs w:val="10"/>
        </w:rPr>
        <w:footnoteReference w:customMarkFollows="1" w:id="2"/>
        <w:t>*</w:t>
      </w:r>
    </w:p>
    <w:p w:rsidR="00005DA7" w:rsidRPr="00005DA7" w:rsidRDefault="00005DA7" w:rsidP="00005DA7">
      <w:pPr>
        <w:pStyle w:val="SingleTxtG"/>
        <w:jc w:val="right"/>
      </w:pPr>
      <w:r w:rsidRPr="00005DA7">
        <w:t>[Date received: 30 January 2020]</w:t>
      </w:r>
    </w:p>
    <w:p w:rsidR="00005DA7" w:rsidRPr="00005DA7" w:rsidRDefault="00005DA7">
      <w:r w:rsidRPr="00005DA7">
        <w:br w:type="page"/>
      </w:r>
    </w:p>
    <w:p w:rsidR="00005DA7" w:rsidRPr="0038738C" w:rsidRDefault="00E10535" w:rsidP="00E10535">
      <w:pPr>
        <w:pStyle w:val="HChG"/>
      </w:pPr>
      <w:r>
        <w:lastRenderedPageBreak/>
        <w:tab/>
      </w:r>
      <w:r>
        <w:tab/>
      </w:r>
      <w:r w:rsidR="00005DA7" w:rsidRPr="0038738C">
        <w:t xml:space="preserve">Introduction </w:t>
      </w:r>
    </w:p>
    <w:p w:rsidR="00005DA7" w:rsidRPr="0038738C" w:rsidRDefault="00005DA7" w:rsidP="00005DA7">
      <w:pPr>
        <w:pStyle w:val="SingleTxtG"/>
      </w:pPr>
      <w:r w:rsidRPr="0038738C">
        <w:t>1.</w:t>
      </w:r>
      <w:r w:rsidRPr="0038738C">
        <w:tab/>
        <w:t xml:space="preserve">This Common Core Document is prepared in line with the harmonised guidelines of the Human Rights Committee regarding the form and content of periodic reports to be submitted by State Parties. </w:t>
      </w:r>
    </w:p>
    <w:p w:rsidR="00005DA7" w:rsidRPr="0038738C" w:rsidRDefault="00005DA7" w:rsidP="00005DA7">
      <w:pPr>
        <w:pStyle w:val="SingleTxtG"/>
      </w:pPr>
      <w:r w:rsidRPr="0038738C">
        <w:t>2.</w:t>
      </w:r>
      <w:r w:rsidRPr="0038738C">
        <w:tab/>
        <w:t>This document provides information on the legal frameworks aimed at the protection and promotion of human rights in the country and measures taken to eliminate any form of discrimination in the enjoyment of civil, political, economic, social and cultural rights.</w:t>
      </w:r>
    </w:p>
    <w:p w:rsidR="00005DA7" w:rsidRPr="0038738C" w:rsidRDefault="00005DA7" w:rsidP="00005DA7">
      <w:pPr>
        <w:pStyle w:val="SingleTxtG"/>
      </w:pPr>
      <w:r w:rsidRPr="0038738C">
        <w:t>3.</w:t>
      </w:r>
      <w:r w:rsidRPr="0038738C">
        <w:tab/>
        <w:t>In accordance with the standard guidelines for preparation of common core document, this document is divided into three parts: general information about South Sudan; institutional framework for the protection and promotion of human rights; and measures taken to eliminate all forms of discrimination in the enjoyment of civil, political, social, economic and cultural rights.</w:t>
      </w:r>
    </w:p>
    <w:p w:rsidR="00005DA7" w:rsidRPr="0038738C" w:rsidRDefault="00005DA7" w:rsidP="00727362">
      <w:pPr>
        <w:pStyle w:val="H1G"/>
      </w:pPr>
      <w:r w:rsidRPr="0038738C">
        <w:tab/>
        <w:t>A.</w:t>
      </w:r>
      <w:r w:rsidRPr="0038738C">
        <w:tab/>
        <w:t>General information on the Republic of South Sudan</w:t>
      </w:r>
    </w:p>
    <w:p w:rsidR="00005DA7" w:rsidRPr="0038738C" w:rsidRDefault="00005DA7" w:rsidP="00727362">
      <w:pPr>
        <w:pStyle w:val="H23G"/>
      </w:pPr>
      <w:r w:rsidRPr="0038738C">
        <w:tab/>
      </w:r>
      <w:r w:rsidRPr="0038738C">
        <w:tab/>
        <w:t>Geographical Information</w:t>
      </w:r>
    </w:p>
    <w:p w:rsidR="00005DA7" w:rsidRPr="0038738C" w:rsidRDefault="00005DA7" w:rsidP="00005DA7">
      <w:pPr>
        <w:pStyle w:val="SingleTxtG"/>
      </w:pPr>
      <w:r w:rsidRPr="0038738C">
        <w:t>4.</w:t>
      </w:r>
      <w:r w:rsidRPr="0038738C">
        <w:tab/>
        <w:t xml:space="preserve">South Sudan lies between latitudes 3° and 13° North and longitudes 24° and 36° East, with a surface area 239,285 square miles. South Sudan is bordered by the Sudan to the North, Ethiopia to the East, Uganda to the South and Kenya to the Southeast, Democratic Republic of Congo to the Southwest and Central African Republic to the West. South Sudan is located near the Equator and has a landscape which is mainly tropical forest, swamps and grassland. </w:t>
      </w:r>
    </w:p>
    <w:p w:rsidR="00005DA7" w:rsidRPr="0038738C" w:rsidRDefault="00005DA7" w:rsidP="00005DA7">
      <w:pPr>
        <w:pStyle w:val="SingleTxtG"/>
      </w:pPr>
      <w:r w:rsidRPr="0038738C">
        <w:t>5.</w:t>
      </w:r>
      <w:r w:rsidRPr="0038738C">
        <w:tab/>
        <w:t>The Country’s tropical climate is characterized by rain seasons of high humidity and large amounts of rainfall mostly during the months of April to October, with an average yearly total of approximately 953-mm. South Sudan is one of the eleven countries that the White Nile flows through. Its rainforests are home to many species of wildlife presenting an interesting mix of Central and East African forest and savannah species. The country also has its share of extreme weather conditions with the experience of floods and droughts in some years and in different parts of the country.</w:t>
      </w:r>
    </w:p>
    <w:p w:rsidR="00005DA7" w:rsidRPr="0038738C" w:rsidRDefault="00005DA7" w:rsidP="0028015C">
      <w:pPr>
        <w:pStyle w:val="H23G"/>
        <w:spacing w:after="240"/>
      </w:pPr>
      <w:r w:rsidRPr="0038738C">
        <w:tab/>
      </w:r>
      <w:r w:rsidRPr="0038738C">
        <w:tab/>
        <w:t>Map of South Sudan and Its Bordering Countries</w:t>
      </w:r>
      <w:r w:rsidRPr="0028015C">
        <w:rPr>
          <w:rStyle w:val="FootnoteReference"/>
          <w:b w:val="0"/>
          <w:bCs/>
        </w:rPr>
        <w:footnoteReference w:id="3"/>
      </w:r>
    </w:p>
    <w:p w:rsidR="00005DA7" w:rsidRPr="0038738C" w:rsidRDefault="00005DA7" w:rsidP="00005DA7">
      <w:pPr>
        <w:pStyle w:val="SingleTxtG"/>
      </w:pPr>
      <w:r w:rsidRPr="0038738C">
        <w:rPr>
          <w:noProof/>
          <w:lang w:val="en-US"/>
        </w:rPr>
        <w:drawing>
          <wp:inline distT="0" distB="0" distL="0" distR="0" wp14:anchorId="5F871ECE" wp14:editId="5DB5B3BA">
            <wp:extent cx="4495411" cy="2074985"/>
            <wp:effectExtent l="0" t="0" r="635" b="1905"/>
            <wp:docPr id="5" name="Picture 5" descr="D:\Users\dokot\AppData\Local\Microsoft\Windows\INetCache\Content.MSO\4F5660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dokot\AppData\Local\Microsoft\Windows\INetCache\Content.MSO\4F56600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700" cy="2087120"/>
                    </a:xfrm>
                    <a:prstGeom prst="rect">
                      <a:avLst/>
                    </a:prstGeom>
                    <a:noFill/>
                    <a:ln>
                      <a:noFill/>
                    </a:ln>
                  </pic:spPr>
                </pic:pic>
              </a:graphicData>
            </a:graphic>
          </wp:inline>
        </w:drawing>
      </w:r>
    </w:p>
    <w:p w:rsidR="00005DA7" w:rsidRPr="0038738C" w:rsidRDefault="00005DA7" w:rsidP="00727362">
      <w:pPr>
        <w:pStyle w:val="H23G"/>
      </w:pPr>
      <w:r w:rsidRPr="0038738C">
        <w:tab/>
      </w:r>
      <w:r w:rsidRPr="0038738C">
        <w:tab/>
        <w:t>Brief history of the Country</w:t>
      </w:r>
    </w:p>
    <w:p w:rsidR="00005DA7" w:rsidRPr="0038738C" w:rsidRDefault="00005DA7" w:rsidP="00005DA7">
      <w:pPr>
        <w:pStyle w:val="SingleTxtG"/>
      </w:pPr>
      <w:r w:rsidRPr="0038738C">
        <w:t>6.</w:t>
      </w:r>
      <w:r w:rsidRPr="0038738C">
        <w:tab/>
        <w:t>South Sudan was invaded as part of the Sudan in 1820 by Muhammad Ali Pasha, the Viceroy of Egypt under the Ottoman Empire for the purpose of slave trade and by the end of the 19th century, Sudan was already under the Anglo</w:t>
      </w:r>
      <w:r w:rsidRPr="0038738C" w:rsidDel="009B3E16">
        <w:t xml:space="preserve"> </w:t>
      </w:r>
      <w:r w:rsidRPr="0038738C">
        <w:t xml:space="preserve">-Egyptian rule while the British </w:t>
      </w:r>
      <w:r w:rsidRPr="0038738C">
        <w:lastRenderedPageBreak/>
        <w:t xml:space="preserve">colonial authorities continued to govern the Southern part of the Sudan as a protectorate until 1956. </w:t>
      </w:r>
    </w:p>
    <w:p w:rsidR="00005DA7" w:rsidRPr="0038738C" w:rsidRDefault="00005DA7" w:rsidP="00005DA7">
      <w:pPr>
        <w:pStyle w:val="SingleTxtG"/>
      </w:pPr>
      <w:r w:rsidRPr="0038738C">
        <w:t>7.</w:t>
      </w:r>
      <w:r w:rsidRPr="0038738C">
        <w:tab/>
        <w:t>In 1956, Sudan got its independence from Anglo- Egyptian rule, however, after the independence of the Sudan, conflict ensued between the Northern and Southern part of the Sudan on grounds of inequitable distribution of resources, discrimination by the then rulers in Sudan of the country which ended with signing of an agreement in Addis Ababa in 1972, which resulted into the establishment of a self-autonomous government in Southern Sudan. Unfortunately, this agreement lasted until 1983 when Islamic Law (Sharia law) was declared in Sudan which resulted in the second rebellion by Southern Sudanese against the North. However this civil war was again ended by signing of the Comprehensive Peace Agreement in 2005 followed by a referendum in January 2011 which paved way for the independence of South Suda</w:t>
      </w:r>
      <w:bookmarkStart w:id="0" w:name="_GoBack"/>
      <w:bookmarkEnd w:id="0"/>
      <w:r w:rsidRPr="0038738C">
        <w:t>n on July 9, 2011.</w:t>
      </w:r>
    </w:p>
    <w:p w:rsidR="00005DA7" w:rsidRPr="0038738C" w:rsidRDefault="00005DA7" w:rsidP="00727362">
      <w:pPr>
        <w:pStyle w:val="H1G"/>
      </w:pPr>
      <w:r w:rsidRPr="0038738C">
        <w:tab/>
        <w:t>B.</w:t>
      </w:r>
      <w:r w:rsidRPr="0038738C">
        <w:tab/>
        <w:t xml:space="preserve">Demographic, economic, social and cultural characteristics of </w:t>
      </w:r>
      <w:r w:rsidRPr="0038738C">
        <w:br/>
        <w:t>South Sudan</w:t>
      </w:r>
    </w:p>
    <w:p w:rsidR="00005DA7" w:rsidRPr="0038738C" w:rsidRDefault="00005DA7" w:rsidP="00727362">
      <w:pPr>
        <w:pStyle w:val="H23G"/>
      </w:pPr>
      <w:r w:rsidRPr="0038738C">
        <w:tab/>
      </w:r>
      <w:r w:rsidRPr="0038738C">
        <w:tab/>
        <w:t>Demographic</w:t>
      </w:r>
    </w:p>
    <w:p w:rsidR="00005DA7" w:rsidRPr="0038738C" w:rsidRDefault="00005DA7" w:rsidP="00005DA7">
      <w:pPr>
        <w:pStyle w:val="SingleTxtG"/>
      </w:pPr>
      <w:r w:rsidRPr="0038738C">
        <w:t>8.</w:t>
      </w:r>
      <w:r w:rsidRPr="0038738C">
        <w:tab/>
        <w:t>As at the last population census held in South Sudan as part of the Sudan in 2008, its population was said to be 8.26 million (Male – 4.29 million, Female – 3.97 million). With a growth rate of 3.83%. However, the recent projections by the United Nations agencies put the country’s population at 13,026,129 million</w:t>
      </w:r>
      <w:r w:rsidRPr="0028015C">
        <w:rPr>
          <w:rStyle w:val="FootnoteReference"/>
        </w:rPr>
        <w:footnoteReference w:id="4"/>
      </w:r>
      <w:r w:rsidRPr="0038738C">
        <w:t xml:space="preserve"> with women accounting for over 49.6%. </w:t>
      </w:r>
    </w:p>
    <w:p w:rsidR="00005DA7" w:rsidRPr="0038738C" w:rsidRDefault="00005DA7" w:rsidP="00D838E1">
      <w:pPr>
        <w:pStyle w:val="SingleTxtG"/>
        <w:spacing w:after="240"/>
      </w:pPr>
      <w:r w:rsidRPr="0038738C">
        <w:t>9.</w:t>
      </w:r>
      <w:r w:rsidRPr="0038738C">
        <w:tab/>
        <w:t>South Sudan has a large population of young people with 51% under the age of 18 and 72% under the age of 30. Only 2.1% of the population are aged 65 years and above. Its total dependency ratio is estimated to be 83.7 with the youth constituting 77.3 and the elderly being 6.4.</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1559"/>
        <w:gridCol w:w="1098"/>
        <w:gridCol w:w="1098"/>
        <w:gridCol w:w="1098"/>
        <w:gridCol w:w="1099"/>
      </w:tblGrid>
      <w:tr w:rsidR="004B17A8" w:rsidRPr="00EC4853" w:rsidTr="004B17A8">
        <w:trPr>
          <w:tblHeader/>
        </w:trPr>
        <w:tc>
          <w:tcPr>
            <w:tcW w:w="1418" w:type="dxa"/>
            <w:tcBorders>
              <w:top w:val="single" w:sz="4" w:space="0" w:color="auto"/>
              <w:bottom w:val="single" w:sz="12" w:space="0" w:color="auto"/>
            </w:tcBorders>
            <w:shd w:val="clear" w:color="auto" w:fill="auto"/>
            <w:vAlign w:val="bottom"/>
          </w:tcPr>
          <w:p w:rsidR="00005DA7" w:rsidRPr="00EC4853" w:rsidRDefault="00005DA7" w:rsidP="00EC4853">
            <w:pPr>
              <w:pStyle w:val="SingleTxtG"/>
              <w:spacing w:before="80" w:after="80" w:line="200" w:lineRule="exact"/>
              <w:ind w:left="0" w:right="113"/>
              <w:jc w:val="left"/>
              <w:rPr>
                <w:i/>
                <w:sz w:val="16"/>
              </w:rPr>
            </w:pPr>
            <w:r w:rsidRPr="00EC4853">
              <w:rPr>
                <w:i/>
                <w:sz w:val="16"/>
              </w:rPr>
              <w:t>Age Range (Years)</w:t>
            </w:r>
          </w:p>
        </w:tc>
        <w:tc>
          <w:tcPr>
            <w:tcW w:w="1559" w:type="dxa"/>
            <w:tcBorders>
              <w:top w:val="single" w:sz="4" w:space="0" w:color="auto"/>
              <w:bottom w:val="single" w:sz="12" w:space="0" w:color="auto"/>
            </w:tcBorders>
            <w:shd w:val="clear" w:color="auto" w:fill="auto"/>
            <w:vAlign w:val="bottom"/>
          </w:tcPr>
          <w:p w:rsidR="00005DA7" w:rsidRPr="00EC4853" w:rsidRDefault="00005DA7" w:rsidP="00EC4853">
            <w:pPr>
              <w:pStyle w:val="SingleTxtG"/>
              <w:spacing w:before="80" w:after="80" w:line="200" w:lineRule="exact"/>
              <w:ind w:left="0" w:right="113"/>
              <w:jc w:val="right"/>
              <w:rPr>
                <w:i/>
                <w:sz w:val="16"/>
              </w:rPr>
            </w:pPr>
            <w:r w:rsidRPr="00EC4853">
              <w:rPr>
                <w:i/>
                <w:sz w:val="16"/>
              </w:rPr>
              <w:t>% of Total Population</w:t>
            </w:r>
          </w:p>
        </w:tc>
        <w:tc>
          <w:tcPr>
            <w:tcW w:w="1098" w:type="dxa"/>
            <w:tcBorders>
              <w:top w:val="single" w:sz="4" w:space="0" w:color="auto"/>
              <w:bottom w:val="single" w:sz="12" w:space="0" w:color="auto"/>
            </w:tcBorders>
            <w:shd w:val="clear" w:color="auto" w:fill="auto"/>
            <w:vAlign w:val="bottom"/>
          </w:tcPr>
          <w:p w:rsidR="00005DA7" w:rsidRPr="00EC4853" w:rsidRDefault="00005DA7" w:rsidP="00EC4853">
            <w:pPr>
              <w:pStyle w:val="SingleTxtG"/>
              <w:spacing w:before="80" w:after="80" w:line="200" w:lineRule="exact"/>
              <w:ind w:left="0" w:right="113"/>
              <w:jc w:val="right"/>
              <w:rPr>
                <w:i/>
                <w:sz w:val="16"/>
              </w:rPr>
            </w:pPr>
            <w:r w:rsidRPr="00EC4853">
              <w:rPr>
                <w:i/>
                <w:sz w:val="16"/>
              </w:rPr>
              <w:t>Male</w:t>
            </w:r>
          </w:p>
        </w:tc>
        <w:tc>
          <w:tcPr>
            <w:tcW w:w="1098" w:type="dxa"/>
            <w:tcBorders>
              <w:top w:val="single" w:sz="4" w:space="0" w:color="auto"/>
              <w:bottom w:val="single" w:sz="12" w:space="0" w:color="auto"/>
            </w:tcBorders>
            <w:shd w:val="clear" w:color="auto" w:fill="auto"/>
            <w:vAlign w:val="bottom"/>
          </w:tcPr>
          <w:p w:rsidR="00005DA7" w:rsidRPr="00EC4853" w:rsidRDefault="00005DA7" w:rsidP="00EC4853">
            <w:pPr>
              <w:pStyle w:val="SingleTxtG"/>
              <w:spacing w:before="80" w:after="80" w:line="200" w:lineRule="exact"/>
              <w:ind w:left="0" w:right="113"/>
              <w:jc w:val="right"/>
              <w:rPr>
                <w:i/>
                <w:sz w:val="16"/>
              </w:rPr>
            </w:pPr>
            <w:r w:rsidRPr="00EC4853">
              <w:rPr>
                <w:i/>
                <w:sz w:val="16"/>
              </w:rPr>
              <w:t>% Male</w:t>
            </w:r>
          </w:p>
        </w:tc>
        <w:tc>
          <w:tcPr>
            <w:tcW w:w="1098" w:type="dxa"/>
            <w:tcBorders>
              <w:top w:val="single" w:sz="4" w:space="0" w:color="auto"/>
              <w:bottom w:val="single" w:sz="12" w:space="0" w:color="auto"/>
            </w:tcBorders>
            <w:shd w:val="clear" w:color="auto" w:fill="auto"/>
            <w:vAlign w:val="bottom"/>
          </w:tcPr>
          <w:p w:rsidR="00005DA7" w:rsidRPr="00EC4853" w:rsidRDefault="00005DA7" w:rsidP="00EC4853">
            <w:pPr>
              <w:pStyle w:val="SingleTxtG"/>
              <w:spacing w:before="80" w:after="80" w:line="200" w:lineRule="exact"/>
              <w:ind w:left="0" w:right="113"/>
              <w:jc w:val="right"/>
              <w:rPr>
                <w:i/>
                <w:sz w:val="16"/>
              </w:rPr>
            </w:pPr>
            <w:r w:rsidRPr="00EC4853">
              <w:rPr>
                <w:i/>
                <w:sz w:val="16"/>
              </w:rPr>
              <w:t>Female</w:t>
            </w:r>
          </w:p>
        </w:tc>
        <w:tc>
          <w:tcPr>
            <w:tcW w:w="1099" w:type="dxa"/>
            <w:tcBorders>
              <w:top w:val="single" w:sz="4" w:space="0" w:color="auto"/>
              <w:bottom w:val="single" w:sz="12" w:space="0" w:color="auto"/>
            </w:tcBorders>
            <w:shd w:val="clear" w:color="auto" w:fill="auto"/>
            <w:vAlign w:val="bottom"/>
          </w:tcPr>
          <w:p w:rsidR="00005DA7" w:rsidRPr="00EC4853" w:rsidRDefault="00005DA7" w:rsidP="00EC4853">
            <w:pPr>
              <w:pStyle w:val="SingleTxtG"/>
              <w:spacing w:before="80" w:after="80" w:line="200" w:lineRule="exact"/>
              <w:ind w:left="0" w:right="113"/>
              <w:jc w:val="right"/>
              <w:rPr>
                <w:i/>
                <w:sz w:val="16"/>
              </w:rPr>
            </w:pPr>
            <w:r w:rsidRPr="00EC4853">
              <w:rPr>
                <w:i/>
                <w:sz w:val="16"/>
              </w:rPr>
              <w:t>% Female</w:t>
            </w:r>
          </w:p>
        </w:tc>
      </w:tr>
      <w:tr w:rsidR="004B17A8" w:rsidRPr="00EC4853" w:rsidTr="004B17A8">
        <w:tc>
          <w:tcPr>
            <w:tcW w:w="1418" w:type="dxa"/>
            <w:tcBorders>
              <w:top w:val="single" w:sz="12" w:space="0" w:color="auto"/>
            </w:tcBorders>
            <w:shd w:val="clear" w:color="auto" w:fill="auto"/>
          </w:tcPr>
          <w:p w:rsidR="00005DA7" w:rsidRPr="00EC4853" w:rsidRDefault="00005DA7" w:rsidP="00EC4853">
            <w:pPr>
              <w:pStyle w:val="SingleTxtG"/>
              <w:spacing w:before="40" w:after="40" w:line="220" w:lineRule="exact"/>
              <w:ind w:left="0" w:right="113"/>
              <w:jc w:val="left"/>
              <w:rPr>
                <w:sz w:val="18"/>
              </w:rPr>
            </w:pPr>
            <w:r w:rsidRPr="00EC4853">
              <w:rPr>
                <w:sz w:val="18"/>
              </w:rPr>
              <w:t>0</w:t>
            </w:r>
            <w:r w:rsidR="00FD084B" w:rsidRPr="00EC4853">
              <w:rPr>
                <w:sz w:val="18"/>
              </w:rPr>
              <w:t>–</w:t>
            </w:r>
            <w:r w:rsidRPr="00EC4853">
              <w:rPr>
                <w:sz w:val="18"/>
              </w:rPr>
              <w:t>14</w:t>
            </w:r>
          </w:p>
        </w:tc>
        <w:tc>
          <w:tcPr>
            <w:tcW w:w="1559" w:type="dxa"/>
            <w:tcBorders>
              <w:top w:val="single" w:sz="12" w:space="0" w:color="auto"/>
            </w:tcBorders>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44.37</w:t>
            </w:r>
          </w:p>
        </w:tc>
        <w:tc>
          <w:tcPr>
            <w:tcW w:w="1098" w:type="dxa"/>
            <w:tcBorders>
              <w:top w:val="single" w:sz="12" w:space="0" w:color="auto"/>
            </w:tcBorders>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2</w:t>
            </w:r>
            <w:r w:rsidR="00FD084B" w:rsidRPr="00EC4853">
              <w:rPr>
                <w:sz w:val="18"/>
              </w:rPr>
              <w:t xml:space="preserve"> </w:t>
            </w:r>
            <w:r w:rsidRPr="00EC4853">
              <w:rPr>
                <w:sz w:val="18"/>
              </w:rPr>
              <w:t>947</w:t>
            </w:r>
            <w:r w:rsidR="00FD084B" w:rsidRPr="00EC4853">
              <w:rPr>
                <w:sz w:val="18"/>
              </w:rPr>
              <w:t xml:space="preserve"> </w:t>
            </w:r>
            <w:r w:rsidRPr="00EC4853">
              <w:rPr>
                <w:sz w:val="18"/>
              </w:rPr>
              <w:t>277</w:t>
            </w:r>
          </w:p>
        </w:tc>
        <w:tc>
          <w:tcPr>
            <w:tcW w:w="1098" w:type="dxa"/>
            <w:tcBorders>
              <w:top w:val="single" w:sz="12" w:space="0" w:color="auto"/>
            </w:tcBorders>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51.00</w:t>
            </w:r>
          </w:p>
        </w:tc>
        <w:tc>
          <w:tcPr>
            <w:tcW w:w="1098" w:type="dxa"/>
            <w:tcBorders>
              <w:top w:val="single" w:sz="12" w:space="0" w:color="auto"/>
            </w:tcBorders>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2</w:t>
            </w:r>
            <w:r w:rsidR="00FD084B" w:rsidRPr="00EC4853">
              <w:rPr>
                <w:sz w:val="18"/>
              </w:rPr>
              <w:t xml:space="preserve"> </w:t>
            </w:r>
            <w:r w:rsidRPr="00EC4853">
              <w:rPr>
                <w:sz w:val="18"/>
              </w:rPr>
              <w:t>831</w:t>
            </w:r>
            <w:r w:rsidR="00FD084B" w:rsidRPr="00EC4853">
              <w:rPr>
                <w:sz w:val="18"/>
              </w:rPr>
              <w:t xml:space="preserve"> </w:t>
            </w:r>
            <w:r w:rsidRPr="00EC4853">
              <w:rPr>
                <w:sz w:val="18"/>
              </w:rPr>
              <w:t>822</w:t>
            </w:r>
          </w:p>
        </w:tc>
        <w:tc>
          <w:tcPr>
            <w:tcW w:w="1099" w:type="dxa"/>
            <w:tcBorders>
              <w:top w:val="single" w:sz="12" w:space="0" w:color="auto"/>
            </w:tcBorders>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49.00</w:t>
            </w:r>
          </w:p>
        </w:tc>
      </w:tr>
      <w:tr w:rsidR="00FD084B" w:rsidRPr="00EC4853" w:rsidTr="004B17A8">
        <w:tc>
          <w:tcPr>
            <w:tcW w:w="1418" w:type="dxa"/>
            <w:shd w:val="clear" w:color="auto" w:fill="auto"/>
          </w:tcPr>
          <w:p w:rsidR="00005DA7" w:rsidRPr="00EC4853" w:rsidRDefault="00005DA7" w:rsidP="00EC4853">
            <w:pPr>
              <w:pStyle w:val="SingleTxtG"/>
              <w:spacing w:before="40" w:after="40" w:line="220" w:lineRule="exact"/>
              <w:ind w:left="0" w:right="113"/>
              <w:jc w:val="left"/>
              <w:rPr>
                <w:sz w:val="18"/>
              </w:rPr>
            </w:pPr>
            <w:r w:rsidRPr="00EC4853">
              <w:rPr>
                <w:sz w:val="18"/>
              </w:rPr>
              <w:t>15</w:t>
            </w:r>
            <w:r w:rsidR="00FD084B" w:rsidRPr="00EC4853">
              <w:rPr>
                <w:sz w:val="18"/>
              </w:rPr>
              <w:t>–</w:t>
            </w:r>
            <w:r w:rsidRPr="00EC4853">
              <w:rPr>
                <w:sz w:val="18"/>
              </w:rPr>
              <w:t>24</w:t>
            </w:r>
          </w:p>
        </w:tc>
        <w:tc>
          <w:tcPr>
            <w:tcW w:w="1559"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20.56</w:t>
            </w:r>
          </w:p>
        </w:tc>
        <w:tc>
          <w:tcPr>
            <w:tcW w:w="1098"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1</w:t>
            </w:r>
            <w:r w:rsidR="00FD084B" w:rsidRPr="00EC4853">
              <w:rPr>
                <w:sz w:val="18"/>
              </w:rPr>
              <w:t xml:space="preserve"> </w:t>
            </w:r>
            <w:r w:rsidRPr="00EC4853">
              <w:rPr>
                <w:sz w:val="18"/>
              </w:rPr>
              <w:t>402</w:t>
            </w:r>
            <w:r w:rsidR="00FD084B" w:rsidRPr="00EC4853">
              <w:rPr>
                <w:sz w:val="18"/>
              </w:rPr>
              <w:t xml:space="preserve"> </w:t>
            </w:r>
            <w:r w:rsidRPr="00EC4853">
              <w:rPr>
                <w:sz w:val="18"/>
              </w:rPr>
              <w:t>746</w:t>
            </w:r>
          </w:p>
        </w:tc>
        <w:tc>
          <w:tcPr>
            <w:tcW w:w="1098"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52.38</w:t>
            </w:r>
          </w:p>
        </w:tc>
        <w:tc>
          <w:tcPr>
            <w:tcW w:w="1098"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1</w:t>
            </w:r>
            <w:r w:rsidR="00FD084B" w:rsidRPr="00EC4853">
              <w:rPr>
                <w:sz w:val="18"/>
              </w:rPr>
              <w:t xml:space="preserve"> </w:t>
            </w:r>
            <w:r w:rsidRPr="00EC4853">
              <w:rPr>
                <w:sz w:val="18"/>
              </w:rPr>
              <w:t>275</w:t>
            </w:r>
            <w:r w:rsidR="00FD084B" w:rsidRPr="00EC4853">
              <w:rPr>
                <w:sz w:val="18"/>
              </w:rPr>
              <w:t xml:space="preserve"> </w:t>
            </w:r>
            <w:r w:rsidRPr="00EC4853">
              <w:rPr>
                <w:sz w:val="18"/>
              </w:rPr>
              <w:t>276</w:t>
            </w:r>
          </w:p>
        </w:tc>
        <w:tc>
          <w:tcPr>
            <w:tcW w:w="1099"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47.62</w:t>
            </w:r>
          </w:p>
        </w:tc>
      </w:tr>
      <w:tr w:rsidR="00FD084B" w:rsidRPr="00EC4853" w:rsidTr="004B17A8">
        <w:tc>
          <w:tcPr>
            <w:tcW w:w="1418" w:type="dxa"/>
            <w:shd w:val="clear" w:color="auto" w:fill="auto"/>
          </w:tcPr>
          <w:p w:rsidR="00005DA7" w:rsidRPr="00EC4853" w:rsidRDefault="00005DA7" w:rsidP="00EC4853">
            <w:pPr>
              <w:pStyle w:val="SingleTxtG"/>
              <w:spacing w:before="40" w:after="40" w:line="220" w:lineRule="exact"/>
              <w:ind w:left="0" w:right="113"/>
              <w:jc w:val="left"/>
              <w:rPr>
                <w:sz w:val="18"/>
              </w:rPr>
            </w:pPr>
            <w:r w:rsidRPr="00EC4853">
              <w:rPr>
                <w:sz w:val="18"/>
              </w:rPr>
              <w:t>25</w:t>
            </w:r>
            <w:r w:rsidR="00FD084B" w:rsidRPr="00EC4853">
              <w:rPr>
                <w:sz w:val="18"/>
              </w:rPr>
              <w:t>–</w:t>
            </w:r>
            <w:r w:rsidRPr="00EC4853">
              <w:rPr>
                <w:sz w:val="18"/>
              </w:rPr>
              <w:t>54</w:t>
            </w:r>
          </w:p>
        </w:tc>
        <w:tc>
          <w:tcPr>
            <w:tcW w:w="1559"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29.58</w:t>
            </w:r>
          </w:p>
        </w:tc>
        <w:tc>
          <w:tcPr>
            <w:tcW w:w="1098"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1</w:t>
            </w:r>
            <w:r w:rsidR="00FD084B" w:rsidRPr="00EC4853">
              <w:rPr>
                <w:sz w:val="18"/>
              </w:rPr>
              <w:t xml:space="preserve"> </w:t>
            </w:r>
            <w:r w:rsidRPr="00EC4853">
              <w:rPr>
                <w:sz w:val="18"/>
              </w:rPr>
              <w:t>869</w:t>
            </w:r>
            <w:r w:rsidR="00FD084B" w:rsidRPr="00EC4853">
              <w:rPr>
                <w:sz w:val="18"/>
              </w:rPr>
              <w:t xml:space="preserve"> </w:t>
            </w:r>
            <w:r w:rsidRPr="00EC4853">
              <w:rPr>
                <w:sz w:val="18"/>
              </w:rPr>
              <w:t>480</w:t>
            </w:r>
          </w:p>
        </w:tc>
        <w:tc>
          <w:tcPr>
            <w:tcW w:w="1098"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48.52</w:t>
            </w:r>
          </w:p>
        </w:tc>
        <w:tc>
          <w:tcPr>
            <w:tcW w:w="1098"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1</w:t>
            </w:r>
            <w:r w:rsidR="00FD084B" w:rsidRPr="00EC4853">
              <w:rPr>
                <w:sz w:val="18"/>
              </w:rPr>
              <w:t xml:space="preserve"> </w:t>
            </w:r>
            <w:r w:rsidRPr="00EC4853">
              <w:rPr>
                <w:sz w:val="18"/>
              </w:rPr>
              <w:t>983</w:t>
            </w:r>
            <w:r w:rsidR="00FD084B" w:rsidRPr="00EC4853">
              <w:rPr>
                <w:sz w:val="18"/>
              </w:rPr>
              <w:t xml:space="preserve"> </w:t>
            </w:r>
            <w:r w:rsidRPr="00EC4853">
              <w:rPr>
                <w:sz w:val="18"/>
              </w:rPr>
              <w:t>504</w:t>
            </w:r>
          </w:p>
        </w:tc>
        <w:tc>
          <w:tcPr>
            <w:tcW w:w="1099"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51.48</w:t>
            </w:r>
          </w:p>
        </w:tc>
      </w:tr>
      <w:tr w:rsidR="00FD084B" w:rsidRPr="00EC4853" w:rsidTr="004B17A8">
        <w:tc>
          <w:tcPr>
            <w:tcW w:w="1418" w:type="dxa"/>
            <w:shd w:val="clear" w:color="auto" w:fill="auto"/>
          </w:tcPr>
          <w:p w:rsidR="00005DA7" w:rsidRPr="00EC4853" w:rsidRDefault="00005DA7" w:rsidP="00EC4853">
            <w:pPr>
              <w:pStyle w:val="SingleTxtG"/>
              <w:spacing w:before="40" w:after="40" w:line="220" w:lineRule="exact"/>
              <w:ind w:left="0" w:right="113"/>
              <w:jc w:val="left"/>
              <w:rPr>
                <w:sz w:val="18"/>
              </w:rPr>
            </w:pPr>
            <w:r w:rsidRPr="00EC4853">
              <w:rPr>
                <w:sz w:val="18"/>
              </w:rPr>
              <w:t>55</w:t>
            </w:r>
            <w:r w:rsidR="00FD084B" w:rsidRPr="00EC4853">
              <w:rPr>
                <w:sz w:val="18"/>
              </w:rPr>
              <w:t>–</w:t>
            </w:r>
            <w:r w:rsidRPr="00EC4853">
              <w:rPr>
                <w:sz w:val="18"/>
              </w:rPr>
              <w:t>64</w:t>
            </w:r>
          </w:p>
        </w:tc>
        <w:tc>
          <w:tcPr>
            <w:tcW w:w="1559"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3.39</w:t>
            </w:r>
          </w:p>
        </w:tc>
        <w:tc>
          <w:tcPr>
            <w:tcW w:w="1098"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2</w:t>
            </w:r>
            <w:r w:rsidR="00FD084B" w:rsidRPr="00EC4853">
              <w:rPr>
                <w:sz w:val="18"/>
              </w:rPr>
              <w:t xml:space="preserve"> </w:t>
            </w:r>
            <w:r w:rsidRPr="00EC4853">
              <w:rPr>
                <w:sz w:val="18"/>
              </w:rPr>
              <w:t>35</w:t>
            </w:r>
            <w:r w:rsidR="00FD084B" w:rsidRPr="00EC4853">
              <w:rPr>
                <w:sz w:val="18"/>
              </w:rPr>
              <w:t xml:space="preserve"> </w:t>
            </w:r>
            <w:r w:rsidRPr="00EC4853">
              <w:rPr>
                <w:sz w:val="18"/>
              </w:rPr>
              <w:t>546</w:t>
            </w:r>
          </w:p>
        </w:tc>
        <w:tc>
          <w:tcPr>
            <w:tcW w:w="1098"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53.31</w:t>
            </w:r>
          </w:p>
        </w:tc>
        <w:tc>
          <w:tcPr>
            <w:tcW w:w="1098"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206</w:t>
            </w:r>
            <w:r w:rsidR="00FD084B" w:rsidRPr="00EC4853">
              <w:rPr>
                <w:sz w:val="18"/>
              </w:rPr>
              <w:t xml:space="preserve"> </w:t>
            </w:r>
            <w:r w:rsidRPr="00EC4853">
              <w:rPr>
                <w:sz w:val="18"/>
              </w:rPr>
              <w:t>304</w:t>
            </w:r>
          </w:p>
        </w:tc>
        <w:tc>
          <w:tcPr>
            <w:tcW w:w="1099"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46.69</w:t>
            </w:r>
          </w:p>
        </w:tc>
      </w:tr>
      <w:tr w:rsidR="004B17A8" w:rsidRPr="00EC4853" w:rsidTr="004B17A8">
        <w:tc>
          <w:tcPr>
            <w:tcW w:w="1418" w:type="dxa"/>
            <w:shd w:val="clear" w:color="auto" w:fill="auto"/>
          </w:tcPr>
          <w:p w:rsidR="00005DA7" w:rsidRPr="00EC4853" w:rsidRDefault="00005DA7" w:rsidP="00EC4853">
            <w:pPr>
              <w:pStyle w:val="SingleTxtG"/>
              <w:spacing w:before="40" w:after="40" w:line="220" w:lineRule="exact"/>
              <w:ind w:left="0" w:right="113"/>
              <w:jc w:val="left"/>
              <w:rPr>
                <w:sz w:val="18"/>
              </w:rPr>
            </w:pPr>
            <w:r w:rsidRPr="00EC4853">
              <w:rPr>
                <w:sz w:val="18"/>
              </w:rPr>
              <w:t>65 and over</w:t>
            </w:r>
          </w:p>
        </w:tc>
        <w:tc>
          <w:tcPr>
            <w:tcW w:w="1559"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2.1</w:t>
            </w:r>
          </w:p>
        </w:tc>
        <w:tc>
          <w:tcPr>
            <w:tcW w:w="1098"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151</w:t>
            </w:r>
            <w:r w:rsidR="00FD084B" w:rsidRPr="00EC4853">
              <w:rPr>
                <w:sz w:val="18"/>
              </w:rPr>
              <w:t xml:space="preserve"> </w:t>
            </w:r>
            <w:r w:rsidRPr="00EC4853">
              <w:rPr>
                <w:sz w:val="18"/>
              </w:rPr>
              <w:t>166</w:t>
            </w:r>
          </w:p>
        </w:tc>
        <w:tc>
          <w:tcPr>
            <w:tcW w:w="1098"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55.14</w:t>
            </w:r>
          </w:p>
        </w:tc>
        <w:tc>
          <w:tcPr>
            <w:tcW w:w="1098"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123</w:t>
            </w:r>
            <w:r w:rsidR="00FD084B" w:rsidRPr="00EC4853">
              <w:rPr>
                <w:sz w:val="18"/>
              </w:rPr>
              <w:t xml:space="preserve"> </w:t>
            </w:r>
            <w:r w:rsidRPr="00EC4853">
              <w:rPr>
                <w:sz w:val="18"/>
              </w:rPr>
              <w:t>008</w:t>
            </w:r>
          </w:p>
        </w:tc>
        <w:tc>
          <w:tcPr>
            <w:tcW w:w="1099" w:type="dxa"/>
            <w:shd w:val="clear" w:color="auto" w:fill="auto"/>
            <w:vAlign w:val="bottom"/>
          </w:tcPr>
          <w:p w:rsidR="00005DA7" w:rsidRPr="00EC4853" w:rsidRDefault="00005DA7" w:rsidP="00EC4853">
            <w:pPr>
              <w:pStyle w:val="SingleTxtG"/>
              <w:spacing w:before="40" w:after="40" w:line="220" w:lineRule="exact"/>
              <w:ind w:left="0" w:right="113"/>
              <w:jc w:val="right"/>
              <w:rPr>
                <w:sz w:val="18"/>
              </w:rPr>
            </w:pPr>
            <w:r w:rsidRPr="00EC4853">
              <w:rPr>
                <w:sz w:val="18"/>
              </w:rPr>
              <w:t>44.86</w:t>
            </w:r>
          </w:p>
        </w:tc>
      </w:tr>
    </w:tbl>
    <w:p w:rsidR="00005DA7" w:rsidRPr="0038738C" w:rsidRDefault="00005DA7" w:rsidP="00FD084B">
      <w:pPr>
        <w:pStyle w:val="H23G"/>
      </w:pPr>
      <w:bookmarkStart w:id="1" w:name="_Toc368821094"/>
      <w:r w:rsidRPr="0038738C">
        <w:tab/>
      </w:r>
      <w:r w:rsidRPr="0038738C">
        <w:tab/>
        <w:t>Other demographic data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42"/>
        <w:gridCol w:w="3414"/>
        <w:gridCol w:w="3414"/>
      </w:tblGrid>
      <w:tr w:rsidR="00EC4853" w:rsidRPr="008F2EBA" w:rsidTr="008F2EBA">
        <w:trPr>
          <w:tblHeader/>
        </w:trPr>
        <w:tc>
          <w:tcPr>
            <w:tcW w:w="542" w:type="dxa"/>
            <w:tcBorders>
              <w:top w:val="single" w:sz="4" w:space="0" w:color="auto"/>
              <w:bottom w:val="single" w:sz="12" w:space="0" w:color="auto"/>
            </w:tcBorders>
            <w:shd w:val="clear" w:color="auto" w:fill="auto"/>
            <w:vAlign w:val="bottom"/>
          </w:tcPr>
          <w:p w:rsidR="00005DA7" w:rsidRPr="008F2EBA" w:rsidRDefault="00005DA7" w:rsidP="008F2EBA">
            <w:pPr>
              <w:pStyle w:val="SingleTxtG"/>
              <w:spacing w:before="80" w:after="80" w:line="200" w:lineRule="exact"/>
              <w:ind w:left="0" w:right="113"/>
              <w:jc w:val="left"/>
              <w:rPr>
                <w:i/>
                <w:sz w:val="16"/>
              </w:rPr>
            </w:pPr>
            <w:r w:rsidRPr="008F2EBA">
              <w:rPr>
                <w:i/>
                <w:sz w:val="16"/>
              </w:rPr>
              <w:t>S/N</w:t>
            </w:r>
          </w:p>
        </w:tc>
        <w:tc>
          <w:tcPr>
            <w:tcW w:w="3414" w:type="dxa"/>
            <w:tcBorders>
              <w:top w:val="single" w:sz="4" w:space="0" w:color="auto"/>
              <w:bottom w:val="single" w:sz="12" w:space="0" w:color="auto"/>
            </w:tcBorders>
            <w:shd w:val="clear" w:color="auto" w:fill="auto"/>
            <w:vAlign w:val="bottom"/>
          </w:tcPr>
          <w:p w:rsidR="00005DA7" w:rsidRPr="008F2EBA" w:rsidRDefault="00005DA7" w:rsidP="008F2EBA">
            <w:pPr>
              <w:pStyle w:val="SingleTxtG"/>
              <w:spacing w:before="80" w:after="80" w:line="200" w:lineRule="exact"/>
              <w:ind w:left="0" w:right="113"/>
              <w:jc w:val="left"/>
              <w:rPr>
                <w:i/>
                <w:sz w:val="16"/>
              </w:rPr>
            </w:pPr>
            <w:r w:rsidRPr="008F2EBA">
              <w:rPr>
                <w:i/>
                <w:sz w:val="16"/>
              </w:rPr>
              <w:t>Indicator</w:t>
            </w:r>
          </w:p>
        </w:tc>
        <w:tc>
          <w:tcPr>
            <w:tcW w:w="3414" w:type="dxa"/>
            <w:tcBorders>
              <w:top w:val="single" w:sz="4" w:space="0" w:color="auto"/>
              <w:bottom w:val="single" w:sz="12" w:space="0" w:color="auto"/>
            </w:tcBorders>
            <w:shd w:val="clear" w:color="auto" w:fill="auto"/>
            <w:vAlign w:val="bottom"/>
          </w:tcPr>
          <w:p w:rsidR="00005DA7" w:rsidRPr="008F2EBA" w:rsidRDefault="00005DA7" w:rsidP="008F2EBA">
            <w:pPr>
              <w:pStyle w:val="SingleTxtG"/>
              <w:spacing w:before="80" w:after="80" w:line="200" w:lineRule="exact"/>
              <w:ind w:left="0" w:right="113"/>
              <w:jc w:val="right"/>
              <w:rPr>
                <w:i/>
                <w:sz w:val="16"/>
              </w:rPr>
            </w:pPr>
            <w:r w:rsidRPr="008F2EBA">
              <w:rPr>
                <w:i/>
                <w:sz w:val="16"/>
              </w:rPr>
              <w:t>%</w:t>
            </w:r>
          </w:p>
        </w:tc>
      </w:tr>
      <w:tr w:rsidR="00EC4853" w:rsidRPr="008F2EBA" w:rsidTr="008F2EBA">
        <w:tc>
          <w:tcPr>
            <w:tcW w:w="542" w:type="dxa"/>
            <w:tcBorders>
              <w:top w:val="single" w:sz="12" w:space="0" w:color="auto"/>
            </w:tcBorders>
            <w:shd w:val="clear" w:color="auto" w:fill="auto"/>
          </w:tcPr>
          <w:p w:rsidR="00005DA7" w:rsidRPr="008F2EBA" w:rsidRDefault="00005DA7" w:rsidP="008F2EBA">
            <w:pPr>
              <w:pStyle w:val="SingleTxtG"/>
              <w:spacing w:before="40" w:after="40" w:line="220" w:lineRule="exact"/>
              <w:ind w:left="0" w:right="113"/>
              <w:jc w:val="left"/>
              <w:rPr>
                <w:sz w:val="18"/>
              </w:rPr>
            </w:pPr>
            <w:r w:rsidRPr="008F2EBA">
              <w:rPr>
                <w:sz w:val="18"/>
              </w:rPr>
              <w:t>1</w:t>
            </w:r>
          </w:p>
        </w:tc>
        <w:tc>
          <w:tcPr>
            <w:tcW w:w="3414" w:type="dxa"/>
            <w:tcBorders>
              <w:top w:val="single" w:sz="12" w:space="0" w:color="auto"/>
            </w:tcBorders>
            <w:shd w:val="clear" w:color="auto" w:fill="auto"/>
            <w:vAlign w:val="bottom"/>
          </w:tcPr>
          <w:p w:rsidR="00005DA7" w:rsidRPr="008F2EBA" w:rsidRDefault="00005DA7" w:rsidP="008F2EBA">
            <w:pPr>
              <w:pStyle w:val="SingleTxtG"/>
              <w:spacing w:before="40" w:after="40" w:line="220" w:lineRule="exact"/>
              <w:ind w:left="0" w:right="113"/>
              <w:jc w:val="left"/>
              <w:rPr>
                <w:sz w:val="18"/>
              </w:rPr>
            </w:pPr>
            <w:r w:rsidRPr="008F2EBA">
              <w:rPr>
                <w:sz w:val="18"/>
              </w:rPr>
              <w:t>Birth Rate</w:t>
            </w:r>
          </w:p>
        </w:tc>
        <w:tc>
          <w:tcPr>
            <w:tcW w:w="3414" w:type="dxa"/>
            <w:tcBorders>
              <w:top w:val="single" w:sz="12" w:space="0" w:color="auto"/>
            </w:tcBorders>
            <w:shd w:val="clear" w:color="auto" w:fill="auto"/>
            <w:vAlign w:val="bottom"/>
          </w:tcPr>
          <w:p w:rsidR="00005DA7" w:rsidRPr="008F2EBA" w:rsidRDefault="00005DA7" w:rsidP="008F2EBA">
            <w:pPr>
              <w:pStyle w:val="SingleTxtG"/>
              <w:spacing w:before="40" w:after="40" w:line="220" w:lineRule="exact"/>
              <w:ind w:left="0" w:right="113"/>
              <w:jc w:val="right"/>
              <w:rPr>
                <w:sz w:val="18"/>
              </w:rPr>
            </w:pPr>
            <w:r w:rsidRPr="008F2EBA">
              <w:rPr>
                <w:sz w:val="18"/>
              </w:rPr>
              <w:t xml:space="preserve">35.5 per 1,000 people (2017 </w:t>
            </w:r>
            <w:proofErr w:type="spellStart"/>
            <w:r w:rsidRPr="008F2EBA">
              <w:rPr>
                <w:sz w:val="18"/>
              </w:rPr>
              <w:t>est</w:t>
            </w:r>
            <w:proofErr w:type="spellEnd"/>
            <w:r w:rsidRPr="008F2EBA">
              <w:rPr>
                <w:sz w:val="18"/>
              </w:rPr>
              <w:t>)</w:t>
            </w:r>
            <w:r w:rsidRPr="008F2EBA">
              <w:rPr>
                <w:rStyle w:val="FootnoteReference"/>
              </w:rPr>
              <w:footnoteReference w:id="5"/>
            </w:r>
          </w:p>
        </w:tc>
      </w:tr>
      <w:tr w:rsidR="00EC4853" w:rsidRPr="008F2EBA" w:rsidTr="008F2EBA">
        <w:tc>
          <w:tcPr>
            <w:tcW w:w="542" w:type="dxa"/>
            <w:shd w:val="clear" w:color="auto" w:fill="auto"/>
          </w:tcPr>
          <w:p w:rsidR="00005DA7" w:rsidRPr="008F2EBA" w:rsidRDefault="00005DA7" w:rsidP="008F2EBA">
            <w:pPr>
              <w:pStyle w:val="SingleTxtG"/>
              <w:spacing w:before="40" w:after="40" w:line="220" w:lineRule="exact"/>
              <w:ind w:left="0" w:right="113"/>
              <w:jc w:val="left"/>
              <w:rPr>
                <w:sz w:val="18"/>
              </w:rPr>
            </w:pPr>
            <w:r w:rsidRPr="008F2EBA">
              <w:rPr>
                <w:sz w:val="18"/>
              </w:rPr>
              <w:t>2</w:t>
            </w:r>
          </w:p>
        </w:tc>
        <w:tc>
          <w:tcPr>
            <w:tcW w:w="3414" w:type="dxa"/>
            <w:shd w:val="clear" w:color="auto" w:fill="auto"/>
            <w:vAlign w:val="bottom"/>
          </w:tcPr>
          <w:p w:rsidR="00005DA7" w:rsidRPr="008F2EBA" w:rsidRDefault="00005DA7" w:rsidP="008F2EBA">
            <w:pPr>
              <w:pStyle w:val="SingleTxtG"/>
              <w:spacing w:before="40" w:after="40" w:line="220" w:lineRule="exact"/>
              <w:ind w:left="0" w:right="113"/>
              <w:jc w:val="left"/>
              <w:rPr>
                <w:sz w:val="18"/>
              </w:rPr>
            </w:pPr>
            <w:r w:rsidRPr="008F2EBA">
              <w:rPr>
                <w:sz w:val="18"/>
              </w:rPr>
              <w:t>Death Rate</w:t>
            </w:r>
          </w:p>
        </w:tc>
        <w:tc>
          <w:tcPr>
            <w:tcW w:w="3414" w:type="dxa"/>
            <w:shd w:val="clear" w:color="auto" w:fill="auto"/>
            <w:vAlign w:val="bottom"/>
          </w:tcPr>
          <w:p w:rsidR="00005DA7" w:rsidRPr="008F2EBA" w:rsidRDefault="00005DA7" w:rsidP="008F2EBA">
            <w:pPr>
              <w:pStyle w:val="SingleTxtG"/>
              <w:spacing w:before="40" w:after="40" w:line="220" w:lineRule="exact"/>
              <w:ind w:left="0" w:right="113"/>
              <w:jc w:val="right"/>
              <w:rPr>
                <w:sz w:val="18"/>
              </w:rPr>
            </w:pPr>
            <w:r w:rsidRPr="008F2EBA">
              <w:rPr>
                <w:sz w:val="18"/>
              </w:rPr>
              <w:t xml:space="preserve">7.7 per 1,000 people (2017 </w:t>
            </w:r>
            <w:proofErr w:type="spellStart"/>
            <w:r w:rsidRPr="008F2EBA">
              <w:rPr>
                <w:sz w:val="18"/>
              </w:rPr>
              <w:t>est</w:t>
            </w:r>
            <w:proofErr w:type="spellEnd"/>
            <w:r w:rsidRPr="008F2EBA">
              <w:rPr>
                <w:sz w:val="18"/>
              </w:rPr>
              <w:t>)</w:t>
            </w:r>
            <w:r w:rsidRPr="008F2EBA">
              <w:rPr>
                <w:rStyle w:val="FootnoteReference"/>
              </w:rPr>
              <w:footnoteReference w:id="6"/>
            </w:r>
          </w:p>
        </w:tc>
      </w:tr>
      <w:tr w:rsidR="00EC4853" w:rsidRPr="008F2EBA" w:rsidTr="008F2EBA">
        <w:tc>
          <w:tcPr>
            <w:tcW w:w="542" w:type="dxa"/>
            <w:shd w:val="clear" w:color="auto" w:fill="auto"/>
          </w:tcPr>
          <w:p w:rsidR="00005DA7" w:rsidRPr="008F2EBA" w:rsidRDefault="00005DA7" w:rsidP="008F2EBA">
            <w:pPr>
              <w:pStyle w:val="SingleTxtG"/>
              <w:spacing w:before="40" w:after="40" w:line="220" w:lineRule="exact"/>
              <w:ind w:left="0" w:right="113"/>
              <w:jc w:val="left"/>
              <w:rPr>
                <w:sz w:val="18"/>
              </w:rPr>
            </w:pPr>
            <w:r w:rsidRPr="008F2EBA">
              <w:rPr>
                <w:sz w:val="18"/>
              </w:rPr>
              <w:t>3</w:t>
            </w:r>
          </w:p>
        </w:tc>
        <w:tc>
          <w:tcPr>
            <w:tcW w:w="3414" w:type="dxa"/>
            <w:shd w:val="clear" w:color="auto" w:fill="auto"/>
            <w:vAlign w:val="bottom"/>
          </w:tcPr>
          <w:p w:rsidR="00005DA7" w:rsidRPr="008F2EBA" w:rsidRDefault="00005DA7" w:rsidP="008F2EBA">
            <w:pPr>
              <w:pStyle w:val="SingleTxtG"/>
              <w:spacing w:before="40" w:after="40" w:line="220" w:lineRule="exact"/>
              <w:ind w:left="0" w:right="113"/>
              <w:jc w:val="left"/>
              <w:rPr>
                <w:sz w:val="18"/>
              </w:rPr>
            </w:pPr>
            <w:r w:rsidRPr="008F2EBA">
              <w:rPr>
                <w:sz w:val="18"/>
              </w:rPr>
              <w:t>Life Expectancy</w:t>
            </w:r>
          </w:p>
        </w:tc>
        <w:tc>
          <w:tcPr>
            <w:tcW w:w="3414" w:type="dxa"/>
            <w:shd w:val="clear" w:color="auto" w:fill="auto"/>
            <w:vAlign w:val="bottom"/>
          </w:tcPr>
          <w:p w:rsidR="00005DA7" w:rsidRPr="008F2EBA" w:rsidRDefault="00005DA7" w:rsidP="008F2EBA">
            <w:pPr>
              <w:pStyle w:val="SingleTxtG"/>
              <w:spacing w:before="40" w:after="40" w:line="220" w:lineRule="exact"/>
              <w:ind w:left="0" w:right="113"/>
              <w:jc w:val="right"/>
              <w:rPr>
                <w:sz w:val="18"/>
              </w:rPr>
            </w:pPr>
            <w:r w:rsidRPr="008F2EBA">
              <w:rPr>
                <w:sz w:val="18"/>
              </w:rPr>
              <w:t>42 years</w:t>
            </w:r>
            <w:r w:rsidRPr="008F2EBA">
              <w:rPr>
                <w:rStyle w:val="FootnoteReference"/>
              </w:rPr>
              <w:footnoteReference w:id="7"/>
            </w:r>
            <w:r w:rsidRPr="008F2EBA">
              <w:rPr>
                <w:sz w:val="18"/>
              </w:rPr>
              <w:t xml:space="preserve"> </w:t>
            </w:r>
          </w:p>
        </w:tc>
      </w:tr>
    </w:tbl>
    <w:p w:rsidR="00005DA7" w:rsidRPr="0038738C" w:rsidRDefault="00005DA7" w:rsidP="00EC4853">
      <w:pPr>
        <w:pStyle w:val="H23G"/>
      </w:pPr>
      <w:r w:rsidRPr="0038738C">
        <w:tab/>
      </w:r>
      <w:r w:rsidRPr="0038738C">
        <w:tab/>
        <w:t xml:space="preserve">Languages </w:t>
      </w:r>
    </w:p>
    <w:p w:rsidR="00005DA7" w:rsidRPr="0038738C" w:rsidRDefault="00005DA7" w:rsidP="00005DA7">
      <w:pPr>
        <w:pStyle w:val="SingleTxtG"/>
      </w:pPr>
      <w:r w:rsidRPr="0038738C">
        <w:t>10.</w:t>
      </w:r>
      <w:r w:rsidRPr="0038738C">
        <w:tab/>
        <w:t xml:space="preserve">There are several linguistic groupings in South Sudan including the Nilotics, Nilohamites and the Sudan. The Nilotes speak various languages of the Eastern Sudanic sub-branch of the Nilo-Saharan language family and other groups speak various languages belonging to the Adamawa-Ubangi branch of the Niger-Congo languages. Under the Transitional Constitution, 2011(as amended) English is the official working language in the </w:t>
      </w:r>
      <w:r w:rsidRPr="0038738C">
        <w:lastRenderedPageBreak/>
        <w:t xml:space="preserve">country, although Arabic and other local languages are also used as a means of communication. </w:t>
      </w:r>
    </w:p>
    <w:p w:rsidR="00005DA7" w:rsidRPr="0038738C" w:rsidRDefault="00005DA7" w:rsidP="001D3042">
      <w:pPr>
        <w:pStyle w:val="H23G"/>
      </w:pPr>
      <w:r w:rsidRPr="0038738C">
        <w:tab/>
      </w:r>
      <w:r w:rsidRPr="0038738C">
        <w:tab/>
        <w:t>Economy</w:t>
      </w:r>
    </w:p>
    <w:p w:rsidR="00005DA7" w:rsidRPr="0038738C" w:rsidRDefault="00005DA7" w:rsidP="00005DA7">
      <w:pPr>
        <w:pStyle w:val="SingleTxtG"/>
      </w:pPr>
      <w:r w:rsidRPr="0038738C">
        <w:t>11.</w:t>
      </w:r>
      <w:r w:rsidRPr="0038738C">
        <w:tab/>
        <w:t>The main source of revenue in the country is oil which accounts for almost 90% of its Growth Domestic Products. Other sources of revenue include agriculture, trade, fisheries, forestry, tourism, hydro-electric power, and mining. However, most of these resources are not fully exploited.</w:t>
      </w:r>
    </w:p>
    <w:p w:rsidR="00005DA7" w:rsidRPr="0038738C" w:rsidRDefault="00005DA7" w:rsidP="00005DA7">
      <w:pPr>
        <w:pStyle w:val="SingleTxtG"/>
      </w:pPr>
      <w:r w:rsidRPr="0038738C">
        <w:t>12.</w:t>
      </w:r>
      <w:r w:rsidRPr="0038738C">
        <w:tab/>
        <w:t xml:space="preserve">South Sudan is among the least-developed countries in the world. The population mainly depend on subsistent agriculture including crop &amp; animal husbandry, fisheries and forestry for their livelihoods. </w:t>
      </w:r>
    </w:p>
    <w:p w:rsidR="00005DA7" w:rsidRPr="0038738C" w:rsidRDefault="00005DA7" w:rsidP="00005DA7">
      <w:pPr>
        <w:pStyle w:val="SingleTxtG"/>
      </w:pPr>
      <w:r w:rsidRPr="0038738C">
        <w:t>13.</w:t>
      </w:r>
      <w:r w:rsidRPr="0038738C">
        <w:tab/>
        <w:t xml:space="preserve">The farmers mainly depend on rainfall for farming although mechanized farming techniques are increasingly utilized in some areas, such as in Renk the northern part of the country. The main crops include sorghum, maize, coffee, cow peas, sesame and peanuts (groundnuts), millet, rice, cassava sweet potatoes, fruits and vegetables. There are considerable numbers of livestock and poultry raised in the country, including goats, sheep, cattle and chicken. The forest in the country has potential to produce hard and soft woods for timber, medicinal, fruits and gum Arabic. River Nile is the main source of fish but mainly for local consumption. </w:t>
      </w:r>
    </w:p>
    <w:p w:rsidR="00005DA7" w:rsidRPr="0038738C" w:rsidRDefault="00005DA7" w:rsidP="001D3042">
      <w:pPr>
        <w:pStyle w:val="H1G"/>
      </w:pPr>
      <w:r w:rsidRPr="0038738C">
        <w:tab/>
        <w:t>C.</w:t>
      </w:r>
      <w:r w:rsidRPr="0038738C">
        <w:tab/>
        <w:t>Constitutional and Political Structure</w:t>
      </w:r>
    </w:p>
    <w:p w:rsidR="00005DA7" w:rsidRPr="0038738C" w:rsidRDefault="00005DA7" w:rsidP="001D3042">
      <w:pPr>
        <w:pStyle w:val="H23G"/>
      </w:pPr>
      <w:r w:rsidRPr="0038738C">
        <w:tab/>
      </w:r>
      <w:r w:rsidRPr="0038738C">
        <w:tab/>
        <w:t xml:space="preserve">Governance of the Country </w:t>
      </w:r>
    </w:p>
    <w:p w:rsidR="00005DA7" w:rsidRPr="0038738C" w:rsidRDefault="00005DA7" w:rsidP="00005DA7">
      <w:pPr>
        <w:pStyle w:val="SingleTxtG"/>
      </w:pPr>
      <w:r w:rsidRPr="0038738C">
        <w:t>14.</w:t>
      </w:r>
      <w:r w:rsidRPr="0038738C">
        <w:tab/>
        <w:t xml:space="preserve">Juba is the capital city of South Sudan. The country operates a decentralised system of governance with its executive arm headed by a President. The ground norm in the country is the Transitional Constitution, 2011(as amended) which recognises the country’s ethnic and cultural diversity (Article 1{4}). South Sudan system of government is structured into three levels of governance; the national; state and the local government. For administrative purpose, currently South Sudan is divided into 32 states and 180 counties respectively in addition to the Abyei Administrative area. </w:t>
      </w:r>
    </w:p>
    <w:p w:rsidR="00005DA7" w:rsidRPr="0038738C" w:rsidRDefault="00005DA7" w:rsidP="00005DA7">
      <w:pPr>
        <w:pStyle w:val="SingleTxtG"/>
      </w:pPr>
      <w:r w:rsidRPr="0038738C">
        <w:t>15.</w:t>
      </w:r>
      <w:r w:rsidRPr="0038738C">
        <w:tab/>
        <w:t xml:space="preserve">The legislative arm of the government is a bicameral parliament comprising of the national legislative assembly and the council of States. The Council of States consists of 50 members drawn from 50 constituencies while the national legislative assembly is currently made up of 450 members. In addition to law making, the Legislature has an oversight function over the functioning of the national government. It approves executive policies and budget, ratifies international treaties and agreements and can pass a vote of no confidence against the vice- presidents and any cabinet minister. </w:t>
      </w:r>
    </w:p>
    <w:p w:rsidR="00005DA7" w:rsidRPr="0038738C" w:rsidRDefault="00005DA7" w:rsidP="001D3042">
      <w:pPr>
        <w:pStyle w:val="H23G"/>
      </w:pPr>
      <w:r w:rsidRPr="0038738C">
        <w:tab/>
      </w:r>
      <w:r w:rsidRPr="0038738C">
        <w:tab/>
        <w:t>Legal System</w:t>
      </w:r>
    </w:p>
    <w:p w:rsidR="00005DA7" w:rsidRPr="0038738C" w:rsidRDefault="00005DA7" w:rsidP="00005DA7">
      <w:pPr>
        <w:pStyle w:val="SingleTxtG"/>
      </w:pPr>
      <w:r w:rsidRPr="0038738C">
        <w:t>16.</w:t>
      </w:r>
      <w:r w:rsidRPr="0038738C">
        <w:tab/>
        <w:t>South Sudan legal system is based on common law tradition, with judiciary headed by chief justice. The judiciary budget is charged directly from the country-consolidated funds. The Supreme Court is the highest court of the land. All other courts in the State have both civil and criminal jurisdictions. The courts of appeal and the high courts are considered as second-tier courts. The chief justice may, by warrant, establish special court to try specific cases as the needs may arise.</w:t>
      </w:r>
    </w:p>
    <w:p w:rsidR="00005DA7" w:rsidRPr="0038738C" w:rsidRDefault="00005DA7" w:rsidP="001D3042">
      <w:pPr>
        <w:pStyle w:val="H23G"/>
      </w:pPr>
      <w:r w:rsidRPr="0038738C">
        <w:tab/>
      </w:r>
      <w:r w:rsidRPr="0038738C">
        <w:tab/>
        <w:t>Sources of Law</w:t>
      </w:r>
    </w:p>
    <w:p w:rsidR="00005DA7" w:rsidRPr="0038738C" w:rsidRDefault="00005DA7" w:rsidP="00005DA7">
      <w:pPr>
        <w:pStyle w:val="SingleTxtG"/>
      </w:pPr>
      <w:r w:rsidRPr="0038738C">
        <w:t>17.</w:t>
      </w:r>
      <w:r w:rsidRPr="0038738C">
        <w:tab/>
        <w:t>South Sudan has a pluralistic legal system with five sources of law: The Transitional Constitution; written laws; customs and traditions of the people; the will of the people and any other relevant source.</w:t>
      </w:r>
      <w:r w:rsidRPr="0028015C">
        <w:rPr>
          <w:rStyle w:val="FootnoteReference"/>
        </w:rPr>
        <w:footnoteReference w:id="8"/>
      </w:r>
      <w:r w:rsidRPr="0038738C">
        <w:t xml:space="preserve"> Customary court system is recognised as a source of law under the Transitional Constitution</w:t>
      </w:r>
      <w:r w:rsidR="001D3042">
        <w:t xml:space="preserve"> </w:t>
      </w:r>
      <w:r w:rsidRPr="0038738C">
        <w:t>and it operates alongside the statutory justice system.</w:t>
      </w:r>
      <w:r w:rsidR="001D3042">
        <w:t xml:space="preserve"> </w:t>
      </w:r>
      <w:r w:rsidRPr="0038738C">
        <w:t>Although the customary laws of many ethnic groups in the country tend to have commonalities, each customary court has its own discrete customs to apply.</w:t>
      </w:r>
    </w:p>
    <w:p w:rsidR="00005DA7" w:rsidRPr="0038738C" w:rsidRDefault="00005DA7" w:rsidP="001D3042">
      <w:pPr>
        <w:pStyle w:val="H23G"/>
      </w:pPr>
      <w:r w:rsidRPr="0038738C">
        <w:lastRenderedPageBreak/>
        <w:tab/>
      </w:r>
      <w:r w:rsidRPr="0038738C">
        <w:tab/>
        <w:t>Electoral System</w:t>
      </w:r>
    </w:p>
    <w:p w:rsidR="00005DA7" w:rsidRPr="0038738C" w:rsidRDefault="00005DA7" w:rsidP="00005DA7">
      <w:pPr>
        <w:pStyle w:val="SingleTxtG"/>
      </w:pPr>
      <w:r w:rsidRPr="0038738C">
        <w:t>18.</w:t>
      </w:r>
      <w:r w:rsidRPr="0038738C">
        <w:tab/>
        <w:t>The National Elections Act, 2012 regulates the electoral system. Although, no election has been held since independence, there is a National Elections Commission of eight members, of which only one person is female.</w:t>
      </w:r>
      <w:r w:rsidRPr="0028015C">
        <w:rPr>
          <w:rStyle w:val="FootnoteReference"/>
        </w:rPr>
        <w:footnoteReference w:id="9"/>
      </w:r>
      <w:r w:rsidRPr="0038738C">
        <w:t xml:space="preserve"> There are twenty-eight registered political parties of which only two are headed by women. </w:t>
      </w:r>
    </w:p>
    <w:p w:rsidR="00005DA7" w:rsidRPr="0038738C" w:rsidRDefault="00005DA7" w:rsidP="001D3042">
      <w:pPr>
        <w:pStyle w:val="H23G"/>
      </w:pPr>
      <w:r w:rsidRPr="0038738C">
        <w:tab/>
      </w:r>
      <w:r w:rsidRPr="0038738C">
        <w:tab/>
        <w:t>Non-Governmental Organizations (NGO)</w:t>
      </w:r>
    </w:p>
    <w:p w:rsidR="00005DA7" w:rsidRPr="0038738C" w:rsidRDefault="00005DA7" w:rsidP="00005DA7">
      <w:pPr>
        <w:pStyle w:val="SingleTxtG"/>
      </w:pPr>
      <w:r w:rsidRPr="0038738C">
        <w:t>19.</w:t>
      </w:r>
      <w:r w:rsidRPr="0038738C">
        <w:tab/>
        <w:t>Non-governmental organisations activities are regulated by the Non- Governmental Organisation Act, 2016. The Act is a direct implementation of Article 52 of the Transitional Constitution. It provides a regulatory framework for the registration, co-ordination and monitoring of operations of non-governmental organizations.</w:t>
      </w:r>
    </w:p>
    <w:bookmarkEnd w:id="1"/>
    <w:p w:rsidR="00005DA7" w:rsidRPr="0038738C" w:rsidRDefault="00005DA7" w:rsidP="001D3042">
      <w:pPr>
        <w:pStyle w:val="H1G"/>
      </w:pPr>
      <w:r w:rsidRPr="0038738C">
        <w:tab/>
        <w:t>D.</w:t>
      </w:r>
      <w:r w:rsidRPr="0038738C">
        <w:tab/>
        <w:t>Country obligation to implement human rights Provisions</w:t>
      </w:r>
    </w:p>
    <w:p w:rsidR="00005DA7" w:rsidRPr="0038738C" w:rsidRDefault="00005DA7" w:rsidP="00005DA7">
      <w:pPr>
        <w:pStyle w:val="SingleTxtG"/>
      </w:pPr>
      <w:r w:rsidRPr="0038738C">
        <w:t>20.</w:t>
      </w:r>
      <w:r w:rsidRPr="0038738C">
        <w:tab/>
        <w:t>The Government has ratified or acceded to various regional and international human rights instruments with the aim of promoting and protecting the human rights of all citizens. In accordance with the Constitution, Government has accepted to be bound by the recognized the precedence of universally principles of international law and ensures its legislation is consistent with those principles.</w:t>
      </w:r>
    </w:p>
    <w:p w:rsidR="00005DA7" w:rsidRPr="0038738C" w:rsidRDefault="00005DA7" w:rsidP="00005DA7">
      <w:pPr>
        <w:pStyle w:val="SingleTxtG"/>
      </w:pPr>
      <w:r w:rsidRPr="0038738C">
        <w:t>21.</w:t>
      </w:r>
      <w:r w:rsidRPr="0038738C">
        <w:tab/>
        <w:t xml:space="preserve">The Transitional Constitution 2011(as amended) contains in Part Two, the Bill of Rights and fundamental freedoms derived from the international and regional human rights instruments ratified or acceded to by the country. </w:t>
      </w:r>
    </w:p>
    <w:p w:rsidR="00005DA7" w:rsidRPr="0038738C" w:rsidRDefault="00005DA7" w:rsidP="009D7D37">
      <w:pPr>
        <w:pStyle w:val="H23G"/>
      </w:pPr>
      <w:r w:rsidRPr="0038738C">
        <w:tab/>
      </w:r>
      <w:r w:rsidRPr="0038738C">
        <w:tab/>
        <w:t>National human rights institutions</w:t>
      </w:r>
    </w:p>
    <w:p w:rsidR="00005DA7" w:rsidRPr="0038738C" w:rsidRDefault="00005DA7" w:rsidP="00005DA7">
      <w:pPr>
        <w:pStyle w:val="SingleTxtG"/>
      </w:pPr>
      <w:r w:rsidRPr="0038738C">
        <w:t>22.</w:t>
      </w:r>
      <w:r w:rsidRPr="0038738C">
        <w:tab/>
        <w:t>South Sudan Human Rights Commission is established by the Transitional Constitution</w:t>
      </w:r>
      <w:r w:rsidRPr="0028015C">
        <w:rPr>
          <w:rStyle w:val="FootnoteReference"/>
        </w:rPr>
        <w:footnoteReference w:id="10"/>
      </w:r>
      <w:r w:rsidRPr="0038738C">
        <w:t xml:space="preserve"> Art.</w:t>
      </w:r>
      <w:r w:rsidR="005A030E">
        <w:t xml:space="preserve"> </w:t>
      </w:r>
      <w:r w:rsidRPr="0038738C">
        <w:t xml:space="preserve">145 to promote and protect human rights and fundamental freedoms through education and research, monitoring and investigations. The South Sudan Human Rights Commission Act 2009 provides for the mandate and guide the operations of the institution. </w:t>
      </w:r>
    </w:p>
    <w:p w:rsidR="00005DA7" w:rsidRPr="0038738C" w:rsidRDefault="00005DA7" w:rsidP="008B6013">
      <w:pPr>
        <w:pStyle w:val="SingleTxtG"/>
        <w:spacing w:after="240"/>
      </w:pPr>
      <w:r w:rsidRPr="0038738C">
        <w:t>23.</w:t>
      </w:r>
      <w:r w:rsidRPr="0038738C">
        <w:tab/>
        <w:t>Below are additional institutions that promote and protect human rights</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1417"/>
        <w:gridCol w:w="1418"/>
        <w:gridCol w:w="1559"/>
        <w:gridCol w:w="1559"/>
        <w:gridCol w:w="2076"/>
        <w:gridCol w:w="1184"/>
      </w:tblGrid>
      <w:tr w:rsidR="00B16448" w:rsidRPr="009D7D37" w:rsidTr="00B16448">
        <w:trPr>
          <w:tblHeader/>
        </w:trPr>
        <w:tc>
          <w:tcPr>
            <w:tcW w:w="426" w:type="dxa"/>
            <w:tcBorders>
              <w:top w:val="single" w:sz="4" w:space="0" w:color="auto"/>
              <w:bottom w:val="single" w:sz="12" w:space="0" w:color="auto"/>
            </w:tcBorders>
            <w:shd w:val="clear" w:color="auto" w:fill="auto"/>
            <w:vAlign w:val="bottom"/>
          </w:tcPr>
          <w:p w:rsidR="00005DA7" w:rsidRPr="009D7D37" w:rsidRDefault="00005DA7" w:rsidP="009D7D37">
            <w:pPr>
              <w:pStyle w:val="SingleTxtG"/>
              <w:spacing w:before="80" w:after="80" w:line="200" w:lineRule="exact"/>
              <w:ind w:left="0" w:right="113"/>
              <w:jc w:val="left"/>
              <w:rPr>
                <w:i/>
                <w:sz w:val="16"/>
              </w:rPr>
            </w:pPr>
            <w:r w:rsidRPr="009D7D37">
              <w:rPr>
                <w:i/>
                <w:sz w:val="16"/>
              </w:rPr>
              <w:t>S/n</w:t>
            </w:r>
          </w:p>
        </w:tc>
        <w:tc>
          <w:tcPr>
            <w:tcW w:w="1417" w:type="dxa"/>
            <w:tcBorders>
              <w:top w:val="single" w:sz="4" w:space="0" w:color="auto"/>
              <w:bottom w:val="single" w:sz="12" w:space="0" w:color="auto"/>
            </w:tcBorders>
            <w:shd w:val="clear" w:color="auto" w:fill="auto"/>
            <w:vAlign w:val="bottom"/>
          </w:tcPr>
          <w:p w:rsidR="00005DA7" w:rsidRPr="009D7D37" w:rsidRDefault="00005DA7" w:rsidP="009D7D37">
            <w:pPr>
              <w:pStyle w:val="SingleTxtG"/>
              <w:spacing w:before="80" w:after="80" w:line="200" w:lineRule="exact"/>
              <w:ind w:left="0" w:right="113"/>
              <w:jc w:val="left"/>
              <w:rPr>
                <w:i/>
                <w:sz w:val="16"/>
              </w:rPr>
            </w:pPr>
            <w:r w:rsidRPr="009D7D37">
              <w:rPr>
                <w:i/>
                <w:sz w:val="16"/>
              </w:rPr>
              <w:t>Name of institution</w:t>
            </w:r>
          </w:p>
        </w:tc>
        <w:tc>
          <w:tcPr>
            <w:tcW w:w="1418" w:type="dxa"/>
            <w:tcBorders>
              <w:top w:val="single" w:sz="4" w:space="0" w:color="auto"/>
              <w:bottom w:val="single" w:sz="12" w:space="0" w:color="auto"/>
            </w:tcBorders>
            <w:shd w:val="clear" w:color="auto" w:fill="auto"/>
            <w:vAlign w:val="bottom"/>
          </w:tcPr>
          <w:p w:rsidR="00005DA7" w:rsidRPr="009D7D37" w:rsidRDefault="00005DA7" w:rsidP="009D7D37">
            <w:pPr>
              <w:pStyle w:val="SingleTxtG"/>
              <w:spacing w:before="80" w:after="80" w:line="200" w:lineRule="exact"/>
              <w:ind w:left="0" w:right="113"/>
              <w:jc w:val="left"/>
              <w:rPr>
                <w:i/>
                <w:sz w:val="16"/>
              </w:rPr>
            </w:pPr>
            <w:r w:rsidRPr="009D7D37">
              <w:rPr>
                <w:i/>
                <w:sz w:val="16"/>
              </w:rPr>
              <w:t>Mandate</w:t>
            </w:r>
          </w:p>
        </w:tc>
        <w:tc>
          <w:tcPr>
            <w:tcW w:w="1559" w:type="dxa"/>
            <w:tcBorders>
              <w:top w:val="single" w:sz="4" w:space="0" w:color="auto"/>
              <w:bottom w:val="single" w:sz="12" w:space="0" w:color="auto"/>
            </w:tcBorders>
            <w:shd w:val="clear" w:color="auto" w:fill="auto"/>
            <w:vAlign w:val="bottom"/>
          </w:tcPr>
          <w:p w:rsidR="00005DA7" w:rsidRPr="009D7D37" w:rsidRDefault="00005DA7" w:rsidP="009D7D37">
            <w:pPr>
              <w:pStyle w:val="SingleTxtG"/>
              <w:spacing w:before="80" w:after="80" w:line="200" w:lineRule="exact"/>
              <w:ind w:left="0" w:right="113"/>
              <w:jc w:val="left"/>
              <w:rPr>
                <w:i/>
                <w:sz w:val="16"/>
              </w:rPr>
            </w:pPr>
            <w:r w:rsidRPr="009D7D37">
              <w:rPr>
                <w:i/>
                <w:sz w:val="16"/>
              </w:rPr>
              <w:t>Composition</w:t>
            </w:r>
          </w:p>
        </w:tc>
        <w:tc>
          <w:tcPr>
            <w:tcW w:w="1559" w:type="dxa"/>
            <w:tcBorders>
              <w:top w:val="single" w:sz="4" w:space="0" w:color="auto"/>
              <w:bottom w:val="single" w:sz="12" w:space="0" w:color="auto"/>
            </w:tcBorders>
            <w:shd w:val="clear" w:color="auto" w:fill="auto"/>
            <w:vAlign w:val="bottom"/>
          </w:tcPr>
          <w:p w:rsidR="00005DA7" w:rsidRPr="009D7D37" w:rsidRDefault="00005DA7" w:rsidP="009D7D37">
            <w:pPr>
              <w:pStyle w:val="SingleTxtG"/>
              <w:spacing w:before="80" w:after="80" w:line="200" w:lineRule="exact"/>
              <w:ind w:left="0" w:right="113"/>
              <w:jc w:val="left"/>
              <w:rPr>
                <w:i/>
                <w:sz w:val="16"/>
              </w:rPr>
            </w:pPr>
            <w:r w:rsidRPr="009D7D37">
              <w:rPr>
                <w:i/>
                <w:sz w:val="16"/>
              </w:rPr>
              <w:t>Financial resources</w:t>
            </w:r>
          </w:p>
        </w:tc>
        <w:tc>
          <w:tcPr>
            <w:tcW w:w="2076" w:type="dxa"/>
            <w:tcBorders>
              <w:top w:val="single" w:sz="4" w:space="0" w:color="auto"/>
              <w:bottom w:val="single" w:sz="12" w:space="0" w:color="auto"/>
            </w:tcBorders>
            <w:shd w:val="clear" w:color="auto" w:fill="auto"/>
            <w:vAlign w:val="bottom"/>
          </w:tcPr>
          <w:p w:rsidR="00005DA7" w:rsidRPr="009D7D37" w:rsidRDefault="00005DA7" w:rsidP="009D7D37">
            <w:pPr>
              <w:pStyle w:val="SingleTxtG"/>
              <w:spacing w:before="80" w:after="80" w:line="200" w:lineRule="exact"/>
              <w:ind w:left="0" w:right="113"/>
              <w:jc w:val="left"/>
              <w:rPr>
                <w:i/>
                <w:sz w:val="16"/>
              </w:rPr>
            </w:pPr>
            <w:r w:rsidRPr="009D7D37">
              <w:rPr>
                <w:i/>
                <w:sz w:val="16"/>
              </w:rPr>
              <w:t>Activities</w:t>
            </w:r>
          </w:p>
        </w:tc>
        <w:tc>
          <w:tcPr>
            <w:tcW w:w="1184" w:type="dxa"/>
            <w:tcBorders>
              <w:top w:val="single" w:sz="4" w:space="0" w:color="auto"/>
              <w:bottom w:val="single" w:sz="12" w:space="0" w:color="auto"/>
            </w:tcBorders>
            <w:shd w:val="clear" w:color="auto" w:fill="auto"/>
            <w:vAlign w:val="bottom"/>
          </w:tcPr>
          <w:p w:rsidR="00005DA7" w:rsidRPr="009D7D37" w:rsidRDefault="00005DA7" w:rsidP="009D7D37">
            <w:pPr>
              <w:pStyle w:val="SingleTxtG"/>
              <w:spacing w:before="80" w:after="80" w:line="200" w:lineRule="exact"/>
              <w:ind w:left="0" w:right="113"/>
              <w:jc w:val="left"/>
              <w:rPr>
                <w:i/>
                <w:sz w:val="16"/>
              </w:rPr>
            </w:pPr>
            <w:r w:rsidRPr="009D7D37">
              <w:rPr>
                <w:i/>
                <w:sz w:val="16"/>
              </w:rPr>
              <w:t>Status</w:t>
            </w:r>
          </w:p>
        </w:tc>
      </w:tr>
      <w:tr w:rsidR="009D7D37" w:rsidRPr="009D7D37" w:rsidTr="00B16448">
        <w:trPr>
          <w:trHeight w:hRule="exact" w:val="113"/>
          <w:tblHeader/>
        </w:trPr>
        <w:tc>
          <w:tcPr>
            <w:tcW w:w="426" w:type="dxa"/>
            <w:tcBorders>
              <w:top w:val="single" w:sz="12" w:space="0" w:color="auto"/>
            </w:tcBorders>
            <w:shd w:val="clear" w:color="auto" w:fill="auto"/>
          </w:tcPr>
          <w:p w:rsidR="00005DA7" w:rsidRPr="009D7D37" w:rsidRDefault="00005DA7" w:rsidP="009D7D37">
            <w:pPr>
              <w:pStyle w:val="SingleTxtG"/>
              <w:spacing w:before="40" w:line="220" w:lineRule="exact"/>
              <w:ind w:left="0" w:right="113"/>
              <w:jc w:val="left"/>
            </w:pPr>
          </w:p>
        </w:tc>
        <w:tc>
          <w:tcPr>
            <w:tcW w:w="1417" w:type="dxa"/>
            <w:tcBorders>
              <w:top w:val="single" w:sz="12" w:space="0" w:color="auto"/>
            </w:tcBorders>
            <w:shd w:val="clear" w:color="auto" w:fill="auto"/>
          </w:tcPr>
          <w:p w:rsidR="00005DA7" w:rsidRPr="009D7D37" w:rsidRDefault="00005DA7" w:rsidP="009D7D37">
            <w:pPr>
              <w:pStyle w:val="SingleTxtG"/>
              <w:spacing w:before="40" w:line="220" w:lineRule="exact"/>
              <w:ind w:left="0" w:right="113"/>
              <w:jc w:val="left"/>
            </w:pPr>
          </w:p>
        </w:tc>
        <w:tc>
          <w:tcPr>
            <w:tcW w:w="1418" w:type="dxa"/>
            <w:tcBorders>
              <w:top w:val="single" w:sz="12" w:space="0" w:color="auto"/>
            </w:tcBorders>
            <w:shd w:val="clear" w:color="auto" w:fill="auto"/>
          </w:tcPr>
          <w:p w:rsidR="00005DA7" w:rsidRPr="009D7D37" w:rsidRDefault="00005DA7" w:rsidP="009D7D37">
            <w:pPr>
              <w:pStyle w:val="SingleTxtG"/>
              <w:spacing w:before="40" w:line="220" w:lineRule="exact"/>
              <w:ind w:left="0" w:right="113"/>
              <w:jc w:val="left"/>
            </w:pPr>
          </w:p>
        </w:tc>
        <w:tc>
          <w:tcPr>
            <w:tcW w:w="1559" w:type="dxa"/>
            <w:tcBorders>
              <w:top w:val="single" w:sz="12" w:space="0" w:color="auto"/>
            </w:tcBorders>
            <w:shd w:val="clear" w:color="auto" w:fill="auto"/>
          </w:tcPr>
          <w:p w:rsidR="00005DA7" w:rsidRPr="009D7D37" w:rsidRDefault="00005DA7" w:rsidP="009D7D37">
            <w:pPr>
              <w:pStyle w:val="SingleTxtG"/>
              <w:spacing w:before="40" w:line="220" w:lineRule="exact"/>
              <w:ind w:left="0" w:right="113"/>
              <w:jc w:val="left"/>
            </w:pPr>
          </w:p>
        </w:tc>
        <w:tc>
          <w:tcPr>
            <w:tcW w:w="1559" w:type="dxa"/>
            <w:tcBorders>
              <w:top w:val="single" w:sz="12" w:space="0" w:color="auto"/>
            </w:tcBorders>
            <w:shd w:val="clear" w:color="auto" w:fill="auto"/>
          </w:tcPr>
          <w:p w:rsidR="00005DA7" w:rsidRPr="009D7D37" w:rsidRDefault="00005DA7" w:rsidP="009D7D37">
            <w:pPr>
              <w:pStyle w:val="SingleTxtG"/>
              <w:spacing w:before="40" w:line="220" w:lineRule="exact"/>
              <w:ind w:left="0" w:right="113"/>
              <w:jc w:val="left"/>
            </w:pPr>
          </w:p>
        </w:tc>
        <w:tc>
          <w:tcPr>
            <w:tcW w:w="2076" w:type="dxa"/>
            <w:tcBorders>
              <w:top w:val="single" w:sz="12" w:space="0" w:color="auto"/>
            </w:tcBorders>
            <w:shd w:val="clear" w:color="auto" w:fill="auto"/>
          </w:tcPr>
          <w:p w:rsidR="00005DA7" w:rsidRPr="009D7D37" w:rsidRDefault="00005DA7" w:rsidP="009D7D37">
            <w:pPr>
              <w:pStyle w:val="SingleTxtG"/>
              <w:spacing w:before="40" w:line="220" w:lineRule="exact"/>
              <w:ind w:left="0" w:right="113"/>
              <w:jc w:val="left"/>
            </w:pPr>
          </w:p>
        </w:tc>
        <w:tc>
          <w:tcPr>
            <w:tcW w:w="1184" w:type="dxa"/>
            <w:tcBorders>
              <w:top w:val="single" w:sz="12" w:space="0" w:color="auto"/>
            </w:tcBorders>
            <w:shd w:val="clear" w:color="auto" w:fill="auto"/>
          </w:tcPr>
          <w:p w:rsidR="00005DA7" w:rsidRPr="009D7D37" w:rsidRDefault="00005DA7" w:rsidP="009D7D37">
            <w:pPr>
              <w:pStyle w:val="SingleTxtG"/>
              <w:spacing w:before="40" w:line="220" w:lineRule="exact"/>
              <w:ind w:left="0" w:right="113"/>
              <w:jc w:val="left"/>
            </w:pPr>
          </w:p>
        </w:tc>
      </w:tr>
      <w:tr w:rsidR="009D7D37" w:rsidRPr="009D7D37" w:rsidTr="00B16448">
        <w:tc>
          <w:tcPr>
            <w:tcW w:w="426" w:type="dxa"/>
            <w:shd w:val="clear" w:color="auto" w:fill="auto"/>
          </w:tcPr>
          <w:p w:rsidR="00005DA7" w:rsidRPr="009D7D37" w:rsidRDefault="00005DA7" w:rsidP="009D7D37">
            <w:pPr>
              <w:pStyle w:val="SingleTxtG"/>
              <w:spacing w:before="40" w:line="220" w:lineRule="exact"/>
              <w:ind w:left="0" w:right="113"/>
              <w:jc w:val="left"/>
            </w:pPr>
            <w:r w:rsidRPr="009D7D37">
              <w:t>1</w:t>
            </w:r>
          </w:p>
        </w:tc>
        <w:tc>
          <w:tcPr>
            <w:tcW w:w="1417" w:type="dxa"/>
            <w:shd w:val="clear" w:color="auto" w:fill="auto"/>
          </w:tcPr>
          <w:p w:rsidR="00005DA7" w:rsidRPr="009D7D37" w:rsidRDefault="00005DA7" w:rsidP="009D7D37">
            <w:pPr>
              <w:pStyle w:val="SingleTxtG"/>
              <w:spacing w:before="40" w:line="220" w:lineRule="exact"/>
              <w:ind w:left="0" w:right="113"/>
              <w:jc w:val="left"/>
            </w:pPr>
            <w:r w:rsidRPr="009D7D37">
              <w:t>Ministry of Justice and Constitutional Affairs</w:t>
            </w:r>
          </w:p>
        </w:tc>
        <w:tc>
          <w:tcPr>
            <w:tcW w:w="1418" w:type="dxa"/>
            <w:shd w:val="clear" w:color="auto" w:fill="auto"/>
          </w:tcPr>
          <w:p w:rsidR="00005DA7" w:rsidRPr="009D7D37" w:rsidRDefault="00005DA7" w:rsidP="009D7D37">
            <w:pPr>
              <w:pStyle w:val="SingleTxtG"/>
              <w:spacing w:before="40" w:line="220" w:lineRule="exact"/>
              <w:ind w:left="0" w:right="113"/>
              <w:jc w:val="left"/>
            </w:pPr>
            <w:r w:rsidRPr="009D7D37">
              <w:t>Provision of legal services including legal aid</w:t>
            </w:r>
          </w:p>
        </w:tc>
        <w:tc>
          <w:tcPr>
            <w:tcW w:w="1559" w:type="dxa"/>
            <w:shd w:val="clear" w:color="auto" w:fill="auto"/>
          </w:tcPr>
          <w:p w:rsidR="00005DA7" w:rsidRPr="009D7D37" w:rsidRDefault="00005DA7" w:rsidP="009D7D37">
            <w:pPr>
              <w:pStyle w:val="SingleTxtG"/>
              <w:spacing w:before="40" w:line="220" w:lineRule="exact"/>
              <w:ind w:left="0" w:right="113"/>
              <w:jc w:val="left"/>
            </w:pPr>
            <w:r w:rsidRPr="009D7D37">
              <w:t>Each ministry at both national and state level is headed by a Minister</w:t>
            </w:r>
          </w:p>
        </w:tc>
        <w:tc>
          <w:tcPr>
            <w:tcW w:w="1559" w:type="dxa"/>
            <w:shd w:val="clear" w:color="auto" w:fill="auto"/>
          </w:tcPr>
          <w:p w:rsidR="00005DA7" w:rsidRPr="009D7D37" w:rsidRDefault="00005DA7" w:rsidP="009D7D37">
            <w:pPr>
              <w:pStyle w:val="SingleTxtG"/>
              <w:spacing w:before="40" w:line="220" w:lineRule="exact"/>
              <w:ind w:left="0" w:right="113"/>
              <w:jc w:val="left"/>
            </w:pPr>
            <w:r w:rsidRPr="009D7D37">
              <w:t>Governmental budget including seed fund of 5,000,000 SSP for legal aid</w:t>
            </w:r>
          </w:p>
        </w:tc>
        <w:tc>
          <w:tcPr>
            <w:tcW w:w="2076" w:type="dxa"/>
            <w:shd w:val="clear" w:color="auto" w:fill="auto"/>
          </w:tcPr>
          <w:p w:rsidR="00005DA7" w:rsidRPr="009D7D37" w:rsidRDefault="00005DA7" w:rsidP="009D7D37">
            <w:pPr>
              <w:pStyle w:val="SingleTxtG"/>
              <w:spacing w:before="40" w:line="220" w:lineRule="exact"/>
              <w:ind w:left="0" w:right="113"/>
              <w:jc w:val="left"/>
            </w:pPr>
            <w:r w:rsidRPr="009D7D37">
              <w:t>Prosecution of crimes.</w:t>
            </w:r>
          </w:p>
          <w:p w:rsidR="00005DA7" w:rsidRPr="009D7D37" w:rsidRDefault="00005DA7" w:rsidP="009D7D37">
            <w:pPr>
              <w:pStyle w:val="SingleTxtG"/>
              <w:spacing w:before="40" w:line="220" w:lineRule="exact"/>
              <w:ind w:left="0" w:right="113"/>
              <w:jc w:val="left"/>
            </w:pPr>
            <w:r w:rsidRPr="009D7D37">
              <w:t>Provision of legal aid.</w:t>
            </w:r>
          </w:p>
        </w:tc>
        <w:tc>
          <w:tcPr>
            <w:tcW w:w="1184" w:type="dxa"/>
            <w:shd w:val="clear" w:color="auto" w:fill="auto"/>
          </w:tcPr>
          <w:p w:rsidR="00005DA7" w:rsidRPr="009D7D37" w:rsidRDefault="00005DA7" w:rsidP="009D7D37">
            <w:pPr>
              <w:pStyle w:val="SingleTxtG"/>
              <w:spacing w:before="40" w:line="220" w:lineRule="exact"/>
              <w:ind w:left="0" w:right="113"/>
              <w:jc w:val="left"/>
            </w:pPr>
            <w:r w:rsidRPr="009D7D37">
              <w:t>Established</w:t>
            </w:r>
          </w:p>
        </w:tc>
      </w:tr>
      <w:tr w:rsidR="009D7D37" w:rsidRPr="009D7D37" w:rsidTr="00B16448">
        <w:tc>
          <w:tcPr>
            <w:tcW w:w="426" w:type="dxa"/>
            <w:shd w:val="clear" w:color="auto" w:fill="auto"/>
          </w:tcPr>
          <w:p w:rsidR="00005DA7" w:rsidRPr="009D7D37" w:rsidRDefault="00005DA7" w:rsidP="009D7D37">
            <w:pPr>
              <w:pStyle w:val="SingleTxtG"/>
              <w:spacing w:before="40" w:line="220" w:lineRule="exact"/>
              <w:ind w:left="0" w:right="113"/>
              <w:jc w:val="left"/>
            </w:pPr>
            <w:r w:rsidRPr="009D7D37">
              <w:t>2</w:t>
            </w:r>
          </w:p>
        </w:tc>
        <w:tc>
          <w:tcPr>
            <w:tcW w:w="1417" w:type="dxa"/>
            <w:shd w:val="clear" w:color="auto" w:fill="auto"/>
          </w:tcPr>
          <w:p w:rsidR="00005DA7" w:rsidRPr="009D7D37" w:rsidRDefault="00005DA7" w:rsidP="009D7D37">
            <w:pPr>
              <w:pStyle w:val="SingleTxtG"/>
              <w:spacing w:before="40" w:line="220" w:lineRule="exact"/>
              <w:ind w:left="0" w:right="113"/>
              <w:jc w:val="left"/>
            </w:pPr>
            <w:r w:rsidRPr="009D7D37">
              <w:t>National and States Ministries of Gender, Child and Social Welfare</w:t>
            </w:r>
          </w:p>
        </w:tc>
        <w:tc>
          <w:tcPr>
            <w:tcW w:w="1418" w:type="dxa"/>
            <w:shd w:val="clear" w:color="auto" w:fill="auto"/>
          </w:tcPr>
          <w:p w:rsidR="00005DA7" w:rsidRPr="009D7D37" w:rsidRDefault="00005DA7" w:rsidP="009D7D37">
            <w:pPr>
              <w:pStyle w:val="SingleTxtG"/>
              <w:spacing w:before="40" w:line="220" w:lineRule="exact"/>
              <w:ind w:left="0" w:right="113"/>
              <w:jc w:val="left"/>
            </w:pPr>
            <w:r w:rsidRPr="009D7D37">
              <w:t>Promotion and protection of the rights of women and children and other vulnerable persons</w:t>
            </w:r>
          </w:p>
        </w:tc>
        <w:tc>
          <w:tcPr>
            <w:tcW w:w="1559" w:type="dxa"/>
            <w:shd w:val="clear" w:color="auto" w:fill="auto"/>
          </w:tcPr>
          <w:p w:rsidR="00005DA7" w:rsidRPr="009D7D37" w:rsidRDefault="00005DA7" w:rsidP="009D7D37">
            <w:pPr>
              <w:pStyle w:val="SingleTxtG"/>
              <w:spacing w:before="40" w:line="220" w:lineRule="exact"/>
              <w:ind w:left="0" w:right="113"/>
              <w:jc w:val="left"/>
            </w:pPr>
            <w:r w:rsidRPr="009D7D37">
              <w:t>Each ministry at both national and state level is headed by a Minister</w:t>
            </w:r>
          </w:p>
        </w:tc>
        <w:tc>
          <w:tcPr>
            <w:tcW w:w="1559" w:type="dxa"/>
            <w:shd w:val="clear" w:color="auto" w:fill="auto"/>
          </w:tcPr>
          <w:p w:rsidR="00005DA7" w:rsidRPr="009D7D37" w:rsidRDefault="00005DA7" w:rsidP="009D7D37">
            <w:pPr>
              <w:pStyle w:val="SingleTxtG"/>
              <w:spacing w:before="40" w:line="220" w:lineRule="exact"/>
              <w:ind w:left="0" w:right="113"/>
              <w:jc w:val="left"/>
            </w:pPr>
            <w:r w:rsidRPr="009D7D37">
              <w:t>Government budget and enormous support from development partners</w:t>
            </w:r>
          </w:p>
        </w:tc>
        <w:tc>
          <w:tcPr>
            <w:tcW w:w="2076" w:type="dxa"/>
            <w:shd w:val="clear" w:color="auto" w:fill="auto"/>
          </w:tcPr>
          <w:p w:rsidR="00005DA7" w:rsidRPr="009D7D37" w:rsidRDefault="00005DA7" w:rsidP="009D7D37">
            <w:pPr>
              <w:pStyle w:val="SingleTxtG"/>
              <w:spacing w:before="40" w:line="220" w:lineRule="exact"/>
              <w:ind w:left="0" w:right="113"/>
              <w:jc w:val="left"/>
            </w:pPr>
            <w:r w:rsidRPr="009D7D37">
              <w:t>Promotion of gender equality</w:t>
            </w:r>
          </w:p>
          <w:p w:rsidR="00005DA7" w:rsidRPr="009D7D37" w:rsidRDefault="00005DA7" w:rsidP="009D7D37">
            <w:pPr>
              <w:pStyle w:val="SingleTxtG"/>
              <w:spacing w:before="40" w:line="220" w:lineRule="exact"/>
              <w:ind w:left="0" w:right="113"/>
              <w:jc w:val="left"/>
            </w:pPr>
            <w:r w:rsidRPr="009D7D37">
              <w:t>Protection of vulnerable persons</w:t>
            </w:r>
          </w:p>
          <w:p w:rsidR="00005DA7" w:rsidRPr="009D7D37" w:rsidRDefault="00005DA7" w:rsidP="009D7D37">
            <w:pPr>
              <w:pStyle w:val="SingleTxtG"/>
              <w:spacing w:before="40" w:line="220" w:lineRule="exact"/>
              <w:ind w:left="0" w:right="113"/>
              <w:jc w:val="left"/>
            </w:pPr>
            <w:r w:rsidRPr="009D7D37">
              <w:t>Public awareness on harmful customs.</w:t>
            </w:r>
          </w:p>
        </w:tc>
        <w:tc>
          <w:tcPr>
            <w:tcW w:w="1184" w:type="dxa"/>
            <w:shd w:val="clear" w:color="auto" w:fill="auto"/>
          </w:tcPr>
          <w:p w:rsidR="00005DA7" w:rsidRPr="009D7D37" w:rsidRDefault="00005DA7" w:rsidP="009D7D37">
            <w:pPr>
              <w:pStyle w:val="SingleTxtG"/>
              <w:spacing w:before="40" w:line="220" w:lineRule="exact"/>
              <w:ind w:left="0" w:right="113"/>
              <w:jc w:val="left"/>
            </w:pPr>
            <w:r w:rsidRPr="009D7D37">
              <w:t>Established</w:t>
            </w:r>
          </w:p>
        </w:tc>
      </w:tr>
    </w:tbl>
    <w:p w:rsidR="00005DA7" w:rsidRPr="0038738C" w:rsidRDefault="00005DA7" w:rsidP="00AC57F9">
      <w:pPr>
        <w:pStyle w:val="H1G"/>
      </w:pPr>
      <w:r w:rsidRPr="0038738C">
        <w:lastRenderedPageBreak/>
        <w:tab/>
        <w:t>E.</w:t>
      </w:r>
      <w:r w:rsidRPr="0038738C">
        <w:tab/>
        <w:t xml:space="preserve">Conventions and other human rights instruments ratified or acceded </w:t>
      </w:r>
      <w:r w:rsidRPr="0038738C">
        <w:br/>
        <w:t>to by the country</w:t>
      </w:r>
    </w:p>
    <w:p w:rsidR="00005DA7" w:rsidRPr="0038738C" w:rsidRDefault="00005DA7" w:rsidP="00AC57F9">
      <w:pPr>
        <w:pStyle w:val="H23G"/>
      </w:pPr>
      <w:r w:rsidRPr="0038738C">
        <w:tab/>
      </w:r>
      <w:r w:rsidRPr="0038738C">
        <w:tab/>
        <w:t xml:space="preserve">South Sudan is a party to the following international human rights instruments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6803"/>
      </w:tblGrid>
      <w:tr w:rsidR="00AC57F9" w:rsidRPr="00AC57F9" w:rsidTr="00AC57F9">
        <w:trPr>
          <w:tblHeader/>
        </w:trPr>
        <w:tc>
          <w:tcPr>
            <w:tcW w:w="567" w:type="dxa"/>
            <w:tcBorders>
              <w:top w:val="single" w:sz="4" w:space="0" w:color="auto"/>
              <w:bottom w:val="single" w:sz="12" w:space="0" w:color="auto"/>
            </w:tcBorders>
            <w:shd w:val="clear" w:color="auto" w:fill="auto"/>
            <w:vAlign w:val="bottom"/>
          </w:tcPr>
          <w:p w:rsidR="00005DA7" w:rsidRPr="00AC57F9" w:rsidRDefault="00005DA7" w:rsidP="00AC57F9">
            <w:pPr>
              <w:pStyle w:val="SingleTxtG"/>
              <w:spacing w:before="80" w:after="80" w:line="200" w:lineRule="exact"/>
              <w:ind w:left="0" w:right="113"/>
              <w:jc w:val="left"/>
              <w:rPr>
                <w:i/>
                <w:sz w:val="16"/>
              </w:rPr>
            </w:pPr>
            <w:r w:rsidRPr="00AC57F9">
              <w:rPr>
                <w:i/>
                <w:sz w:val="16"/>
              </w:rPr>
              <w:t>No.</w:t>
            </w:r>
          </w:p>
        </w:tc>
        <w:tc>
          <w:tcPr>
            <w:tcW w:w="6804" w:type="dxa"/>
            <w:tcBorders>
              <w:top w:val="single" w:sz="4" w:space="0" w:color="auto"/>
              <w:bottom w:val="single" w:sz="12" w:space="0" w:color="auto"/>
            </w:tcBorders>
            <w:shd w:val="clear" w:color="auto" w:fill="auto"/>
            <w:vAlign w:val="bottom"/>
          </w:tcPr>
          <w:p w:rsidR="00005DA7" w:rsidRPr="00AC57F9" w:rsidRDefault="00005DA7" w:rsidP="00AC57F9">
            <w:pPr>
              <w:pStyle w:val="SingleTxtG"/>
              <w:spacing w:before="80" w:after="80" w:line="200" w:lineRule="exact"/>
              <w:ind w:left="0" w:right="113"/>
              <w:jc w:val="left"/>
              <w:rPr>
                <w:i/>
                <w:sz w:val="16"/>
              </w:rPr>
            </w:pPr>
            <w:r w:rsidRPr="00AC57F9">
              <w:rPr>
                <w:i/>
                <w:sz w:val="16"/>
              </w:rPr>
              <w:t>Treaty/ Convention</w:t>
            </w:r>
          </w:p>
        </w:tc>
      </w:tr>
      <w:tr w:rsidR="00AC57F9" w:rsidRPr="00AC57F9" w:rsidTr="00AC57F9">
        <w:trPr>
          <w:trHeight w:hRule="exact" w:val="113"/>
        </w:trPr>
        <w:tc>
          <w:tcPr>
            <w:tcW w:w="567" w:type="dxa"/>
            <w:tcBorders>
              <w:top w:val="single" w:sz="12" w:space="0" w:color="auto"/>
            </w:tcBorders>
            <w:shd w:val="clear" w:color="auto" w:fill="auto"/>
          </w:tcPr>
          <w:p w:rsidR="00005DA7" w:rsidRPr="00AC57F9" w:rsidRDefault="00005DA7" w:rsidP="00AC57F9">
            <w:pPr>
              <w:pStyle w:val="SingleTxtG"/>
              <w:spacing w:before="40" w:line="220" w:lineRule="exact"/>
              <w:ind w:left="0" w:right="113"/>
              <w:jc w:val="left"/>
            </w:pPr>
          </w:p>
        </w:tc>
        <w:tc>
          <w:tcPr>
            <w:tcW w:w="6804" w:type="dxa"/>
            <w:tcBorders>
              <w:top w:val="single" w:sz="12" w:space="0" w:color="auto"/>
            </w:tcBorders>
            <w:shd w:val="clear" w:color="auto" w:fill="auto"/>
          </w:tcPr>
          <w:p w:rsidR="00005DA7" w:rsidRPr="00AC57F9" w:rsidRDefault="00005DA7" w:rsidP="00AC57F9">
            <w:pPr>
              <w:pStyle w:val="SingleTxtG"/>
              <w:spacing w:before="40" w:line="220" w:lineRule="exact"/>
              <w:ind w:left="0" w:right="113"/>
              <w:jc w:val="left"/>
            </w:pP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International Covenant on Civil and Political Rights (ICCPR)</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Optional Protocol to the International Covenant on Civil and Political Rights (ICCPROP-1)</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 xml:space="preserve">International Covenant on Economic, Social and Cultural Rights (ICESCR) </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International Convention on the Elimination of all Forms of Discrimination against Women (CEDAW)</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Optional Protocol to the Convention on the Elimination of all Forms of Discrimination against Women (CEDAW-OP)</w:t>
            </w:r>
          </w:p>
          <w:p w:rsidR="00005DA7" w:rsidRPr="00AC57F9" w:rsidRDefault="00005DA7" w:rsidP="00AC57F9">
            <w:pPr>
              <w:pStyle w:val="SingleTxtG"/>
              <w:spacing w:before="40" w:line="220" w:lineRule="exact"/>
              <w:ind w:left="0" w:right="113"/>
              <w:jc w:val="left"/>
            </w:pPr>
            <w:r w:rsidRPr="00AC57F9">
              <w:t>Convention and Protocol Relating to the Status of Refugees</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Convention and Protocol Relating to the Status of Refugees,1951</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Convention against Torture and Other Cruel, Inhuman or Degrading Treatment or Punishment (CAT) and the Optional (OPCAT)</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Convention on the Rights of the Child (CRC)</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Optional Protocol to the Convention on the Rights of the Child on the Sale of Children, Child Prostitution and Child Pornography (CRC-OP-SC)</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Optional Protocol to the Convention on the Rights of the Child on the involvement of children in armed conflict (CRC-OP-AC)</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Convention Concerning Protection of the World Cultural and Natural Heritage</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Convention on the Rights of Persons with Disabilities (CRPD)</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Convention on the Safeguard of Cultural Heritage</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Convention on the Protection and Promotion of the Diversity of Cultural Expression</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Convention Governing the Specific Aspect of Refugees Problems in Africa</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African Charter on Human and Peoples’ Rights (ACHPR)</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 xml:space="preserve">African Charter on the Rights and Welfare of the Child </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African Convention for the Protection and Assistance of Internally Displaced Persons with Disability</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Protocol of the African Charter on Human and Peoples’ Rights on the Rights of Women in Africa</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The Geneva Conventions and their Protocols</w:t>
            </w:r>
          </w:p>
        </w:tc>
      </w:tr>
      <w:tr w:rsidR="00AC57F9" w:rsidRPr="00AC57F9" w:rsidTr="00AC57F9">
        <w:tc>
          <w:tcPr>
            <w:tcW w:w="567" w:type="dxa"/>
            <w:shd w:val="clear" w:color="auto" w:fill="auto"/>
          </w:tcPr>
          <w:p w:rsidR="00005DA7" w:rsidRPr="00AC57F9" w:rsidRDefault="00005DA7" w:rsidP="00AC57F9">
            <w:pPr>
              <w:pStyle w:val="SingleTxtG"/>
              <w:spacing w:before="40" w:line="220" w:lineRule="exact"/>
              <w:ind w:left="0" w:right="113"/>
              <w:jc w:val="left"/>
            </w:pPr>
          </w:p>
        </w:tc>
        <w:tc>
          <w:tcPr>
            <w:tcW w:w="6804" w:type="dxa"/>
            <w:shd w:val="clear" w:color="auto" w:fill="auto"/>
          </w:tcPr>
          <w:p w:rsidR="00005DA7" w:rsidRPr="00AC57F9" w:rsidRDefault="00005DA7" w:rsidP="00AC57F9">
            <w:pPr>
              <w:pStyle w:val="SingleTxtG"/>
              <w:spacing w:before="40" w:line="220" w:lineRule="exact"/>
              <w:ind w:left="0" w:right="113"/>
              <w:jc w:val="left"/>
            </w:pPr>
            <w:r w:rsidRPr="00AC57F9">
              <w:t xml:space="preserve">Convention against Torture and Other Cruel, Inhuman or Degrading Treatment or Punishment, 1987. </w:t>
            </w:r>
          </w:p>
        </w:tc>
      </w:tr>
    </w:tbl>
    <w:p w:rsidR="00005DA7" w:rsidRPr="0038738C" w:rsidRDefault="00005DA7" w:rsidP="00D838E1">
      <w:pPr>
        <w:pStyle w:val="H1G"/>
      </w:pPr>
      <w:r w:rsidRPr="0038738C">
        <w:tab/>
        <w:t>F.</w:t>
      </w:r>
      <w:r w:rsidRPr="0038738C">
        <w:tab/>
        <w:t>Raising human rights awareness among public officials and other professionals</w:t>
      </w:r>
    </w:p>
    <w:p w:rsidR="00005DA7" w:rsidRPr="0038738C" w:rsidRDefault="00005DA7" w:rsidP="00D838E1">
      <w:pPr>
        <w:pStyle w:val="H23G"/>
      </w:pPr>
      <w:r w:rsidRPr="0038738C">
        <w:tab/>
      </w:r>
      <w:r w:rsidRPr="0038738C">
        <w:tab/>
        <w:t>Public Awareness</w:t>
      </w:r>
    </w:p>
    <w:p w:rsidR="00005DA7" w:rsidRPr="0038738C" w:rsidRDefault="00005DA7" w:rsidP="00005DA7">
      <w:pPr>
        <w:pStyle w:val="SingleTxtG"/>
      </w:pPr>
      <w:r w:rsidRPr="0038738C">
        <w:t>24.</w:t>
      </w:r>
      <w:r w:rsidRPr="0038738C">
        <w:tab/>
        <w:t xml:space="preserve">Several Commissioned and Non-Commissioned officials of the South Sudan Police Service, Prisons Service and South Sudan Peoples’ Defence Forces (SSPDF) have been </w:t>
      </w:r>
      <w:r w:rsidRPr="0038738C">
        <w:lastRenderedPageBreak/>
        <w:t>trained on handling cases of Sexual and Gender Based Violence (SGBV) and cases of human rights generally. As part of the training and awareness, these officials are also given copies of Guidelines on Women and Child Rights. Additional trainings are ongoing with the support of different partners.</w:t>
      </w:r>
    </w:p>
    <w:p w:rsidR="00005DA7" w:rsidRPr="0038738C" w:rsidRDefault="00005DA7" w:rsidP="00005DA7">
      <w:pPr>
        <w:pStyle w:val="SingleTxtG"/>
      </w:pPr>
      <w:r w:rsidRPr="0038738C">
        <w:t>25.</w:t>
      </w:r>
      <w:r w:rsidRPr="0038738C">
        <w:tab/>
        <w:t xml:space="preserve">In Maridi State alone 40 SSPDF personnel received human rights training in December 2017. </w:t>
      </w:r>
    </w:p>
    <w:p w:rsidR="00005DA7" w:rsidRDefault="00005DA7" w:rsidP="00005DA7">
      <w:pPr>
        <w:pStyle w:val="SingleTxtG"/>
      </w:pPr>
      <w:r w:rsidRPr="0038738C">
        <w:t>26.</w:t>
      </w:r>
      <w:r w:rsidRPr="0038738C">
        <w:tab/>
        <w:t>Between 2014 and 2015, UNDP trained Police personnel and social workers in different parts of the country. The table below is a breakdown of the number of such trainings by sex and location.</w:t>
      </w:r>
    </w:p>
    <w:p w:rsidR="004B7AA4" w:rsidRPr="0038738C" w:rsidRDefault="004B7AA4" w:rsidP="004B7AA4">
      <w:pPr>
        <w:pStyle w:val="H23G"/>
      </w:pPr>
      <w:r>
        <w:tab/>
      </w:r>
      <w:r>
        <w:tab/>
      </w:r>
      <w:r w:rsidRPr="008B6013">
        <w:t>SGBY Training 2014</w:t>
      </w:r>
      <w:r w:rsidR="00E36609">
        <w:t>–</w:t>
      </w:r>
      <w:r w:rsidRPr="008B6013">
        <w:t>2015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72"/>
        <w:gridCol w:w="873"/>
        <w:gridCol w:w="1068"/>
        <w:gridCol w:w="984"/>
        <w:gridCol w:w="859"/>
        <w:gridCol w:w="1047"/>
        <w:gridCol w:w="967"/>
      </w:tblGrid>
      <w:tr w:rsidR="00D838E1" w:rsidRPr="004B7AA4" w:rsidTr="001D4AFB">
        <w:tc>
          <w:tcPr>
            <w:tcW w:w="1572" w:type="dxa"/>
            <w:tcBorders>
              <w:top w:val="single" w:sz="4" w:space="0" w:color="auto"/>
              <w:bottom w:val="nil"/>
            </w:tcBorders>
            <w:shd w:val="clear" w:color="auto" w:fill="auto"/>
          </w:tcPr>
          <w:p w:rsidR="00005DA7" w:rsidRPr="004B7AA4" w:rsidRDefault="00005DA7" w:rsidP="008B6013">
            <w:pPr>
              <w:pStyle w:val="SingleTxtG"/>
              <w:spacing w:before="40" w:after="40" w:line="220" w:lineRule="exact"/>
              <w:ind w:left="0" w:right="113"/>
              <w:jc w:val="left"/>
              <w:rPr>
                <w:i/>
                <w:sz w:val="16"/>
              </w:rPr>
            </w:pPr>
          </w:p>
        </w:tc>
        <w:tc>
          <w:tcPr>
            <w:tcW w:w="2925" w:type="dxa"/>
            <w:gridSpan w:val="3"/>
            <w:tcBorders>
              <w:top w:val="single" w:sz="4" w:space="0" w:color="auto"/>
              <w:bottom w:val="single" w:sz="4" w:space="0" w:color="auto"/>
              <w:right w:val="single" w:sz="24" w:space="0" w:color="FFFFFF" w:themeColor="background1"/>
            </w:tcBorders>
            <w:shd w:val="clear" w:color="auto" w:fill="auto"/>
          </w:tcPr>
          <w:p w:rsidR="00005DA7" w:rsidRPr="004B7AA4" w:rsidRDefault="00005DA7" w:rsidP="008B6013">
            <w:pPr>
              <w:pStyle w:val="SingleTxtG"/>
              <w:spacing w:before="40" w:after="40" w:line="220" w:lineRule="exact"/>
              <w:ind w:left="0" w:right="113"/>
              <w:jc w:val="center"/>
              <w:rPr>
                <w:i/>
                <w:sz w:val="16"/>
              </w:rPr>
            </w:pPr>
            <w:r w:rsidRPr="004B7AA4">
              <w:rPr>
                <w:i/>
                <w:sz w:val="16"/>
              </w:rPr>
              <w:t>2014</w:t>
            </w:r>
          </w:p>
        </w:tc>
        <w:tc>
          <w:tcPr>
            <w:tcW w:w="2873" w:type="dxa"/>
            <w:gridSpan w:val="3"/>
            <w:tcBorders>
              <w:top w:val="single" w:sz="4" w:space="0" w:color="auto"/>
              <w:left w:val="single" w:sz="24" w:space="0" w:color="FFFFFF" w:themeColor="background1"/>
              <w:bottom w:val="single" w:sz="4" w:space="0" w:color="auto"/>
            </w:tcBorders>
            <w:shd w:val="clear" w:color="auto" w:fill="auto"/>
          </w:tcPr>
          <w:p w:rsidR="00005DA7" w:rsidRPr="004B7AA4" w:rsidRDefault="00005DA7" w:rsidP="008B6013">
            <w:pPr>
              <w:pStyle w:val="SingleTxtG"/>
              <w:spacing w:before="40" w:after="40" w:line="220" w:lineRule="exact"/>
              <w:ind w:left="0" w:right="113"/>
              <w:jc w:val="center"/>
              <w:rPr>
                <w:i/>
                <w:sz w:val="16"/>
              </w:rPr>
            </w:pPr>
            <w:r w:rsidRPr="004B7AA4">
              <w:rPr>
                <w:i/>
                <w:sz w:val="16"/>
              </w:rPr>
              <w:t>2015</w:t>
            </w:r>
          </w:p>
        </w:tc>
      </w:tr>
      <w:tr w:rsidR="00D838E1" w:rsidRPr="004B7AA4" w:rsidTr="001D4AFB">
        <w:tc>
          <w:tcPr>
            <w:tcW w:w="1572" w:type="dxa"/>
            <w:tcBorders>
              <w:top w:val="nil"/>
              <w:bottom w:val="single" w:sz="12" w:space="0" w:color="auto"/>
            </w:tcBorders>
            <w:shd w:val="clear" w:color="auto" w:fill="auto"/>
          </w:tcPr>
          <w:p w:rsidR="00005DA7" w:rsidRPr="004B7AA4" w:rsidRDefault="008B6013" w:rsidP="008B6013">
            <w:pPr>
              <w:pStyle w:val="SingleTxtG"/>
              <w:spacing w:before="40" w:after="40" w:line="220" w:lineRule="exact"/>
              <w:ind w:left="0" w:right="113"/>
              <w:jc w:val="left"/>
              <w:rPr>
                <w:i/>
                <w:sz w:val="16"/>
              </w:rPr>
            </w:pPr>
            <w:r w:rsidRPr="004B7AA4">
              <w:rPr>
                <w:i/>
                <w:sz w:val="16"/>
              </w:rPr>
              <w:t>Location</w:t>
            </w:r>
          </w:p>
        </w:tc>
        <w:tc>
          <w:tcPr>
            <w:tcW w:w="873" w:type="dxa"/>
            <w:tcBorders>
              <w:top w:val="nil"/>
              <w:bottom w:val="single" w:sz="12" w:space="0" w:color="auto"/>
            </w:tcBorders>
            <w:shd w:val="clear" w:color="auto" w:fill="auto"/>
          </w:tcPr>
          <w:p w:rsidR="00005DA7" w:rsidRPr="004B7AA4" w:rsidRDefault="00005DA7" w:rsidP="008B6013">
            <w:pPr>
              <w:pStyle w:val="SingleTxtG"/>
              <w:spacing w:before="40" w:after="40" w:line="220" w:lineRule="exact"/>
              <w:ind w:left="0" w:right="113"/>
              <w:jc w:val="right"/>
              <w:rPr>
                <w:i/>
                <w:sz w:val="16"/>
              </w:rPr>
            </w:pPr>
            <w:r w:rsidRPr="004B7AA4">
              <w:rPr>
                <w:i/>
                <w:sz w:val="16"/>
              </w:rPr>
              <w:t>Male</w:t>
            </w:r>
          </w:p>
        </w:tc>
        <w:tc>
          <w:tcPr>
            <w:tcW w:w="1068" w:type="dxa"/>
            <w:tcBorders>
              <w:top w:val="nil"/>
              <w:bottom w:val="single" w:sz="12" w:space="0" w:color="auto"/>
            </w:tcBorders>
            <w:shd w:val="clear" w:color="auto" w:fill="auto"/>
          </w:tcPr>
          <w:p w:rsidR="00005DA7" w:rsidRPr="004B7AA4" w:rsidRDefault="00005DA7" w:rsidP="008B6013">
            <w:pPr>
              <w:pStyle w:val="SingleTxtG"/>
              <w:spacing w:before="40" w:after="40" w:line="220" w:lineRule="exact"/>
              <w:ind w:left="0" w:right="113"/>
              <w:jc w:val="right"/>
              <w:rPr>
                <w:i/>
                <w:sz w:val="16"/>
              </w:rPr>
            </w:pPr>
            <w:r w:rsidRPr="004B7AA4">
              <w:rPr>
                <w:i/>
                <w:sz w:val="16"/>
              </w:rPr>
              <w:t>Female</w:t>
            </w:r>
          </w:p>
        </w:tc>
        <w:tc>
          <w:tcPr>
            <w:tcW w:w="984" w:type="dxa"/>
            <w:tcBorders>
              <w:top w:val="nil"/>
              <w:bottom w:val="single" w:sz="12" w:space="0" w:color="auto"/>
              <w:right w:val="single" w:sz="24" w:space="0" w:color="FFFFFF" w:themeColor="background1"/>
            </w:tcBorders>
            <w:shd w:val="clear" w:color="auto" w:fill="auto"/>
          </w:tcPr>
          <w:p w:rsidR="00005DA7" w:rsidRPr="004B7AA4" w:rsidRDefault="00005DA7" w:rsidP="008B6013">
            <w:pPr>
              <w:pStyle w:val="SingleTxtG"/>
              <w:spacing w:before="40" w:after="40" w:line="220" w:lineRule="exact"/>
              <w:ind w:left="0" w:right="113"/>
              <w:jc w:val="right"/>
              <w:rPr>
                <w:i/>
                <w:sz w:val="16"/>
              </w:rPr>
            </w:pPr>
            <w:r w:rsidRPr="004B7AA4">
              <w:rPr>
                <w:i/>
                <w:sz w:val="16"/>
              </w:rPr>
              <w:t>Total</w:t>
            </w:r>
          </w:p>
        </w:tc>
        <w:tc>
          <w:tcPr>
            <w:tcW w:w="859" w:type="dxa"/>
            <w:tcBorders>
              <w:top w:val="nil"/>
              <w:left w:val="single" w:sz="24" w:space="0" w:color="FFFFFF" w:themeColor="background1"/>
              <w:bottom w:val="single" w:sz="12" w:space="0" w:color="auto"/>
            </w:tcBorders>
            <w:shd w:val="clear" w:color="auto" w:fill="auto"/>
          </w:tcPr>
          <w:p w:rsidR="00005DA7" w:rsidRPr="004B7AA4" w:rsidRDefault="00005DA7" w:rsidP="008B6013">
            <w:pPr>
              <w:pStyle w:val="SingleTxtG"/>
              <w:spacing w:before="40" w:after="40" w:line="220" w:lineRule="exact"/>
              <w:ind w:left="0" w:right="113"/>
              <w:jc w:val="right"/>
              <w:rPr>
                <w:i/>
                <w:sz w:val="16"/>
              </w:rPr>
            </w:pPr>
            <w:r w:rsidRPr="004B7AA4">
              <w:rPr>
                <w:i/>
                <w:sz w:val="16"/>
              </w:rPr>
              <w:t>Male</w:t>
            </w:r>
          </w:p>
        </w:tc>
        <w:tc>
          <w:tcPr>
            <w:tcW w:w="1047" w:type="dxa"/>
            <w:tcBorders>
              <w:top w:val="nil"/>
              <w:bottom w:val="single" w:sz="12" w:space="0" w:color="auto"/>
            </w:tcBorders>
            <w:shd w:val="clear" w:color="auto" w:fill="auto"/>
          </w:tcPr>
          <w:p w:rsidR="00005DA7" w:rsidRPr="004B7AA4" w:rsidRDefault="00005DA7" w:rsidP="008B6013">
            <w:pPr>
              <w:pStyle w:val="SingleTxtG"/>
              <w:spacing w:before="40" w:after="40" w:line="220" w:lineRule="exact"/>
              <w:ind w:left="0" w:right="113"/>
              <w:jc w:val="right"/>
              <w:rPr>
                <w:i/>
                <w:sz w:val="16"/>
              </w:rPr>
            </w:pPr>
            <w:r w:rsidRPr="004B7AA4">
              <w:rPr>
                <w:i/>
                <w:sz w:val="16"/>
              </w:rPr>
              <w:t>Female</w:t>
            </w:r>
          </w:p>
        </w:tc>
        <w:tc>
          <w:tcPr>
            <w:tcW w:w="967" w:type="dxa"/>
            <w:tcBorders>
              <w:top w:val="nil"/>
              <w:bottom w:val="single" w:sz="12" w:space="0" w:color="auto"/>
            </w:tcBorders>
            <w:shd w:val="clear" w:color="auto" w:fill="auto"/>
          </w:tcPr>
          <w:p w:rsidR="00005DA7" w:rsidRPr="004B7AA4" w:rsidRDefault="00005DA7" w:rsidP="008B6013">
            <w:pPr>
              <w:pStyle w:val="SingleTxtG"/>
              <w:spacing w:before="40" w:after="40" w:line="220" w:lineRule="exact"/>
              <w:ind w:left="0" w:right="113"/>
              <w:jc w:val="right"/>
              <w:rPr>
                <w:i/>
                <w:sz w:val="16"/>
              </w:rPr>
            </w:pPr>
            <w:r w:rsidRPr="004B7AA4">
              <w:rPr>
                <w:i/>
                <w:sz w:val="16"/>
              </w:rPr>
              <w:t>Total</w:t>
            </w:r>
          </w:p>
        </w:tc>
      </w:tr>
      <w:tr w:rsidR="00D838E1" w:rsidRPr="008B6013" w:rsidTr="004B7AA4">
        <w:tc>
          <w:tcPr>
            <w:tcW w:w="1572" w:type="dxa"/>
            <w:tcBorders>
              <w:top w:val="single" w:sz="12" w:space="0" w:color="auto"/>
            </w:tcBorders>
            <w:shd w:val="clear" w:color="auto" w:fill="auto"/>
          </w:tcPr>
          <w:p w:rsidR="00005DA7" w:rsidRPr="008B6013" w:rsidRDefault="00005DA7" w:rsidP="008B6013">
            <w:pPr>
              <w:pStyle w:val="SingleTxtG"/>
              <w:spacing w:before="40" w:after="40" w:line="220" w:lineRule="exact"/>
              <w:ind w:left="0" w:right="113"/>
              <w:jc w:val="left"/>
              <w:rPr>
                <w:sz w:val="18"/>
              </w:rPr>
            </w:pPr>
            <w:r w:rsidRPr="008B6013">
              <w:rPr>
                <w:sz w:val="18"/>
              </w:rPr>
              <w:t>Juba</w:t>
            </w:r>
          </w:p>
        </w:tc>
        <w:tc>
          <w:tcPr>
            <w:tcW w:w="873" w:type="dxa"/>
            <w:tcBorders>
              <w:top w:val="single" w:sz="12" w:space="0" w:color="auto"/>
            </w:tcBorders>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19</w:t>
            </w:r>
          </w:p>
        </w:tc>
        <w:tc>
          <w:tcPr>
            <w:tcW w:w="1068" w:type="dxa"/>
            <w:tcBorders>
              <w:top w:val="single" w:sz="12" w:space="0" w:color="auto"/>
            </w:tcBorders>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7</w:t>
            </w:r>
          </w:p>
        </w:tc>
        <w:tc>
          <w:tcPr>
            <w:tcW w:w="984" w:type="dxa"/>
            <w:tcBorders>
              <w:top w:val="single" w:sz="12" w:space="0" w:color="auto"/>
            </w:tcBorders>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26</w:t>
            </w:r>
          </w:p>
        </w:tc>
        <w:tc>
          <w:tcPr>
            <w:tcW w:w="859" w:type="dxa"/>
            <w:tcBorders>
              <w:top w:val="single" w:sz="12" w:space="0" w:color="auto"/>
            </w:tcBorders>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13</w:t>
            </w:r>
          </w:p>
        </w:tc>
        <w:tc>
          <w:tcPr>
            <w:tcW w:w="1047" w:type="dxa"/>
            <w:tcBorders>
              <w:top w:val="single" w:sz="12" w:space="0" w:color="auto"/>
            </w:tcBorders>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12</w:t>
            </w:r>
          </w:p>
        </w:tc>
        <w:tc>
          <w:tcPr>
            <w:tcW w:w="967" w:type="dxa"/>
            <w:tcBorders>
              <w:top w:val="single" w:sz="12" w:space="0" w:color="auto"/>
            </w:tcBorders>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25</w:t>
            </w:r>
          </w:p>
        </w:tc>
      </w:tr>
      <w:tr w:rsidR="00D838E1" w:rsidRPr="008B6013" w:rsidTr="008B6013">
        <w:tc>
          <w:tcPr>
            <w:tcW w:w="1572" w:type="dxa"/>
            <w:shd w:val="clear" w:color="auto" w:fill="auto"/>
          </w:tcPr>
          <w:p w:rsidR="00005DA7" w:rsidRPr="008B6013" w:rsidRDefault="00005DA7" w:rsidP="008B6013">
            <w:pPr>
              <w:pStyle w:val="SingleTxtG"/>
              <w:spacing w:before="40" w:after="40" w:line="220" w:lineRule="exact"/>
              <w:ind w:left="0" w:right="113"/>
              <w:jc w:val="left"/>
              <w:rPr>
                <w:sz w:val="18"/>
              </w:rPr>
            </w:pPr>
            <w:r w:rsidRPr="008B6013">
              <w:rPr>
                <w:sz w:val="18"/>
              </w:rPr>
              <w:t>Yambio</w:t>
            </w:r>
          </w:p>
        </w:tc>
        <w:tc>
          <w:tcPr>
            <w:tcW w:w="873"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14</w:t>
            </w:r>
          </w:p>
        </w:tc>
        <w:tc>
          <w:tcPr>
            <w:tcW w:w="1068"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16</w:t>
            </w:r>
          </w:p>
        </w:tc>
        <w:tc>
          <w:tcPr>
            <w:tcW w:w="984"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30</w:t>
            </w:r>
          </w:p>
        </w:tc>
        <w:tc>
          <w:tcPr>
            <w:tcW w:w="859"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19</w:t>
            </w:r>
          </w:p>
        </w:tc>
        <w:tc>
          <w:tcPr>
            <w:tcW w:w="1047"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13</w:t>
            </w:r>
          </w:p>
        </w:tc>
        <w:tc>
          <w:tcPr>
            <w:tcW w:w="967"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32</w:t>
            </w:r>
          </w:p>
        </w:tc>
      </w:tr>
      <w:tr w:rsidR="00D838E1" w:rsidRPr="008B6013" w:rsidTr="008B6013">
        <w:tc>
          <w:tcPr>
            <w:tcW w:w="1572" w:type="dxa"/>
            <w:shd w:val="clear" w:color="auto" w:fill="auto"/>
          </w:tcPr>
          <w:p w:rsidR="00005DA7" w:rsidRPr="008B6013" w:rsidRDefault="00005DA7" w:rsidP="008B6013">
            <w:pPr>
              <w:pStyle w:val="SingleTxtG"/>
              <w:spacing w:before="40" w:after="40" w:line="220" w:lineRule="exact"/>
              <w:ind w:left="0" w:right="113"/>
              <w:jc w:val="left"/>
              <w:rPr>
                <w:sz w:val="18"/>
              </w:rPr>
            </w:pPr>
            <w:r w:rsidRPr="008B6013">
              <w:rPr>
                <w:sz w:val="18"/>
              </w:rPr>
              <w:t>Torit</w:t>
            </w:r>
          </w:p>
        </w:tc>
        <w:tc>
          <w:tcPr>
            <w:tcW w:w="873"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28</w:t>
            </w:r>
          </w:p>
        </w:tc>
        <w:tc>
          <w:tcPr>
            <w:tcW w:w="1068"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15</w:t>
            </w:r>
          </w:p>
        </w:tc>
        <w:tc>
          <w:tcPr>
            <w:tcW w:w="984"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43</w:t>
            </w:r>
          </w:p>
        </w:tc>
        <w:tc>
          <w:tcPr>
            <w:tcW w:w="859"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16</w:t>
            </w:r>
          </w:p>
        </w:tc>
        <w:tc>
          <w:tcPr>
            <w:tcW w:w="1047"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14</w:t>
            </w:r>
          </w:p>
        </w:tc>
        <w:tc>
          <w:tcPr>
            <w:tcW w:w="967"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30</w:t>
            </w:r>
          </w:p>
        </w:tc>
      </w:tr>
      <w:tr w:rsidR="00D838E1" w:rsidRPr="008B6013" w:rsidTr="008B6013">
        <w:tc>
          <w:tcPr>
            <w:tcW w:w="1572" w:type="dxa"/>
            <w:shd w:val="clear" w:color="auto" w:fill="auto"/>
          </w:tcPr>
          <w:p w:rsidR="00005DA7" w:rsidRPr="008B6013" w:rsidRDefault="00005DA7" w:rsidP="008B6013">
            <w:pPr>
              <w:pStyle w:val="SingleTxtG"/>
              <w:spacing w:before="40" w:after="40" w:line="220" w:lineRule="exact"/>
              <w:ind w:left="0" w:right="113"/>
              <w:jc w:val="left"/>
              <w:rPr>
                <w:sz w:val="18"/>
              </w:rPr>
            </w:pPr>
            <w:r w:rsidRPr="008B6013">
              <w:rPr>
                <w:sz w:val="18"/>
              </w:rPr>
              <w:t>Wau</w:t>
            </w:r>
          </w:p>
        </w:tc>
        <w:tc>
          <w:tcPr>
            <w:tcW w:w="873"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15</w:t>
            </w:r>
          </w:p>
        </w:tc>
        <w:tc>
          <w:tcPr>
            <w:tcW w:w="1068"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15</w:t>
            </w:r>
          </w:p>
        </w:tc>
        <w:tc>
          <w:tcPr>
            <w:tcW w:w="984"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30</w:t>
            </w:r>
          </w:p>
        </w:tc>
        <w:tc>
          <w:tcPr>
            <w:tcW w:w="859"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13</w:t>
            </w:r>
          </w:p>
        </w:tc>
        <w:tc>
          <w:tcPr>
            <w:tcW w:w="1047"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17</w:t>
            </w:r>
          </w:p>
        </w:tc>
        <w:tc>
          <w:tcPr>
            <w:tcW w:w="967"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30</w:t>
            </w:r>
          </w:p>
        </w:tc>
      </w:tr>
      <w:tr w:rsidR="00D838E1" w:rsidRPr="008B6013" w:rsidTr="008B6013">
        <w:tc>
          <w:tcPr>
            <w:tcW w:w="1572" w:type="dxa"/>
            <w:shd w:val="clear" w:color="auto" w:fill="auto"/>
          </w:tcPr>
          <w:p w:rsidR="00005DA7" w:rsidRPr="008B6013" w:rsidRDefault="00005DA7" w:rsidP="008B6013">
            <w:pPr>
              <w:pStyle w:val="SingleTxtG"/>
              <w:spacing w:before="40" w:after="40" w:line="220" w:lineRule="exact"/>
              <w:ind w:left="0" w:right="113"/>
              <w:jc w:val="left"/>
              <w:rPr>
                <w:sz w:val="18"/>
              </w:rPr>
            </w:pPr>
            <w:r w:rsidRPr="008B6013">
              <w:rPr>
                <w:sz w:val="18"/>
              </w:rPr>
              <w:t>Aweil</w:t>
            </w:r>
          </w:p>
        </w:tc>
        <w:tc>
          <w:tcPr>
            <w:tcW w:w="873"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25</w:t>
            </w:r>
          </w:p>
        </w:tc>
        <w:tc>
          <w:tcPr>
            <w:tcW w:w="1068"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5</w:t>
            </w:r>
          </w:p>
        </w:tc>
        <w:tc>
          <w:tcPr>
            <w:tcW w:w="984"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30</w:t>
            </w:r>
          </w:p>
        </w:tc>
        <w:tc>
          <w:tcPr>
            <w:tcW w:w="859"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21</w:t>
            </w:r>
          </w:p>
        </w:tc>
        <w:tc>
          <w:tcPr>
            <w:tcW w:w="1047"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9</w:t>
            </w:r>
          </w:p>
        </w:tc>
        <w:tc>
          <w:tcPr>
            <w:tcW w:w="967" w:type="dxa"/>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30</w:t>
            </w:r>
          </w:p>
        </w:tc>
      </w:tr>
      <w:tr w:rsidR="00D838E1" w:rsidRPr="008B6013" w:rsidTr="006B2972">
        <w:tc>
          <w:tcPr>
            <w:tcW w:w="1572" w:type="dxa"/>
            <w:tcBorders>
              <w:bottom w:val="single" w:sz="4" w:space="0" w:color="auto"/>
            </w:tcBorders>
            <w:shd w:val="clear" w:color="auto" w:fill="auto"/>
          </w:tcPr>
          <w:p w:rsidR="00005DA7" w:rsidRPr="008B6013" w:rsidRDefault="00005DA7" w:rsidP="008B6013">
            <w:pPr>
              <w:pStyle w:val="SingleTxtG"/>
              <w:spacing w:before="40" w:after="40" w:line="220" w:lineRule="exact"/>
              <w:ind w:left="0" w:right="113"/>
              <w:jc w:val="left"/>
              <w:rPr>
                <w:sz w:val="18"/>
              </w:rPr>
            </w:pPr>
            <w:r w:rsidRPr="008B6013">
              <w:rPr>
                <w:sz w:val="18"/>
              </w:rPr>
              <w:t>Mingkaman</w:t>
            </w:r>
          </w:p>
        </w:tc>
        <w:tc>
          <w:tcPr>
            <w:tcW w:w="873" w:type="dxa"/>
            <w:tcBorders>
              <w:bottom w:val="single" w:sz="4" w:space="0" w:color="auto"/>
            </w:tcBorders>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15</w:t>
            </w:r>
          </w:p>
        </w:tc>
        <w:tc>
          <w:tcPr>
            <w:tcW w:w="1068" w:type="dxa"/>
            <w:tcBorders>
              <w:bottom w:val="single" w:sz="4" w:space="0" w:color="auto"/>
            </w:tcBorders>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19</w:t>
            </w:r>
          </w:p>
        </w:tc>
        <w:tc>
          <w:tcPr>
            <w:tcW w:w="984" w:type="dxa"/>
            <w:tcBorders>
              <w:bottom w:val="single" w:sz="4" w:space="0" w:color="auto"/>
            </w:tcBorders>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34</w:t>
            </w:r>
          </w:p>
        </w:tc>
        <w:tc>
          <w:tcPr>
            <w:tcW w:w="859" w:type="dxa"/>
            <w:tcBorders>
              <w:bottom w:val="single" w:sz="4" w:space="0" w:color="auto"/>
            </w:tcBorders>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w:t>
            </w:r>
          </w:p>
        </w:tc>
        <w:tc>
          <w:tcPr>
            <w:tcW w:w="1047" w:type="dxa"/>
            <w:tcBorders>
              <w:bottom w:val="single" w:sz="4" w:space="0" w:color="auto"/>
            </w:tcBorders>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w:t>
            </w:r>
          </w:p>
        </w:tc>
        <w:tc>
          <w:tcPr>
            <w:tcW w:w="967" w:type="dxa"/>
            <w:tcBorders>
              <w:bottom w:val="single" w:sz="4" w:space="0" w:color="auto"/>
            </w:tcBorders>
            <w:shd w:val="clear" w:color="auto" w:fill="auto"/>
          </w:tcPr>
          <w:p w:rsidR="00005DA7" w:rsidRPr="008B6013" w:rsidRDefault="00005DA7" w:rsidP="008B6013">
            <w:pPr>
              <w:pStyle w:val="SingleTxtG"/>
              <w:spacing w:before="40" w:after="40" w:line="220" w:lineRule="exact"/>
              <w:ind w:left="0" w:right="113"/>
              <w:jc w:val="right"/>
              <w:rPr>
                <w:sz w:val="18"/>
              </w:rPr>
            </w:pPr>
            <w:r w:rsidRPr="008B6013">
              <w:rPr>
                <w:sz w:val="18"/>
              </w:rPr>
              <w:t>-</w:t>
            </w:r>
          </w:p>
        </w:tc>
      </w:tr>
      <w:tr w:rsidR="00D838E1" w:rsidRPr="006B2972" w:rsidTr="006B2972">
        <w:tc>
          <w:tcPr>
            <w:tcW w:w="1572" w:type="dxa"/>
            <w:tcBorders>
              <w:top w:val="single" w:sz="4" w:space="0" w:color="auto"/>
              <w:bottom w:val="single" w:sz="12" w:space="0" w:color="auto"/>
            </w:tcBorders>
            <w:shd w:val="clear" w:color="auto" w:fill="auto"/>
          </w:tcPr>
          <w:p w:rsidR="00005DA7" w:rsidRPr="006B2972" w:rsidRDefault="00005DA7" w:rsidP="006B2972">
            <w:pPr>
              <w:pStyle w:val="SingleTxtG"/>
              <w:spacing w:before="80" w:after="80" w:line="220" w:lineRule="exact"/>
              <w:ind w:left="283" w:right="0"/>
              <w:jc w:val="left"/>
              <w:rPr>
                <w:b/>
                <w:sz w:val="18"/>
              </w:rPr>
            </w:pPr>
            <w:r w:rsidRPr="006B2972">
              <w:rPr>
                <w:b/>
                <w:sz w:val="18"/>
              </w:rPr>
              <w:t>Total</w:t>
            </w:r>
          </w:p>
        </w:tc>
        <w:tc>
          <w:tcPr>
            <w:tcW w:w="873" w:type="dxa"/>
            <w:tcBorders>
              <w:top w:val="single" w:sz="4" w:space="0" w:color="auto"/>
              <w:bottom w:val="single" w:sz="12" w:space="0" w:color="auto"/>
            </w:tcBorders>
            <w:shd w:val="clear" w:color="auto" w:fill="auto"/>
          </w:tcPr>
          <w:p w:rsidR="00005DA7" w:rsidRPr="006B2972" w:rsidRDefault="00005DA7" w:rsidP="006B2972">
            <w:pPr>
              <w:pStyle w:val="SingleTxtG"/>
              <w:spacing w:before="80" w:after="80" w:line="220" w:lineRule="exact"/>
              <w:ind w:left="0" w:right="113"/>
              <w:jc w:val="right"/>
              <w:rPr>
                <w:b/>
                <w:sz w:val="18"/>
              </w:rPr>
            </w:pPr>
            <w:r w:rsidRPr="006B2972">
              <w:rPr>
                <w:b/>
                <w:sz w:val="18"/>
              </w:rPr>
              <w:t>116</w:t>
            </w:r>
          </w:p>
        </w:tc>
        <w:tc>
          <w:tcPr>
            <w:tcW w:w="1068" w:type="dxa"/>
            <w:tcBorders>
              <w:top w:val="single" w:sz="4" w:space="0" w:color="auto"/>
              <w:bottom w:val="single" w:sz="12" w:space="0" w:color="auto"/>
            </w:tcBorders>
            <w:shd w:val="clear" w:color="auto" w:fill="auto"/>
          </w:tcPr>
          <w:p w:rsidR="00005DA7" w:rsidRPr="006B2972" w:rsidRDefault="00005DA7" w:rsidP="006B2972">
            <w:pPr>
              <w:pStyle w:val="SingleTxtG"/>
              <w:spacing w:before="80" w:after="80" w:line="220" w:lineRule="exact"/>
              <w:ind w:left="0" w:right="113"/>
              <w:jc w:val="right"/>
              <w:rPr>
                <w:b/>
                <w:sz w:val="18"/>
              </w:rPr>
            </w:pPr>
            <w:r w:rsidRPr="006B2972">
              <w:rPr>
                <w:b/>
                <w:sz w:val="18"/>
              </w:rPr>
              <w:t>77</w:t>
            </w:r>
          </w:p>
        </w:tc>
        <w:tc>
          <w:tcPr>
            <w:tcW w:w="984" w:type="dxa"/>
            <w:tcBorders>
              <w:top w:val="single" w:sz="4" w:space="0" w:color="auto"/>
              <w:bottom w:val="single" w:sz="12" w:space="0" w:color="auto"/>
            </w:tcBorders>
            <w:shd w:val="clear" w:color="auto" w:fill="auto"/>
          </w:tcPr>
          <w:p w:rsidR="00005DA7" w:rsidRPr="006B2972" w:rsidRDefault="00005DA7" w:rsidP="006B2972">
            <w:pPr>
              <w:pStyle w:val="SingleTxtG"/>
              <w:spacing w:before="80" w:after="80" w:line="220" w:lineRule="exact"/>
              <w:ind w:left="0" w:right="113"/>
              <w:jc w:val="right"/>
              <w:rPr>
                <w:b/>
                <w:sz w:val="18"/>
              </w:rPr>
            </w:pPr>
            <w:r w:rsidRPr="006B2972">
              <w:rPr>
                <w:b/>
                <w:sz w:val="18"/>
              </w:rPr>
              <w:t>193</w:t>
            </w:r>
          </w:p>
        </w:tc>
        <w:tc>
          <w:tcPr>
            <w:tcW w:w="859" w:type="dxa"/>
            <w:tcBorders>
              <w:top w:val="single" w:sz="4" w:space="0" w:color="auto"/>
              <w:bottom w:val="single" w:sz="12" w:space="0" w:color="auto"/>
            </w:tcBorders>
            <w:shd w:val="clear" w:color="auto" w:fill="auto"/>
          </w:tcPr>
          <w:p w:rsidR="00005DA7" w:rsidRPr="006B2972" w:rsidRDefault="00005DA7" w:rsidP="006B2972">
            <w:pPr>
              <w:pStyle w:val="SingleTxtG"/>
              <w:spacing w:before="80" w:after="80" w:line="220" w:lineRule="exact"/>
              <w:ind w:left="0" w:right="113"/>
              <w:jc w:val="right"/>
              <w:rPr>
                <w:b/>
                <w:sz w:val="18"/>
              </w:rPr>
            </w:pPr>
            <w:r w:rsidRPr="006B2972">
              <w:rPr>
                <w:b/>
                <w:sz w:val="18"/>
              </w:rPr>
              <w:t>82</w:t>
            </w:r>
          </w:p>
        </w:tc>
        <w:tc>
          <w:tcPr>
            <w:tcW w:w="1047" w:type="dxa"/>
            <w:tcBorders>
              <w:top w:val="single" w:sz="4" w:space="0" w:color="auto"/>
              <w:bottom w:val="single" w:sz="12" w:space="0" w:color="auto"/>
            </w:tcBorders>
            <w:shd w:val="clear" w:color="auto" w:fill="auto"/>
          </w:tcPr>
          <w:p w:rsidR="00005DA7" w:rsidRPr="006B2972" w:rsidRDefault="00005DA7" w:rsidP="006B2972">
            <w:pPr>
              <w:pStyle w:val="SingleTxtG"/>
              <w:spacing w:before="80" w:after="80" w:line="220" w:lineRule="exact"/>
              <w:ind w:left="0" w:right="113"/>
              <w:jc w:val="right"/>
              <w:rPr>
                <w:b/>
                <w:sz w:val="18"/>
              </w:rPr>
            </w:pPr>
            <w:r w:rsidRPr="006B2972">
              <w:rPr>
                <w:b/>
                <w:sz w:val="18"/>
              </w:rPr>
              <w:t>65</w:t>
            </w:r>
          </w:p>
        </w:tc>
        <w:tc>
          <w:tcPr>
            <w:tcW w:w="967" w:type="dxa"/>
            <w:tcBorders>
              <w:top w:val="single" w:sz="4" w:space="0" w:color="auto"/>
              <w:bottom w:val="single" w:sz="12" w:space="0" w:color="auto"/>
            </w:tcBorders>
            <w:shd w:val="clear" w:color="auto" w:fill="auto"/>
          </w:tcPr>
          <w:p w:rsidR="00005DA7" w:rsidRPr="006B2972" w:rsidRDefault="00005DA7" w:rsidP="006B2972">
            <w:pPr>
              <w:pStyle w:val="SingleTxtG"/>
              <w:spacing w:before="80" w:after="80" w:line="220" w:lineRule="exact"/>
              <w:ind w:left="0" w:right="113"/>
              <w:jc w:val="right"/>
              <w:rPr>
                <w:b/>
                <w:sz w:val="18"/>
              </w:rPr>
            </w:pPr>
            <w:r w:rsidRPr="006B2972">
              <w:rPr>
                <w:b/>
                <w:sz w:val="18"/>
              </w:rPr>
              <w:t>147</w:t>
            </w:r>
          </w:p>
        </w:tc>
      </w:tr>
    </w:tbl>
    <w:p w:rsidR="00005DA7" w:rsidRPr="0038738C" w:rsidRDefault="00005DA7" w:rsidP="006B2972">
      <w:pPr>
        <w:pStyle w:val="H23G"/>
      </w:pPr>
      <w:r w:rsidRPr="0038738C">
        <w:tab/>
      </w:r>
      <w:r w:rsidRPr="0038738C">
        <w:tab/>
        <w:t>Promotion of human rights awareness through educational programmes and Government</w:t>
      </w:r>
      <w:r w:rsidRPr="0038738C">
        <w:noBreakHyphen/>
        <w:t>sponsored public information</w:t>
      </w:r>
    </w:p>
    <w:p w:rsidR="00005DA7" w:rsidRPr="0038738C" w:rsidRDefault="00005DA7" w:rsidP="00005DA7">
      <w:pPr>
        <w:pStyle w:val="SingleTxtG"/>
      </w:pPr>
      <w:r w:rsidRPr="0038738C">
        <w:t>27.</w:t>
      </w:r>
      <w:r w:rsidRPr="0038738C">
        <w:tab/>
        <w:t>The Ministry of Education through education Strategic Plan, 2017 - 2027 and National Curriculum introduced human rights programmes in the education institutions in the country. UNMISS supports the successful implementation of this plan by organising training workshops for school teachers on Basic Human Rights Education, Bill of Rights and Gender and Civic Duties.</w:t>
      </w:r>
    </w:p>
    <w:p w:rsidR="00005DA7" w:rsidRPr="0038738C" w:rsidRDefault="00005DA7" w:rsidP="006B2972">
      <w:pPr>
        <w:pStyle w:val="H23G"/>
      </w:pPr>
      <w:r w:rsidRPr="0038738C">
        <w:tab/>
      </w:r>
      <w:r w:rsidRPr="0038738C">
        <w:tab/>
        <w:t xml:space="preserve">Promotion of human rights awareness through the mass media </w:t>
      </w:r>
    </w:p>
    <w:p w:rsidR="00005DA7" w:rsidRPr="0038738C" w:rsidRDefault="00005DA7" w:rsidP="00005DA7">
      <w:pPr>
        <w:pStyle w:val="SingleTxtG"/>
      </w:pPr>
      <w:r w:rsidRPr="0038738C">
        <w:t>28.</w:t>
      </w:r>
      <w:r w:rsidRPr="0038738C">
        <w:tab/>
        <w:t xml:space="preserve">Continuous awareness raising on human rights concerns are being conducted through both the electronic and print media including the Government media; South Sudan Broadcasting Cooperation (Radio &amp; TV), UN Radio Miraya FM, Private radios namely; Eye Radio, Bakhita Radio and Radio One among others. The print media includes the Juba Monitor, Dawn and other newspapers all which play a critical role in the promotion of human rights awareness in the country. </w:t>
      </w:r>
    </w:p>
    <w:p w:rsidR="00005DA7" w:rsidRPr="0038738C" w:rsidRDefault="00005DA7" w:rsidP="006B2972">
      <w:pPr>
        <w:pStyle w:val="H23G"/>
      </w:pPr>
      <w:r w:rsidRPr="0038738C">
        <w:tab/>
      </w:r>
      <w:r w:rsidRPr="0038738C">
        <w:tab/>
        <w:t>Role of civil society, including non</w:t>
      </w:r>
      <w:r w:rsidRPr="0038738C">
        <w:noBreakHyphen/>
        <w:t>governmental organizations</w:t>
      </w:r>
    </w:p>
    <w:p w:rsidR="00005DA7" w:rsidRPr="0038738C" w:rsidRDefault="00005DA7" w:rsidP="00005DA7">
      <w:pPr>
        <w:pStyle w:val="SingleTxtG"/>
      </w:pPr>
      <w:r w:rsidRPr="0038738C">
        <w:t>29.</w:t>
      </w:r>
      <w:r w:rsidRPr="0038738C">
        <w:tab/>
        <w:t>Civil Society organisations (CSOs) are active in the promotion of human rights in the country. The Government represented by its Inter-Ministerial Committee in collaborations with CSOs supported by international partners, including UNMISS Human Rights Division, UNDP, UNICEF, UNFPA, UN WOMEN and LWF among others have been working together to promote the protection of the human rights in the country.</w:t>
      </w:r>
    </w:p>
    <w:p w:rsidR="00005DA7" w:rsidRPr="0038738C" w:rsidRDefault="00005DA7" w:rsidP="006B2972">
      <w:pPr>
        <w:pStyle w:val="H23G"/>
      </w:pPr>
      <w:r w:rsidRPr="0038738C">
        <w:tab/>
      </w:r>
      <w:r w:rsidRPr="0038738C">
        <w:tab/>
        <w:t>Development cooperation and assistance</w:t>
      </w:r>
    </w:p>
    <w:p w:rsidR="00005DA7" w:rsidRPr="0038738C" w:rsidRDefault="00005DA7" w:rsidP="00005DA7">
      <w:pPr>
        <w:pStyle w:val="SingleTxtG"/>
      </w:pPr>
      <w:r w:rsidRPr="0038738C">
        <w:t>30.</w:t>
      </w:r>
      <w:r w:rsidRPr="0038738C">
        <w:tab/>
        <w:t xml:space="preserve">The Country receives support from the international partners in relation to the promotion and protection of fundamental human rights. Most of the UN Agencies working in Country have provided various trainings country-wide on gender strategies and action plans to guide response activities. </w:t>
      </w:r>
    </w:p>
    <w:p w:rsidR="00005DA7" w:rsidRPr="0038738C" w:rsidRDefault="00005DA7" w:rsidP="006B2972">
      <w:pPr>
        <w:pStyle w:val="H1G"/>
      </w:pPr>
      <w:r w:rsidRPr="0038738C">
        <w:lastRenderedPageBreak/>
        <w:tab/>
        <w:t>G.</w:t>
      </w:r>
      <w:r w:rsidRPr="0038738C">
        <w:tab/>
        <w:t>Challenges of a general nature affecting or Impeding the implementation of international human rights Instruments</w:t>
      </w:r>
    </w:p>
    <w:p w:rsidR="00005DA7" w:rsidRPr="0038738C" w:rsidRDefault="00005DA7" w:rsidP="006B2972">
      <w:pPr>
        <w:pStyle w:val="H23G"/>
      </w:pPr>
      <w:r w:rsidRPr="0038738C">
        <w:tab/>
      </w:r>
      <w:r w:rsidRPr="0038738C">
        <w:tab/>
        <w:t xml:space="preserve">Insecurity </w:t>
      </w:r>
    </w:p>
    <w:p w:rsidR="00005DA7" w:rsidRPr="0038738C" w:rsidRDefault="00005DA7" w:rsidP="00005DA7">
      <w:pPr>
        <w:pStyle w:val="SingleTxtG"/>
      </w:pPr>
      <w:r w:rsidRPr="0038738C">
        <w:t>31.</w:t>
      </w:r>
      <w:r w:rsidRPr="0038738C">
        <w:tab/>
        <w:t>Insecurity is one of the major challenges hindering promotion and protection of human rights in the country. The prolonged period of conflict has hampered effective implementation of many aspirations of the country and the implementation of human rights instruments acceded to by South Sudan as enshrined in several legal framework and policy documents.</w:t>
      </w:r>
    </w:p>
    <w:p w:rsidR="00005DA7" w:rsidRPr="0038738C" w:rsidRDefault="00005DA7" w:rsidP="006B2972">
      <w:pPr>
        <w:pStyle w:val="H1G"/>
      </w:pPr>
      <w:r w:rsidRPr="0038738C">
        <w:tab/>
        <w:t>H.</w:t>
      </w:r>
      <w:r w:rsidRPr="0038738C">
        <w:tab/>
        <w:t>Reporting process</w:t>
      </w:r>
      <w:bookmarkStart w:id="2" w:name="_Toc337026526"/>
      <w:r w:rsidRPr="0038738C">
        <w:t>es</w:t>
      </w:r>
    </w:p>
    <w:p w:rsidR="00005DA7" w:rsidRPr="0038738C" w:rsidRDefault="00005DA7" w:rsidP="00005DA7">
      <w:pPr>
        <w:pStyle w:val="SingleTxtG"/>
      </w:pPr>
      <w:r w:rsidRPr="0038738C">
        <w:t>32.</w:t>
      </w:r>
      <w:r w:rsidRPr="0038738C">
        <w:tab/>
        <w:t xml:space="preserve">The government departments responsible for </w:t>
      </w:r>
      <w:bookmarkEnd w:id="2"/>
      <w:r w:rsidRPr="0038738C">
        <w:t>reporting are designated based on the focus areas of the report. However, a government ministries/departments Joint Inter-Ministerial Committee on International Mechanisms was established to coordinate with the respective lead ministries to draft the relevant country reports. This Common Core Document was drafted by the Joint Inter-Ministerial Committee with contributions from the relevant government ministries, departments and partners.</w:t>
      </w:r>
    </w:p>
    <w:p w:rsidR="00005DA7" w:rsidRPr="0038738C" w:rsidRDefault="00005DA7" w:rsidP="00005DA7">
      <w:pPr>
        <w:pStyle w:val="SingleTxtG"/>
      </w:pPr>
      <w:r w:rsidRPr="0038738C">
        <w:t>33.</w:t>
      </w:r>
      <w:r w:rsidRPr="0038738C">
        <w:tab/>
        <w:t>Amidst of the various challenges, the Government with support from different international and national partners was able to meet its treaty obligations by submitting national reports on the status of its implementation of the different international instruments including the following:</w:t>
      </w:r>
    </w:p>
    <w:p w:rsidR="00005DA7" w:rsidRPr="0038738C" w:rsidRDefault="006B2972" w:rsidP="00005DA7">
      <w:pPr>
        <w:pStyle w:val="SingleTxtG"/>
      </w:pPr>
      <w:r>
        <w:tab/>
      </w:r>
      <w:r w:rsidR="00005DA7" w:rsidRPr="0038738C">
        <w:t>(a)</w:t>
      </w:r>
      <w:r w:rsidR="00005DA7" w:rsidRPr="0038738C">
        <w:tab/>
        <w:t xml:space="preserve">The Universal Periodic Review; </w:t>
      </w:r>
    </w:p>
    <w:p w:rsidR="00005DA7" w:rsidRPr="0038738C" w:rsidRDefault="006B2972" w:rsidP="00005DA7">
      <w:pPr>
        <w:pStyle w:val="SingleTxtG"/>
      </w:pPr>
      <w:r>
        <w:tab/>
      </w:r>
      <w:r w:rsidR="00005DA7" w:rsidRPr="0038738C">
        <w:t>(b)</w:t>
      </w:r>
      <w:r w:rsidR="00005DA7" w:rsidRPr="0038738C">
        <w:tab/>
        <w:t>The Initial National Report on Implementation of the Convention of the Rights of the Child (UNCRC);</w:t>
      </w:r>
    </w:p>
    <w:p w:rsidR="00005DA7" w:rsidRPr="0038738C" w:rsidRDefault="006B2972" w:rsidP="00005DA7">
      <w:pPr>
        <w:pStyle w:val="SingleTxtG"/>
      </w:pPr>
      <w:r>
        <w:tab/>
      </w:r>
      <w:r w:rsidR="00005DA7" w:rsidRPr="0038738C">
        <w:t>(c)</w:t>
      </w:r>
      <w:r w:rsidR="00005DA7" w:rsidRPr="0038738C">
        <w:tab/>
        <w:t>The Initial Report on Implementation of the Convention on Elimination of All Forms of Discrimination against Women (CEDAW);</w:t>
      </w:r>
    </w:p>
    <w:p w:rsidR="00005DA7" w:rsidRDefault="006B2972" w:rsidP="00005DA7">
      <w:pPr>
        <w:pStyle w:val="SingleTxtG"/>
      </w:pPr>
      <w:r>
        <w:tab/>
      </w:r>
      <w:r w:rsidR="00005DA7" w:rsidRPr="0038738C">
        <w:t>(d)</w:t>
      </w:r>
      <w:r w:rsidR="00005DA7" w:rsidRPr="0038738C">
        <w:tab/>
        <w:t>Beijing Platform for Action.</w:t>
      </w:r>
    </w:p>
    <w:p w:rsidR="006B2972" w:rsidRPr="0038738C" w:rsidRDefault="006B2972" w:rsidP="006B2972">
      <w:pPr>
        <w:pStyle w:val="SingleTxtG"/>
        <w:spacing w:before="240" w:after="0"/>
        <w:jc w:val="center"/>
      </w:pPr>
      <w:r>
        <w:rPr>
          <w:u w:val="single"/>
        </w:rPr>
        <w:tab/>
      </w:r>
      <w:r>
        <w:rPr>
          <w:u w:val="single"/>
        </w:rPr>
        <w:tab/>
      </w:r>
      <w:r>
        <w:rPr>
          <w:u w:val="single"/>
        </w:rPr>
        <w:tab/>
      </w:r>
    </w:p>
    <w:sectPr w:rsidR="006B2972" w:rsidRPr="0038738C" w:rsidSect="006C5DD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AB1" w:rsidRDefault="005E4AB1"/>
  </w:endnote>
  <w:endnote w:type="continuationSeparator" w:id="0">
    <w:p w:rsidR="005E4AB1" w:rsidRDefault="005E4AB1"/>
  </w:endnote>
  <w:endnote w:type="continuationNotice" w:id="1">
    <w:p w:rsidR="005E4AB1" w:rsidRDefault="005E4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A7" w:rsidRDefault="00005DA7" w:rsidP="00005DA7">
    <w:pPr>
      <w:pStyle w:val="Footer"/>
      <w:tabs>
        <w:tab w:val="right" w:pos="9638"/>
      </w:tabs>
    </w:pPr>
    <w:r w:rsidRPr="00005DA7">
      <w:rPr>
        <w:b/>
        <w:bCs/>
        <w:sz w:val="18"/>
      </w:rPr>
      <w:fldChar w:fldCharType="begin"/>
    </w:r>
    <w:r w:rsidRPr="00005DA7">
      <w:rPr>
        <w:b/>
        <w:bCs/>
        <w:sz w:val="18"/>
      </w:rPr>
      <w:instrText xml:space="preserve"> PAGE  \* MERGEFORMAT </w:instrText>
    </w:r>
    <w:r w:rsidRPr="00005DA7">
      <w:rPr>
        <w:b/>
        <w:bCs/>
        <w:sz w:val="18"/>
      </w:rPr>
      <w:fldChar w:fldCharType="separate"/>
    </w:r>
    <w:r w:rsidR="00C0587D">
      <w:rPr>
        <w:b/>
        <w:bCs/>
        <w:noProof/>
        <w:sz w:val="18"/>
      </w:rPr>
      <w:t>8</w:t>
    </w:r>
    <w:r w:rsidRPr="00005DA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A7" w:rsidRDefault="00005DA7" w:rsidP="00005DA7">
    <w:pPr>
      <w:pStyle w:val="Footer"/>
      <w:tabs>
        <w:tab w:val="right" w:pos="9638"/>
      </w:tabs>
    </w:pPr>
    <w:r>
      <w:tab/>
    </w:r>
    <w:r w:rsidRPr="00005DA7">
      <w:rPr>
        <w:b/>
        <w:bCs/>
        <w:sz w:val="18"/>
      </w:rPr>
      <w:fldChar w:fldCharType="begin"/>
    </w:r>
    <w:r w:rsidRPr="00005DA7">
      <w:rPr>
        <w:b/>
        <w:bCs/>
        <w:sz w:val="18"/>
      </w:rPr>
      <w:instrText xml:space="preserve"> PAGE  \* MERGEFORMAT </w:instrText>
    </w:r>
    <w:r w:rsidRPr="00005DA7">
      <w:rPr>
        <w:b/>
        <w:bCs/>
        <w:sz w:val="18"/>
      </w:rPr>
      <w:fldChar w:fldCharType="separate"/>
    </w:r>
    <w:r w:rsidR="00C0587D">
      <w:rPr>
        <w:b/>
        <w:bCs/>
        <w:noProof/>
        <w:sz w:val="18"/>
      </w:rPr>
      <w:t>7</w:t>
    </w:r>
    <w:r w:rsidRPr="00005DA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7D" w:rsidRDefault="00C0587D" w:rsidP="00C0587D">
    <w:pPr>
      <w:pStyle w:val="Footer"/>
    </w:pPr>
    <w:r>
      <w:rPr>
        <w:rFonts w:ascii="C39T30Lfz" w:hAnsi="C39T30Lfz"/>
        <w:noProof/>
        <w:sz w:val="56"/>
        <w:lang w:val="en-US"/>
      </w:rPr>
      <w:drawing>
        <wp:anchor distT="0" distB="0" distL="114300" distR="114300" simplePos="0" relativeHeight="251660288" behindDoc="0" locked="0" layoutInCell="1" allowOverlap="1">
          <wp:simplePos x="0" y="0"/>
          <wp:positionH relativeFrom="column">
            <wp:posOffset>5522762</wp:posOffset>
          </wp:positionH>
          <wp:positionV relativeFrom="paragraph">
            <wp:posOffset>39069</wp:posOffset>
          </wp:positionV>
          <wp:extent cx="561975" cy="561975"/>
          <wp:effectExtent l="0" t="0" r="9525" b="9525"/>
          <wp:wrapNone/>
          <wp:docPr id="3" name="Picture 1" descr="https://undocs.org/m2/QRCode.ashx?DS=HRI/CORE/SSD/20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SSD/202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1" layoutInCell="1" allowOverlap="1">
          <wp:simplePos x="0" y="0"/>
          <wp:positionH relativeFrom="margin">
            <wp:posOffset>4311015</wp:posOffset>
          </wp:positionH>
          <wp:positionV relativeFrom="margin">
            <wp:posOffset>9179560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C0587D" w:rsidRDefault="00C0587D" w:rsidP="00C0587D">
    <w:pPr>
      <w:pStyle w:val="Footer"/>
      <w:ind w:right="1134"/>
      <w:rPr>
        <w:sz w:val="20"/>
      </w:rPr>
    </w:pPr>
    <w:r>
      <w:rPr>
        <w:sz w:val="20"/>
      </w:rPr>
      <w:t>GE.20-03139(E)</w:t>
    </w:r>
  </w:p>
  <w:p w:rsidR="00C0587D" w:rsidRPr="00C0587D" w:rsidRDefault="00C0587D" w:rsidP="00C0587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AB1" w:rsidRPr="000B175B" w:rsidRDefault="005E4AB1" w:rsidP="000B175B">
      <w:pPr>
        <w:tabs>
          <w:tab w:val="right" w:pos="2155"/>
        </w:tabs>
        <w:spacing w:after="80"/>
        <w:ind w:left="680"/>
        <w:rPr>
          <w:u w:val="single"/>
        </w:rPr>
      </w:pPr>
      <w:r>
        <w:rPr>
          <w:u w:val="single"/>
        </w:rPr>
        <w:tab/>
      </w:r>
    </w:p>
  </w:footnote>
  <w:footnote w:type="continuationSeparator" w:id="0">
    <w:p w:rsidR="005E4AB1" w:rsidRPr="00FC68B7" w:rsidRDefault="005E4AB1" w:rsidP="00FC68B7">
      <w:pPr>
        <w:tabs>
          <w:tab w:val="left" w:pos="2155"/>
        </w:tabs>
        <w:spacing w:after="80"/>
        <w:ind w:left="680"/>
        <w:rPr>
          <w:u w:val="single"/>
        </w:rPr>
      </w:pPr>
      <w:r>
        <w:rPr>
          <w:u w:val="single"/>
        </w:rPr>
        <w:tab/>
      </w:r>
    </w:p>
  </w:footnote>
  <w:footnote w:type="continuationNotice" w:id="1">
    <w:p w:rsidR="005E4AB1" w:rsidRDefault="005E4AB1"/>
  </w:footnote>
  <w:footnote w:id="2">
    <w:p w:rsidR="00005DA7" w:rsidRPr="004B5FFE" w:rsidRDefault="00005DA7" w:rsidP="00727362">
      <w:pPr>
        <w:pStyle w:val="FootnoteText"/>
      </w:pPr>
      <w:r>
        <w:tab/>
      </w:r>
      <w:r w:rsidRPr="00CE6955">
        <w:rPr>
          <w:sz w:val="20"/>
        </w:rPr>
        <w:t>*</w:t>
      </w:r>
      <w:r w:rsidRPr="00CE6955">
        <w:rPr>
          <w:sz w:val="20"/>
        </w:rPr>
        <w:tab/>
      </w:r>
      <w:r w:rsidRPr="004B5FFE">
        <w:t>The present document is being issued without formal editing</w:t>
      </w:r>
      <w:r w:rsidRPr="004B5FFE">
        <w:rPr>
          <w:rFonts w:ascii="Arial" w:hAnsi="Arial" w:cs="Arial"/>
        </w:rPr>
        <w:t>.</w:t>
      </w:r>
    </w:p>
  </w:footnote>
  <w:footnote w:id="3">
    <w:p w:rsidR="00005DA7" w:rsidRPr="00CE6955" w:rsidRDefault="00005DA7" w:rsidP="00727362">
      <w:pPr>
        <w:pStyle w:val="FootnoteText"/>
      </w:pPr>
      <w:r w:rsidRPr="00CE6955">
        <w:tab/>
      </w:r>
      <w:r w:rsidRPr="0028015C">
        <w:rPr>
          <w:rStyle w:val="FootnoteReference"/>
        </w:rPr>
        <w:footnoteRef/>
      </w:r>
      <w:r w:rsidRPr="00CE6955">
        <w:tab/>
      </w:r>
      <w:hyperlink r:id="rId1" w:history="1">
        <w:r w:rsidRPr="00CE6955">
          <w:t>https://www.google.com/search?q=map+of+south+sudan+and+surrounding+countries</w:t>
        </w:r>
      </w:hyperlink>
      <w:r w:rsidRPr="00CE6955">
        <w:br/>
        <w:t>&amp;tbm=isch&amp;source=iu&amp;ictx=1&amp;fir=3qy3ymD-</w:t>
      </w:r>
      <w:r>
        <w:t>.</w:t>
      </w:r>
    </w:p>
  </w:footnote>
  <w:footnote w:id="4">
    <w:p w:rsidR="00005DA7" w:rsidRPr="00CE6955" w:rsidRDefault="00005DA7" w:rsidP="00727362">
      <w:pPr>
        <w:pStyle w:val="FootnoteText"/>
      </w:pPr>
      <w:r w:rsidRPr="00CE6955">
        <w:tab/>
      </w:r>
      <w:r w:rsidRPr="0028015C">
        <w:rPr>
          <w:rStyle w:val="FootnoteReference"/>
        </w:rPr>
        <w:footnoteRef/>
      </w:r>
      <w:r w:rsidRPr="00CE6955">
        <w:tab/>
        <w:t xml:space="preserve">South Sudan Demographics Profile 2018, </w:t>
      </w:r>
      <w:hyperlink r:id="rId2" w:history="1">
        <w:r w:rsidRPr="00CE6955">
          <w:t>https://www.indexmundi.com/south_sudan/</w:t>
        </w:r>
        <w:r w:rsidR="005A030E">
          <w:t xml:space="preserve"> </w:t>
        </w:r>
        <w:r w:rsidRPr="00CE6955">
          <w:t>demographics_profile.html</w:t>
        </w:r>
      </w:hyperlink>
      <w:r w:rsidRPr="00CE6955">
        <w:t>.</w:t>
      </w:r>
    </w:p>
  </w:footnote>
  <w:footnote w:id="5">
    <w:p w:rsidR="00005DA7" w:rsidRPr="00CE6955" w:rsidRDefault="00005DA7" w:rsidP="00727362">
      <w:pPr>
        <w:pStyle w:val="FootnoteText"/>
      </w:pPr>
      <w:r w:rsidRPr="00CE6955">
        <w:tab/>
      </w:r>
      <w:r w:rsidRPr="0028015C">
        <w:rPr>
          <w:rStyle w:val="FootnoteReference"/>
        </w:rPr>
        <w:footnoteRef/>
      </w:r>
      <w:r w:rsidRPr="00CE6955">
        <w:tab/>
        <w:t>Ibid</w:t>
      </w:r>
      <w:r>
        <w:t>.</w:t>
      </w:r>
    </w:p>
  </w:footnote>
  <w:footnote w:id="6">
    <w:p w:rsidR="00005DA7" w:rsidRPr="00CE6955" w:rsidRDefault="00005DA7" w:rsidP="00727362">
      <w:pPr>
        <w:pStyle w:val="FootnoteText"/>
      </w:pPr>
      <w:r w:rsidRPr="00CE6955">
        <w:tab/>
      </w:r>
      <w:r w:rsidRPr="0028015C">
        <w:rPr>
          <w:rStyle w:val="FootnoteReference"/>
        </w:rPr>
        <w:footnoteRef/>
      </w:r>
      <w:r w:rsidRPr="00CE6955">
        <w:tab/>
        <w:t>Ibid</w:t>
      </w:r>
      <w:r>
        <w:t>.</w:t>
      </w:r>
    </w:p>
  </w:footnote>
  <w:footnote w:id="7">
    <w:p w:rsidR="00005DA7" w:rsidRPr="00CE6955" w:rsidRDefault="00005DA7" w:rsidP="00727362">
      <w:pPr>
        <w:pStyle w:val="FootnoteText"/>
      </w:pPr>
      <w:r w:rsidRPr="00CE6955">
        <w:tab/>
      </w:r>
      <w:r w:rsidRPr="0028015C">
        <w:rPr>
          <w:rStyle w:val="FootnoteReference"/>
        </w:rPr>
        <w:footnoteRef/>
      </w:r>
      <w:r w:rsidR="00AC57F9">
        <w:tab/>
      </w:r>
      <w:r w:rsidRPr="00CE6955">
        <w:t>South Sudan 2010 Household Health Survey, 2010</w:t>
      </w:r>
      <w:r>
        <w:t>.</w:t>
      </w:r>
    </w:p>
  </w:footnote>
  <w:footnote w:id="8">
    <w:p w:rsidR="00005DA7" w:rsidRPr="00CE6955" w:rsidRDefault="00005DA7" w:rsidP="00727362">
      <w:pPr>
        <w:pStyle w:val="FootnoteText"/>
      </w:pPr>
      <w:r w:rsidRPr="00CE6955">
        <w:tab/>
      </w:r>
      <w:r w:rsidRPr="0028015C">
        <w:rPr>
          <w:rStyle w:val="FootnoteReference"/>
        </w:rPr>
        <w:footnoteRef/>
      </w:r>
      <w:r w:rsidR="00AC57F9">
        <w:tab/>
      </w:r>
      <w:r w:rsidRPr="00CE6955">
        <w:t>Article 5 of the South Sudan Transitional Constitution, 2011</w:t>
      </w:r>
      <w:r>
        <w:t>.</w:t>
      </w:r>
    </w:p>
  </w:footnote>
  <w:footnote w:id="9">
    <w:p w:rsidR="00005DA7" w:rsidRPr="00CE6955" w:rsidRDefault="00005DA7" w:rsidP="00727362">
      <w:pPr>
        <w:pStyle w:val="FootnoteText"/>
      </w:pPr>
      <w:r w:rsidRPr="00CE6955">
        <w:tab/>
      </w:r>
      <w:r w:rsidRPr="0028015C">
        <w:rPr>
          <w:rStyle w:val="FootnoteReference"/>
        </w:rPr>
        <w:footnoteRef/>
      </w:r>
      <w:r w:rsidR="00AC57F9">
        <w:tab/>
      </w:r>
      <w:r w:rsidRPr="00CE6955">
        <w:t xml:space="preserve">Sudan Tribune, Plural News and Views on Sudan, National Elections Commission (NEC) – South Sudan, </w:t>
      </w:r>
      <w:hyperlink r:id="rId3" w:history="1">
        <w:r w:rsidRPr="00CE6955">
          <w:t>http://www.sudantribune.com/spip.php?mot1053</w:t>
        </w:r>
      </w:hyperlink>
      <w:r w:rsidRPr="00CE6955">
        <w:t>.</w:t>
      </w:r>
    </w:p>
  </w:footnote>
  <w:footnote w:id="10">
    <w:p w:rsidR="00005DA7" w:rsidRPr="00CE6955" w:rsidRDefault="00005DA7" w:rsidP="00727362">
      <w:pPr>
        <w:pStyle w:val="FootnoteText"/>
      </w:pPr>
      <w:r w:rsidRPr="00CE6955">
        <w:tab/>
      </w:r>
      <w:r w:rsidRPr="0028015C">
        <w:rPr>
          <w:rStyle w:val="FootnoteReference"/>
        </w:rPr>
        <w:footnoteRef/>
      </w:r>
      <w:r w:rsidR="00AC57F9">
        <w:tab/>
      </w:r>
      <w:r w:rsidRPr="00CE6955">
        <w:t>Art</w:t>
      </w:r>
      <w:r w:rsidR="005A030E">
        <w:t>.</w:t>
      </w:r>
      <w:r w:rsidRPr="00CE6955">
        <w:t xml:space="preserve"> 145; Transitional Constitution of the Republic of South Sudan 2011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A7" w:rsidRDefault="00005DA7" w:rsidP="00005DA7">
    <w:pPr>
      <w:pStyle w:val="Header"/>
    </w:pPr>
    <w:r>
      <w:t>HRI/CORE/SSD/2020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A7" w:rsidRDefault="00005DA7" w:rsidP="00005DA7">
    <w:pPr>
      <w:pStyle w:val="Header"/>
      <w:jc w:val="right"/>
    </w:pPr>
    <w:r>
      <w:t>HRI/CORE/SSD/2020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2"/>
  </w:num>
  <w:num w:numId="14">
    <w:abstractNumId w:val="10"/>
  </w:num>
  <w:num w:numId="15">
    <w:abstractNumId w:val="14"/>
  </w:num>
  <w:num w:numId="16">
    <w:abstractNumId w:val="15"/>
  </w:num>
  <w:num w:numId="17">
    <w:abstractNumId w:val="13"/>
  </w:num>
  <w:num w:numId="18">
    <w:abstractNumId w:val="12"/>
  </w:num>
  <w:num w:numId="19">
    <w:abstractNumId w:val="10"/>
  </w:num>
  <w:num w:numId="20">
    <w:abstractNumId w:val="14"/>
  </w:num>
  <w:num w:numId="21">
    <w:abstractNumId w:val="15"/>
  </w:num>
  <w:num w:numId="22">
    <w:abstractNumId w:val="13"/>
  </w:num>
  <w:num w:numId="23">
    <w:abstractNumId w:val="12"/>
  </w:num>
  <w:num w:numId="24">
    <w:abstractNumId w:val="10"/>
  </w:num>
  <w:num w:numId="25">
    <w:abstractNumId w:val="14"/>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1"/>
    <w:rsid w:val="00005DA7"/>
    <w:rsid w:val="00016EDB"/>
    <w:rsid w:val="00050F6B"/>
    <w:rsid w:val="00057E97"/>
    <w:rsid w:val="00060C3A"/>
    <w:rsid w:val="00064E77"/>
    <w:rsid w:val="000714D8"/>
    <w:rsid w:val="000726BE"/>
    <w:rsid w:val="00072C8C"/>
    <w:rsid w:val="000733B5"/>
    <w:rsid w:val="00081815"/>
    <w:rsid w:val="0008312D"/>
    <w:rsid w:val="000931C0"/>
    <w:rsid w:val="000B13D5"/>
    <w:rsid w:val="000B175B"/>
    <w:rsid w:val="000B3A0F"/>
    <w:rsid w:val="000B4EF7"/>
    <w:rsid w:val="000C2C03"/>
    <w:rsid w:val="000C2D2E"/>
    <w:rsid w:val="000E0415"/>
    <w:rsid w:val="000F1023"/>
    <w:rsid w:val="001103AA"/>
    <w:rsid w:val="001657D0"/>
    <w:rsid w:val="00165F3A"/>
    <w:rsid w:val="00183968"/>
    <w:rsid w:val="001944EF"/>
    <w:rsid w:val="001A11B7"/>
    <w:rsid w:val="001A6686"/>
    <w:rsid w:val="001B4B04"/>
    <w:rsid w:val="001B4E45"/>
    <w:rsid w:val="001C6663"/>
    <w:rsid w:val="001C7895"/>
    <w:rsid w:val="001D0C8C"/>
    <w:rsid w:val="001D12AE"/>
    <w:rsid w:val="001D26DF"/>
    <w:rsid w:val="001D3042"/>
    <w:rsid w:val="001D3A03"/>
    <w:rsid w:val="001D4AFB"/>
    <w:rsid w:val="001F20C3"/>
    <w:rsid w:val="00202DA8"/>
    <w:rsid w:val="00211E0B"/>
    <w:rsid w:val="00225AD6"/>
    <w:rsid w:val="0023210C"/>
    <w:rsid w:val="00267F5F"/>
    <w:rsid w:val="0028015C"/>
    <w:rsid w:val="00283896"/>
    <w:rsid w:val="00286B4D"/>
    <w:rsid w:val="002937F7"/>
    <w:rsid w:val="002B274B"/>
    <w:rsid w:val="002F175C"/>
    <w:rsid w:val="00314242"/>
    <w:rsid w:val="003229D8"/>
    <w:rsid w:val="00352709"/>
    <w:rsid w:val="00367567"/>
    <w:rsid w:val="00371178"/>
    <w:rsid w:val="003A6810"/>
    <w:rsid w:val="003C2CC4"/>
    <w:rsid w:val="003D3599"/>
    <w:rsid w:val="003D4B23"/>
    <w:rsid w:val="003F5C11"/>
    <w:rsid w:val="00410C89"/>
    <w:rsid w:val="00426B9B"/>
    <w:rsid w:val="004325CB"/>
    <w:rsid w:val="00436B33"/>
    <w:rsid w:val="00442A83"/>
    <w:rsid w:val="0045495B"/>
    <w:rsid w:val="00487488"/>
    <w:rsid w:val="004B17A8"/>
    <w:rsid w:val="004B7AA4"/>
    <w:rsid w:val="0052136D"/>
    <w:rsid w:val="0052775E"/>
    <w:rsid w:val="005420F2"/>
    <w:rsid w:val="005628B6"/>
    <w:rsid w:val="00584036"/>
    <w:rsid w:val="005848B3"/>
    <w:rsid w:val="00584DAE"/>
    <w:rsid w:val="00597051"/>
    <w:rsid w:val="005A030E"/>
    <w:rsid w:val="005B3DB3"/>
    <w:rsid w:val="005E4AB1"/>
    <w:rsid w:val="005F7717"/>
    <w:rsid w:val="005F7B75"/>
    <w:rsid w:val="006001EE"/>
    <w:rsid w:val="00605042"/>
    <w:rsid w:val="006053D8"/>
    <w:rsid w:val="00611FC4"/>
    <w:rsid w:val="006176FB"/>
    <w:rsid w:val="00640B26"/>
    <w:rsid w:val="00652D0A"/>
    <w:rsid w:val="00662BB6"/>
    <w:rsid w:val="00684C21"/>
    <w:rsid w:val="0069577F"/>
    <w:rsid w:val="006A57AD"/>
    <w:rsid w:val="006B2972"/>
    <w:rsid w:val="006C5DD3"/>
    <w:rsid w:val="006D37AF"/>
    <w:rsid w:val="006D51D0"/>
    <w:rsid w:val="006E564B"/>
    <w:rsid w:val="006E7191"/>
    <w:rsid w:val="00700E34"/>
    <w:rsid w:val="00703577"/>
    <w:rsid w:val="0072632A"/>
    <w:rsid w:val="00727362"/>
    <w:rsid w:val="007327D5"/>
    <w:rsid w:val="00733979"/>
    <w:rsid w:val="00747644"/>
    <w:rsid w:val="00754AE5"/>
    <w:rsid w:val="007629C8"/>
    <w:rsid w:val="00782B1B"/>
    <w:rsid w:val="007A51B0"/>
    <w:rsid w:val="007B6BA5"/>
    <w:rsid w:val="007C3390"/>
    <w:rsid w:val="007C4F4B"/>
    <w:rsid w:val="007C784F"/>
    <w:rsid w:val="007E01B9"/>
    <w:rsid w:val="007E0B2D"/>
    <w:rsid w:val="007F6611"/>
    <w:rsid w:val="008242D7"/>
    <w:rsid w:val="008257B1"/>
    <w:rsid w:val="00843767"/>
    <w:rsid w:val="008679D9"/>
    <w:rsid w:val="0087353A"/>
    <w:rsid w:val="008979B1"/>
    <w:rsid w:val="008A1DB2"/>
    <w:rsid w:val="008A6B25"/>
    <w:rsid w:val="008A6C4F"/>
    <w:rsid w:val="008B2335"/>
    <w:rsid w:val="008B6013"/>
    <w:rsid w:val="008E0678"/>
    <w:rsid w:val="008F2EBA"/>
    <w:rsid w:val="00910F40"/>
    <w:rsid w:val="0091168A"/>
    <w:rsid w:val="00912C08"/>
    <w:rsid w:val="009223CA"/>
    <w:rsid w:val="00940F93"/>
    <w:rsid w:val="0095347F"/>
    <w:rsid w:val="00967D17"/>
    <w:rsid w:val="009760F3"/>
    <w:rsid w:val="009909F5"/>
    <w:rsid w:val="009A0E8D"/>
    <w:rsid w:val="009A4916"/>
    <w:rsid w:val="009B26E7"/>
    <w:rsid w:val="009C0F71"/>
    <w:rsid w:val="009D7D37"/>
    <w:rsid w:val="00A00A3F"/>
    <w:rsid w:val="00A00E5E"/>
    <w:rsid w:val="00A01489"/>
    <w:rsid w:val="00A2046E"/>
    <w:rsid w:val="00A31B6F"/>
    <w:rsid w:val="00A338F1"/>
    <w:rsid w:val="00A404FE"/>
    <w:rsid w:val="00A609B0"/>
    <w:rsid w:val="00A64FD8"/>
    <w:rsid w:val="00A72F22"/>
    <w:rsid w:val="00A7360F"/>
    <w:rsid w:val="00A748A6"/>
    <w:rsid w:val="00A769F4"/>
    <w:rsid w:val="00A776B4"/>
    <w:rsid w:val="00A864AC"/>
    <w:rsid w:val="00A94361"/>
    <w:rsid w:val="00AA293C"/>
    <w:rsid w:val="00AC57F9"/>
    <w:rsid w:val="00B13E9B"/>
    <w:rsid w:val="00B16448"/>
    <w:rsid w:val="00B30179"/>
    <w:rsid w:val="00B30325"/>
    <w:rsid w:val="00B339A7"/>
    <w:rsid w:val="00B56E4A"/>
    <w:rsid w:val="00B56E9C"/>
    <w:rsid w:val="00B64B1F"/>
    <w:rsid w:val="00B6553F"/>
    <w:rsid w:val="00B66E5E"/>
    <w:rsid w:val="00B77D05"/>
    <w:rsid w:val="00B81206"/>
    <w:rsid w:val="00B81E12"/>
    <w:rsid w:val="00B9067B"/>
    <w:rsid w:val="00BC2C23"/>
    <w:rsid w:val="00BC74E9"/>
    <w:rsid w:val="00BD2AF5"/>
    <w:rsid w:val="00BE0C8E"/>
    <w:rsid w:val="00BF5011"/>
    <w:rsid w:val="00BF68A8"/>
    <w:rsid w:val="00C0587D"/>
    <w:rsid w:val="00C11A03"/>
    <w:rsid w:val="00C2611B"/>
    <w:rsid w:val="00C31678"/>
    <w:rsid w:val="00C429C5"/>
    <w:rsid w:val="00C463DD"/>
    <w:rsid w:val="00C4724C"/>
    <w:rsid w:val="00C629A0"/>
    <w:rsid w:val="00C745C3"/>
    <w:rsid w:val="00C83AE0"/>
    <w:rsid w:val="00CA4D02"/>
    <w:rsid w:val="00CE4A8F"/>
    <w:rsid w:val="00D00828"/>
    <w:rsid w:val="00D2031B"/>
    <w:rsid w:val="00D25FE2"/>
    <w:rsid w:val="00D35EEF"/>
    <w:rsid w:val="00D41E8D"/>
    <w:rsid w:val="00D43252"/>
    <w:rsid w:val="00D47EEA"/>
    <w:rsid w:val="00D838E1"/>
    <w:rsid w:val="00D87F85"/>
    <w:rsid w:val="00D95303"/>
    <w:rsid w:val="00D978C6"/>
    <w:rsid w:val="00DA3111"/>
    <w:rsid w:val="00DA3C1C"/>
    <w:rsid w:val="00DB0C79"/>
    <w:rsid w:val="00DB4658"/>
    <w:rsid w:val="00DC1590"/>
    <w:rsid w:val="00E10535"/>
    <w:rsid w:val="00E27346"/>
    <w:rsid w:val="00E36609"/>
    <w:rsid w:val="00E71BC8"/>
    <w:rsid w:val="00E7260F"/>
    <w:rsid w:val="00E779FC"/>
    <w:rsid w:val="00E96630"/>
    <w:rsid w:val="00EA4C9B"/>
    <w:rsid w:val="00EB2581"/>
    <w:rsid w:val="00EC4853"/>
    <w:rsid w:val="00ED7A2A"/>
    <w:rsid w:val="00EF1D7F"/>
    <w:rsid w:val="00EF77B0"/>
    <w:rsid w:val="00F20C3D"/>
    <w:rsid w:val="00F43E9E"/>
    <w:rsid w:val="00F7110B"/>
    <w:rsid w:val="00F9057C"/>
    <w:rsid w:val="00F906D7"/>
    <w:rsid w:val="00F93781"/>
    <w:rsid w:val="00FB613B"/>
    <w:rsid w:val="00FC68B7"/>
    <w:rsid w:val="00FD084B"/>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C9A67B6-9C90-4F99-9B57-215DA438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5C"/>
    <w:rPr>
      <w:rFonts w:eastAsia="SimSun"/>
    </w:rPr>
  </w:style>
  <w:style w:type="paragraph" w:styleId="Heading1">
    <w:name w:val="heading 1"/>
    <w:aliases w:val="Table_G"/>
    <w:basedOn w:val="SingleTxtG"/>
    <w:next w:val="SingleTxtG"/>
    <w:link w:val="Heading1Char"/>
    <w:rsid w:val="0028015C"/>
    <w:pPr>
      <w:spacing w:after="0"/>
      <w:ind w:right="0"/>
      <w:jc w:val="left"/>
      <w:outlineLvl w:val="0"/>
    </w:pPr>
  </w:style>
  <w:style w:type="paragraph" w:styleId="Heading2">
    <w:name w:val="heading 2"/>
    <w:basedOn w:val="Normal"/>
    <w:next w:val="Normal"/>
    <w:link w:val="Heading2Char"/>
    <w:rsid w:val="0028015C"/>
    <w:pPr>
      <w:outlineLvl w:val="1"/>
    </w:pPr>
  </w:style>
  <w:style w:type="paragraph" w:styleId="Heading3">
    <w:name w:val="heading 3"/>
    <w:basedOn w:val="Normal"/>
    <w:next w:val="Normal"/>
    <w:link w:val="Heading3Char"/>
    <w:rsid w:val="0028015C"/>
    <w:pPr>
      <w:outlineLvl w:val="2"/>
    </w:pPr>
  </w:style>
  <w:style w:type="paragraph" w:styleId="Heading4">
    <w:name w:val="heading 4"/>
    <w:basedOn w:val="Normal"/>
    <w:next w:val="Normal"/>
    <w:link w:val="Heading4Char"/>
    <w:rsid w:val="0028015C"/>
    <w:pPr>
      <w:outlineLvl w:val="3"/>
    </w:pPr>
  </w:style>
  <w:style w:type="paragraph" w:styleId="Heading5">
    <w:name w:val="heading 5"/>
    <w:basedOn w:val="Normal"/>
    <w:next w:val="Normal"/>
    <w:link w:val="Heading5Char"/>
    <w:rsid w:val="0028015C"/>
    <w:pPr>
      <w:outlineLvl w:val="4"/>
    </w:pPr>
  </w:style>
  <w:style w:type="paragraph" w:styleId="Heading6">
    <w:name w:val="heading 6"/>
    <w:basedOn w:val="Normal"/>
    <w:next w:val="Normal"/>
    <w:link w:val="Heading6Char"/>
    <w:rsid w:val="0028015C"/>
    <w:pPr>
      <w:outlineLvl w:val="5"/>
    </w:pPr>
  </w:style>
  <w:style w:type="paragraph" w:styleId="Heading7">
    <w:name w:val="heading 7"/>
    <w:basedOn w:val="Normal"/>
    <w:next w:val="Normal"/>
    <w:link w:val="Heading7Char"/>
    <w:rsid w:val="0028015C"/>
    <w:pPr>
      <w:outlineLvl w:val="6"/>
    </w:pPr>
  </w:style>
  <w:style w:type="paragraph" w:styleId="Heading8">
    <w:name w:val="heading 8"/>
    <w:basedOn w:val="Normal"/>
    <w:next w:val="Normal"/>
    <w:link w:val="Heading8Char"/>
    <w:rsid w:val="0028015C"/>
    <w:pPr>
      <w:outlineLvl w:val="7"/>
    </w:pPr>
  </w:style>
  <w:style w:type="paragraph" w:styleId="Heading9">
    <w:name w:val="heading 9"/>
    <w:basedOn w:val="Normal"/>
    <w:next w:val="Normal"/>
    <w:link w:val="Heading9Char"/>
    <w:rsid w:val="002801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8015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8015C"/>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28015C"/>
    <w:pPr>
      <w:numPr>
        <w:numId w:val="24"/>
      </w:numPr>
    </w:pPr>
  </w:style>
  <w:style w:type="paragraph" w:customStyle="1" w:styleId="SingleTxtG">
    <w:name w:val="_ Single Txt_G"/>
    <w:basedOn w:val="Normal"/>
    <w:rsid w:val="0028015C"/>
    <w:pPr>
      <w:spacing w:after="120"/>
      <w:ind w:left="1134" w:right="1134"/>
      <w:jc w:val="both"/>
    </w:pPr>
  </w:style>
  <w:style w:type="character" w:styleId="PageNumber">
    <w:name w:val="page number"/>
    <w:aliases w:val="7_G"/>
    <w:rsid w:val="0028015C"/>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8015C"/>
    <w:pPr>
      <w:keepNext/>
      <w:keepLines/>
      <w:spacing w:before="240" w:after="240" w:line="420" w:lineRule="exact"/>
      <w:ind w:left="1134" w:right="1134"/>
    </w:pPr>
    <w:rPr>
      <w:b/>
      <w:sz w:val="40"/>
    </w:rPr>
  </w:style>
  <w:style w:type="paragraph" w:customStyle="1" w:styleId="SLG">
    <w:name w:val="__S_L_G"/>
    <w:basedOn w:val="Normal"/>
    <w:next w:val="Normal"/>
    <w:rsid w:val="0028015C"/>
    <w:pPr>
      <w:keepNext/>
      <w:keepLines/>
      <w:spacing w:before="240" w:after="240" w:line="580" w:lineRule="exact"/>
      <w:ind w:left="1134" w:right="1134"/>
    </w:pPr>
    <w:rPr>
      <w:b/>
      <w:sz w:val="56"/>
    </w:rPr>
  </w:style>
  <w:style w:type="paragraph" w:customStyle="1" w:styleId="SSG">
    <w:name w:val="__S_S_G"/>
    <w:basedOn w:val="Normal"/>
    <w:next w:val="Normal"/>
    <w:rsid w:val="0028015C"/>
    <w:pPr>
      <w:keepNext/>
      <w:keepLines/>
      <w:spacing w:before="240" w:after="240" w:line="300" w:lineRule="exact"/>
      <w:ind w:left="1134" w:right="1134"/>
    </w:pPr>
    <w:rPr>
      <w:b/>
      <w:sz w:val="28"/>
    </w:rPr>
  </w:style>
  <w:style w:type="character" w:styleId="EndnoteReference">
    <w:name w:val="endnote reference"/>
    <w:aliases w:val="1_G"/>
    <w:rsid w:val="0028015C"/>
    <w:rPr>
      <w:rFonts w:ascii="Times New Roman" w:hAnsi="Times New Roman"/>
      <w:sz w:val="18"/>
      <w:vertAlign w:val="superscript"/>
    </w:rPr>
  </w:style>
  <w:style w:type="character" w:styleId="FootnoteReference">
    <w:name w:val="footnote reference"/>
    <w:aliases w:val="4_G"/>
    <w:rsid w:val="0028015C"/>
    <w:rPr>
      <w:rFonts w:ascii="Times New Roman" w:hAnsi="Times New Roman"/>
      <w:sz w:val="18"/>
      <w:vertAlign w:val="superscript"/>
    </w:rPr>
  </w:style>
  <w:style w:type="paragraph" w:styleId="FootnoteText">
    <w:name w:val="footnote text"/>
    <w:aliases w:val="5_G"/>
    <w:basedOn w:val="Normal"/>
    <w:link w:val="FootnoteTextChar"/>
    <w:rsid w:val="0028015C"/>
    <w:pPr>
      <w:tabs>
        <w:tab w:val="right" w:pos="1021"/>
      </w:tabs>
      <w:spacing w:line="220" w:lineRule="exact"/>
      <w:ind w:left="1134" w:right="1134" w:hanging="1134"/>
    </w:pPr>
    <w:rPr>
      <w:sz w:val="18"/>
    </w:rPr>
  </w:style>
  <w:style w:type="paragraph" w:customStyle="1" w:styleId="XLargeG">
    <w:name w:val="__XLarge_G"/>
    <w:basedOn w:val="Normal"/>
    <w:next w:val="Normal"/>
    <w:rsid w:val="0028015C"/>
    <w:pPr>
      <w:keepNext/>
      <w:keepLines/>
      <w:spacing w:before="240" w:after="240" w:line="420" w:lineRule="exact"/>
      <w:ind w:left="1134" w:right="1134"/>
    </w:pPr>
    <w:rPr>
      <w:b/>
      <w:sz w:val="40"/>
    </w:rPr>
  </w:style>
  <w:style w:type="paragraph" w:customStyle="1" w:styleId="Bullet1G">
    <w:name w:val="_Bullet 1_G"/>
    <w:basedOn w:val="Normal"/>
    <w:rsid w:val="0028015C"/>
    <w:pPr>
      <w:numPr>
        <w:numId w:val="22"/>
      </w:numPr>
      <w:spacing w:after="120"/>
      <w:ind w:right="1134"/>
      <w:jc w:val="both"/>
    </w:pPr>
  </w:style>
  <w:style w:type="paragraph" w:styleId="EndnoteText">
    <w:name w:val="endnote text"/>
    <w:aliases w:val="2_G"/>
    <w:basedOn w:val="FootnoteText"/>
    <w:link w:val="EndnoteTextChar"/>
    <w:rsid w:val="0028015C"/>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28015C"/>
    <w:pPr>
      <w:numPr>
        <w:numId w:val="23"/>
      </w:numPr>
      <w:spacing w:after="120"/>
      <w:ind w:right="1134"/>
      <w:jc w:val="both"/>
    </w:pPr>
  </w:style>
  <w:style w:type="paragraph" w:customStyle="1" w:styleId="H1G">
    <w:name w:val="_ H_1_G"/>
    <w:basedOn w:val="Normal"/>
    <w:next w:val="Normal"/>
    <w:rsid w:val="0028015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8015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8015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8015C"/>
    <w:pPr>
      <w:keepNext/>
      <w:keepLines/>
      <w:tabs>
        <w:tab w:val="right" w:pos="851"/>
      </w:tabs>
      <w:spacing w:before="240" w:after="120" w:line="240" w:lineRule="exact"/>
      <w:ind w:left="1134" w:right="1134" w:hanging="1134"/>
    </w:pPr>
  </w:style>
  <w:style w:type="numbering" w:styleId="111111">
    <w:name w:val="Outline List 2"/>
    <w:basedOn w:val="NoList"/>
    <w:semiHidden/>
    <w:rsid w:val="0028015C"/>
    <w:pPr>
      <w:numPr>
        <w:numId w:val="15"/>
      </w:numPr>
    </w:pPr>
  </w:style>
  <w:style w:type="numbering" w:styleId="1ai">
    <w:name w:val="Outline List 1"/>
    <w:basedOn w:val="NoList"/>
    <w:semiHidden/>
    <w:rsid w:val="0028015C"/>
    <w:pPr>
      <w:numPr>
        <w:numId w:val="16"/>
      </w:numPr>
    </w:pPr>
  </w:style>
  <w:style w:type="numbering" w:styleId="ArticleSection">
    <w:name w:val="Outline List 3"/>
    <w:basedOn w:val="NoList"/>
    <w:semiHidden/>
    <w:rsid w:val="008A6C4F"/>
    <w:pPr>
      <w:numPr>
        <w:numId w:val="11"/>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8015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28015C"/>
    <w:rPr>
      <w:sz w:val="16"/>
    </w:rPr>
  </w:style>
  <w:style w:type="paragraph" w:styleId="Header">
    <w:name w:val="header"/>
    <w:aliases w:val="6_G"/>
    <w:basedOn w:val="Normal"/>
    <w:link w:val="HeaderChar"/>
    <w:rsid w:val="0028015C"/>
    <w:pPr>
      <w:pBdr>
        <w:bottom w:val="single" w:sz="4" w:space="4" w:color="auto"/>
      </w:pBdr>
    </w:pPr>
    <w:rPr>
      <w:b/>
      <w:sz w:val="18"/>
    </w:rPr>
  </w:style>
  <w:style w:type="paragraph" w:styleId="BalloonText">
    <w:name w:val="Balloon Text"/>
    <w:basedOn w:val="Normal"/>
    <w:link w:val="BalloonTextChar"/>
    <w:uiPriority w:val="99"/>
    <w:unhideWhenUsed/>
    <w:rsid w:val="0028015C"/>
    <w:rPr>
      <w:rFonts w:ascii="Tahoma" w:hAnsi="Tahoma" w:cs="Tahoma"/>
      <w:sz w:val="16"/>
      <w:szCs w:val="16"/>
    </w:rPr>
  </w:style>
  <w:style w:type="character" w:customStyle="1" w:styleId="BalloonTextChar">
    <w:name w:val="Balloon Text Char"/>
    <w:basedOn w:val="DefaultParagraphFont"/>
    <w:link w:val="BalloonText"/>
    <w:uiPriority w:val="99"/>
    <w:rsid w:val="0028015C"/>
    <w:rPr>
      <w:rFonts w:ascii="Tahoma" w:eastAsia="SimSun" w:hAnsi="Tahoma" w:cs="Tahoma"/>
      <w:sz w:val="16"/>
      <w:szCs w:val="16"/>
    </w:rPr>
  </w:style>
  <w:style w:type="character" w:customStyle="1" w:styleId="FootnoteTextChar">
    <w:name w:val="Footnote Text Char"/>
    <w:aliases w:val="5_G Char"/>
    <w:basedOn w:val="DefaultParagraphFont"/>
    <w:link w:val="FootnoteText"/>
    <w:rsid w:val="0028015C"/>
    <w:rPr>
      <w:rFonts w:eastAsia="SimSun"/>
      <w:sz w:val="18"/>
    </w:rPr>
  </w:style>
  <w:style w:type="character" w:customStyle="1" w:styleId="EndnoteTextChar">
    <w:name w:val="Endnote Text Char"/>
    <w:aliases w:val="2_G Char"/>
    <w:basedOn w:val="DefaultParagraphFont"/>
    <w:link w:val="EndnoteText"/>
    <w:rsid w:val="0028015C"/>
    <w:rPr>
      <w:rFonts w:eastAsia="SimSun"/>
      <w:sz w:val="18"/>
    </w:rPr>
  </w:style>
  <w:style w:type="character" w:customStyle="1" w:styleId="FooterChar">
    <w:name w:val="Footer Char"/>
    <w:aliases w:val="3_G Char"/>
    <w:basedOn w:val="DefaultParagraphFont"/>
    <w:link w:val="Footer"/>
    <w:rsid w:val="0028015C"/>
    <w:rPr>
      <w:rFonts w:eastAsia="SimSun"/>
      <w:sz w:val="16"/>
    </w:rPr>
  </w:style>
  <w:style w:type="character" w:customStyle="1" w:styleId="HeaderChar">
    <w:name w:val="Header Char"/>
    <w:aliases w:val="6_G Char"/>
    <w:basedOn w:val="DefaultParagraphFont"/>
    <w:link w:val="Header"/>
    <w:rsid w:val="0028015C"/>
    <w:rPr>
      <w:rFonts w:eastAsia="SimSun"/>
      <w:b/>
      <w:sz w:val="18"/>
    </w:rPr>
  </w:style>
  <w:style w:type="character" w:customStyle="1" w:styleId="Heading1Char">
    <w:name w:val="Heading 1 Char"/>
    <w:aliases w:val="Table_G Char"/>
    <w:basedOn w:val="DefaultParagraphFont"/>
    <w:link w:val="Heading1"/>
    <w:rsid w:val="0028015C"/>
    <w:rPr>
      <w:rFonts w:eastAsia="SimSun"/>
    </w:rPr>
  </w:style>
  <w:style w:type="character" w:customStyle="1" w:styleId="Heading2Char">
    <w:name w:val="Heading 2 Char"/>
    <w:basedOn w:val="DefaultParagraphFont"/>
    <w:link w:val="Heading2"/>
    <w:rsid w:val="0028015C"/>
    <w:rPr>
      <w:rFonts w:eastAsia="SimSun"/>
    </w:rPr>
  </w:style>
  <w:style w:type="character" w:customStyle="1" w:styleId="Heading3Char">
    <w:name w:val="Heading 3 Char"/>
    <w:basedOn w:val="DefaultParagraphFont"/>
    <w:link w:val="Heading3"/>
    <w:rsid w:val="0028015C"/>
    <w:rPr>
      <w:rFonts w:eastAsia="SimSun"/>
    </w:rPr>
  </w:style>
  <w:style w:type="character" w:customStyle="1" w:styleId="Heading4Char">
    <w:name w:val="Heading 4 Char"/>
    <w:basedOn w:val="DefaultParagraphFont"/>
    <w:link w:val="Heading4"/>
    <w:rsid w:val="0028015C"/>
    <w:rPr>
      <w:rFonts w:eastAsia="SimSun"/>
    </w:rPr>
  </w:style>
  <w:style w:type="character" w:customStyle="1" w:styleId="Heading5Char">
    <w:name w:val="Heading 5 Char"/>
    <w:basedOn w:val="DefaultParagraphFont"/>
    <w:link w:val="Heading5"/>
    <w:rsid w:val="0028015C"/>
    <w:rPr>
      <w:rFonts w:eastAsia="SimSun"/>
    </w:rPr>
  </w:style>
  <w:style w:type="character" w:customStyle="1" w:styleId="Heading6Char">
    <w:name w:val="Heading 6 Char"/>
    <w:basedOn w:val="DefaultParagraphFont"/>
    <w:link w:val="Heading6"/>
    <w:rsid w:val="0028015C"/>
    <w:rPr>
      <w:rFonts w:eastAsia="SimSun"/>
    </w:rPr>
  </w:style>
  <w:style w:type="character" w:customStyle="1" w:styleId="Heading7Char">
    <w:name w:val="Heading 7 Char"/>
    <w:basedOn w:val="DefaultParagraphFont"/>
    <w:link w:val="Heading7"/>
    <w:rsid w:val="0028015C"/>
    <w:rPr>
      <w:rFonts w:eastAsia="SimSun"/>
    </w:rPr>
  </w:style>
  <w:style w:type="character" w:customStyle="1" w:styleId="Heading8Char">
    <w:name w:val="Heading 8 Char"/>
    <w:basedOn w:val="DefaultParagraphFont"/>
    <w:link w:val="Heading8"/>
    <w:rsid w:val="0028015C"/>
    <w:rPr>
      <w:rFonts w:eastAsia="SimSun"/>
    </w:rPr>
  </w:style>
  <w:style w:type="character" w:customStyle="1" w:styleId="Heading9Char">
    <w:name w:val="Heading 9 Char"/>
    <w:basedOn w:val="DefaultParagraphFont"/>
    <w:link w:val="Heading9"/>
    <w:rsid w:val="0028015C"/>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3" Type="http://schemas.openxmlformats.org/officeDocument/2006/relationships/hyperlink" Target="http://www.sudantribune.com/spip.php?mot1053" TargetMode="External"/><Relationship Id="rId2" Type="http://schemas.openxmlformats.org/officeDocument/2006/relationships/hyperlink" Target="https://www.indexmundi.com/south_sudan/demographics_profile.html" TargetMode="External"/><Relationship Id="rId1" Type="http://schemas.openxmlformats.org/officeDocument/2006/relationships/hyperlink" Target="https://www.google.com/search?q=map+of+south+sudan+and+surrounding+countr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0</TotalTime>
  <Pages>8</Pages>
  <Words>2725</Words>
  <Characters>14944</Characters>
  <Application>Microsoft Office Word</Application>
  <DocSecurity>0</DocSecurity>
  <Lines>453</Lines>
  <Paragraphs>230</Paragraphs>
  <ScaleCrop>false</ScaleCrop>
  <HeadingPairs>
    <vt:vector size="2" baseType="variant">
      <vt:variant>
        <vt:lpstr>Title</vt:lpstr>
      </vt:variant>
      <vt:variant>
        <vt:i4>1</vt:i4>
      </vt:variant>
    </vt:vector>
  </HeadingPairs>
  <TitlesOfParts>
    <vt:vector size="1" baseType="lpstr">
      <vt:lpstr>HRI/CORE/SSD/2020</vt:lpstr>
    </vt:vector>
  </TitlesOfParts>
  <Company>CSD</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HRI/CORE/SSD/2020</dc:title>
  <dc:subject>2003139</dc:subject>
  <dc:creator>dm</dc:creator>
  <cp:keywords/>
  <dc:description/>
  <cp:lastModifiedBy>Generic Pdf eng</cp:lastModifiedBy>
  <cp:revision>2</cp:revision>
  <cp:lastPrinted>2011-07-01T12:27:00Z</cp:lastPrinted>
  <dcterms:created xsi:type="dcterms:W3CDTF">2020-02-28T14:03:00Z</dcterms:created>
  <dcterms:modified xsi:type="dcterms:W3CDTF">2020-02-28T14:03:00Z</dcterms:modified>
</cp:coreProperties>
</file>