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036975" w:rsidP="00182560">
            <w:pPr>
              <w:bidi w:val="0"/>
              <w:spacing w:after="20"/>
              <w:jc w:val="left"/>
              <w:rPr>
                <w:szCs w:val="20"/>
              </w:rPr>
            </w:pPr>
            <w:r w:rsidRPr="00036975">
              <w:rPr>
                <w:sz w:val="40"/>
                <w:szCs w:val="20"/>
              </w:rPr>
              <w:t>HRI</w:t>
            </w:r>
            <w:r>
              <w:rPr>
                <w:szCs w:val="20"/>
              </w:rPr>
              <w:t>/CORE/NER/2018</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182560" w:rsidP="00182560">
            <w:pPr>
              <w:bidi w:val="0"/>
              <w:spacing w:before="240"/>
              <w:jc w:val="left"/>
            </w:pPr>
            <w:r>
              <w:t>Distr.: General</w:t>
            </w:r>
          </w:p>
          <w:p w:rsidR="00182560" w:rsidRDefault="006E40E2" w:rsidP="00182560">
            <w:pPr>
              <w:bidi w:val="0"/>
              <w:jc w:val="left"/>
            </w:pPr>
            <w:r>
              <w:t xml:space="preserve">22 March </w:t>
            </w:r>
            <w:r w:rsidR="00182560">
              <w:t>2018</w:t>
            </w:r>
          </w:p>
          <w:p w:rsidR="00182560" w:rsidRDefault="00182560" w:rsidP="00182560">
            <w:pPr>
              <w:bidi w:val="0"/>
              <w:jc w:val="left"/>
            </w:pPr>
            <w:r>
              <w:t>Arabic</w:t>
            </w:r>
          </w:p>
          <w:p w:rsidR="00182560" w:rsidRPr="008B4BC6" w:rsidRDefault="00182560" w:rsidP="009B1200">
            <w:pPr>
              <w:bidi w:val="0"/>
              <w:jc w:val="left"/>
            </w:pPr>
            <w:r>
              <w:t xml:space="preserve">Original: </w:t>
            </w:r>
            <w:r w:rsidR="006E40E2">
              <w:t>French</w:t>
            </w:r>
          </w:p>
        </w:tc>
      </w:tr>
    </w:tbl>
    <w:p w:rsidR="00182560" w:rsidRDefault="00182560" w:rsidP="00B22594">
      <w:pPr>
        <w:pStyle w:val="HMGA"/>
        <w:rPr>
          <w:rtl/>
          <w:lang w:val="en-GB" w:eastAsia="zh-TW" w:bidi="ar-DZ"/>
        </w:rPr>
      </w:pPr>
      <w:r>
        <w:rPr>
          <w:lang w:val="en-GB" w:eastAsia="zh-TW"/>
        </w:rPr>
        <w:tab/>
      </w:r>
      <w:r>
        <w:rPr>
          <w:lang w:val="en-GB" w:eastAsia="zh-TW"/>
        </w:rPr>
        <w:tab/>
      </w:r>
      <w:r>
        <w:rPr>
          <w:rtl/>
          <w:lang w:val="en-GB" w:eastAsia="zh-TW"/>
        </w:rPr>
        <w:t>وثيقة أساسية موحدة تشكل جزءاً من تقارير الدول الأطراف</w:t>
      </w:r>
    </w:p>
    <w:p w:rsidR="00182560" w:rsidRDefault="00B22594" w:rsidP="008A7FD7">
      <w:pPr>
        <w:pStyle w:val="HMGA"/>
        <w:rPr>
          <w:rtl/>
          <w:lang w:val="en-GB" w:eastAsia="zh-TW" w:bidi="ar-DZ"/>
        </w:rPr>
      </w:pPr>
      <w:r>
        <w:rPr>
          <w:rtl/>
          <w:lang w:val="en-GB" w:eastAsia="zh-TW"/>
        </w:rPr>
        <w:tab/>
      </w:r>
      <w:r>
        <w:rPr>
          <w:rtl/>
          <w:lang w:val="en-GB" w:eastAsia="zh-TW"/>
        </w:rPr>
        <w:tab/>
      </w:r>
      <w:r w:rsidR="00182560">
        <w:rPr>
          <w:rtl/>
          <w:lang w:val="en-GB" w:eastAsia="zh-TW"/>
        </w:rPr>
        <w:t>النيجر</w:t>
      </w:r>
      <w:r w:rsidR="008A7FD7" w:rsidRPr="008A7FD7">
        <w:rPr>
          <w:rStyle w:val="FootnoteReference"/>
          <w:sz w:val="20"/>
          <w:vertAlign w:val="baseline"/>
          <w:rtl/>
          <w:lang w:val="en-GB" w:eastAsia="zh-TW"/>
        </w:rPr>
        <w:footnoteReference w:customMarkFollows="1" w:id="1"/>
        <w:t>*</w:t>
      </w:r>
    </w:p>
    <w:p w:rsidR="00182560" w:rsidRPr="002B4721" w:rsidRDefault="00182560" w:rsidP="00B22594">
      <w:pPr>
        <w:pStyle w:val="SingleTxtGA"/>
        <w:bidi w:val="0"/>
        <w:rPr>
          <w:lang w:eastAsia="zh-TW"/>
        </w:rPr>
      </w:pPr>
      <w:r>
        <w:rPr>
          <w:rtl/>
          <w:lang w:val="en-GB" w:eastAsia="zh-TW"/>
        </w:rPr>
        <w:t>[تاريخ الاستلام: 17 كانون الثاني/يناير 2018]</w:t>
      </w:r>
    </w:p>
    <w:p w:rsidR="009155C9" w:rsidRPr="00982D8B" w:rsidRDefault="00182560" w:rsidP="00A747B3">
      <w:pPr>
        <w:spacing w:line="240" w:lineRule="auto"/>
        <w:rPr>
          <w:sz w:val="36"/>
          <w:szCs w:val="36"/>
          <w:rtl/>
        </w:rPr>
      </w:pPr>
      <w:r>
        <w:rPr>
          <w:sz w:val="28"/>
        </w:rPr>
        <w:br w:type="page"/>
      </w:r>
      <w:r w:rsidR="009155C9">
        <w:rPr>
          <w:rFonts w:hint="cs"/>
          <w:sz w:val="36"/>
          <w:szCs w:val="36"/>
          <w:rtl/>
        </w:rPr>
        <w:lastRenderedPageBreak/>
        <w:t>المحتويات</w:t>
      </w:r>
    </w:p>
    <w:p w:rsidR="009155C9" w:rsidRPr="000A0C78" w:rsidRDefault="009155C9">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sidRPr="009155C9">
        <w:rPr>
          <w:szCs w:val="28"/>
          <w:rtl/>
        </w:rPr>
        <w:tab/>
        <w:t>أولا</w:t>
      </w:r>
      <w:r w:rsidRPr="009155C9">
        <w:rPr>
          <w:rFonts w:hint="cs"/>
          <w:szCs w:val="28"/>
          <w:rtl/>
        </w:rPr>
        <w:t>ً</w:t>
      </w:r>
      <w:r>
        <w:rPr>
          <w:szCs w:val="28"/>
          <w:rtl/>
        </w:rPr>
        <w:tab/>
      </w:r>
      <w:r w:rsidRPr="009155C9">
        <w:rPr>
          <w:szCs w:val="28"/>
          <w:rtl/>
        </w:rPr>
        <w:t>-</w:t>
      </w:r>
      <w:r w:rsidRPr="009155C9">
        <w:rPr>
          <w:szCs w:val="28"/>
          <w:rtl/>
        </w:rPr>
        <w:tab/>
        <w:t>معلومات عامة عن البلد</w:t>
      </w:r>
      <w:r>
        <w:rPr>
          <w:szCs w:val="28"/>
          <w:rtl/>
        </w:rPr>
        <w:tab/>
      </w:r>
      <w:r>
        <w:rPr>
          <w:szCs w:val="28"/>
          <w:rtl/>
        </w:rPr>
        <w:tab/>
      </w:r>
      <w:r>
        <w:rPr>
          <w:rFonts w:hint="cs"/>
          <w:szCs w:val="28"/>
          <w:rtl/>
        </w:rPr>
        <w:t>3</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Pr>
          <w:szCs w:val="28"/>
          <w:rtl/>
        </w:rPr>
        <w:tab/>
      </w:r>
      <w:r>
        <w:rPr>
          <w:szCs w:val="28"/>
          <w:rtl/>
        </w:rPr>
        <w:tab/>
      </w:r>
      <w:r w:rsidRPr="009155C9">
        <w:rPr>
          <w:szCs w:val="28"/>
          <w:rtl/>
        </w:rPr>
        <w:tab/>
        <w:t>ألف</w:t>
      </w:r>
      <w:r>
        <w:rPr>
          <w:szCs w:val="28"/>
          <w:rtl/>
        </w:rPr>
        <w:tab/>
      </w:r>
      <w:r w:rsidRPr="009155C9">
        <w:rPr>
          <w:szCs w:val="28"/>
          <w:rtl/>
        </w:rPr>
        <w:t>-</w:t>
      </w:r>
      <w:r w:rsidRPr="009155C9">
        <w:rPr>
          <w:szCs w:val="28"/>
          <w:rtl/>
        </w:rPr>
        <w:tab/>
        <w:t>الخصائص الجغرافية</w:t>
      </w:r>
      <w:r>
        <w:rPr>
          <w:szCs w:val="28"/>
          <w:rtl/>
        </w:rPr>
        <w:tab/>
      </w:r>
      <w:r>
        <w:rPr>
          <w:szCs w:val="28"/>
          <w:rtl/>
        </w:rPr>
        <w:tab/>
      </w:r>
      <w:r>
        <w:rPr>
          <w:rFonts w:hint="cs"/>
          <w:szCs w:val="28"/>
          <w:rtl/>
        </w:rPr>
        <w:t>3</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sidRPr="009155C9">
        <w:rPr>
          <w:szCs w:val="28"/>
          <w:rtl/>
        </w:rPr>
        <w:tab/>
      </w:r>
      <w:r>
        <w:rPr>
          <w:szCs w:val="28"/>
          <w:rtl/>
        </w:rPr>
        <w:tab/>
      </w:r>
      <w:r>
        <w:rPr>
          <w:szCs w:val="28"/>
          <w:rtl/>
        </w:rPr>
        <w:tab/>
      </w:r>
      <w:r w:rsidRPr="009155C9">
        <w:rPr>
          <w:szCs w:val="28"/>
          <w:rtl/>
        </w:rPr>
        <w:t>باء</w:t>
      </w:r>
      <w:r>
        <w:rPr>
          <w:szCs w:val="28"/>
          <w:rtl/>
        </w:rPr>
        <w:tab/>
      </w:r>
      <w:r w:rsidRPr="009155C9">
        <w:rPr>
          <w:szCs w:val="28"/>
          <w:rtl/>
        </w:rPr>
        <w:t>-</w:t>
      </w:r>
      <w:r w:rsidRPr="009155C9">
        <w:rPr>
          <w:szCs w:val="28"/>
          <w:rtl/>
        </w:rPr>
        <w:tab/>
        <w:t>الخصائص الديمغرافية والاجتماعية والثقافية</w:t>
      </w:r>
      <w:r>
        <w:rPr>
          <w:szCs w:val="28"/>
          <w:rtl/>
        </w:rPr>
        <w:tab/>
      </w:r>
      <w:r>
        <w:rPr>
          <w:szCs w:val="28"/>
          <w:rtl/>
        </w:rPr>
        <w:tab/>
      </w:r>
      <w:r>
        <w:rPr>
          <w:rFonts w:hint="cs"/>
          <w:szCs w:val="28"/>
          <w:rtl/>
        </w:rPr>
        <w:t>3</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Pr>
          <w:szCs w:val="28"/>
          <w:rtl/>
        </w:rPr>
        <w:tab/>
      </w:r>
      <w:r>
        <w:rPr>
          <w:szCs w:val="28"/>
          <w:rtl/>
        </w:rPr>
        <w:tab/>
      </w:r>
      <w:r w:rsidRPr="009155C9">
        <w:rPr>
          <w:szCs w:val="28"/>
          <w:rtl/>
        </w:rPr>
        <w:tab/>
        <w:t>جيم</w:t>
      </w:r>
      <w:r>
        <w:rPr>
          <w:szCs w:val="28"/>
          <w:rtl/>
        </w:rPr>
        <w:tab/>
      </w:r>
      <w:r w:rsidRPr="009155C9">
        <w:rPr>
          <w:szCs w:val="28"/>
          <w:rtl/>
        </w:rPr>
        <w:t>-</w:t>
      </w:r>
      <w:r w:rsidRPr="009155C9">
        <w:rPr>
          <w:szCs w:val="28"/>
          <w:rtl/>
        </w:rPr>
        <w:tab/>
        <w:t>الخصائص الاقتصادية</w:t>
      </w:r>
      <w:r>
        <w:rPr>
          <w:szCs w:val="28"/>
          <w:rtl/>
        </w:rPr>
        <w:tab/>
      </w:r>
      <w:r>
        <w:rPr>
          <w:szCs w:val="28"/>
          <w:rtl/>
        </w:rPr>
        <w:tab/>
      </w:r>
      <w:r>
        <w:rPr>
          <w:rFonts w:hint="cs"/>
          <w:szCs w:val="28"/>
          <w:rtl/>
        </w:rPr>
        <w:t>7</w:t>
      </w:r>
    </w:p>
    <w:p w:rsidR="009155C9" w:rsidRPr="009155C9" w:rsidRDefault="009155C9" w:rsidP="009B1200">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rPr>
      </w:pPr>
      <w:r>
        <w:rPr>
          <w:szCs w:val="28"/>
          <w:rtl/>
        </w:rPr>
        <w:tab/>
      </w:r>
      <w:r>
        <w:rPr>
          <w:szCs w:val="28"/>
          <w:rtl/>
        </w:rPr>
        <w:tab/>
      </w:r>
      <w:r w:rsidRPr="009155C9">
        <w:rPr>
          <w:szCs w:val="28"/>
          <w:rtl/>
        </w:rPr>
        <w:tab/>
        <w:t>دال</w:t>
      </w:r>
      <w:r>
        <w:rPr>
          <w:szCs w:val="28"/>
          <w:rtl/>
        </w:rPr>
        <w:tab/>
      </w:r>
      <w:r w:rsidRPr="009155C9">
        <w:rPr>
          <w:szCs w:val="28"/>
          <w:rtl/>
        </w:rPr>
        <w:t>-</w:t>
      </w:r>
      <w:r w:rsidRPr="009155C9">
        <w:rPr>
          <w:szCs w:val="28"/>
          <w:rtl/>
        </w:rPr>
        <w:tab/>
        <w:t>الهيكل الدستوري والسياسي والقانوني للدولة</w:t>
      </w:r>
      <w:r>
        <w:rPr>
          <w:szCs w:val="28"/>
          <w:rtl/>
        </w:rPr>
        <w:tab/>
      </w:r>
      <w:r>
        <w:rPr>
          <w:szCs w:val="28"/>
          <w:rtl/>
        </w:rPr>
        <w:tab/>
      </w:r>
      <w:r>
        <w:rPr>
          <w:rFonts w:hint="cs"/>
          <w:szCs w:val="28"/>
          <w:rtl/>
        </w:rPr>
        <w:t>7</w:t>
      </w:r>
    </w:p>
    <w:p w:rsidR="009155C9" w:rsidRPr="009155C9" w:rsidRDefault="009155C9" w:rsidP="009B1200">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rPr>
      </w:pPr>
      <w:r w:rsidRPr="009155C9">
        <w:rPr>
          <w:szCs w:val="28"/>
          <w:rtl/>
        </w:rPr>
        <w:tab/>
        <w:t>ثانيا</w:t>
      </w:r>
      <w:r w:rsidRPr="009155C9">
        <w:rPr>
          <w:rFonts w:hint="cs"/>
          <w:szCs w:val="28"/>
          <w:rtl/>
        </w:rPr>
        <w:t>ً</w:t>
      </w:r>
      <w:r>
        <w:rPr>
          <w:szCs w:val="28"/>
          <w:rtl/>
        </w:rPr>
        <w:tab/>
      </w:r>
      <w:r w:rsidRPr="009155C9">
        <w:rPr>
          <w:szCs w:val="28"/>
          <w:rtl/>
        </w:rPr>
        <w:t>-</w:t>
      </w:r>
      <w:r w:rsidRPr="009155C9">
        <w:rPr>
          <w:szCs w:val="28"/>
          <w:rtl/>
        </w:rPr>
        <w:tab/>
        <w:t>البيانات الاقتصادية</w:t>
      </w:r>
      <w:r>
        <w:rPr>
          <w:szCs w:val="28"/>
          <w:rtl/>
        </w:rPr>
        <w:tab/>
      </w:r>
      <w:r>
        <w:rPr>
          <w:szCs w:val="28"/>
          <w:rtl/>
        </w:rPr>
        <w:tab/>
      </w:r>
      <w:r w:rsidR="00A747B3">
        <w:rPr>
          <w:rFonts w:hint="cs"/>
          <w:szCs w:val="28"/>
          <w:rtl/>
        </w:rPr>
        <w:t>12</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sidRPr="009155C9">
        <w:rPr>
          <w:szCs w:val="28"/>
          <w:rtl/>
        </w:rPr>
        <w:tab/>
        <w:t>ثالثا</w:t>
      </w:r>
      <w:r w:rsidRPr="009155C9">
        <w:rPr>
          <w:rFonts w:hint="cs"/>
          <w:szCs w:val="28"/>
          <w:rtl/>
        </w:rPr>
        <w:t>ً</w:t>
      </w:r>
      <w:r>
        <w:rPr>
          <w:szCs w:val="28"/>
          <w:rtl/>
        </w:rPr>
        <w:tab/>
      </w:r>
      <w:r w:rsidRPr="009155C9">
        <w:rPr>
          <w:szCs w:val="28"/>
          <w:rtl/>
        </w:rPr>
        <w:t>-</w:t>
      </w:r>
      <w:r w:rsidRPr="009155C9">
        <w:rPr>
          <w:szCs w:val="28"/>
          <w:rtl/>
        </w:rPr>
        <w:tab/>
        <w:t>الإطار العام لتعزيز حقوق الإنسان وحمايتها</w:t>
      </w:r>
      <w:r>
        <w:rPr>
          <w:szCs w:val="28"/>
          <w:rtl/>
        </w:rPr>
        <w:tab/>
      </w:r>
      <w:r>
        <w:rPr>
          <w:szCs w:val="28"/>
          <w:rtl/>
        </w:rPr>
        <w:tab/>
      </w:r>
      <w:r w:rsidR="00A747B3">
        <w:rPr>
          <w:rFonts w:hint="cs"/>
          <w:szCs w:val="28"/>
          <w:rtl/>
        </w:rPr>
        <w:t>14</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Pr>
          <w:szCs w:val="28"/>
          <w:rtl/>
        </w:rPr>
        <w:tab/>
      </w:r>
      <w:r>
        <w:rPr>
          <w:szCs w:val="28"/>
          <w:rtl/>
        </w:rPr>
        <w:tab/>
      </w:r>
      <w:r w:rsidRPr="009155C9">
        <w:rPr>
          <w:szCs w:val="28"/>
          <w:rtl/>
        </w:rPr>
        <w:tab/>
        <w:t>ألف</w:t>
      </w:r>
      <w:r>
        <w:rPr>
          <w:szCs w:val="28"/>
          <w:rtl/>
        </w:rPr>
        <w:tab/>
      </w:r>
      <w:r w:rsidRPr="009155C9">
        <w:rPr>
          <w:szCs w:val="28"/>
          <w:rtl/>
        </w:rPr>
        <w:t>-</w:t>
      </w:r>
      <w:r w:rsidRPr="009155C9">
        <w:rPr>
          <w:szCs w:val="28"/>
          <w:rtl/>
        </w:rPr>
        <w:tab/>
        <w:t>قبول المعايير الدولية لحقوق الإنسان</w:t>
      </w:r>
      <w:r>
        <w:rPr>
          <w:szCs w:val="28"/>
          <w:rtl/>
        </w:rPr>
        <w:tab/>
      </w:r>
      <w:r>
        <w:rPr>
          <w:szCs w:val="28"/>
          <w:rtl/>
        </w:rPr>
        <w:tab/>
      </w:r>
      <w:r w:rsidR="00A747B3">
        <w:rPr>
          <w:rFonts w:hint="cs"/>
          <w:szCs w:val="28"/>
          <w:rtl/>
        </w:rPr>
        <w:t>14</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Pr>
          <w:szCs w:val="28"/>
          <w:rtl/>
        </w:rPr>
        <w:tab/>
      </w:r>
      <w:r>
        <w:rPr>
          <w:szCs w:val="28"/>
          <w:rtl/>
        </w:rPr>
        <w:tab/>
      </w:r>
      <w:r w:rsidRPr="009155C9">
        <w:rPr>
          <w:szCs w:val="28"/>
          <w:rtl/>
        </w:rPr>
        <w:tab/>
        <w:t>باء</w:t>
      </w:r>
      <w:r>
        <w:rPr>
          <w:szCs w:val="28"/>
          <w:rtl/>
        </w:rPr>
        <w:tab/>
      </w:r>
      <w:r w:rsidRPr="009155C9">
        <w:rPr>
          <w:szCs w:val="28"/>
          <w:rtl/>
        </w:rPr>
        <w:t>-</w:t>
      </w:r>
      <w:r w:rsidRPr="009155C9">
        <w:rPr>
          <w:szCs w:val="28"/>
          <w:rtl/>
        </w:rPr>
        <w:tab/>
        <w:t>الإطار القانوني لحماية حقوق الإنسان على المستوى الوطني</w:t>
      </w:r>
      <w:r>
        <w:rPr>
          <w:szCs w:val="28"/>
          <w:rtl/>
        </w:rPr>
        <w:tab/>
      </w:r>
      <w:r>
        <w:rPr>
          <w:szCs w:val="28"/>
          <w:rtl/>
        </w:rPr>
        <w:tab/>
      </w:r>
      <w:r w:rsidR="00A747B3">
        <w:rPr>
          <w:rFonts w:hint="cs"/>
          <w:szCs w:val="28"/>
          <w:rtl/>
        </w:rPr>
        <w:t>18</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Pr>
          <w:szCs w:val="28"/>
          <w:rtl/>
        </w:rPr>
        <w:tab/>
      </w:r>
      <w:r>
        <w:rPr>
          <w:szCs w:val="28"/>
          <w:rtl/>
        </w:rPr>
        <w:tab/>
      </w:r>
      <w:r w:rsidRPr="009155C9">
        <w:rPr>
          <w:szCs w:val="28"/>
          <w:rtl/>
        </w:rPr>
        <w:tab/>
        <w:t>جيم</w:t>
      </w:r>
      <w:r>
        <w:rPr>
          <w:szCs w:val="28"/>
          <w:rtl/>
        </w:rPr>
        <w:tab/>
      </w:r>
      <w:r w:rsidRPr="009155C9">
        <w:rPr>
          <w:szCs w:val="28"/>
          <w:rtl/>
        </w:rPr>
        <w:t>-</w:t>
      </w:r>
      <w:r w:rsidRPr="009155C9">
        <w:rPr>
          <w:szCs w:val="28"/>
          <w:rtl/>
        </w:rPr>
        <w:tab/>
        <w:t>إطار تعزيز حقوق الإنسان على المستوى الوطني</w:t>
      </w:r>
      <w:r>
        <w:rPr>
          <w:szCs w:val="28"/>
          <w:rtl/>
        </w:rPr>
        <w:tab/>
      </w:r>
      <w:r>
        <w:rPr>
          <w:szCs w:val="28"/>
          <w:rtl/>
        </w:rPr>
        <w:tab/>
      </w:r>
      <w:r w:rsidR="00A747B3">
        <w:rPr>
          <w:rFonts w:hint="cs"/>
          <w:szCs w:val="28"/>
          <w:rtl/>
        </w:rPr>
        <w:t>22</w:t>
      </w:r>
    </w:p>
    <w:p w:rsidR="009155C9" w:rsidRPr="009155C9" w:rsidRDefault="009155C9" w:rsidP="009155C9">
      <w:pPr>
        <w:tabs>
          <w:tab w:val="right" w:pos="1021"/>
          <w:tab w:val="left" w:pos="1077"/>
          <w:tab w:val="left" w:pos="1525"/>
          <w:tab w:val="left" w:pos="1842"/>
          <w:tab w:val="left" w:pos="2192"/>
          <w:tab w:val="left" w:pos="2612"/>
          <w:tab w:val="left" w:leader="dot" w:pos="8787"/>
          <w:tab w:val="right" w:pos="9638"/>
        </w:tabs>
        <w:spacing w:line="360" w:lineRule="exact"/>
        <w:rPr>
          <w:szCs w:val="28"/>
          <w:rtl/>
          <w:lang w:bidi="ar-DZ"/>
        </w:rPr>
      </w:pPr>
      <w:r>
        <w:rPr>
          <w:szCs w:val="28"/>
          <w:rtl/>
        </w:rPr>
        <w:tab/>
      </w:r>
      <w:r>
        <w:rPr>
          <w:szCs w:val="28"/>
          <w:rtl/>
        </w:rPr>
        <w:tab/>
      </w:r>
      <w:r w:rsidRPr="009155C9">
        <w:rPr>
          <w:szCs w:val="28"/>
          <w:rtl/>
        </w:rPr>
        <w:tab/>
        <w:t>دال</w:t>
      </w:r>
      <w:r>
        <w:rPr>
          <w:szCs w:val="28"/>
          <w:rtl/>
        </w:rPr>
        <w:tab/>
      </w:r>
      <w:r w:rsidRPr="009155C9">
        <w:rPr>
          <w:szCs w:val="28"/>
          <w:rtl/>
        </w:rPr>
        <w:t>-</w:t>
      </w:r>
      <w:r w:rsidRPr="009155C9">
        <w:rPr>
          <w:szCs w:val="28"/>
          <w:rtl/>
        </w:rPr>
        <w:tab/>
        <w:t>عملية تقديم التقارير على المستوى الوطني</w:t>
      </w:r>
      <w:r>
        <w:rPr>
          <w:szCs w:val="28"/>
          <w:rtl/>
        </w:rPr>
        <w:tab/>
      </w:r>
      <w:r>
        <w:rPr>
          <w:szCs w:val="28"/>
          <w:rtl/>
        </w:rPr>
        <w:tab/>
      </w:r>
      <w:r w:rsidR="00A747B3">
        <w:rPr>
          <w:rFonts w:hint="cs"/>
          <w:szCs w:val="28"/>
          <w:rtl/>
        </w:rPr>
        <w:t>24</w:t>
      </w:r>
    </w:p>
    <w:p w:rsidR="009155C9" w:rsidRPr="000D62BD" w:rsidRDefault="009155C9"/>
    <w:p w:rsidR="00182560" w:rsidRPr="002A13CE" w:rsidRDefault="008A7FD7" w:rsidP="009155C9">
      <w:pPr>
        <w:pStyle w:val="HChGA"/>
        <w:spacing w:before="120"/>
        <w:rPr>
          <w:rtl/>
          <w:lang w:val="en-GB" w:eastAsia="zh-TW"/>
        </w:rPr>
      </w:pPr>
      <w:bookmarkStart w:id="0" w:name="_Toc485025633"/>
      <w:bookmarkStart w:id="1" w:name="_Toc485026217"/>
      <w:bookmarkStart w:id="2" w:name="_Toc485026295"/>
      <w:r>
        <w:rPr>
          <w:rtl/>
        </w:rPr>
        <w:br w:type="page"/>
      </w:r>
      <w:bookmarkEnd w:id="0"/>
      <w:bookmarkEnd w:id="1"/>
      <w:bookmarkEnd w:id="2"/>
      <w:r w:rsidR="00182560">
        <w:rPr>
          <w:rtl/>
          <w:lang w:val="en-GB" w:eastAsia="zh-TW"/>
        </w:rPr>
        <w:lastRenderedPageBreak/>
        <w:tab/>
        <w:t>أولا</w:t>
      </w:r>
      <w:r w:rsidR="00182560">
        <w:rPr>
          <w:rFonts w:hint="cs"/>
          <w:rtl/>
          <w:lang w:val="en-GB" w:eastAsia="zh-TW"/>
        </w:rPr>
        <w:t>ً</w:t>
      </w:r>
      <w:r w:rsidR="00182560">
        <w:rPr>
          <w:rtl/>
          <w:lang w:val="en-GB" w:eastAsia="zh-TW"/>
        </w:rPr>
        <w:t>-</w:t>
      </w:r>
      <w:r w:rsidR="00182560">
        <w:rPr>
          <w:rtl/>
          <w:lang w:val="en-GB" w:eastAsia="zh-TW"/>
        </w:rPr>
        <w:tab/>
        <w:t>معلومات عامة عن البلد</w:t>
      </w:r>
      <w:bookmarkStart w:id="3" w:name="_Toc485025634"/>
      <w:bookmarkStart w:id="4" w:name="_Toc485026218"/>
      <w:bookmarkStart w:id="5" w:name="_Toc485026296"/>
      <w:bookmarkEnd w:id="3"/>
      <w:bookmarkEnd w:id="4"/>
      <w:bookmarkEnd w:id="5"/>
    </w:p>
    <w:p w:rsidR="00182560" w:rsidRPr="00D9346A" w:rsidRDefault="00182560" w:rsidP="009155C9">
      <w:pPr>
        <w:pStyle w:val="H1GA"/>
        <w:rPr>
          <w:rtl/>
          <w:lang w:val="en-GB" w:eastAsia="zh-TW"/>
        </w:rPr>
      </w:pPr>
      <w:bookmarkStart w:id="6" w:name="_Toc485025635"/>
      <w:bookmarkStart w:id="7" w:name="_Toc485026219"/>
      <w:bookmarkStart w:id="8" w:name="_Toc485026297"/>
      <w:r>
        <w:rPr>
          <w:rtl/>
          <w:lang w:val="en-GB" w:eastAsia="zh-TW"/>
        </w:rPr>
        <w:tab/>
        <w:t>ألف-</w:t>
      </w:r>
      <w:r>
        <w:rPr>
          <w:rtl/>
          <w:lang w:val="en-GB" w:eastAsia="zh-TW"/>
        </w:rPr>
        <w:tab/>
        <w:t>الخصائص الجغرافية</w:t>
      </w:r>
      <w:bookmarkEnd w:id="6"/>
      <w:bookmarkEnd w:id="7"/>
      <w:bookmarkEnd w:id="8"/>
    </w:p>
    <w:p w:rsidR="00182560" w:rsidRPr="007B7245" w:rsidRDefault="00182560" w:rsidP="00182560">
      <w:pPr>
        <w:pStyle w:val="SingleTxtGA"/>
        <w:rPr>
          <w:rtl/>
          <w:lang w:val="en-GB" w:eastAsia="zh-TW"/>
        </w:rPr>
      </w:pPr>
      <w:r>
        <w:rPr>
          <w:rtl/>
          <w:lang w:val="en-GB" w:eastAsia="zh-TW"/>
        </w:rPr>
        <w:t>١-</w:t>
      </w:r>
      <w:r w:rsidR="007C22C8">
        <w:rPr>
          <w:rtl/>
          <w:lang w:val="en-GB" w:eastAsia="zh-TW"/>
        </w:rPr>
        <w:tab/>
      </w:r>
      <w:r>
        <w:rPr>
          <w:rtl/>
          <w:lang w:val="en-GB" w:eastAsia="zh-TW"/>
        </w:rPr>
        <w:t>النيجر بلد غير ساحلي يقع شرق أفريقيا الغربية في منط</w:t>
      </w:r>
      <w:r w:rsidR="007C22C8">
        <w:rPr>
          <w:rtl/>
          <w:lang w:val="en-GB" w:eastAsia="zh-TW"/>
        </w:rPr>
        <w:t>قة الصحراء الكبرى، وتبلغ مساحته</w:t>
      </w:r>
      <w:r w:rsidR="007C22C8">
        <w:rPr>
          <w:rFonts w:hint="cs"/>
          <w:rtl/>
          <w:lang w:val="en-GB" w:eastAsia="zh-TW"/>
        </w:rPr>
        <w:t> </w:t>
      </w:r>
      <w:r>
        <w:rPr>
          <w:rtl/>
          <w:lang w:val="en-GB" w:eastAsia="zh-TW"/>
        </w:rPr>
        <w:t>000 267 1 كيلومتر مربع.</w:t>
      </w:r>
      <w:r>
        <w:rPr>
          <w:rFonts w:hint="cs"/>
          <w:rtl/>
          <w:lang w:val="en-GB" w:eastAsia="zh-TW"/>
        </w:rPr>
        <w:t xml:space="preserve"> </w:t>
      </w:r>
      <w:r>
        <w:rPr>
          <w:rtl/>
          <w:lang w:val="en-GB" w:eastAsia="zh-TW"/>
        </w:rPr>
        <w:t>وتشكل المنطقة الصحراوية ثلثي مساحة أراضيه.</w:t>
      </w:r>
    </w:p>
    <w:p w:rsidR="00182560" w:rsidRPr="007B7245" w:rsidRDefault="00182560" w:rsidP="00182560">
      <w:pPr>
        <w:pStyle w:val="SingleTxtGA"/>
        <w:rPr>
          <w:rtl/>
          <w:lang w:val="en-GB" w:eastAsia="zh-TW"/>
        </w:rPr>
      </w:pPr>
      <w:r>
        <w:rPr>
          <w:rtl/>
          <w:lang w:val="en-GB" w:eastAsia="zh-TW"/>
        </w:rPr>
        <w:t>٢-</w:t>
      </w:r>
      <w:r w:rsidR="007C22C8">
        <w:rPr>
          <w:rtl/>
          <w:lang w:val="en-GB" w:eastAsia="zh-TW"/>
        </w:rPr>
        <w:tab/>
      </w:r>
      <w:r>
        <w:rPr>
          <w:rtl/>
          <w:lang w:val="en-GB" w:eastAsia="zh-TW"/>
        </w:rPr>
        <w:t>وتحد النيجر من الشمال الجزائر وليبيا، ومن الجنوب نيجيريا وبنن، ومن الشرق تشاد، ومن الغرب مالي وبوركينا فاسو.</w:t>
      </w:r>
    </w:p>
    <w:p w:rsidR="00182560" w:rsidRPr="007B7245" w:rsidRDefault="00182560" w:rsidP="00182560">
      <w:pPr>
        <w:pStyle w:val="SingleTxtGA"/>
        <w:rPr>
          <w:rtl/>
          <w:lang w:val="en-GB" w:eastAsia="zh-TW"/>
        </w:rPr>
      </w:pPr>
      <w:r>
        <w:rPr>
          <w:rtl/>
          <w:lang w:val="en-GB" w:eastAsia="zh-TW"/>
        </w:rPr>
        <w:t>٣-</w:t>
      </w:r>
      <w:r w:rsidR="007C22C8">
        <w:rPr>
          <w:rtl/>
          <w:lang w:val="en-GB" w:eastAsia="zh-TW"/>
        </w:rPr>
        <w:tab/>
      </w:r>
      <w:r>
        <w:rPr>
          <w:rtl/>
          <w:lang w:val="en-GB" w:eastAsia="zh-TW"/>
        </w:rPr>
        <w:t>وتتألف الشبكة المائية من نهر النيجر وواديي كومادوغو يوبي وغولبي مارادي وبحيرة تشاد وبحيرتي مادارونفا وغيديموني والعديد من البرك الدائمة وشبه الدائمة.</w:t>
      </w:r>
      <w:r>
        <w:rPr>
          <w:rFonts w:hint="cs"/>
          <w:rtl/>
          <w:lang w:val="en-GB" w:eastAsia="zh-TW"/>
        </w:rPr>
        <w:t xml:space="preserve"> </w:t>
      </w:r>
      <w:r>
        <w:rPr>
          <w:rtl/>
          <w:lang w:val="en-GB" w:eastAsia="zh-TW"/>
        </w:rPr>
        <w:t>بيد أن تراكم الطمي في نهر النيجر وانخفاض منسوبه من التحديات الرئيسية التي تواجه البلد.</w:t>
      </w:r>
    </w:p>
    <w:p w:rsidR="00182560" w:rsidRPr="007B7245" w:rsidRDefault="00182560" w:rsidP="00182560">
      <w:pPr>
        <w:pStyle w:val="SingleTxtGA"/>
        <w:rPr>
          <w:rtl/>
          <w:lang w:val="en-GB" w:eastAsia="zh-TW"/>
        </w:rPr>
      </w:pPr>
      <w:r>
        <w:rPr>
          <w:rtl/>
          <w:lang w:val="en-GB" w:eastAsia="zh-TW"/>
        </w:rPr>
        <w:t>٤-</w:t>
      </w:r>
      <w:r w:rsidR="007C22C8">
        <w:rPr>
          <w:rtl/>
          <w:lang w:val="en-GB" w:eastAsia="zh-TW"/>
        </w:rPr>
        <w:tab/>
      </w:r>
      <w:r>
        <w:rPr>
          <w:rFonts w:hint="cs"/>
          <w:rtl/>
          <w:lang w:val="en-GB" w:eastAsia="zh-TW"/>
        </w:rPr>
        <w:t>و</w:t>
      </w:r>
      <w:r>
        <w:rPr>
          <w:rtl/>
          <w:lang w:val="en-GB" w:eastAsia="zh-TW"/>
        </w:rPr>
        <w:t>يواجه النيجر</w:t>
      </w:r>
      <w:r>
        <w:rPr>
          <w:rFonts w:hint="cs"/>
          <w:rtl/>
          <w:lang w:val="en-GB" w:eastAsia="zh-TW"/>
        </w:rPr>
        <w:t xml:space="preserve"> أيضاً</w:t>
      </w:r>
      <w:r>
        <w:rPr>
          <w:rtl/>
          <w:lang w:val="en-GB" w:eastAsia="zh-TW"/>
        </w:rPr>
        <w:t>، وهو من البلدان المتخلفة، التصحر وتدهور الموارد البيئية نتيجة النشاط البشري وتغير المناخ.</w:t>
      </w:r>
      <w:r>
        <w:rPr>
          <w:rFonts w:hint="cs"/>
          <w:rtl/>
          <w:lang w:val="en-GB" w:eastAsia="zh-TW"/>
        </w:rPr>
        <w:t xml:space="preserve"> </w:t>
      </w:r>
      <w:r>
        <w:rPr>
          <w:rtl/>
          <w:lang w:val="en-GB" w:eastAsia="zh-TW"/>
        </w:rPr>
        <w:t>ويجري تصريف النفايات الصناعية في الأنهار والتربة والجو، مما يؤدي إلى تلويث البيئة.</w:t>
      </w:r>
      <w:r>
        <w:rPr>
          <w:rFonts w:hint="cs"/>
          <w:rtl/>
          <w:lang w:val="en-GB" w:eastAsia="zh-TW"/>
        </w:rPr>
        <w:t xml:space="preserve"> </w:t>
      </w:r>
      <w:r>
        <w:rPr>
          <w:rtl/>
          <w:lang w:val="en-GB" w:eastAsia="zh-TW"/>
        </w:rPr>
        <w:t>وقد سُجلت هذه الحالات خصوصا</w:t>
      </w:r>
      <w:r w:rsidR="00030610">
        <w:rPr>
          <w:rFonts w:hint="cs"/>
          <w:rtl/>
          <w:lang w:val="en-GB" w:eastAsia="zh-TW"/>
        </w:rPr>
        <w:t>ً</w:t>
      </w:r>
      <w:r>
        <w:rPr>
          <w:rtl/>
          <w:lang w:val="en-GB" w:eastAsia="zh-TW"/>
        </w:rPr>
        <w:t xml:space="preserve"> في مدن أرليت وأكوكان وأغاديز ونيامي.</w:t>
      </w:r>
    </w:p>
    <w:p w:rsidR="00182560" w:rsidRPr="007B7245" w:rsidRDefault="00182560" w:rsidP="00182560">
      <w:pPr>
        <w:pStyle w:val="SingleTxtGA"/>
        <w:rPr>
          <w:rtl/>
          <w:lang w:val="en-GB" w:eastAsia="zh-TW"/>
        </w:rPr>
      </w:pPr>
      <w:r>
        <w:rPr>
          <w:rtl/>
          <w:lang w:val="en-GB" w:eastAsia="zh-TW"/>
        </w:rPr>
        <w:t>٥-</w:t>
      </w:r>
      <w:r w:rsidR="007C22C8">
        <w:rPr>
          <w:rtl/>
          <w:lang w:val="en-GB" w:eastAsia="zh-TW"/>
        </w:rPr>
        <w:tab/>
      </w:r>
      <w:r>
        <w:rPr>
          <w:rtl/>
          <w:lang w:val="en-GB" w:eastAsia="zh-TW"/>
        </w:rPr>
        <w:t>وفيما يتعلق بمرافق الصرف الصحي، بينت الدراسة الاستقصائية الديمغرافية والصحية المتعددة المؤشرات أن نسبة الأسر المعيشية التي كانت تمتلك دور</w:t>
      </w:r>
      <w:r w:rsidR="007C22C8">
        <w:rPr>
          <w:rtl/>
          <w:lang w:val="en-GB" w:eastAsia="zh-TW"/>
        </w:rPr>
        <w:t>ات مياه ملائمة في عام 2012 بلغت</w:t>
      </w:r>
      <w:r w:rsidR="007C22C8">
        <w:rPr>
          <w:rFonts w:hint="cs"/>
          <w:rtl/>
          <w:lang w:val="en-GB" w:eastAsia="zh-TW"/>
        </w:rPr>
        <w:t> </w:t>
      </w:r>
      <w:r>
        <w:rPr>
          <w:rtl/>
          <w:lang w:val="en-GB" w:eastAsia="zh-TW"/>
        </w:rPr>
        <w:t>9 في المائة على الصعيد الوطني، ووصلت هذه النسبة في المناطق الحضرية إلى 34 في المائة وفي المناطق الريفية إلى 4 في المائة.</w:t>
      </w:r>
      <w:r>
        <w:rPr>
          <w:rFonts w:hint="cs"/>
          <w:rtl/>
          <w:lang w:val="en-GB" w:eastAsia="zh-TW"/>
        </w:rPr>
        <w:t xml:space="preserve"> </w:t>
      </w:r>
      <w:r>
        <w:rPr>
          <w:rtl/>
          <w:lang w:val="en-GB" w:eastAsia="zh-TW"/>
        </w:rPr>
        <w:t>ولا يزال تصريف المياه المستعملة ومياه الأمطار وإدارة النفايات المنزلية من المسائل التي تشكل مصدر قلق بالغ بالنسبة للبلد.</w:t>
      </w:r>
    </w:p>
    <w:p w:rsidR="00182560" w:rsidRPr="00D9346A" w:rsidRDefault="00182560" w:rsidP="009155C9">
      <w:pPr>
        <w:pStyle w:val="H1GA"/>
        <w:rPr>
          <w:rtl/>
          <w:lang w:val="en-GB" w:eastAsia="zh-TW"/>
        </w:rPr>
      </w:pPr>
      <w:bookmarkStart w:id="9" w:name="_Toc485025636"/>
      <w:bookmarkStart w:id="10" w:name="_Toc485026220"/>
      <w:bookmarkStart w:id="11" w:name="_Toc485026298"/>
      <w:r>
        <w:rPr>
          <w:rtl/>
          <w:lang w:val="en-GB" w:eastAsia="zh-TW"/>
        </w:rPr>
        <w:tab/>
        <w:t>باء-</w:t>
      </w:r>
      <w:r>
        <w:rPr>
          <w:rtl/>
          <w:lang w:val="en-GB" w:eastAsia="zh-TW"/>
        </w:rPr>
        <w:tab/>
        <w:t>الخصائص الديمغرافية والاجتماعية والثقافية</w:t>
      </w:r>
      <w:bookmarkEnd w:id="9"/>
      <w:bookmarkEnd w:id="10"/>
      <w:bookmarkEnd w:id="11"/>
    </w:p>
    <w:p w:rsidR="00182560" w:rsidRPr="00C126A2" w:rsidRDefault="00182560" w:rsidP="00182560">
      <w:pPr>
        <w:pStyle w:val="SingleTxtGA"/>
        <w:rPr>
          <w:rtl/>
          <w:lang w:val="en-GB" w:eastAsia="zh-TW"/>
        </w:rPr>
      </w:pPr>
      <w:r>
        <w:rPr>
          <w:rtl/>
          <w:lang w:val="en-GB" w:eastAsia="zh-TW"/>
        </w:rPr>
        <w:t>٦-</w:t>
      </w:r>
      <w:r w:rsidR="007C22C8">
        <w:rPr>
          <w:rtl/>
          <w:lang w:val="en-GB" w:eastAsia="zh-TW"/>
        </w:rPr>
        <w:tab/>
      </w:r>
      <w:r>
        <w:rPr>
          <w:rtl/>
          <w:lang w:val="en-GB" w:eastAsia="zh-TW"/>
        </w:rPr>
        <w:t>يقدر عدد سكان النيجر بحوالي 076 129 17 نسمة (</w:t>
      </w:r>
      <w:r w:rsidR="007C3A46">
        <w:rPr>
          <w:rtl/>
          <w:lang w:val="en-GB" w:eastAsia="zh-TW"/>
        </w:rPr>
        <w:t>وفقاً</w:t>
      </w:r>
      <w:r>
        <w:rPr>
          <w:rtl/>
          <w:lang w:val="en-GB" w:eastAsia="zh-TW"/>
        </w:rPr>
        <w:t xml:space="preserve"> للتعداد العام للسكان والمساكن لعام 2012).</w:t>
      </w:r>
      <w:r>
        <w:rPr>
          <w:rFonts w:hint="cs"/>
          <w:rtl/>
          <w:lang w:val="en-GB" w:eastAsia="zh-TW"/>
        </w:rPr>
        <w:t xml:space="preserve"> </w:t>
      </w:r>
      <w:r>
        <w:rPr>
          <w:rtl/>
          <w:lang w:val="en-GB" w:eastAsia="zh-TW"/>
        </w:rPr>
        <w:t>ويشكل الأطفال الذين تقل أعمارهم عن 18 عاماً 56 في المائة من السكان (اليونيسيف، 2012).</w:t>
      </w:r>
      <w:r w:rsidR="007C22C8">
        <w:rPr>
          <w:rFonts w:hint="cs"/>
          <w:rtl/>
          <w:lang w:val="en-GB" w:eastAsia="zh-TW"/>
        </w:rPr>
        <w:t xml:space="preserve"> </w:t>
      </w:r>
      <w:r>
        <w:rPr>
          <w:rtl/>
          <w:lang w:val="en-GB" w:eastAsia="zh-TW"/>
        </w:rPr>
        <w:t>وتبلغ نسبة السكان الريفيين 80 في المائة من مجموع السكان، ولا يتجاوز العمر المتوقع عند الولادة 58.4 سنوات. أما معدل نمو سكان النيجر، الذي يقدر بنسبة 3.9 في المائة، فهو أحد أعلى المعدلات في العالم في سياق يتسم بتدني مستوى التنمية البشرية.</w:t>
      </w:r>
      <w:r>
        <w:rPr>
          <w:rFonts w:hint="cs"/>
          <w:rtl/>
          <w:lang w:val="en-GB" w:eastAsia="zh-TW"/>
        </w:rPr>
        <w:t xml:space="preserve"> </w:t>
      </w:r>
      <w:r>
        <w:rPr>
          <w:rtl/>
          <w:lang w:val="en-GB" w:eastAsia="zh-TW"/>
        </w:rPr>
        <w:t>ويؤدي هذا النمو السريع للسكان إلى تضاعف عدد السكان كل 18 عاماً.</w:t>
      </w:r>
    </w:p>
    <w:p w:rsidR="00182560" w:rsidRDefault="00182560" w:rsidP="00182560">
      <w:pPr>
        <w:pStyle w:val="SingleTxtGA"/>
        <w:rPr>
          <w:rtl/>
          <w:lang w:val="en-GB" w:eastAsia="zh-TW"/>
        </w:rPr>
      </w:pPr>
      <w:r>
        <w:rPr>
          <w:rtl/>
          <w:lang w:val="en-GB" w:eastAsia="zh-TW"/>
        </w:rPr>
        <w:t>٧-</w:t>
      </w:r>
      <w:r w:rsidR="007C22C8">
        <w:rPr>
          <w:rtl/>
          <w:lang w:val="en-GB" w:eastAsia="zh-TW"/>
        </w:rPr>
        <w:tab/>
      </w:r>
      <w:r>
        <w:rPr>
          <w:rtl/>
          <w:lang w:val="en-GB" w:eastAsia="zh-TW"/>
        </w:rPr>
        <w:t>وينتمي سكان النيجر إلى قوميات مختلفة تتألف من تسع مجموعات إثنية متعايشة في وئام،</w:t>
      </w:r>
      <w:r>
        <w:rPr>
          <w:rFonts w:hint="cs"/>
          <w:rtl/>
          <w:lang w:val="en-GB" w:eastAsia="zh-TW"/>
        </w:rPr>
        <w:t xml:space="preserve"> </w:t>
      </w:r>
      <w:r>
        <w:rPr>
          <w:rtl/>
          <w:lang w:val="en-GB" w:eastAsia="zh-TW"/>
        </w:rPr>
        <w:t>وهي الهاوسا، والجيرما، والطوارق، والفولانيون، والعرب، والكانوري، والتوبو، والغورمانتشي، والبودوما.</w:t>
      </w:r>
      <w:r>
        <w:rPr>
          <w:rFonts w:hint="cs"/>
          <w:rtl/>
          <w:lang w:val="en-GB" w:eastAsia="zh-TW"/>
        </w:rPr>
        <w:t xml:space="preserve"> </w:t>
      </w:r>
      <w:r>
        <w:rPr>
          <w:rtl/>
          <w:lang w:val="en-GB" w:eastAsia="zh-TW"/>
        </w:rPr>
        <w:t>غير أن هؤلاء السكان لا يتوزعون بالتساوي بين مناطق البلد الثماني.</w:t>
      </w:r>
      <w:r>
        <w:rPr>
          <w:rFonts w:hint="cs"/>
          <w:rtl/>
          <w:lang w:val="en-GB" w:eastAsia="zh-TW"/>
        </w:rPr>
        <w:t xml:space="preserve"> </w:t>
      </w:r>
      <w:r>
        <w:rPr>
          <w:rtl/>
          <w:lang w:val="en-GB" w:eastAsia="zh-TW"/>
        </w:rPr>
        <w:t>فأوسع تلك المناطق، وهي أغاديز، تشغل 53 في المائة من مجموع مسا</w:t>
      </w:r>
      <w:r w:rsidR="007C22C8">
        <w:rPr>
          <w:rtl/>
          <w:lang w:val="en-GB" w:eastAsia="zh-TW"/>
        </w:rPr>
        <w:t>حة التراب الوطني ولا يقطنها سوى</w:t>
      </w:r>
      <w:r w:rsidR="007C22C8">
        <w:rPr>
          <w:rFonts w:hint="cs"/>
          <w:rtl/>
          <w:lang w:val="en-GB" w:eastAsia="zh-TW"/>
        </w:rPr>
        <w:t> </w:t>
      </w:r>
      <w:r>
        <w:rPr>
          <w:rtl/>
          <w:lang w:val="en-GB" w:eastAsia="zh-TW"/>
        </w:rPr>
        <w:t>2.8 في المائة من مجموع السكان.</w:t>
      </w:r>
      <w:r>
        <w:rPr>
          <w:rFonts w:hint="cs"/>
          <w:rtl/>
          <w:lang w:val="en-GB" w:eastAsia="zh-TW"/>
        </w:rPr>
        <w:t xml:space="preserve"> </w:t>
      </w:r>
      <w:r>
        <w:rPr>
          <w:rtl/>
          <w:lang w:val="en-GB" w:eastAsia="zh-TW"/>
        </w:rPr>
        <w:t>أما أصغرها، وهي منطقة نيامي، فيسكنها ٣٧ في المائة من سكان الحضر.</w:t>
      </w:r>
    </w:p>
    <w:p w:rsidR="00182560" w:rsidRPr="006E40E2" w:rsidRDefault="006E40E2" w:rsidP="006E40E2">
      <w:pPr>
        <w:pStyle w:val="SingleTxtGA"/>
        <w:rPr>
          <w:b/>
          <w:bCs/>
          <w:rtl/>
          <w:lang w:val="en-GB" w:eastAsia="zh-TW"/>
        </w:rPr>
      </w:pPr>
      <w:r>
        <w:rPr>
          <w:rtl/>
          <w:lang w:val="en-GB" w:eastAsia="zh-TW"/>
        </w:rPr>
        <w:lastRenderedPageBreak/>
        <w:t>جدول رقم 1</w:t>
      </w:r>
      <w:r>
        <w:rPr>
          <w:rtl/>
          <w:lang w:val="en-GB" w:eastAsia="zh-TW"/>
        </w:rPr>
        <w:tab/>
      </w:r>
      <w:r>
        <w:rPr>
          <w:rtl/>
          <w:lang w:val="en-GB" w:eastAsia="zh-TW"/>
        </w:rPr>
        <w:br/>
      </w:r>
      <w:r w:rsidR="00182560" w:rsidRPr="006E40E2">
        <w:rPr>
          <w:b/>
          <w:bCs/>
          <w:rtl/>
          <w:lang w:val="en-GB" w:eastAsia="zh-TW"/>
        </w:rPr>
        <w:t>عرض النتائج الأولية الرئيسية للتعداد العام الرابع للسكان والمساكن</w:t>
      </w:r>
      <w:r w:rsidR="007C22C8" w:rsidRPr="006E40E2">
        <w:rPr>
          <w:b/>
          <w:bCs/>
          <w:rtl/>
          <w:lang w:val="en-GB" w:eastAsia="zh-TW"/>
        </w:rPr>
        <w:t xml:space="preserve"> لعام</w:t>
      </w:r>
      <w:r w:rsidR="007C22C8" w:rsidRPr="006E40E2">
        <w:rPr>
          <w:rFonts w:hint="cs"/>
          <w:b/>
          <w:bCs/>
          <w:rtl/>
          <w:lang w:val="en-GB" w:eastAsia="zh-TW"/>
        </w:rPr>
        <w:t> </w:t>
      </w:r>
      <w:r w:rsidR="00182560" w:rsidRPr="006E40E2">
        <w:rPr>
          <w:b/>
          <w:bCs/>
          <w:rtl/>
          <w:lang w:val="en-GB" w:eastAsia="zh-TW"/>
        </w:rPr>
        <w:t>2012 حسب المنطقة والمحافظة</w:t>
      </w:r>
    </w:p>
    <w:tbl>
      <w:tblPr>
        <w:bidiVisual/>
        <w:tblW w:w="9618" w:type="dxa"/>
        <w:tblLayout w:type="fixed"/>
        <w:tblCellMar>
          <w:left w:w="0" w:type="dxa"/>
          <w:right w:w="0" w:type="dxa"/>
        </w:tblCellMar>
        <w:tblLook w:val="04A0" w:firstRow="1" w:lastRow="0" w:firstColumn="1" w:lastColumn="0" w:noHBand="0" w:noVBand="1"/>
      </w:tblPr>
      <w:tblGrid>
        <w:gridCol w:w="1157"/>
        <w:gridCol w:w="1260"/>
        <w:gridCol w:w="1358"/>
        <w:gridCol w:w="1250"/>
        <w:gridCol w:w="1186"/>
        <w:gridCol w:w="1148"/>
        <w:gridCol w:w="1134"/>
        <w:gridCol w:w="1125"/>
      </w:tblGrid>
      <w:tr w:rsidR="00182560" w:rsidRPr="005B3462" w:rsidTr="00CC43D4">
        <w:trPr>
          <w:tblHeader/>
        </w:trPr>
        <w:tc>
          <w:tcPr>
            <w:tcW w:w="1157" w:type="dxa"/>
            <w:vMerge w:val="restart"/>
            <w:tcBorders>
              <w:top w:val="single" w:sz="4" w:space="0" w:color="auto"/>
              <w:bottom w:val="single" w:sz="12" w:space="0" w:color="auto"/>
            </w:tcBorders>
            <w:vAlign w:val="bottom"/>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المنطقة/المحافظة</w:t>
            </w:r>
          </w:p>
        </w:tc>
        <w:tc>
          <w:tcPr>
            <w:tcW w:w="1260" w:type="dxa"/>
            <w:vMerge w:val="restart"/>
            <w:tcBorders>
              <w:top w:val="single" w:sz="4" w:space="0" w:color="auto"/>
            </w:tcBorders>
            <w:noWrap/>
            <w:vAlign w:val="bottom"/>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
                <w:iCs/>
                <w:sz w:val="24"/>
                <w:szCs w:val="24"/>
                <w:rtl/>
                <w:lang w:val="en-GB" w:eastAsia="zh-TW"/>
              </w:rPr>
            </w:pPr>
            <w:r w:rsidRPr="005B3462">
              <w:rPr>
                <w:rFonts w:ascii="Traditional Arabic" w:hAnsi="Traditional Arabic"/>
                <w:b/>
                <w:bCs/>
                <w:i/>
                <w:iCs/>
                <w:sz w:val="24"/>
                <w:szCs w:val="24"/>
                <w:rtl/>
                <w:lang w:val="en-GB" w:eastAsia="zh-TW"/>
              </w:rPr>
              <w:t>١٩٨٨</w:t>
            </w:r>
          </w:p>
        </w:tc>
        <w:tc>
          <w:tcPr>
            <w:tcW w:w="1358" w:type="dxa"/>
            <w:vMerge w:val="restart"/>
            <w:tcBorders>
              <w:top w:val="single" w:sz="4" w:space="0" w:color="auto"/>
            </w:tcBorders>
            <w:noWrap/>
            <w:vAlign w:val="bottom"/>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
                <w:iCs/>
                <w:sz w:val="24"/>
                <w:szCs w:val="24"/>
                <w:rtl/>
                <w:lang w:val="en-GB" w:eastAsia="zh-TW"/>
              </w:rPr>
            </w:pPr>
            <w:r w:rsidRPr="005B3462">
              <w:rPr>
                <w:rFonts w:ascii="Traditional Arabic" w:hAnsi="Traditional Arabic"/>
                <w:b/>
                <w:bCs/>
                <w:i/>
                <w:iCs/>
                <w:sz w:val="24"/>
                <w:szCs w:val="24"/>
                <w:rtl/>
                <w:lang w:val="en-GB" w:eastAsia="zh-TW"/>
              </w:rPr>
              <w:t>٢٠٠١</w:t>
            </w:r>
          </w:p>
        </w:tc>
        <w:tc>
          <w:tcPr>
            <w:tcW w:w="3584" w:type="dxa"/>
            <w:gridSpan w:val="3"/>
            <w:tcBorders>
              <w:top w:val="single" w:sz="4" w:space="0" w:color="auto"/>
              <w:bottom w:val="single" w:sz="4" w:space="0" w:color="auto"/>
            </w:tcBorders>
            <w:noWrap/>
            <w:vAlign w:val="bottom"/>
          </w:tcPr>
          <w:p w:rsidR="00182560" w:rsidRPr="005B3462" w:rsidRDefault="00182560" w:rsidP="00925C89">
            <w:pPr>
              <w:adjustRightInd w:val="0"/>
              <w:snapToGrid w:val="0"/>
              <w:spacing w:before="40" w:after="40" w:line="280" w:lineRule="exact"/>
              <w:ind w:left="57" w:right="57"/>
              <w:jc w:val="center"/>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الفترة المرجعية</w:t>
            </w:r>
          </w:p>
        </w:tc>
        <w:tc>
          <w:tcPr>
            <w:tcW w:w="1134" w:type="dxa"/>
            <w:vMerge w:val="restart"/>
            <w:tcBorders>
              <w:top w:val="single" w:sz="4" w:space="0" w:color="auto"/>
            </w:tcBorders>
            <w:vAlign w:val="bottom"/>
          </w:tcPr>
          <w:p w:rsidR="00182560" w:rsidRPr="005B3462" w:rsidRDefault="00182560" w:rsidP="006E40E2">
            <w:pPr>
              <w:adjustRightInd w:val="0"/>
              <w:snapToGrid w:val="0"/>
              <w:spacing w:before="40" w:after="40" w:line="280" w:lineRule="exact"/>
              <w:ind w:left="57" w:right="57"/>
              <w:rPr>
                <w:rFonts w:ascii="Traditional Arabic" w:hAnsi="Traditional Arabic"/>
                <w:bCs/>
                <w:i/>
                <w:iCs/>
                <w:sz w:val="24"/>
                <w:szCs w:val="24"/>
                <w:lang w:eastAsia="fr-FR"/>
              </w:rPr>
            </w:pPr>
          </w:p>
        </w:tc>
        <w:tc>
          <w:tcPr>
            <w:tcW w:w="1125" w:type="dxa"/>
            <w:vMerge w:val="restart"/>
            <w:tcBorders>
              <w:top w:val="single" w:sz="4" w:space="0" w:color="auto"/>
            </w:tcBorders>
            <w:vAlign w:val="bottom"/>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معدل متوسط النمو السنوي فيما بين التعدادات (٪)</w:t>
            </w:r>
          </w:p>
        </w:tc>
      </w:tr>
      <w:tr w:rsidR="00182560" w:rsidRPr="005B3462" w:rsidTr="00CC43D4">
        <w:trPr>
          <w:tblHeader/>
        </w:trPr>
        <w:tc>
          <w:tcPr>
            <w:tcW w:w="1157" w:type="dxa"/>
            <w:vMerge/>
            <w:tcBorders>
              <w:top w:val="single" w:sz="12" w:space="0" w:color="auto"/>
            </w:tcBorders>
            <w:vAlign w:val="bottom"/>
            <w:hideMark/>
          </w:tcPr>
          <w:p w:rsidR="00182560" w:rsidRPr="005B3462" w:rsidRDefault="00182560" w:rsidP="006E40E2">
            <w:pPr>
              <w:adjustRightInd w:val="0"/>
              <w:snapToGrid w:val="0"/>
              <w:spacing w:before="40" w:after="40" w:line="280" w:lineRule="exact"/>
              <w:ind w:left="57" w:right="57"/>
              <w:rPr>
                <w:rFonts w:ascii="Traditional Arabic" w:hAnsi="Traditional Arabic"/>
                <w:bCs/>
                <w:i/>
                <w:iCs/>
                <w:sz w:val="24"/>
                <w:szCs w:val="24"/>
                <w:lang w:eastAsia="fr-FR"/>
              </w:rPr>
            </w:pPr>
          </w:p>
        </w:tc>
        <w:tc>
          <w:tcPr>
            <w:tcW w:w="1260" w:type="dxa"/>
            <w:vMerge/>
            <w:tcBorders>
              <w:bottom w:val="single" w:sz="4" w:space="0" w:color="auto"/>
            </w:tcBorders>
            <w:noWrap/>
            <w:vAlign w:val="bottom"/>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i/>
                <w:iCs/>
                <w:sz w:val="24"/>
                <w:szCs w:val="24"/>
                <w:lang w:eastAsia="fr-FR"/>
              </w:rPr>
            </w:pPr>
          </w:p>
        </w:tc>
        <w:tc>
          <w:tcPr>
            <w:tcW w:w="1358" w:type="dxa"/>
            <w:vMerge/>
            <w:tcBorders>
              <w:bottom w:val="single" w:sz="4" w:space="0" w:color="auto"/>
            </w:tcBorders>
            <w:noWrap/>
            <w:vAlign w:val="bottom"/>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i/>
                <w:iCs/>
                <w:sz w:val="24"/>
                <w:szCs w:val="24"/>
                <w:lang w:eastAsia="fr-FR"/>
              </w:rPr>
            </w:pPr>
          </w:p>
        </w:tc>
        <w:tc>
          <w:tcPr>
            <w:tcW w:w="3584" w:type="dxa"/>
            <w:gridSpan w:val="3"/>
            <w:tcBorders>
              <w:top w:val="single" w:sz="4" w:space="0" w:color="auto"/>
              <w:bottom w:val="single" w:sz="4" w:space="0" w:color="auto"/>
            </w:tcBorders>
            <w:noWrap/>
            <w:vAlign w:val="bottom"/>
            <w:hideMark/>
          </w:tcPr>
          <w:p w:rsidR="00182560" w:rsidRPr="005B3462" w:rsidRDefault="00182560" w:rsidP="00925C89">
            <w:pPr>
              <w:adjustRightInd w:val="0"/>
              <w:snapToGrid w:val="0"/>
              <w:spacing w:before="40" w:after="40" w:line="280" w:lineRule="exact"/>
              <w:ind w:left="57" w:right="57"/>
              <w:jc w:val="center"/>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٢٠١٢</w:t>
            </w:r>
          </w:p>
        </w:tc>
        <w:tc>
          <w:tcPr>
            <w:tcW w:w="1134" w:type="dxa"/>
            <w:vMerge/>
            <w:tcBorders>
              <w:bottom w:val="single" w:sz="4" w:space="0" w:color="auto"/>
            </w:tcBorders>
            <w:vAlign w:val="bottom"/>
            <w:hideMark/>
          </w:tcPr>
          <w:p w:rsidR="00182560" w:rsidRPr="005B3462" w:rsidRDefault="00182560" w:rsidP="006E40E2">
            <w:pPr>
              <w:adjustRightInd w:val="0"/>
              <w:snapToGrid w:val="0"/>
              <w:spacing w:before="40" w:after="40" w:line="280" w:lineRule="exact"/>
              <w:ind w:left="57" w:right="57"/>
              <w:rPr>
                <w:rFonts w:ascii="Traditional Arabic" w:hAnsi="Traditional Arabic"/>
                <w:bCs/>
                <w:i/>
                <w:iCs/>
                <w:sz w:val="24"/>
                <w:szCs w:val="24"/>
                <w:lang w:eastAsia="fr-FR"/>
              </w:rPr>
            </w:pPr>
          </w:p>
        </w:tc>
        <w:tc>
          <w:tcPr>
            <w:tcW w:w="1125" w:type="dxa"/>
            <w:vMerge/>
            <w:tcBorders>
              <w:bottom w:val="single" w:sz="4" w:space="0" w:color="auto"/>
            </w:tcBorders>
            <w:vAlign w:val="bottom"/>
            <w:hideMark/>
          </w:tcPr>
          <w:p w:rsidR="00182560" w:rsidRPr="005B3462" w:rsidRDefault="00182560" w:rsidP="006E40E2">
            <w:pPr>
              <w:adjustRightInd w:val="0"/>
              <w:snapToGrid w:val="0"/>
              <w:spacing w:before="40" w:after="40" w:line="280" w:lineRule="exact"/>
              <w:ind w:left="57" w:right="57"/>
              <w:rPr>
                <w:rFonts w:ascii="Traditional Arabic" w:hAnsi="Traditional Arabic"/>
                <w:bCs/>
                <w:i/>
                <w:iCs/>
                <w:sz w:val="24"/>
                <w:szCs w:val="24"/>
                <w:lang w:eastAsia="fr-FR"/>
              </w:rPr>
            </w:pPr>
          </w:p>
        </w:tc>
      </w:tr>
      <w:tr w:rsidR="00182560" w:rsidRPr="005B3462" w:rsidTr="00CC43D4">
        <w:trPr>
          <w:tblHeader/>
        </w:trPr>
        <w:tc>
          <w:tcPr>
            <w:tcW w:w="1157" w:type="dxa"/>
            <w:vMerge/>
            <w:tcBorders>
              <w:bottom w:val="single" w:sz="12" w:space="0" w:color="auto"/>
            </w:tcBorders>
            <w:vAlign w:val="bottom"/>
            <w:hideMark/>
          </w:tcPr>
          <w:p w:rsidR="00182560" w:rsidRPr="005B3462" w:rsidRDefault="00182560" w:rsidP="006E40E2">
            <w:pPr>
              <w:adjustRightInd w:val="0"/>
              <w:snapToGrid w:val="0"/>
              <w:spacing w:before="40" w:after="40" w:line="280" w:lineRule="exact"/>
              <w:ind w:left="57" w:right="57"/>
              <w:rPr>
                <w:rFonts w:ascii="Traditional Arabic" w:hAnsi="Traditional Arabic"/>
                <w:bCs/>
                <w:i/>
                <w:iCs/>
                <w:sz w:val="24"/>
                <w:szCs w:val="24"/>
                <w:lang w:eastAsia="fr-FR"/>
              </w:rPr>
            </w:pPr>
          </w:p>
        </w:tc>
        <w:tc>
          <w:tcPr>
            <w:tcW w:w="1260" w:type="dxa"/>
            <w:tcBorders>
              <w:top w:val="single" w:sz="4" w:space="0" w:color="auto"/>
              <w:bottom w:val="single" w:sz="12" w:space="0" w:color="auto"/>
            </w:tcBorders>
            <w:noWrap/>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
                <w:iCs/>
                <w:sz w:val="24"/>
                <w:szCs w:val="24"/>
                <w:rtl/>
                <w:lang w:val="en-GB" w:eastAsia="zh-TW"/>
              </w:rPr>
            </w:pPr>
            <w:r w:rsidRPr="005B3462">
              <w:rPr>
                <w:rFonts w:ascii="Traditional Arabic" w:hAnsi="Traditional Arabic"/>
                <w:b/>
                <w:bCs/>
                <w:i/>
                <w:iCs/>
                <w:sz w:val="24"/>
                <w:szCs w:val="24"/>
                <w:rtl/>
                <w:lang w:val="en-GB" w:eastAsia="zh-TW"/>
              </w:rPr>
              <w:t>المجموع</w:t>
            </w:r>
          </w:p>
        </w:tc>
        <w:tc>
          <w:tcPr>
            <w:tcW w:w="1358" w:type="dxa"/>
            <w:tcBorders>
              <w:top w:val="single" w:sz="4" w:space="0" w:color="auto"/>
              <w:bottom w:val="single" w:sz="12" w:space="0" w:color="auto"/>
            </w:tcBorders>
            <w:noWrap/>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
                <w:iCs/>
                <w:sz w:val="24"/>
                <w:szCs w:val="24"/>
                <w:rtl/>
                <w:lang w:val="en-GB" w:eastAsia="zh-TW"/>
              </w:rPr>
            </w:pPr>
            <w:r w:rsidRPr="005B3462">
              <w:rPr>
                <w:rFonts w:ascii="Traditional Arabic" w:hAnsi="Traditional Arabic"/>
                <w:b/>
                <w:bCs/>
                <w:i/>
                <w:iCs/>
                <w:sz w:val="24"/>
                <w:szCs w:val="24"/>
                <w:rtl/>
                <w:lang w:val="en-GB" w:eastAsia="zh-TW"/>
              </w:rPr>
              <w:t>المجموع</w:t>
            </w:r>
          </w:p>
        </w:tc>
        <w:tc>
          <w:tcPr>
            <w:tcW w:w="1250" w:type="dxa"/>
            <w:tcBorders>
              <w:top w:val="single" w:sz="4" w:space="0" w:color="auto"/>
              <w:bottom w:val="single" w:sz="12" w:space="0" w:color="auto"/>
            </w:tcBorders>
            <w:noWrap/>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
                <w:iCs/>
                <w:sz w:val="24"/>
                <w:szCs w:val="24"/>
                <w:rtl/>
                <w:lang w:val="en-GB" w:eastAsia="zh-TW"/>
              </w:rPr>
            </w:pPr>
            <w:r w:rsidRPr="005B3462">
              <w:rPr>
                <w:rFonts w:ascii="Traditional Arabic" w:hAnsi="Traditional Arabic"/>
                <w:b/>
                <w:bCs/>
                <w:i/>
                <w:iCs/>
                <w:sz w:val="24"/>
                <w:szCs w:val="24"/>
                <w:rtl/>
                <w:lang w:val="en-GB" w:eastAsia="zh-TW"/>
              </w:rPr>
              <w:t>المجموع</w:t>
            </w:r>
          </w:p>
        </w:tc>
        <w:tc>
          <w:tcPr>
            <w:tcW w:w="1186" w:type="dxa"/>
            <w:tcBorders>
              <w:top w:val="single" w:sz="4" w:space="0" w:color="auto"/>
              <w:bottom w:val="single" w:sz="12" w:space="0" w:color="auto"/>
            </w:tcBorders>
            <w:noWrap/>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الذكور</w:t>
            </w:r>
          </w:p>
        </w:tc>
        <w:tc>
          <w:tcPr>
            <w:tcW w:w="1148" w:type="dxa"/>
            <w:tcBorders>
              <w:top w:val="single" w:sz="4" w:space="0" w:color="auto"/>
              <w:bottom w:val="single" w:sz="12" w:space="0" w:color="auto"/>
            </w:tcBorders>
            <w:noWrap/>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الإناث</w:t>
            </w:r>
          </w:p>
        </w:tc>
        <w:tc>
          <w:tcPr>
            <w:tcW w:w="1134" w:type="dxa"/>
            <w:tcBorders>
              <w:top w:val="single" w:sz="4" w:space="0" w:color="auto"/>
              <w:bottom w:val="single" w:sz="12" w:space="0" w:color="auto"/>
            </w:tcBorders>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١٩٨٨-٢٠٠١</w:t>
            </w:r>
          </w:p>
        </w:tc>
        <w:tc>
          <w:tcPr>
            <w:tcW w:w="1125" w:type="dxa"/>
            <w:tcBorders>
              <w:top w:val="single" w:sz="4" w:space="0" w:color="auto"/>
              <w:bottom w:val="single" w:sz="12" w:space="0" w:color="auto"/>
            </w:tcBorders>
            <w:vAlign w:val="bottom"/>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
                <w:iCs/>
                <w:sz w:val="24"/>
                <w:szCs w:val="24"/>
                <w:rtl/>
                <w:lang w:val="en-GB" w:eastAsia="zh-TW"/>
              </w:rPr>
            </w:pPr>
            <w:r w:rsidRPr="005B3462">
              <w:rPr>
                <w:rFonts w:ascii="Traditional Arabic" w:hAnsi="Traditional Arabic"/>
                <w:i/>
                <w:iCs/>
                <w:sz w:val="24"/>
                <w:szCs w:val="24"/>
                <w:rtl/>
                <w:lang w:val="en-GB" w:eastAsia="zh-TW"/>
              </w:rPr>
              <w:t>٢٠٠١-٢٠١٢</w:t>
            </w:r>
          </w:p>
        </w:tc>
      </w:tr>
      <w:tr w:rsidR="00182560" w:rsidRPr="005B3462" w:rsidTr="00CC43D4">
        <w:tc>
          <w:tcPr>
            <w:tcW w:w="1157"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منطقة أغاديز</w:t>
            </w:r>
          </w:p>
        </w:tc>
        <w:tc>
          <w:tcPr>
            <w:tcW w:w="1260"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٨٢٨ ٢٠٨</w:t>
            </w:r>
          </w:p>
        </w:tc>
        <w:tc>
          <w:tcPr>
            <w:tcW w:w="1358"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٦٣٩ ٣٢١</w:t>
            </w:r>
          </w:p>
        </w:tc>
        <w:tc>
          <w:tcPr>
            <w:tcW w:w="1250"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٩٨٢ ٤٨١</w:t>
            </w:r>
          </w:p>
        </w:tc>
        <w:tc>
          <w:tcPr>
            <w:tcW w:w="1186"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٦٩٩ ٢٤٤</w:t>
            </w:r>
          </w:p>
        </w:tc>
        <w:tc>
          <w:tcPr>
            <w:tcW w:w="1148"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٢٨٣ ٢٣٧</w:t>
            </w:r>
          </w:p>
        </w:tc>
        <w:tc>
          <w:tcPr>
            <w:tcW w:w="1134"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٣,٤</w:t>
            </w:r>
          </w:p>
        </w:tc>
        <w:tc>
          <w:tcPr>
            <w:tcW w:w="1125" w:type="dxa"/>
            <w:tcBorders>
              <w:top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5B3462">
              <w:rPr>
                <w:rFonts w:ascii="Traditional Arabic" w:hAnsi="Traditional Arabic"/>
                <w:b/>
                <w:bCs/>
                <w:sz w:val="24"/>
                <w:szCs w:val="24"/>
                <w:rtl/>
                <w:lang w:val="en-GB" w:eastAsia="zh-TW"/>
              </w:rPr>
              <w:t>٣,٦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آرليت</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٩٧٩ ٦٨</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١٧٠ ٩٨</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٣٦٩ ١٠٣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٢٤٦ ٥٣</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١٢٣ ٥٠</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بيلما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٩٢٨ ٨</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٠٨٠ ١٧</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٤٥٩ ١٧</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٤٥٨ 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٠٠١ ٩</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٠,٢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تشيروزيرين</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٩٢١ ١٣٠</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٣٨٩ ٢٠٦</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٠٠٧ ٢٤١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٧٨٥ ١٢١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٢٢٢ ١١٩</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٣,٦</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٤,١</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آدربيسينات</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٤٦٥ ٣٥</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٣٥٨ ١٨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١٠٧ ١٧</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r w:rsidRPr="005B3462">
              <w:rPr>
                <w:rFonts w:ascii="Traditional Arabic" w:hAnsi="Traditional Arabic"/>
                <w:sz w:val="24"/>
                <w:szCs w:val="24"/>
                <w:lang w:eastAsia="fr-FR"/>
              </w:rPr>
              <w:t> </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٤,١</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إيفروان</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٨٦٤ ٣٢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٠١٨ ١٦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٨٤٦ ١٦</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r w:rsidRPr="005B3462">
              <w:rPr>
                <w:rFonts w:ascii="Traditional Arabic" w:hAnsi="Traditional Arabic"/>
                <w:sz w:val="24"/>
                <w:szCs w:val="24"/>
                <w:lang w:eastAsia="fr-FR"/>
              </w:rPr>
              <w:t> </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إينغال</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٨١٨ ٥١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٨٣٤ ٢٦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٩٨٤ ٢٤</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r w:rsidRPr="005B3462">
              <w:rPr>
                <w:rFonts w:ascii="Traditional Arabic" w:hAnsi="Traditional Arabic"/>
                <w:sz w:val="24"/>
                <w:szCs w:val="24"/>
                <w:lang w:eastAsia="fr-FR"/>
              </w:rPr>
              <w:t> </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٤,١</w:t>
            </w:r>
          </w:p>
        </w:tc>
      </w:tr>
      <w:tr w:rsidR="00182560" w:rsidRPr="005B3462" w:rsidTr="00CC43D4">
        <w:tc>
          <w:tcPr>
            <w:tcW w:w="1157"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منطقة ديفا</w:t>
            </w:r>
          </w:p>
        </w:tc>
        <w:tc>
          <w:tcPr>
            <w:tcW w:w="1260"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٠٩١ ١٨٩</w:t>
            </w:r>
          </w:p>
        </w:tc>
        <w:tc>
          <w:tcPr>
            <w:tcW w:w="1358"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٥٩٥ ٣٤٦</w:t>
            </w:r>
          </w:p>
        </w:tc>
        <w:tc>
          <w:tcPr>
            <w:tcW w:w="1250"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٧٨٨ ٥٩١</w:t>
            </w:r>
          </w:p>
        </w:tc>
        <w:tc>
          <w:tcPr>
            <w:tcW w:w="1186"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٩٣٤ ٣٠٠</w:t>
            </w:r>
          </w:p>
        </w:tc>
        <w:tc>
          <w:tcPr>
            <w:tcW w:w="1148"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٨٥٤ ٢٩٠</w:t>
            </w:r>
          </w:p>
        </w:tc>
        <w:tc>
          <w:tcPr>
            <w:tcW w:w="1134"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214463">
              <w:rPr>
                <w:rFonts w:ascii="Traditional Arabic" w:hAnsi="Traditional Arabic"/>
                <w:b/>
                <w:bCs/>
                <w:sz w:val="24"/>
                <w:szCs w:val="24"/>
                <w:rtl/>
                <w:lang w:val="en-GB" w:eastAsia="zh-TW"/>
              </w:rPr>
              <w:t>٤,٨</w:t>
            </w:r>
          </w:p>
        </w:tc>
        <w:tc>
          <w:tcPr>
            <w:tcW w:w="1125" w:type="dxa"/>
            <w:noWrap/>
            <w:hideMark/>
          </w:tcPr>
          <w:p w:rsidR="00182560" w:rsidRPr="00214463"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214463">
              <w:rPr>
                <w:rFonts w:ascii="Traditional Arabic" w:hAnsi="Traditional Arabic"/>
                <w:b/>
                <w:bCs/>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ديفا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٨٥٢ ٧٦</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١٥١ ١٤٨</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٢١١ ١٥٥</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٩٣٦ ٧٧</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٢٧٥ ٧٧</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٥,٢</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٤,٠</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مان سوروا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٤١٤ ٨٣</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٣٩٧ ١٤٣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٠٠٠ ١٣٣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٧٦٠ ٦٧</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٢٤٠ ٦٥</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٤,٣</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نغيغمي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٨٢٥ ٢٨</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٠٤٧ ٥٥</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٠٧٣ ٧٣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٠٥١ ٣٧</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٠٢٢ ٣٦</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٧,٤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بوسو</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٠٣٨ ٧٨</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٣٦١ ٤٠</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٦٧٧ ٣٧</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r w:rsidRPr="005B3462">
              <w:rPr>
                <w:rFonts w:ascii="Traditional Arabic" w:hAnsi="Traditional Arabic"/>
                <w:sz w:val="24"/>
                <w:szCs w:val="24"/>
                <w:lang w:eastAsia="fr-FR"/>
              </w:rPr>
              <w:t> </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٤,٠</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غودوماريا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٤٠٩ ١٠٠</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١٠٠ ٥١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٣٠٩ ٤٩</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r w:rsidRPr="005B3462">
              <w:rPr>
                <w:rFonts w:ascii="Traditional Arabic" w:hAnsi="Traditional Arabic"/>
                <w:sz w:val="24"/>
                <w:szCs w:val="24"/>
                <w:lang w:eastAsia="fr-FR"/>
              </w:rPr>
              <w:t> </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نغورتي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٠٥٧ ٥٢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٧٢٦ ٢٦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٣٣١ ٢٥</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r w:rsidRPr="005B3462">
              <w:rPr>
                <w:rFonts w:ascii="Traditional Arabic" w:hAnsi="Traditional Arabic"/>
                <w:sz w:val="24"/>
                <w:szCs w:val="24"/>
                <w:lang w:eastAsia="fr-FR"/>
              </w:rPr>
              <w:t> </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٧,٤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منطقة دوسو</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٨٩٥ ٠١٨ ١</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٨٦٤ ٥٠٥ ١</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٦٩٩ ٠٤٠ 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٦٤١ ٩٩٩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٠٥٨ ٠٤١ 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5B3462">
              <w:rPr>
                <w:rFonts w:ascii="Traditional Arabic" w:hAnsi="Traditional Arabic"/>
                <w:b/>
                <w:bCs/>
                <w:sz w:val="24"/>
                <w:szCs w:val="24"/>
                <w:rtl/>
                <w:lang w:val="en-GB" w:eastAsia="zh-TW"/>
              </w:rPr>
              <w:t>٢,٧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بوبوي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٩٢٣ ٢٠٥</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١٨٨ ٢٧٠</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٠٧٠ ٢٥٣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٧١١ ١٢١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٣٥٩ ١٣١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دوغوندوتشي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٦٠٧ ٣١٤</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٣٥٤ ٤٩٤</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٠٧٨ ٣٧١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٤٨٧ ١٨٢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٥٩١ ١٨٨</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٣,٥</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دوسو</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٤٧٢ ٢٤٦</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٩٥٠ ٣٥٣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٣٢٨ ٤٩٥</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١٧٥ ٢٤٢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١٥٣ ٢٥٣</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غايا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٣٠٥ ١٦٤</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٤٤٤ ٢٥٣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٦٩٣ ٢٦١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٩٠٩ ١٢٨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٧٨٤ ١٣٢</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٣,٤</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لوغا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٥٨٨ ٨٧</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٩٢٨ ١٣٣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٦٧٣ ١٧٦</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٨٠٠ ٨٥</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٨٧٣ ٩٠</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٣,٣</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ديونديو</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٦٥٤ ١٠٩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٦٨٣ ٥٤</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٩٧١ ٥٤</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فالمي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٨٥٠ ١٠٣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٩٤٧ ٥٠</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٩٠٣ ٥٢</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تيبيري (دوتشي)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٣٥٣ ٢٦٩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٩٢٩ ١٣٢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٤٢٤ ١٣٦</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منطقة مارادي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٤٣٣ ٣٨٩ ١</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٥٧٠ ٢٣٥ ٢</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٦٤٥ ٤٠٤ 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٨٨٠ ٦٦٢ 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٧٦٥ ٧٤١ 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5B3462">
              <w:rPr>
                <w:rFonts w:ascii="Traditional Arabic" w:hAnsi="Traditional Arabic"/>
                <w:b/>
                <w:bCs/>
                <w:sz w:val="24"/>
                <w:szCs w:val="24"/>
                <w:rtl/>
                <w:lang w:val="en-GB" w:eastAsia="zh-TW"/>
              </w:rPr>
              <w:t>٣,٧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آغوي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٩٦٠ ١٧٢</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٩٣٨ ٢٧٦</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١٦٠ ٢٤٦</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٢٢٤ ١١٩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٩٣٦ ١٢٦</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داكورو</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٠٩٨ ٢٥٨</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٩٢٥ ٤٣٤</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٤٢٩ ٦٣١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٦٢٣ ٣١٠</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٨٠٦ ٣٢٠</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٤,٠</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غيدان رومدجي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٦١٠ ٢١٠</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٣٢١ ٣٤٨</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٤٠٦ ٥٢٤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٧٩٨ ٢٥٤</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٦٠٨ ٢٦٩</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٣,٩</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مادارونفا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٢١٦ ٣٠٦</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٤٣١ ٤٣٩</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٩٠٦ ٤٤٩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١١٧ ٢١٨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٧٨٩ ٢٣١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ماياهي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٨١٢ ٢٢٧</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٢٥٤ ٣٩٢</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٠٠٩ ٥٥٩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٧٦٢ ٢٦٨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٢٤٧ ٢٩٠</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٤,٣</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٣,١</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تيساوا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٧٣٧ ٢١٣</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٧٠١ ٣٤٣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٢٢٧ ٥١٦</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٠٣٥ ٢٥٢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١٩٢ ٢٦٤</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بيرمو</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١٢١ ٥٢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٧٢٥ ٢٦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٣٩٦ ٢٥</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٤,٠</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lastRenderedPageBreak/>
              <w:t>غازاوا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٤٩٠ ١٦٠</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٤٦٣ ٧٨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٠٢٧ ٨٢</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٣,٤</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مدينة مارادي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٨٩٧ ٢٦٤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١٣٣ ١٣٤</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٧٦٤ ١٣٠</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منطقة تاهوا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٥٩٨ ٣٠٨ ١</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٩٠٧ ٩٧٢ ١</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٢٦٠ ٣٢٧ 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٤٤٧ ٦٤٧ 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٨١٣ ٦٧٩ 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٣,٢</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5B3462">
              <w:rPr>
                <w:rFonts w:ascii="Traditional Arabic" w:hAnsi="Traditional Arabic"/>
                <w:b/>
                <w:bCs/>
                <w:sz w:val="24"/>
                <w:szCs w:val="24"/>
                <w:rtl/>
                <w:lang w:val="en-GB" w:eastAsia="zh-TW"/>
              </w:rPr>
              <w:t>٤,٦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أبالاك</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٩٥٥ ٨٠</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٩١٤ ٢٥٥</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٦١٠ ١٣١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٣٠٤ ١٢٤</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٠,٤</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١٠,٥</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برنين كوني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٨٧٩ ٢٥٣</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١٧٦ ٣٦٣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٧٨٢ ٣١٣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٧٠٧ ١٥٦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٠٧٥ ١٥٧</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بوزا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٨٠٥ ١٨٠</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٧٨٢ ٢٧٧</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٦٥٩ ٤٤٥</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٧٥٤ ٢١٩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٩٠٥ ٢٢٥</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٣,٤</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إيليلا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٠٨٠ ١٧٥</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٨٣٢ ٢٦٣</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٧٥٥ ٣٣٤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٨٤٤ ١٦٥</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٩١١ ١٦٨</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٣,٢</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٣,٨</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كيتا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٦٧٥ ١٥٩</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٣٣٧ ٢١٨</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٦٣٥ ٣٣٧</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٥٣٣ ١٦٤</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١٠٢ ١٧٣</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٢,٤</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٣,٨</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ماداوا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٠٢٥ ٢١٤</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٣٧٤ ٣١٩</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٢١٥ ٥٤٤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٩٤٩ ٢٧١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٢٦٦ ٢٧٢</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تاهوا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١٨٤ ٢٤٠</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٩٩٤ ٣٥٩</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٢٩٥ ٤٣٤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٠٩٠ ٢٠٨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٢٠٥ ٢٢٦</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٣,٢</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تشينتابارادن</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٩٥٠ ٨٤</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٤٥٧ ٨٩</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٥٩٨ ١٤٣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٦٨٤ ٧١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٩١٤ ٧١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٠,٤</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٧,٥</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باغاروا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٦٩٢ ٧٣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٧٠٩ ٣٥</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٩٨٣ ٣٧</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٣,٨</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مالبازا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٩٩٢ ٢٣٢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٩٨٠ ١١٦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٠١٢ ١١٦</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تاسارا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٣٦٥ ٢٤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٤٥٤ ١٢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٩١١ ١١</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٧,٥</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تيليا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٠٦٧ ٣٩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٨٣٨ ١٩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٢٢٩ ١٩</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٧,٥</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مدينة تاهوا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٢٩١ ١٤٧</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٢٩٥ ٧٢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٩٩٦ ٧٤</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منطقة تيلابيري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٢٨٣ ٣٢٨ ١</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٤٣٦ ٨٧٢ ١</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١٨٦ ٧١٥ 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٣٣٩ ٣٣٤ 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٨٤٧ ٣٨٠ 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5B3462">
              <w:rPr>
                <w:rFonts w:ascii="Traditional Arabic" w:hAnsi="Traditional Arabic"/>
                <w:b/>
                <w:bCs/>
                <w:sz w:val="24"/>
                <w:szCs w:val="24"/>
                <w:rtl/>
                <w:lang w:val="en-GB" w:eastAsia="zh-TW"/>
              </w:rPr>
              <w:t>٣,٢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فيلينغي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٩٧٧ ٢٨٥</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٣٣٤ ٤٠٦</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٢٤٤ ٣٠٦</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٩٤٤ ١٥٠</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٣٠٠ ١٥٥</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كولو</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٥٨٨ ٢٣٤</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٦٢٧ ٣٠٨</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٣٠٣ ٤٦٥</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٣٥٢ ٢٣٠</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٩٥١ ٢٣٤</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٣,١</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والام</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١٧١ ١٩٠</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٨٢١ ٢٨١</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٩٣٩ ٣٢٣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٧٨٧ ١٥٦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١٥٢ ١٦٧</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٣,١</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٢,٨</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ساي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٣٧٦ ١٦٣</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٤٦٠ ٢٣٢</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٢١١ ١٧٤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٣٢٣ ٨٧</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٨٨٨ ٨٦</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طيرا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٩٦٩ ٢٩٥</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٨٢٤ ٤٢٥</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٤٣٣ ٣٣٧</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٩٣٢ ١٦٤</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٥٠١ ١٧٢</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تيلابيري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٢٠٢ ١٥٨</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٣٧٠ ٢١٧</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٧٦٥ ٢٢٦</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٤٨٥ ١٠٩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٢٨٠ ١١٧</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٢,٥</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أبالا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٨١٢ ١٣٩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١٣٤ ٦٨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٦٧٨ ٧١</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آيرو</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٢٠١ ٥٤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٥٢٥ ٢٦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٦٧٦ ٢٧</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٢,٢</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باليارا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٣٦٦ ١٠٨</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٧٦٩ ٥١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٥٩٧ ٥٦</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بانيبانغو</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٨٤٤ ٦٣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٧٠٠ ٣١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١٤٤ ٣٢</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٢,٨</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بانكيلار</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٥٤٣ ٨٤</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٥٤٦ ٤٢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٩٩٧ ٤١</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غوثاي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٤٠١ ٢٤١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٢٣٩ ١١٨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١٦٢ ١٢٣</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تورودي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١٢٤ ١٨٩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٦٠٣ ٩٥</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٥٢١ ٩٣</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٣,٩</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منطقة زيندر</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٠٦١ ٤١١ ١</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٢٥٠ ٠٨٠ ٢</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٢٣٩ ٥٥٦ ٣</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٠٤٥ ٧٧٠ 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١٩٤ ٧٨٦ 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٣,٠</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iCs/>
                <w:sz w:val="24"/>
                <w:szCs w:val="24"/>
                <w:rtl/>
                <w:lang w:val="en-GB" w:eastAsia="zh-TW"/>
              </w:rPr>
            </w:pPr>
            <w:r w:rsidRPr="005B3462">
              <w:rPr>
                <w:rFonts w:ascii="Traditional Arabic" w:hAnsi="Traditional Arabic"/>
                <w:b/>
                <w:bCs/>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غور</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٢٧٥ ١٦٢</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٤٠٠ ٢٢٧</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٢٧٨ ٣٣٢</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٣٤٦ ١٦٧</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٩٣٢ ١٦٤</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٢,٦</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ماغاريا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١٥٣ ٣٥٥</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٨٧٤ ٤٩٦</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١٨١ ٥٧٩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٦٦٣ ٢٨٦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٥١٨ ٢٩٢</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٢,٦</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٥,٦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متاميي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١٠٧ ١٦٤</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٤٩٦ ٢٤٦</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٠١٢ ٤٠١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٦٥٠ ١٩٦</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٣٦٢ ٢٠٤</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٣,٢</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ميريا</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٦٩٥ ٥٣٦</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٦٣٨ ٧٧٠</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١٦٥ ٥٠٦</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٥٩٣ ٢٥٢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٥٧٢ ٢٥٣</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lastRenderedPageBreak/>
              <w:t>تانو</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٨٣١ ١٩٢</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٨٤٢ ٣٣٨</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٧٤١ ٤٣٩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٠٤٦ ٢١٨</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٦٩٥ ٢٢١</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٤,٤</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٤,١</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بيلبيدجي</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٤٨٤ ٩٧</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٠٠٨ ٤٩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٤٧٦ ٤٨</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٤,١</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داماغارام تاكايا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٩٦١ ٢٤٠</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٧٩٠ ١١٩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١٧١ ١٢١</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دونغاس</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٤٤٤ ٣٥٠</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٢٨٩ ١٧٥</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١٥٥ ١٧٥</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٥,٦</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تاكيتا</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٠٣٦ ٢٤٩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٩٥١ ١٢٢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٠٨٥ ١٢٦</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تسكر</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٣٨</w:t>
            </w:r>
            <w:r w:rsidR="00112819">
              <w:rPr>
                <w:rFonts w:ascii="Traditional Arabic" w:hAnsi="Traditional Arabic" w:hint="cs"/>
                <w:b/>
                <w:bCs/>
                <w:sz w:val="24"/>
                <w:szCs w:val="24"/>
                <w:rtl/>
                <w:lang w:val="en-GB" w:eastAsia="zh-TW"/>
              </w:rPr>
              <w:t> </w:t>
            </w:r>
            <w:r w:rsidRPr="005B3462">
              <w:rPr>
                <w:rFonts w:ascii="Traditional Arabic" w:hAnsi="Traditional Arabic"/>
                <w:b/>
                <w:bCs/>
                <w:sz w:val="24"/>
                <w:szCs w:val="24"/>
                <w:rtl/>
                <w:lang w:val="en-GB" w:eastAsia="zh-TW"/>
              </w:rPr>
              <w:t>١٢٨</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٦٧٦ ١٩</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٤٥٢ ١٨</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٤,٣</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مدينة زندر</w:t>
            </w:r>
          </w:p>
        </w:tc>
        <w:tc>
          <w:tcPr>
            <w:tcW w:w="1260"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358"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b/>
                <w:bCs/>
                <w:sz w:val="24"/>
                <w:szCs w:val="24"/>
                <w:lang w:eastAsia="fr-FR"/>
              </w:rPr>
            </w:pPr>
            <w:r w:rsidRPr="005B3462">
              <w:rPr>
                <w:rFonts w:ascii="Traditional Arabic" w:hAnsi="Traditional Arabic"/>
                <w:b/>
                <w:bCs/>
                <w:sz w:val="24"/>
                <w:szCs w:val="24"/>
                <w:lang w:eastAsia="fr-FR"/>
              </w:rPr>
              <w:t> </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٣٢١</w:t>
            </w:r>
            <w:r w:rsidR="00112819">
              <w:rPr>
                <w:rFonts w:ascii="Traditional Arabic" w:hAnsi="Traditional Arabic" w:hint="cs"/>
                <w:b/>
                <w:bCs/>
                <w:sz w:val="24"/>
                <w:szCs w:val="24"/>
                <w:rtl/>
                <w:lang w:val="en-GB" w:eastAsia="zh-TW"/>
              </w:rPr>
              <w:t> </w:t>
            </w:r>
            <w:r w:rsidRPr="005B3462">
              <w:rPr>
                <w:rFonts w:ascii="Traditional Arabic" w:hAnsi="Traditional Arabic"/>
                <w:b/>
                <w:bCs/>
                <w:sz w:val="24"/>
                <w:szCs w:val="24"/>
                <w:rtl/>
                <w:lang w:val="en-GB" w:eastAsia="zh-TW"/>
              </w:rPr>
              <w:t>٨٠٩</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٠٣٣ ١٦٢</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sz w:val="24"/>
                <w:szCs w:val="24"/>
                <w:rtl/>
                <w:lang w:val="en-GB" w:eastAsia="zh-TW"/>
              </w:rPr>
            </w:pPr>
            <w:r w:rsidRPr="005B3462">
              <w:rPr>
                <w:rFonts w:ascii="Traditional Arabic" w:hAnsi="Traditional Arabic"/>
                <w:sz w:val="24"/>
                <w:szCs w:val="24"/>
                <w:rtl/>
                <w:lang w:val="en-GB" w:eastAsia="zh-TW"/>
              </w:rPr>
              <w:t>٧٧٦ ١٥٩</w:t>
            </w:r>
          </w:p>
        </w:tc>
        <w:tc>
          <w:tcPr>
            <w:tcW w:w="1134" w:type="dxa"/>
            <w:noWrap/>
            <w:hideMark/>
          </w:tcPr>
          <w:p w:rsidR="00182560" w:rsidRPr="005B3462" w:rsidRDefault="00182560" w:rsidP="006E40E2">
            <w:pPr>
              <w:adjustRightInd w:val="0"/>
              <w:snapToGrid w:val="0"/>
              <w:spacing w:before="40" w:after="40" w:line="280" w:lineRule="exact"/>
              <w:ind w:left="57" w:right="57"/>
              <w:rPr>
                <w:rFonts w:ascii="Traditional Arabic" w:hAnsi="Traditional Arabic"/>
                <w:sz w:val="24"/>
                <w:szCs w:val="24"/>
                <w:lang w:eastAsia="fr-FR"/>
              </w:rPr>
            </w:pP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iCs/>
                <w:sz w:val="24"/>
                <w:szCs w:val="24"/>
                <w:rtl/>
                <w:lang w:val="en-GB" w:eastAsia="zh-TW"/>
              </w:rPr>
            </w:pPr>
            <w:r w:rsidRPr="005B3462">
              <w:rPr>
                <w:rFonts w:ascii="Traditional Arabic" w:hAnsi="Traditional Arabic"/>
                <w:sz w:val="24"/>
                <w:szCs w:val="24"/>
                <w:rtl/>
                <w:lang w:val="en-GB" w:eastAsia="zh-TW"/>
              </w:rPr>
              <w:t>٤,٧</w:t>
            </w:r>
          </w:p>
        </w:tc>
      </w:tr>
      <w:tr w:rsidR="00182560" w:rsidRPr="005B3462" w:rsidTr="00CC43D4">
        <w:tc>
          <w:tcPr>
            <w:tcW w:w="1157"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sz w:val="24"/>
                <w:szCs w:val="24"/>
                <w:rtl/>
                <w:lang w:val="en-GB" w:eastAsia="zh-TW"/>
              </w:rPr>
            </w:pPr>
            <w:r w:rsidRPr="005B3462">
              <w:rPr>
                <w:rFonts w:ascii="Traditional Arabic" w:hAnsi="Traditional Arabic"/>
                <w:sz w:val="24"/>
                <w:szCs w:val="24"/>
                <w:rtl/>
                <w:lang w:val="en-GB" w:eastAsia="zh-TW"/>
              </w:rPr>
              <w:t>مدينة نيامي</w:t>
            </w:r>
          </w:p>
        </w:tc>
        <w:tc>
          <w:tcPr>
            <w:tcW w:w="126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٤٣٧ ٣٩٧</w:t>
            </w:r>
          </w:p>
        </w:tc>
        <w:tc>
          <w:tcPr>
            <w:tcW w:w="135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٠٣٠ ٧٢٥</w:t>
            </w:r>
          </w:p>
        </w:tc>
        <w:tc>
          <w:tcPr>
            <w:tcW w:w="1250"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٢٧٧ ٠١١ ١</w:t>
            </w:r>
          </w:p>
        </w:tc>
        <w:tc>
          <w:tcPr>
            <w:tcW w:w="1186"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sz w:val="24"/>
                <w:szCs w:val="24"/>
                <w:rtl/>
                <w:lang w:val="en-GB" w:eastAsia="zh-TW"/>
              </w:rPr>
            </w:pPr>
            <w:r w:rsidRPr="005B3462">
              <w:rPr>
                <w:rFonts w:ascii="Traditional Arabic" w:hAnsi="Traditional Arabic"/>
                <w:sz w:val="24"/>
                <w:szCs w:val="24"/>
                <w:rtl/>
                <w:lang w:val="en-GB" w:eastAsia="zh-TW"/>
              </w:rPr>
              <w:t>٤٥٩ ٥٠١</w:t>
            </w:r>
          </w:p>
        </w:tc>
        <w:tc>
          <w:tcPr>
            <w:tcW w:w="1148"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sz w:val="24"/>
                <w:szCs w:val="24"/>
                <w:rtl/>
                <w:lang w:val="en-GB" w:eastAsia="zh-TW"/>
              </w:rPr>
            </w:pPr>
            <w:r w:rsidRPr="005B3462">
              <w:rPr>
                <w:rFonts w:ascii="Traditional Arabic" w:hAnsi="Traditional Arabic"/>
                <w:sz w:val="24"/>
                <w:szCs w:val="24"/>
                <w:rtl/>
                <w:lang w:val="en-GB" w:eastAsia="zh-TW"/>
              </w:rPr>
              <w:t>٨١٨ ٥٠٩</w:t>
            </w:r>
          </w:p>
        </w:tc>
        <w:tc>
          <w:tcPr>
            <w:tcW w:w="1134"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sz w:val="24"/>
                <w:szCs w:val="24"/>
                <w:rtl/>
                <w:lang w:val="en-GB" w:eastAsia="zh-TW"/>
              </w:rPr>
            </w:pPr>
            <w:r w:rsidRPr="005B3462">
              <w:rPr>
                <w:rFonts w:ascii="Traditional Arabic" w:hAnsi="Traditional Arabic"/>
                <w:sz w:val="24"/>
                <w:szCs w:val="24"/>
                <w:rtl/>
                <w:lang w:val="en-GB" w:eastAsia="zh-TW"/>
              </w:rPr>
              <w:t>٤,٧</w:t>
            </w:r>
          </w:p>
        </w:tc>
        <w:tc>
          <w:tcPr>
            <w:tcW w:w="1125" w:type="dxa"/>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Cs/>
                <w:iCs/>
                <w:sz w:val="24"/>
                <w:szCs w:val="24"/>
                <w:rtl/>
                <w:lang w:val="en-GB" w:eastAsia="zh-TW"/>
              </w:rPr>
            </w:pPr>
            <w:r w:rsidRPr="005B3462">
              <w:rPr>
                <w:rFonts w:ascii="Traditional Arabic" w:hAnsi="Traditional Arabic"/>
                <w:sz w:val="24"/>
                <w:szCs w:val="24"/>
                <w:rtl/>
                <w:lang w:val="en-GB" w:eastAsia="zh-TW"/>
              </w:rPr>
              <w:t>٢,٩</w:t>
            </w:r>
          </w:p>
        </w:tc>
      </w:tr>
      <w:tr w:rsidR="00182560" w:rsidRPr="005B3462" w:rsidTr="00CC43D4">
        <w:tc>
          <w:tcPr>
            <w:tcW w:w="1157" w:type="dxa"/>
            <w:tcBorders>
              <w:bottom w:val="single" w:sz="12" w:space="0" w:color="auto"/>
            </w:tcBorders>
            <w:noWrap/>
            <w:hideMark/>
          </w:tcPr>
          <w:p w:rsidR="00182560" w:rsidRPr="005B3462" w:rsidRDefault="00182560" w:rsidP="006E40E2">
            <w:pPr>
              <w:adjustRightInd w:val="0"/>
              <w:snapToGrid w:val="0"/>
              <w:spacing w:before="40" w:after="40" w:line="280" w:lineRule="exact"/>
              <w:ind w:left="57" w:right="57"/>
              <w:textDirection w:val="tbRlV"/>
              <w:rPr>
                <w:rFonts w:ascii="Traditional Arabic" w:hAnsi="Traditional Arabic"/>
                <w:b/>
                <w:bCs/>
                <w:sz w:val="24"/>
                <w:szCs w:val="24"/>
                <w:rtl/>
                <w:lang w:val="en-GB" w:eastAsia="zh-TW"/>
              </w:rPr>
            </w:pPr>
            <w:r w:rsidRPr="005B3462">
              <w:rPr>
                <w:rFonts w:ascii="Traditional Arabic" w:hAnsi="Traditional Arabic"/>
                <w:b/>
                <w:bCs/>
                <w:sz w:val="24"/>
                <w:szCs w:val="24"/>
                <w:rtl/>
                <w:lang w:val="en-GB" w:eastAsia="zh-TW"/>
              </w:rPr>
              <w:t>العدد الإجمالي</w:t>
            </w:r>
          </w:p>
        </w:tc>
        <w:tc>
          <w:tcPr>
            <w:tcW w:w="1260"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sz w:val="24"/>
                <w:szCs w:val="24"/>
                <w:lang w:eastAsia="fr-FR"/>
              </w:rPr>
            </w:pPr>
            <w:r w:rsidRPr="005B3462">
              <w:rPr>
                <w:rFonts w:ascii="Traditional Arabic" w:hAnsi="Traditional Arabic"/>
                <w:b/>
                <w:bCs/>
                <w:sz w:val="24"/>
                <w:szCs w:val="24"/>
                <w:rtl/>
                <w:lang w:val="en-GB" w:eastAsia="zh-TW"/>
              </w:rPr>
              <w:t>٦٢٦ ٢٥١ ٧</w:t>
            </w:r>
          </w:p>
        </w:tc>
        <w:tc>
          <w:tcPr>
            <w:tcW w:w="1358"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sz w:val="24"/>
                <w:szCs w:val="24"/>
                <w:lang w:eastAsia="fr-FR"/>
              </w:rPr>
            </w:pPr>
            <w:r w:rsidRPr="005B3462">
              <w:rPr>
                <w:rFonts w:ascii="Traditional Arabic" w:hAnsi="Traditional Arabic"/>
                <w:b/>
                <w:bCs/>
                <w:sz w:val="24"/>
                <w:szCs w:val="24"/>
                <w:rtl/>
                <w:lang w:val="en-GB" w:eastAsia="zh-TW"/>
              </w:rPr>
              <w:t>٢٩١ ٠٦٠ ١١</w:t>
            </w:r>
          </w:p>
        </w:tc>
        <w:tc>
          <w:tcPr>
            <w:tcW w:w="1250"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sz w:val="24"/>
                <w:szCs w:val="24"/>
                <w:lang w:eastAsia="fr-FR"/>
              </w:rPr>
            </w:pPr>
            <w:r w:rsidRPr="005B3462">
              <w:rPr>
                <w:rFonts w:ascii="Traditional Arabic" w:hAnsi="Traditional Arabic"/>
                <w:b/>
                <w:bCs/>
                <w:sz w:val="24"/>
                <w:szCs w:val="24"/>
                <w:rtl/>
                <w:lang w:val="en-GB" w:eastAsia="zh-TW"/>
              </w:rPr>
              <w:t>٠٧٦ ١٢٩ ١٧</w:t>
            </w:r>
          </w:p>
        </w:tc>
        <w:tc>
          <w:tcPr>
            <w:tcW w:w="1186"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sz w:val="24"/>
                <w:szCs w:val="24"/>
                <w:lang w:eastAsia="fr-FR"/>
              </w:rPr>
            </w:pPr>
            <w:r w:rsidRPr="005B3462">
              <w:rPr>
                <w:rFonts w:ascii="Traditional Arabic" w:hAnsi="Traditional Arabic"/>
                <w:b/>
                <w:bCs/>
                <w:sz w:val="24"/>
                <w:szCs w:val="24"/>
                <w:rtl/>
                <w:lang w:val="en-GB" w:eastAsia="zh-TW"/>
              </w:rPr>
              <w:t>٤٤٤ ٤٦١ ٨</w:t>
            </w:r>
          </w:p>
        </w:tc>
        <w:tc>
          <w:tcPr>
            <w:tcW w:w="1148"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sz w:val="24"/>
                <w:szCs w:val="24"/>
                <w:lang w:eastAsia="fr-FR"/>
              </w:rPr>
            </w:pPr>
            <w:r w:rsidRPr="005B3462">
              <w:rPr>
                <w:rFonts w:ascii="Traditional Arabic" w:hAnsi="Traditional Arabic"/>
                <w:b/>
                <w:bCs/>
                <w:sz w:val="24"/>
                <w:szCs w:val="24"/>
                <w:rtl/>
                <w:lang w:val="en-GB" w:eastAsia="zh-TW"/>
              </w:rPr>
              <w:t>٦٣٢ ٦٦٧ ٨</w:t>
            </w:r>
          </w:p>
        </w:tc>
        <w:tc>
          <w:tcPr>
            <w:tcW w:w="1134"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sz w:val="24"/>
                <w:szCs w:val="24"/>
                <w:lang w:eastAsia="fr-FR"/>
              </w:rPr>
            </w:pPr>
            <w:r w:rsidRPr="005B3462">
              <w:rPr>
                <w:rFonts w:ascii="Traditional Arabic" w:hAnsi="Traditional Arabic"/>
                <w:b/>
                <w:bCs/>
                <w:sz w:val="24"/>
                <w:szCs w:val="24"/>
                <w:rtl/>
                <w:lang w:val="en-GB" w:eastAsia="zh-TW"/>
              </w:rPr>
              <w:t>٣,٣</w:t>
            </w:r>
          </w:p>
        </w:tc>
        <w:tc>
          <w:tcPr>
            <w:tcW w:w="1125" w:type="dxa"/>
            <w:tcBorders>
              <w:bottom w:val="single" w:sz="12" w:space="0" w:color="auto"/>
            </w:tcBorders>
            <w:noWrap/>
            <w:hideMark/>
          </w:tcPr>
          <w:p w:rsidR="00182560" w:rsidRPr="005B3462" w:rsidRDefault="00182560" w:rsidP="005B3462">
            <w:pPr>
              <w:adjustRightInd w:val="0"/>
              <w:snapToGrid w:val="0"/>
              <w:spacing w:before="40" w:after="40" w:line="280" w:lineRule="exact"/>
              <w:ind w:left="57" w:right="57"/>
              <w:textDirection w:val="tbRlV"/>
              <w:rPr>
                <w:rFonts w:ascii="Traditional Arabic" w:hAnsi="Traditional Arabic"/>
                <w:b/>
                <w:bCs/>
                <w:iCs/>
                <w:sz w:val="24"/>
                <w:szCs w:val="24"/>
                <w:lang w:eastAsia="fr-FR"/>
              </w:rPr>
            </w:pPr>
            <w:r w:rsidRPr="005B3462">
              <w:rPr>
                <w:rFonts w:ascii="Traditional Arabic" w:hAnsi="Traditional Arabic"/>
                <w:b/>
                <w:bCs/>
                <w:sz w:val="24"/>
                <w:szCs w:val="24"/>
                <w:rtl/>
                <w:lang w:val="en-GB" w:eastAsia="zh-TW"/>
              </w:rPr>
              <w:t>٣,٩</w:t>
            </w:r>
          </w:p>
        </w:tc>
      </w:tr>
    </w:tbl>
    <w:p w:rsidR="00182560" w:rsidRPr="00CC43D4" w:rsidRDefault="00182560" w:rsidP="00CC43D4">
      <w:pPr>
        <w:pStyle w:val="SingleTxtGA"/>
        <w:rPr>
          <w:sz w:val="14"/>
          <w:szCs w:val="26"/>
          <w:rtl/>
          <w:lang w:val="en-GB" w:eastAsia="zh-TW"/>
        </w:rPr>
      </w:pPr>
      <w:r w:rsidRPr="00CC43D4">
        <w:rPr>
          <w:i/>
          <w:iCs/>
          <w:sz w:val="16"/>
          <w:szCs w:val="26"/>
          <w:rtl/>
          <w:lang w:val="en-GB" w:eastAsia="zh-TW"/>
        </w:rPr>
        <w:t>المصدر:</w:t>
      </w:r>
      <w:r w:rsidRPr="00CC43D4">
        <w:rPr>
          <w:sz w:val="16"/>
          <w:szCs w:val="26"/>
          <w:rtl/>
          <w:lang w:val="en-GB" w:eastAsia="zh-TW"/>
        </w:rPr>
        <w:t xml:space="preserve"> المعهد الوطني للإحصاء، 2012.</w:t>
      </w:r>
    </w:p>
    <w:p w:rsidR="00182560" w:rsidRPr="002B7393" w:rsidRDefault="00182560" w:rsidP="007C22C8">
      <w:pPr>
        <w:pStyle w:val="SingleTxtGA"/>
        <w:rPr>
          <w:rtl/>
          <w:lang w:val="en-GB" w:eastAsia="zh-TW"/>
        </w:rPr>
      </w:pPr>
      <w:r>
        <w:rPr>
          <w:rtl/>
          <w:lang w:val="en-GB" w:eastAsia="zh-TW"/>
        </w:rPr>
        <w:t>٨-</w:t>
      </w:r>
      <w:r w:rsidR="007C22C8">
        <w:rPr>
          <w:rtl/>
          <w:lang w:val="en-GB" w:eastAsia="zh-TW"/>
        </w:rPr>
        <w:tab/>
      </w:r>
      <w:r>
        <w:rPr>
          <w:rtl/>
          <w:lang w:val="en-GB" w:eastAsia="zh-TW"/>
        </w:rPr>
        <w:t>وتجدر الإشارة إلى أن جزءاً كبيراً من سكان النيجر هم من الفقراء.</w:t>
      </w:r>
      <w:r w:rsidR="00CC43D4">
        <w:rPr>
          <w:rFonts w:hint="cs"/>
          <w:rtl/>
          <w:lang w:val="en-GB" w:eastAsia="zh-TW"/>
        </w:rPr>
        <w:t xml:space="preserve"> </w:t>
      </w:r>
      <w:r>
        <w:rPr>
          <w:rtl/>
          <w:lang w:val="en-GB" w:eastAsia="zh-TW"/>
        </w:rPr>
        <w:t xml:space="preserve">فقد أظهرت الدراسة الاستقصائية عن ظروف عيش الأسر المعيشية والزراعة لعام ٢٠١١ أن </w:t>
      </w:r>
      <w:r w:rsidR="007C22C8">
        <w:rPr>
          <w:rFonts w:hint="cs"/>
          <w:rtl/>
          <w:lang w:val="en-GB" w:eastAsia="zh-TW"/>
        </w:rPr>
        <w:t xml:space="preserve">48.2 </w:t>
      </w:r>
      <w:r>
        <w:rPr>
          <w:rtl/>
          <w:lang w:val="en-GB" w:eastAsia="zh-TW"/>
        </w:rPr>
        <w:t xml:space="preserve">في المائة من السكان يعيشون تحت خط الفقر، مقارنة بنسبة ٥٩.٥ في المائة التي أشارت إليها الدراسة الاستقصائية عن الميزانية واستهلاك الأسر المعيشية التي أجراها </w:t>
      </w:r>
      <w:r w:rsidR="007C22C8">
        <w:rPr>
          <w:rtl/>
          <w:lang w:val="en-GB" w:eastAsia="zh-TW"/>
        </w:rPr>
        <w:t>المعهد الوطني للإحصاء في الفترة</w:t>
      </w:r>
      <w:r w:rsidR="007C22C8">
        <w:rPr>
          <w:rFonts w:hint="cs"/>
          <w:rtl/>
          <w:lang w:val="en-GB" w:eastAsia="zh-TW"/>
        </w:rPr>
        <w:t> </w:t>
      </w:r>
      <w:r>
        <w:rPr>
          <w:rtl/>
          <w:lang w:val="en-GB" w:eastAsia="zh-TW"/>
        </w:rPr>
        <w:t>2007-2008.</w:t>
      </w:r>
    </w:p>
    <w:p w:rsidR="00182560" w:rsidRPr="00CC43D4" w:rsidRDefault="00CC43D4" w:rsidP="00112819">
      <w:pPr>
        <w:pStyle w:val="SingleTxtGA"/>
        <w:rPr>
          <w:b/>
          <w:bCs/>
          <w:rtl/>
          <w:lang w:val="en-GB" w:eastAsia="zh-TW"/>
        </w:rPr>
      </w:pPr>
      <w:r>
        <w:rPr>
          <w:rtl/>
          <w:lang w:val="en-GB" w:eastAsia="zh-TW"/>
        </w:rPr>
        <w:t>جدول رقم 2</w:t>
      </w:r>
      <w:r>
        <w:rPr>
          <w:rtl/>
          <w:lang w:val="en-GB" w:eastAsia="zh-TW"/>
        </w:rPr>
        <w:tab/>
      </w:r>
      <w:r>
        <w:rPr>
          <w:rtl/>
          <w:lang w:val="en-GB" w:eastAsia="zh-TW"/>
        </w:rPr>
        <w:br/>
      </w:r>
      <w:r w:rsidR="00182560" w:rsidRPr="00CC43D4">
        <w:rPr>
          <w:b/>
          <w:bCs/>
          <w:rtl/>
          <w:lang w:val="en-GB" w:eastAsia="zh-TW"/>
        </w:rPr>
        <w:t>توزيع السكان بالنسبة المئوية حسب حالة الفقر وحسب المنطقة في الفترة 2005</w:t>
      </w:r>
      <w:r w:rsidR="00112819">
        <w:rPr>
          <w:rFonts w:hint="cs"/>
          <w:b/>
          <w:bCs/>
          <w:rtl/>
          <w:lang w:val="en-GB" w:eastAsia="zh-TW"/>
        </w:rPr>
        <w:t>/2011</w:t>
      </w:r>
    </w:p>
    <w:tbl>
      <w:tblPr>
        <w:bidiVisual/>
        <w:tblW w:w="0" w:type="auto"/>
        <w:tblInd w:w="10" w:type="dxa"/>
        <w:tblLayout w:type="fixed"/>
        <w:tblCellMar>
          <w:left w:w="0" w:type="dxa"/>
          <w:right w:w="0" w:type="dxa"/>
        </w:tblCellMar>
        <w:tblLook w:val="04A0" w:firstRow="1" w:lastRow="0" w:firstColumn="1" w:lastColumn="0" w:noHBand="0" w:noVBand="1"/>
      </w:tblPr>
      <w:tblGrid>
        <w:gridCol w:w="1372"/>
        <w:gridCol w:w="1106"/>
        <w:gridCol w:w="1078"/>
        <w:gridCol w:w="1397"/>
        <w:gridCol w:w="1626"/>
        <w:gridCol w:w="1498"/>
        <w:gridCol w:w="1552"/>
      </w:tblGrid>
      <w:tr w:rsidR="00182560" w:rsidRPr="00CC43D4" w:rsidTr="005D5339">
        <w:trPr>
          <w:tblHeader/>
        </w:trPr>
        <w:tc>
          <w:tcPr>
            <w:tcW w:w="1372" w:type="dxa"/>
            <w:vMerge w:val="restart"/>
            <w:tcBorders>
              <w:top w:val="single" w:sz="4"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المناطق</w:t>
            </w:r>
          </w:p>
        </w:tc>
        <w:tc>
          <w:tcPr>
            <w:tcW w:w="2184" w:type="dxa"/>
            <w:gridSpan w:val="2"/>
            <w:tcBorders>
              <w:top w:val="single" w:sz="4" w:space="0" w:color="auto"/>
              <w:bottom w:val="single" w:sz="4"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الاستبيان الموحد لمؤشرات الرفاه الأساسية 2005</w:t>
            </w:r>
          </w:p>
        </w:tc>
        <w:tc>
          <w:tcPr>
            <w:tcW w:w="3023" w:type="dxa"/>
            <w:gridSpan w:val="2"/>
            <w:tcBorders>
              <w:top w:val="single" w:sz="4" w:space="0" w:color="auto"/>
              <w:bottom w:val="single" w:sz="4" w:space="0" w:color="auto"/>
            </w:tcBorders>
            <w:vAlign w:val="bottom"/>
          </w:tcPr>
          <w:p w:rsidR="00182560" w:rsidRPr="00CC43D4" w:rsidRDefault="00182560" w:rsidP="009E2D86">
            <w:pPr>
              <w:spacing w:before="20" w:after="40" w:line="300" w:lineRule="exact"/>
              <w:ind w:left="113" w:right="113"/>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الدراسة الاستقصائية عن الميزانية واستهلاك الأسر المعيشية 2007</w:t>
            </w:r>
            <w:r w:rsidR="009E2D86">
              <w:rPr>
                <w:rFonts w:ascii="Traditional Arabic" w:hAnsi="Traditional Arabic" w:hint="cs"/>
                <w:i/>
                <w:iCs/>
                <w:sz w:val="26"/>
                <w:szCs w:val="26"/>
                <w:rtl/>
                <w:lang w:val="en-GB" w:eastAsia="zh-TW"/>
              </w:rPr>
              <w:t>/2008</w:t>
            </w:r>
          </w:p>
        </w:tc>
        <w:tc>
          <w:tcPr>
            <w:tcW w:w="3050" w:type="dxa"/>
            <w:gridSpan w:val="2"/>
            <w:tcBorders>
              <w:top w:val="single" w:sz="4" w:space="0" w:color="auto"/>
              <w:bottom w:val="single" w:sz="4"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الدراسة الاستقصائية عن ظروف عيش الأسر المعيشية والزراعة 2011</w:t>
            </w:r>
          </w:p>
        </w:tc>
      </w:tr>
      <w:tr w:rsidR="005D5339" w:rsidRPr="00CC43D4" w:rsidTr="005D5339">
        <w:tc>
          <w:tcPr>
            <w:tcW w:w="1372" w:type="dxa"/>
            <w:vMerge/>
            <w:tcBorders>
              <w:bottom w:val="single" w:sz="12" w:space="0" w:color="auto"/>
            </w:tcBorders>
          </w:tcPr>
          <w:p w:rsidR="00182560" w:rsidRPr="00CC43D4" w:rsidRDefault="00182560" w:rsidP="00CC43D4">
            <w:pPr>
              <w:spacing w:before="20" w:after="40" w:line="300" w:lineRule="exact"/>
              <w:ind w:left="57" w:right="57"/>
              <w:rPr>
                <w:rFonts w:ascii="Traditional Arabic" w:hAnsi="Traditional Arabic"/>
                <w:i/>
                <w:iCs/>
                <w:sz w:val="26"/>
                <w:szCs w:val="26"/>
              </w:rPr>
            </w:pPr>
          </w:p>
        </w:tc>
        <w:tc>
          <w:tcPr>
            <w:tcW w:w="1106"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الفقراء</w:t>
            </w:r>
          </w:p>
        </w:tc>
        <w:tc>
          <w:tcPr>
            <w:tcW w:w="1078"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غير الفقراء</w:t>
            </w:r>
          </w:p>
        </w:tc>
        <w:tc>
          <w:tcPr>
            <w:tcW w:w="1397"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الفقراء</w:t>
            </w:r>
          </w:p>
        </w:tc>
        <w:tc>
          <w:tcPr>
            <w:tcW w:w="1626"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غير الفقراء</w:t>
            </w:r>
          </w:p>
        </w:tc>
        <w:tc>
          <w:tcPr>
            <w:tcW w:w="1498"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الفقراء</w:t>
            </w:r>
          </w:p>
        </w:tc>
        <w:tc>
          <w:tcPr>
            <w:tcW w:w="1552"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i/>
                <w:iCs/>
                <w:sz w:val="26"/>
                <w:szCs w:val="26"/>
                <w:rtl/>
                <w:lang w:val="en-GB" w:eastAsia="zh-TW"/>
              </w:rPr>
            </w:pPr>
            <w:r w:rsidRPr="00CC43D4">
              <w:rPr>
                <w:rFonts w:ascii="Traditional Arabic" w:hAnsi="Traditional Arabic"/>
                <w:i/>
                <w:iCs/>
                <w:sz w:val="26"/>
                <w:szCs w:val="26"/>
                <w:rtl/>
                <w:lang w:val="en-GB" w:eastAsia="zh-TW"/>
              </w:rPr>
              <w:t>غير الفقراء</w:t>
            </w:r>
          </w:p>
        </w:tc>
      </w:tr>
      <w:tr w:rsidR="005D5339" w:rsidRPr="00CC43D4" w:rsidTr="005D5339">
        <w:tc>
          <w:tcPr>
            <w:tcW w:w="1372" w:type="dxa"/>
            <w:tcBorders>
              <w:top w:val="single" w:sz="12" w:space="0" w:color="auto"/>
            </w:tcBorders>
          </w:tcPr>
          <w:p w:rsidR="00182560" w:rsidRPr="00CC43D4" w:rsidRDefault="00CC43D4"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أغاديز</w:t>
            </w:r>
          </w:p>
        </w:tc>
        <w:tc>
          <w:tcPr>
            <w:tcW w:w="1106" w:type="dxa"/>
            <w:tcBorders>
              <w:top w:val="single" w:sz="12"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٤٥,٩</w:t>
            </w:r>
          </w:p>
        </w:tc>
        <w:tc>
          <w:tcPr>
            <w:tcW w:w="1078" w:type="dxa"/>
            <w:tcBorders>
              <w:top w:val="single" w:sz="12"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٥٤,١</w:t>
            </w:r>
          </w:p>
        </w:tc>
        <w:tc>
          <w:tcPr>
            <w:tcW w:w="1397" w:type="dxa"/>
            <w:tcBorders>
              <w:top w:val="single" w:sz="12"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١٦,١</w:t>
            </w:r>
          </w:p>
        </w:tc>
        <w:tc>
          <w:tcPr>
            <w:tcW w:w="1626" w:type="dxa"/>
            <w:tcBorders>
              <w:top w:val="single" w:sz="12"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٨٣,٩</w:t>
            </w:r>
          </w:p>
        </w:tc>
        <w:tc>
          <w:tcPr>
            <w:tcW w:w="1498" w:type="dxa"/>
            <w:tcBorders>
              <w:top w:val="single" w:sz="12"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٢٠,٧</w:t>
            </w:r>
          </w:p>
        </w:tc>
        <w:tc>
          <w:tcPr>
            <w:tcW w:w="1552" w:type="dxa"/>
            <w:tcBorders>
              <w:top w:val="single" w:sz="12"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٧٩,٣</w:t>
            </w:r>
          </w:p>
        </w:tc>
      </w:tr>
      <w:tr w:rsidR="005D5339" w:rsidRPr="00CC43D4" w:rsidTr="005D5339">
        <w:tc>
          <w:tcPr>
            <w:tcW w:w="1372" w:type="dxa"/>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ديفا</w:t>
            </w:r>
          </w:p>
        </w:tc>
        <w:tc>
          <w:tcPr>
            <w:tcW w:w="1106"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١٨,٨</w:t>
            </w:r>
          </w:p>
        </w:tc>
        <w:tc>
          <w:tcPr>
            <w:tcW w:w="1078"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٨١,٢</w:t>
            </w:r>
          </w:p>
        </w:tc>
        <w:tc>
          <w:tcPr>
            <w:tcW w:w="1397"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١٨,٣</w:t>
            </w:r>
          </w:p>
        </w:tc>
        <w:tc>
          <w:tcPr>
            <w:tcW w:w="1626"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٨١,٧</w:t>
            </w:r>
          </w:p>
        </w:tc>
        <w:tc>
          <w:tcPr>
            <w:tcW w:w="1498"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٣٤</w:t>
            </w:r>
          </w:p>
        </w:tc>
        <w:tc>
          <w:tcPr>
            <w:tcW w:w="1552"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٦٦</w:t>
            </w:r>
          </w:p>
        </w:tc>
      </w:tr>
      <w:tr w:rsidR="005D5339" w:rsidRPr="00CC43D4" w:rsidTr="005D5339">
        <w:tc>
          <w:tcPr>
            <w:tcW w:w="1372" w:type="dxa"/>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دوسو</w:t>
            </w:r>
          </w:p>
        </w:tc>
        <w:tc>
          <w:tcPr>
            <w:tcW w:w="1106" w:type="dxa"/>
            <w:vAlign w:val="bottom"/>
          </w:tcPr>
          <w:p w:rsidR="00182560" w:rsidRPr="00CC43D4" w:rsidRDefault="009E2D86" w:rsidP="00CC43D4">
            <w:pPr>
              <w:spacing w:before="20" w:after="40" w:line="300" w:lineRule="exact"/>
              <w:ind w:left="57" w:right="57"/>
              <w:textDirection w:val="tbRlV"/>
              <w:rPr>
                <w:rFonts w:ascii="Traditional Arabic" w:hAnsi="Traditional Arabic"/>
                <w:sz w:val="26"/>
                <w:szCs w:val="26"/>
                <w:rtl/>
                <w:lang w:val="en-GB" w:eastAsia="zh-TW"/>
              </w:rPr>
            </w:pPr>
            <w:r>
              <w:rPr>
                <w:rFonts w:ascii="Traditional Arabic" w:hAnsi="Traditional Arabic" w:hint="cs"/>
                <w:sz w:val="26"/>
                <w:szCs w:val="26"/>
                <w:rtl/>
                <w:lang w:val="en-GB" w:eastAsia="zh-TW"/>
              </w:rPr>
              <w:t>67.3</w:t>
            </w:r>
          </w:p>
        </w:tc>
        <w:tc>
          <w:tcPr>
            <w:tcW w:w="1078"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٣٢,٧</w:t>
            </w:r>
          </w:p>
        </w:tc>
        <w:tc>
          <w:tcPr>
            <w:tcW w:w="1397"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٦٦,٩</w:t>
            </w:r>
          </w:p>
        </w:tc>
        <w:tc>
          <w:tcPr>
            <w:tcW w:w="1626"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٣٣,١</w:t>
            </w:r>
          </w:p>
        </w:tc>
        <w:tc>
          <w:tcPr>
            <w:tcW w:w="1498"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٥٢,٩</w:t>
            </w:r>
          </w:p>
        </w:tc>
        <w:tc>
          <w:tcPr>
            <w:tcW w:w="1552"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٤٧,١</w:t>
            </w:r>
          </w:p>
        </w:tc>
      </w:tr>
      <w:tr w:rsidR="005D5339" w:rsidRPr="00CC43D4" w:rsidTr="005D5339">
        <w:tc>
          <w:tcPr>
            <w:tcW w:w="1372" w:type="dxa"/>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مارادي</w:t>
            </w:r>
          </w:p>
        </w:tc>
        <w:tc>
          <w:tcPr>
            <w:tcW w:w="1106"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٧٩,٧</w:t>
            </w:r>
          </w:p>
        </w:tc>
        <w:tc>
          <w:tcPr>
            <w:tcW w:w="1078"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٢٠,٣</w:t>
            </w:r>
          </w:p>
        </w:tc>
        <w:tc>
          <w:tcPr>
            <w:tcW w:w="1397"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٧٣,٤</w:t>
            </w:r>
          </w:p>
        </w:tc>
        <w:tc>
          <w:tcPr>
            <w:tcW w:w="1626"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٢٦,٦</w:t>
            </w:r>
          </w:p>
        </w:tc>
        <w:tc>
          <w:tcPr>
            <w:tcW w:w="1498"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٥٧,٨</w:t>
            </w:r>
          </w:p>
        </w:tc>
        <w:tc>
          <w:tcPr>
            <w:tcW w:w="1552"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٤٢,٢</w:t>
            </w:r>
          </w:p>
        </w:tc>
      </w:tr>
      <w:tr w:rsidR="005D5339" w:rsidRPr="00CC43D4" w:rsidTr="005D5339">
        <w:tc>
          <w:tcPr>
            <w:tcW w:w="1372" w:type="dxa"/>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تاهوا</w:t>
            </w:r>
          </w:p>
        </w:tc>
        <w:tc>
          <w:tcPr>
            <w:tcW w:w="1106"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٤٥,٩</w:t>
            </w:r>
          </w:p>
        </w:tc>
        <w:tc>
          <w:tcPr>
            <w:tcW w:w="1078"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٥٤,١</w:t>
            </w:r>
          </w:p>
        </w:tc>
        <w:tc>
          <w:tcPr>
            <w:tcW w:w="1397"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٥٧,٦</w:t>
            </w:r>
          </w:p>
        </w:tc>
        <w:tc>
          <w:tcPr>
            <w:tcW w:w="1626"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٤٢,٤</w:t>
            </w:r>
          </w:p>
        </w:tc>
        <w:tc>
          <w:tcPr>
            <w:tcW w:w="1498"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٤٧,٩</w:t>
            </w:r>
          </w:p>
        </w:tc>
        <w:tc>
          <w:tcPr>
            <w:tcW w:w="1552"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٥٢,١</w:t>
            </w:r>
          </w:p>
        </w:tc>
      </w:tr>
      <w:tr w:rsidR="005D5339" w:rsidRPr="00CC43D4" w:rsidTr="005D5339">
        <w:tc>
          <w:tcPr>
            <w:tcW w:w="1372" w:type="dxa"/>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تيلابيري</w:t>
            </w:r>
          </w:p>
        </w:tc>
        <w:tc>
          <w:tcPr>
            <w:tcW w:w="1106"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٦٨,٩</w:t>
            </w:r>
          </w:p>
        </w:tc>
        <w:tc>
          <w:tcPr>
            <w:tcW w:w="1078"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٣١,١</w:t>
            </w:r>
          </w:p>
        </w:tc>
        <w:tc>
          <w:tcPr>
            <w:tcW w:w="1397"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٧١,٧</w:t>
            </w:r>
          </w:p>
        </w:tc>
        <w:tc>
          <w:tcPr>
            <w:tcW w:w="1626"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٢٨,٣</w:t>
            </w:r>
          </w:p>
        </w:tc>
        <w:tc>
          <w:tcPr>
            <w:tcW w:w="1498"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٥٦</w:t>
            </w:r>
          </w:p>
        </w:tc>
        <w:tc>
          <w:tcPr>
            <w:tcW w:w="1552"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٤٤</w:t>
            </w:r>
          </w:p>
        </w:tc>
      </w:tr>
      <w:tr w:rsidR="005D5339" w:rsidRPr="00CC43D4" w:rsidTr="005D5339">
        <w:tc>
          <w:tcPr>
            <w:tcW w:w="1372" w:type="dxa"/>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زندر</w:t>
            </w:r>
          </w:p>
        </w:tc>
        <w:tc>
          <w:tcPr>
            <w:tcW w:w="1106"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٧١</w:t>
            </w:r>
          </w:p>
        </w:tc>
        <w:tc>
          <w:tcPr>
            <w:tcW w:w="1078" w:type="dxa"/>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٢٩</w:t>
            </w:r>
          </w:p>
        </w:tc>
        <w:tc>
          <w:tcPr>
            <w:tcW w:w="1397"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٥٣,٨</w:t>
            </w:r>
          </w:p>
        </w:tc>
        <w:tc>
          <w:tcPr>
            <w:tcW w:w="1626" w:type="dxa"/>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٤٦,٢</w:t>
            </w:r>
          </w:p>
        </w:tc>
        <w:tc>
          <w:tcPr>
            <w:tcW w:w="1498"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٤٧,٧</w:t>
            </w:r>
          </w:p>
        </w:tc>
        <w:tc>
          <w:tcPr>
            <w:tcW w:w="1552" w:type="dxa"/>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٥٢,٣</w:t>
            </w:r>
          </w:p>
        </w:tc>
      </w:tr>
      <w:tr w:rsidR="005D5339" w:rsidRPr="00CC43D4" w:rsidTr="005D5339">
        <w:tc>
          <w:tcPr>
            <w:tcW w:w="1372" w:type="dxa"/>
            <w:tcBorders>
              <w:bottom w:val="single" w:sz="4" w:space="0" w:color="auto"/>
            </w:tcBorders>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نيامي</w:t>
            </w:r>
          </w:p>
        </w:tc>
        <w:tc>
          <w:tcPr>
            <w:tcW w:w="1106" w:type="dxa"/>
            <w:tcBorders>
              <w:bottom w:val="single" w:sz="4"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٢٧,١</w:t>
            </w:r>
          </w:p>
        </w:tc>
        <w:tc>
          <w:tcPr>
            <w:tcW w:w="1078" w:type="dxa"/>
            <w:tcBorders>
              <w:bottom w:val="single" w:sz="4"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٧٢,٩</w:t>
            </w:r>
          </w:p>
        </w:tc>
        <w:tc>
          <w:tcPr>
            <w:tcW w:w="1397" w:type="dxa"/>
            <w:tcBorders>
              <w:bottom w:val="single" w:sz="4"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٢٧,٨</w:t>
            </w:r>
          </w:p>
        </w:tc>
        <w:tc>
          <w:tcPr>
            <w:tcW w:w="1626" w:type="dxa"/>
            <w:tcBorders>
              <w:bottom w:val="single" w:sz="4"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٧٢,٢</w:t>
            </w:r>
          </w:p>
        </w:tc>
        <w:tc>
          <w:tcPr>
            <w:tcW w:w="1498" w:type="dxa"/>
            <w:tcBorders>
              <w:bottom w:val="single" w:sz="4"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١٠,٢</w:t>
            </w:r>
          </w:p>
        </w:tc>
        <w:tc>
          <w:tcPr>
            <w:tcW w:w="1552" w:type="dxa"/>
            <w:tcBorders>
              <w:bottom w:val="single" w:sz="4"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sz w:val="26"/>
                <w:szCs w:val="26"/>
                <w:rtl/>
                <w:lang w:val="en-GB" w:eastAsia="zh-TW"/>
              </w:rPr>
            </w:pPr>
            <w:r w:rsidRPr="00CC43D4">
              <w:rPr>
                <w:rFonts w:ascii="Traditional Arabic" w:hAnsi="Traditional Arabic"/>
                <w:sz w:val="26"/>
                <w:szCs w:val="26"/>
                <w:rtl/>
                <w:lang w:val="en-GB" w:eastAsia="zh-TW"/>
              </w:rPr>
              <w:t>٨٩,٨</w:t>
            </w:r>
          </w:p>
        </w:tc>
      </w:tr>
      <w:tr w:rsidR="005D5339" w:rsidRPr="00CC43D4" w:rsidTr="005D5339">
        <w:tc>
          <w:tcPr>
            <w:tcW w:w="1372" w:type="dxa"/>
            <w:tcBorders>
              <w:top w:val="single" w:sz="4" w:space="0" w:color="auto"/>
              <w:bottom w:val="single" w:sz="12" w:space="0" w:color="auto"/>
            </w:tcBorders>
          </w:tcPr>
          <w:p w:rsidR="00182560" w:rsidRPr="00CC43D4" w:rsidRDefault="00182560" w:rsidP="00CC43D4">
            <w:pPr>
              <w:spacing w:before="20" w:after="40" w:line="300" w:lineRule="exact"/>
              <w:ind w:left="57" w:right="57"/>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العدد الإجمالي</w:t>
            </w:r>
          </w:p>
        </w:tc>
        <w:tc>
          <w:tcPr>
            <w:tcW w:w="1106"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٦٢,١</w:t>
            </w:r>
          </w:p>
        </w:tc>
        <w:tc>
          <w:tcPr>
            <w:tcW w:w="1078"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57" w:right="57"/>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٣٧,٩</w:t>
            </w:r>
          </w:p>
        </w:tc>
        <w:tc>
          <w:tcPr>
            <w:tcW w:w="1397"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٥٩,٥</w:t>
            </w:r>
          </w:p>
        </w:tc>
        <w:tc>
          <w:tcPr>
            <w:tcW w:w="1626"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right="113"/>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٤٠,٥</w:t>
            </w:r>
          </w:p>
        </w:tc>
        <w:tc>
          <w:tcPr>
            <w:tcW w:w="1498"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٤٨,٢</w:t>
            </w:r>
          </w:p>
        </w:tc>
        <w:tc>
          <w:tcPr>
            <w:tcW w:w="1552" w:type="dxa"/>
            <w:tcBorders>
              <w:top w:val="single" w:sz="4" w:space="0" w:color="auto"/>
              <w:bottom w:val="single" w:sz="12" w:space="0" w:color="auto"/>
            </w:tcBorders>
            <w:vAlign w:val="bottom"/>
          </w:tcPr>
          <w:p w:rsidR="00182560" w:rsidRPr="00CC43D4" w:rsidRDefault="00182560" w:rsidP="00CC43D4">
            <w:pPr>
              <w:spacing w:before="20" w:after="40" w:line="300" w:lineRule="exact"/>
              <w:ind w:left="113"/>
              <w:textDirection w:val="tbRlV"/>
              <w:rPr>
                <w:rFonts w:ascii="Traditional Arabic" w:hAnsi="Traditional Arabic"/>
                <w:b/>
                <w:bCs/>
                <w:sz w:val="26"/>
                <w:szCs w:val="26"/>
                <w:rtl/>
                <w:lang w:val="en-GB" w:eastAsia="zh-TW"/>
              </w:rPr>
            </w:pPr>
            <w:r w:rsidRPr="00CC43D4">
              <w:rPr>
                <w:rFonts w:ascii="Traditional Arabic" w:hAnsi="Traditional Arabic"/>
                <w:b/>
                <w:bCs/>
                <w:sz w:val="26"/>
                <w:szCs w:val="26"/>
                <w:rtl/>
                <w:lang w:val="en-GB" w:eastAsia="zh-TW"/>
              </w:rPr>
              <w:t>٥١,٨</w:t>
            </w:r>
          </w:p>
        </w:tc>
      </w:tr>
    </w:tbl>
    <w:p w:rsidR="00182560" w:rsidRPr="00CC43D4" w:rsidRDefault="00182560" w:rsidP="00CC43D4">
      <w:pPr>
        <w:pStyle w:val="SingleTxtGA"/>
        <w:rPr>
          <w:sz w:val="16"/>
          <w:szCs w:val="26"/>
          <w:rtl/>
          <w:lang w:val="en-GB" w:eastAsia="zh-TW"/>
        </w:rPr>
      </w:pPr>
      <w:r w:rsidRPr="00CC43D4">
        <w:rPr>
          <w:i/>
          <w:iCs/>
          <w:sz w:val="16"/>
          <w:szCs w:val="26"/>
          <w:rtl/>
          <w:lang w:val="en-GB" w:eastAsia="zh-TW"/>
        </w:rPr>
        <w:t>المصدر:</w:t>
      </w:r>
      <w:r w:rsidRPr="00CC43D4">
        <w:rPr>
          <w:sz w:val="16"/>
          <w:szCs w:val="26"/>
          <w:rtl/>
          <w:lang w:val="en-GB" w:eastAsia="zh-TW"/>
        </w:rPr>
        <w:t xml:space="preserve"> النيجر بالأرقام، 2014.</w:t>
      </w:r>
    </w:p>
    <w:p w:rsidR="00182560" w:rsidRPr="00C126A2" w:rsidRDefault="005D5339" w:rsidP="009155C9">
      <w:pPr>
        <w:pStyle w:val="H1GA"/>
        <w:rPr>
          <w:rtl/>
          <w:lang w:val="en-GB" w:eastAsia="zh-TW"/>
        </w:rPr>
      </w:pPr>
      <w:bookmarkStart w:id="12" w:name="_Toc485025637"/>
      <w:bookmarkStart w:id="13" w:name="_Toc485026221"/>
      <w:bookmarkStart w:id="14" w:name="_Toc485026299"/>
      <w:r>
        <w:rPr>
          <w:rtl/>
          <w:lang w:val="en-GB" w:eastAsia="zh-TW"/>
        </w:rPr>
        <w:lastRenderedPageBreak/>
        <w:tab/>
      </w:r>
      <w:r w:rsidR="00182560">
        <w:rPr>
          <w:rtl/>
          <w:lang w:val="en-GB" w:eastAsia="zh-TW"/>
        </w:rPr>
        <w:t>جيم-</w:t>
      </w:r>
      <w:r>
        <w:rPr>
          <w:rtl/>
          <w:lang w:val="en-GB" w:eastAsia="zh-TW"/>
        </w:rPr>
        <w:tab/>
      </w:r>
      <w:r w:rsidR="00182560">
        <w:rPr>
          <w:rtl/>
          <w:lang w:val="en-GB" w:eastAsia="zh-TW"/>
        </w:rPr>
        <w:t>الخصائص الاقتصادية</w:t>
      </w:r>
      <w:bookmarkEnd w:id="12"/>
      <w:bookmarkEnd w:id="13"/>
      <w:bookmarkEnd w:id="14"/>
    </w:p>
    <w:p w:rsidR="00182560" w:rsidRPr="002B7393" w:rsidRDefault="00182560" w:rsidP="00182560">
      <w:pPr>
        <w:pStyle w:val="SingleTxtGA"/>
        <w:rPr>
          <w:rtl/>
          <w:lang w:val="en-GB" w:eastAsia="zh-TW"/>
        </w:rPr>
      </w:pPr>
      <w:r>
        <w:rPr>
          <w:rtl/>
          <w:lang w:val="en-GB" w:eastAsia="zh-TW"/>
        </w:rPr>
        <w:t>٩-</w:t>
      </w:r>
      <w:r w:rsidR="007C22C8">
        <w:rPr>
          <w:rtl/>
          <w:lang w:val="en-GB" w:eastAsia="zh-TW"/>
        </w:rPr>
        <w:tab/>
      </w:r>
      <w:r>
        <w:rPr>
          <w:rtl/>
          <w:lang w:val="en-GB" w:eastAsia="zh-TW"/>
        </w:rPr>
        <w:t>يمتلك النيجر موارد طبيعية هامة مثل اليورانيوم والفحم والحديد والذهب والفوسفات والنفط.</w:t>
      </w:r>
      <w:r w:rsidR="007C22C8">
        <w:rPr>
          <w:rFonts w:hint="cs"/>
          <w:rtl/>
          <w:lang w:val="en-GB" w:eastAsia="zh-TW"/>
        </w:rPr>
        <w:t xml:space="preserve"> </w:t>
      </w:r>
      <w:r>
        <w:rPr>
          <w:rtl/>
          <w:lang w:val="en-GB" w:eastAsia="zh-TW"/>
        </w:rPr>
        <w:t>وتجدر الإشارة إلى أن النيجر صار، منذ تشرين الثاني/نوفمبر ٢٠١٢، ينتج النفط (حوالي ٠٠٠ ٢٠ برميل يومياً) ويصدره.</w:t>
      </w:r>
      <w:r w:rsidR="007C22C8">
        <w:rPr>
          <w:rFonts w:hint="cs"/>
          <w:rtl/>
          <w:lang w:val="en-GB" w:eastAsia="zh-TW"/>
        </w:rPr>
        <w:t xml:space="preserve"> </w:t>
      </w:r>
      <w:r>
        <w:rPr>
          <w:rtl/>
          <w:lang w:val="en-GB" w:eastAsia="zh-TW"/>
        </w:rPr>
        <w:t>وبالإضافة إلى ذلك، من المتوقع أن يصبح البلد ثاني أكبر منتج لليورانيوم في العالم بعد استغلال موقع رابع في منطقة ايمورارين.</w:t>
      </w:r>
    </w:p>
    <w:p w:rsidR="00182560" w:rsidRPr="002B7393" w:rsidRDefault="00B6758C" w:rsidP="00182560">
      <w:pPr>
        <w:pStyle w:val="SingleTxtGA"/>
        <w:rPr>
          <w:rtl/>
          <w:lang w:val="en-GB" w:eastAsia="zh-TW"/>
        </w:rPr>
      </w:pPr>
      <w:r>
        <w:rPr>
          <w:rtl/>
          <w:lang w:val="en-GB" w:eastAsia="zh-TW"/>
        </w:rPr>
        <w:t>١٠-</w:t>
      </w:r>
      <w:r>
        <w:rPr>
          <w:rtl/>
          <w:lang w:val="en-GB" w:eastAsia="zh-TW"/>
        </w:rPr>
        <w:tab/>
      </w:r>
      <w:r w:rsidR="00182560">
        <w:rPr>
          <w:rtl/>
          <w:lang w:val="en-GB" w:eastAsia="zh-TW"/>
        </w:rPr>
        <w:t>ومن المفترض أن تسمح هذه الموارد المختلفة، إلى جانب تلك التي يولدها النفط، بتحسين مستوى معيشة السكان.</w:t>
      </w:r>
      <w:r w:rsidR="005D5339">
        <w:rPr>
          <w:rFonts w:hint="cs"/>
          <w:rtl/>
          <w:lang w:val="en-GB" w:eastAsia="zh-TW"/>
        </w:rPr>
        <w:t xml:space="preserve"> </w:t>
      </w:r>
      <w:r w:rsidR="00182560">
        <w:rPr>
          <w:rtl/>
          <w:lang w:val="en-GB" w:eastAsia="zh-TW"/>
        </w:rPr>
        <w:t>أما اليوم، فإن مؤشر التنمية البشرية يصنف النيجر ضمن أفقر البلدان في العالم، إذ بلغ نصيب الفرد من الناتج المحلي الإجمالي الاسمي 937.7 دولاراً في عام ٢٠١٤.</w:t>
      </w:r>
      <w:r w:rsidR="005D5339">
        <w:rPr>
          <w:rFonts w:hint="cs"/>
          <w:rtl/>
          <w:lang w:val="en-GB" w:eastAsia="zh-TW"/>
        </w:rPr>
        <w:t xml:space="preserve"> </w:t>
      </w:r>
      <w:r w:rsidR="00182560">
        <w:rPr>
          <w:rtl/>
          <w:lang w:val="en-GB" w:eastAsia="zh-TW"/>
        </w:rPr>
        <w:t>وقد جاء ترتيبه في هذا المؤشر في عام ٢٠١٤ في المرتبة ١٨٧/١٨٧.</w:t>
      </w:r>
    </w:p>
    <w:p w:rsidR="00182560" w:rsidRPr="002B7393" w:rsidRDefault="005D5339" w:rsidP="009155C9">
      <w:pPr>
        <w:pStyle w:val="H1GA"/>
        <w:rPr>
          <w:rtl/>
          <w:lang w:val="en-GB" w:eastAsia="zh-TW"/>
        </w:rPr>
      </w:pPr>
      <w:r>
        <w:rPr>
          <w:rtl/>
          <w:lang w:val="en-GB" w:eastAsia="zh-TW"/>
        </w:rPr>
        <w:tab/>
      </w:r>
      <w:r w:rsidR="00182560">
        <w:rPr>
          <w:rtl/>
          <w:lang w:val="en-GB" w:eastAsia="zh-TW"/>
        </w:rPr>
        <w:t>دال-</w:t>
      </w:r>
      <w:r>
        <w:rPr>
          <w:rtl/>
          <w:lang w:val="en-GB" w:eastAsia="zh-TW"/>
        </w:rPr>
        <w:tab/>
      </w:r>
      <w:r w:rsidR="00182560">
        <w:rPr>
          <w:rtl/>
          <w:lang w:val="en-GB" w:eastAsia="zh-TW"/>
        </w:rPr>
        <w:t>الهيكل الدستوري والسياسي والقانوني للدولة</w:t>
      </w:r>
      <w:bookmarkStart w:id="15" w:name="_Toc485025638"/>
      <w:bookmarkStart w:id="16" w:name="_Toc485026222"/>
      <w:bookmarkStart w:id="17" w:name="_Toc485026300"/>
      <w:bookmarkEnd w:id="15"/>
      <w:bookmarkEnd w:id="16"/>
      <w:bookmarkEnd w:id="17"/>
    </w:p>
    <w:p w:rsidR="00182560" w:rsidRPr="002B7393" w:rsidRDefault="00B6758C" w:rsidP="00182560">
      <w:pPr>
        <w:pStyle w:val="SingleTxtGA"/>
        <w:rPr>
          <w:rtl/>
          <w:lang w:val="en-GB" w:eastAsia="zh-TW"/>
        </w:rPr>
      </w:pPr>
      <w:r>
        <w:rPr>
          <w:rtl/>
          <w:lang w:val="en-GB" w:eastAsia="zh-TW"/>
        </w:rPr>
        <w:t>١١-</w:t>
      </w:r>
      <w:r>
        <w:rPr>
          <w:rtl/>
          <w:lang w:val="en-GB" w:eastAsia="zh-TW"/>
        </w:rPr>
        <w:tab/>
      </w:r>
      <w:r w:rsidR="00182560">
        <w:rPr>
          <w:rtl/>
          <w:lang w:val="en-GB" w:eastAsia="zh-TW"/>
        </w:rPr>
        <w:t>نال النيجر استقلاله في ٣ آب/أغسطس ١٩٦٠.</w:t>
      </w:r>
      <w:r w:rsidR="00F24762">
        <w:rPr>
          <w:rFonts w:hint="cs"/>
          <w:rtl/>
          <w:lang w:val="en-GB" w:eastAsia="zh-TW"/>
        </w:rPr>
        <w:t xml:space="preserve"> </w:t>
      </w:r>
      <w:r w:rsidR="00182560">
        <w:rPr>
          <w:rtl/>
          <w:lang w:val="en-GB" w:eastAsia="zh-TW"/>
        </w:rPr>
        <w:t>وشرع في العملية الديمقراطية انطلاقا</w:t>
      </w:r>
      <w:r w:rsidR="00E434F4">
        <w:rPr>
          <w:rFonts w:hint="cs"/>
          <w:rtl/>
          <w:lang w:val="en-GB" w:eastAsia="zh-TW"/>
        </w:rPr>
        <w:t>ً</w:t>
      </w:r>
      <w:r w:rsidR="00182560">
        <w:rPr>
          <w:rtl/>
          <w:lang w:val="en-GB" w:eastAsia="zh-TW"/>
        </w:rPr>
        <w:t xml:space="preserve"> من عام ١٩٩١ بعقد المؤتمر الوطني.</w:t>
      </w:r>
      <w:r w:rsidR="00F24762">
        <w:rPr>
          <w:rFonts w:hint="cs"/>
          <w:rtl/>
          <w:lang w:val="en-GB" w:eastAsia="zh-TW"/>
        </w:rPr>
        <w:t xml:space="preserve"> </w:t>
      </w:r>
      <w:r w:rsidR="00182560">
        <w:rPr>
          <w:rtl/>
          <w:lang w:val="en-GB" w:eastAsia="zh-TW"/>
        </w:rPr>
        <w:t>وفي ختام هذا المؤتمر، اختار النيجر نظام التعددية الحزبية الكامل.</w:t>
      </w:r>
      <w:r w:rsidR="00F24762">
        <w:rPr>
          <w:rFonts w:hint="cs"/>
          <w:rtl/>
          <w:lang w:val="en-GB" w:eastAsia="zh-TW"/>
        </w:rPr>
        <w:t xml:space="preserve"> </w:t>
      </w:r>
      <w:r w:rsidR="00182560">
        <w:rPr>
          <w:rtl/>
          <w:lang w:val="en-GB" w:eastAsia="zh-TW"/>
        </w:rPr>
        <w:t>وبذلك، برزت إلى الوجود عدة أحزاب وحركات مدنية.</w:t>
      </w:r>
      <w:r w:rsidR="00F24762">
        <w:rPr>
          <w:rFonts w:hint="cs"/>
          <w:rtl/>
          <w:lang w:val="en-GB" w:eastAsia="zh-TW"/>
        </w:rPr>
        <w:t xml:space="preserve"> </w:t>
      </w:r>
      <w:r w:rsidR="00182560">
        <w:rPr>
          <w:rtl/>
          <w:lang w:val="en-GB" w:eastAsia="zh-TW"/>
        </w:rPr>
        <w:t>ومهد ذلك الطريق أمام المناقشات المفتوحة والديمقراطية التي أتاحت ظهور توافق وطني في الآراء بشأن تشكيل حكومة انتقالية في عام ١٩٩١.</w:t>
      </w:r>
      <w:r w:rsidR="00377A30">
        <w:rPr>
          <w:rFonts w:hint="cs"/>
          <w:rtl/>
          <w:lang w:val="en-GB" w:eastAsia="zh-TW"/>
        </w:rPr>
        <w:t xml:space="preserve"> </w:t>
      </w:r>
      <w:r w:rsidR="00182560">
        <w:rPr>
          <w:rtl/>
          <w:lang w:val="en-GB" w:eastAsia="zh-TW"/>
        </w:rPr>
        <w:t>وأدارت الحكومة الانتقالية، برئاسة السيد أمادو شيفو، عملية تنظيم الانتخابات التي أسفرت عن وضع مؤسسات الجمهورية الثالثة، في نيسان/أبريل 1993، مع تقلد تحالف قوى التغيير الحكم وانتخاب السيد ماهامان عثمان رئيساً للجمهورية.</w:t>
      </w:r>
    </w:p>
    <w:p w:rsidR="00182560" w:rsidRPr="002B7393" w:rsidRDefault="00B6758C" w:rsidP="00182560">
      <w:pPr>
        <w:pStyle w:val="SingleTxtGA"/>
        <w:rPr>
          <w:rtl/>
          <w:lang w:val="en-GB" w:eastAsia="zh-TW"/>
        </w:rPr>
      </w:pPr>
      <w:r>
        <w:rPr>
          <w:rtl/>
          <w:lang w:val="en-GB" w:eastAsia="zh-TW"/>
        </w:rPr>
        <w:t>١٢-</w:t>
      </w:r>
      <w:r>
        <w:rPr>
          <w:rtl/>
          <w:lang w:val="en-GB" w:eastAsia="zh-TW"/>
        </w:rPr>
        <w:tab/>
      </w:r>
      <w:r w:rsidR="00182560">
        <w:rPr>
          <w:rtl/>
          <w:lang w:val="en-GB" w:eastAsia="zh-TW"/>
        </w:rPr>
        <w:t>وأدى تغير طرأ على الأغلبية الحاكمة بسبب انهيار تحالف قوى التغيير إلى شلل على أعلى مستويات الدولة، مما أدى إلى استيلاء الجيش على السلطة في كانون الثاني/يناير ١٩٩٦ بقيادة مجلس الإنقاذ الوطني الذي كان يرأسه العقيد إبراهيم باري مايناسارا.</w:t>
      </w:r>
    </w:p>
    <w:p w:rsidR="00182560" w:rsidRPr="00C126A2" w:rsidRDefault="00B6758C" w:rsidP="00182560">
      <w:pPr>
        <w:pStyle w:val="SingleTxtGA"/>
        <w:rPr>
          <w:rtl/>
          <w:lang w:val="en-GB" w:eastAsia="zh-TW"/>
        </w:rPr>
      </w:pPr>
      <w:r>
        <w:rPr>
          <w:rtl/>
          <w:lang w:val="en-GB" w:eastAsia="zh-TW"/>
        </w:rPr>
        <w:t>١٣-</w:t>
      </w:r>
      <w:r>
        <w:rPr>
          <w:rtl/>
          <w:lang w:val="en-GB" w:eastAsia="zh-TW"/>
        </w:rPr>
        <w:tab/>
      </w:r>
      <w:r w:rsidR="00182560">
        <w:rPr>
          <w:rtl/>
          <w:lang w:val="en-GB" w:eastAsia="zh-TW"/>
        </w:rPr>
        <w:t>وفي تموز/يوليه 1996، نظم العقيد إبراهيم باري مايناسارا انتخابات رئاسية حملته إلى السلطة تحت الجمهورية الرابعة.</w:t>
      </w:r>
      <w:r w:rsidR="00182560">
        <w:rPr>
          <w:rFonts w:hint="cs"/>
          <w:rtl/>
          <w:lang w:val="en-GB" w:eastAsia="zh-TW"/>
        </w:rPr>
        <w:t xml:space="preserve"> </w:t>
      </w:r>
      <w:r w:rsidR="00182560">
        <w:rPr>
          <w:rtl/>
          <w:lang w:val="en-GB" w:eastAsia="zh-TW"/>
        </w:rPr>
        <w:t>غير أنه اصطدم بمقاومة القوى الديمقراطية التي تشكلت ضمن جبهة استعادة الديمقراطية والدفاع عنها.</w:t>
      </w:r>
    </w:p>
    <w:p w:rsidR="00182560" w:rsidRPr="002B7393" w:rsidRDefault="00B6758C" w:rsidP="00182560">
      <w:pPr>
        <w:pStyle w:val="SingleTxtGA"/>
        <w:rPr>
          <w:rtl/>
          <w:lang w:val="en-GB" w:eastAsia="zh-TW"/>
        </w:rPr>
      </w:pPr>
      <w:r>
        <w:rPr>
          <w:rtl/>
          <w:lang w:val="en-GB" w:eastAsia="zh-TW"/>
        </w:rPr>
        <w:t>١٤-</w:t>
      </w:r>
      <w:r>
        <w:rPr>
          <w:rtl/>
          <w:lang w:val="en-GB" w:eastAsia="zh-TW"/>
        </w:rPr>
        <w:tab/>
      </w:r>
      <w:r w:rsidR="00182560">
        <w:rPr>
          <w:rtl/>
          <w:lang w:val="en-GB" w:eastAsia="zh-TW"/>
        </w:rPr>
        <w:t xml:space="preserve">وفي سياق سادته توترات اجتماعية وسياسية شديدة، </w:t>
      </w:r>
      <w:r w:rsidR="00F24762">
        <w:rPr>
          <w:rtl/>
          <w:lang w:val="en-GB" w:eastAsia="zh-TW"/>
        </w:rPr>
        <w:t>قاد المقدم داودا مالام وانكي في</w:t>
      </w:r>
      <w:r w:rsidR="00F24762">
        <w:rPr>
          <w:rFonts w:hint="cs"/>
          <w:rtl/>
          <w:lang w:val="en-GB" w:eastAsia="zh-TW"/>
        </w:rPr>
        <w:t> </w:t>
      </w:r>
      <w:r w:rsidR="00182560">
        <w:rPr>
          <w:rtl/>
          <w:lang w:val="en-GB" w:eastAsia="zh-TW"/>
        </w:rPr>
        <w:t>٩ نيسان/أبريل ١٩٩٩ انقلابا</w:t>
      </w:r>
      <w:r w:rsidR="00E434F4">
        <w:rPr>
          <w:rFonts w:hint="cs"/>
          <w:rtl/>
          <w:lang w:val="en-GB" w:eastAsia="zh-TW"/>
        </w:rPr>
        <w:t>ً</w:t>
      </w:r>
      <w:r w:rsidR="00182560">
        <w:rPr>
          <w:rtl/>
          <w:lang w:val="en-GB" w:eastAsia="zh-TW"/>
        </w:rPr>
        <w:t xml:space="preserve"> تحت لواء مجلس المصالحة الوطنية أدى إلى إقامة نظام انتقالي مهمته استعادة الديمقراطية.</w:t>
      </w:r>
      <w:r w:rsidR="00182560">
        <w:rPr>
          <w:rFonts w:hint="cs"/>
          <w:rtl/>
          <w:lang w:val="en-GB" w:eastAsia="zh-TW"/>
        </w:rPr>
        <w:t xml:space="preserve"> </w:t>
      </w:r>
      <w:r w:rsidR="00182560">
        <w:rPr>
          <w:rtl/>
          <w:lang w:val="en-GB" w:eastAsia="zh-TW"/>
        </w:rPr>
        <w:t>واعتُمد دستور الجمهورية الخامسة في تموز/يوليه ١٩٩٩،</w:t>
      </w:r>
      <w:r w:rsidR="00F24762">
        <w:rPr>
          <w:rFonts w:hint="cs"/>
          <w:rtl/>
          <w:lang w:val="en-GB" w:eastAsia="zh-TW"/>
        </w:rPr>
        <w:t xml:space="preserve"> </w:t>
      </w:r>
      <w:r w:rsidR="00182560">
        <w:rPr>
          <w:rtl/>
          <w:lang w:val="en-GB" w:eastAsia="zh-TW"/>
        </w:rPr>
        <w:t>الذي أرسى نظاما</w:t>
      </w:r>
      <w:r w:rsidR="00E434F4">
        <w:rPr>
          <w:rFonts w:hint="cs"/>
          <w:rtl/>
          <w:lang w:val="en-GB" w:eastAsia="zh-TW"/>
        </w:rPr>
        <w:t>ً</w:t>
      </w:r>
      <w:r w:rsidR="00182560">
        <w:rPr>
          <w:rtl/>
          <w:lang w:val="en-GB" w:eastAsia="zh-TW"/>
        </w:rPr>
        <w:t xml:space="preserve"> شبه رئاسي.</w:t>
      </w:r>
      <w:r w:rsidR="00F24762">
        <w:rPr>
          <w:rFonts w:hint="cs"/>
          <w:rtl/>
          <w:lang w:val="en-GB" w:eastAsia="zh-TW"/>
        </w:rPr>
        <w:t xml:space="preserve"> </w:t>
      </w:r>
    </w:p>
    <w:p w:rsidR="00182560" w:rsidRPr="002B7393" w:rsidRDefault="00B6758C" w:rsidP="00182560">
      <w:pPr>
        <w:pStyle w:val="SingleTxtGA"/>
        <w:rPr>
          <w:rtl/>
          <w:lang w:val="en-GB" w:eastAsia="zh-TW"/>
        </w:rPr>
      </w:pPr>
      <w:r>
        <w:rPr>
          <w:rtl/>
          <w:lang w:val="en-GB" w:eastAsia="zh-TW"/>
        </w:rPr>
        <w:t>١٥-</w:t>
      </w:r>
      <w:r>
        <w:rPr>
          <w:rtl/>
          <w:lang w:val="en-GB" w:eastAsia="zh-TW"/>
        </w:rPr>
        <w:tab/>
      </w:r>
      <w:r w:rsidR="00182560">
        <w:rPr>
          <w:rtl/>
          <w:lang w:val="en-GB" w:eastAsia="zh-TW"/>
        </w:rPr>
        <w:t>وفي تشرين الأول/أكتوبر وتشرين الثاني/نوفمبر ١٩٩٩، أجريت انتخابات تشريعية ورئاسية جاءت إلى السلطة بمرشح الحركة الوطنية من أجل مجتمع التنمية، السيد مامادو تاندجا، الذي كان يدعمه تحالف يضم أحزاباً سياسية دخلت ضمن تحالف القوى الديمقراطية والجمهورية.</w:t>
      </w:r>
    </w:p>
    <w:p w:rsidR="00182560" w:rsidRPr="002B7393" w:rsidRDefault="00B6758C" w:rsidP="00182560">
      <w:pPr>
        <w:pStyle w:val="SingleTxtGA"/>
        <w:rPr>
          <w:rtl/>
          <w:lang w:val="en-GB" w:eastAsia="zh-TW"/>
        </w:rPr>
      </w:pPr>
      <w:r>
        <w:rPr>
          <w:rtl/>
          <w:lang w:val="en-GB" w:eastAsia="zh-TW"/>
        </w:rPr>
        <w:t>١٦-</w:t>
      </w:r>
      <w:r>
        <w:rPr>
          <w:rtl/>
          <w:lang w:val="en-GB" w:eastAsia="zh-TW"/>
        </w:rPr>
        <w:tab/>
      </w:r>
      <w:r w:rsidR="00182560">
        <w:rPr>
          <w:rtl/>
          <w:lang w:val="en-GB" w:eastAsia="zh-TW"/>
        </w:rPr>
        <w:t>وفي عام 2004، أعيد انتخاب الرئيس مامادو تاندجا لولاية جديدة مدتها خمس سنوات.</w:t>
      </w:r>
      <w:r w:rsidR="00BC21E5">
        <w:rPr>
          <w:rFonts w:hint="cs"/>
          <w:rtl/>
          <w:lang w:val="en-GB" w:eastAsia="zh-TW"/>
        </w:rPr>
        <w:t xml:space="preserve"> </w:t>
      </w:r>
      <w:r w:rsidR="00182560">
        <w:rPr>
          <w:rtl/>
          <w:lang w:val="en-GB" w:eastAsia="zh-TW"/>
        </w:rPr>
        <w:t>كما جُدد انتخاب أعضاء الجمعية الوطنية بأغلبية مؤيدة لرئيس الجمهورية.</w:t>
      </w:r>
      <w:r w:rsidR="00BC21E5">
        <w:rPr>
          <w:rFonts w:hint="cs"/>
          <w:rtl/>
          <w:lang w:val="en-GB" w:eastAsia="zh-TW"/>
        </w:rPr>
        <w:t xml:space="preserve"> </w:t>
      </w:r>
    </w:p>
    <w:p w:rsidR="00182560" w:rsidRPr="002B7393" w:rsidRDefault="00B6758C" w:rsidP="00182560">
      <w:pPr>
        <w:pStyle w:val="SingleTxtGA"/>
        <w:rPr>
          <w:rtl/>
          <w:lang w:val="en-GB" w:eastAsia="zh-TW"/>
        </w:rPr>
      </w:pPr>
      <w:r>
        <w:rPr>
          <w:rtl/>
          <w:lang w:val="en-GB" w:eastAsia="zh-TW"/>
        </w:rPr>
        <w:lastRenderedPageBreak/>
        <w:t>١٧-</w:t>
      </w:r>
      <w:r>
        <w:rPr>
          <w:rtl/>
          <w:lang w:val="en-GB" w:eastAsia="zh-TW"/>
        </w:rPr>
        <w:tab/>
      </w:r>
      <w:r w:rsidR="00182560">
        <w:rPr>
          <w:rtl/>
          <w:lang w:val="en-GB" w:eastAsia="zh-TW"/>
        </w:rPr>
        <w:t>وفي ٣١ أيار/مايو ٢٠٠٧، أجري تصويت على حجب الثقة أطاح بالحكومة التي كان يرأسها السيد هاما أمادو، وحل محله السيد سيني أومارو.</w:t>
      </w:r>
    </w:p>
    <w:p w:rsidR="00182560" w:rsidRPr="002B7393" w:rsidRDefault="00B6758C" w:rsidP="00182560">
      <w:pPr>
        <w:pStyle w:val="SingleTxtGA"/>
        <w:rPr>
          <w:rtl/>
          <w:lang w:val="en-GB" w:eastAsia="zh-TW"/>
        </w:rPr>
      </w:pPr>
      <w:r>
        <w:rPr>
          <w:rtl/>
          <w:lang w:val="en-GB" w:eastAsia="zh-TW"/>
        </w:rPr>
        <w:t>١٨-</w:t>
      </w:r>
      <w:r>
        <w:rPr>
          <w:rtl/>
          <w:lang w:val="en-GB" w:eastAsia="zh-TW"/>
        </w:rPr>
        <w:tab/>
      </w:r>
      <w:r w:rsidR="00182560">
        <w:rPr>
          <w:rtl/>
          <w:lang w:val="en-GB" w:eastAsia="zh-TW"/>
        </w:rPr>
        <w:t>وفي 4 آب/أغسطس 2009، نظم الرئيس مامادو تاندجا استفتاء لتغيير الدستور على الرغم من الرأي، ثم، الحكم اللذين أصدرتهما المحكمة الدستورية التي قضت بعدم شرعية ذلك الاستفتاء.</w:t>
      </w:r>
      <w:r w:rsidR="00182560">
        <w:rPr>
          <w:rFonts w:hint="cs"/>
          <w:rtl/>
          <w:lang w:val="en-GB" w:eastAsia="zh-TW"/>
        </w:rPr>
        <w:t xml:space="preserve"> </w:t>
      </w:r>
      <w:r w:rsidR="00182560">
        <w:rPr>
          <w:rtl/>
          <w:lang w:val="en-GB" w:eastAsia="zh-TW"/>
        </w:rPr>
        <w:t>وبموجب ذلك الاستفتاء، أجري تعديل في الدستور يمنح الرئيس إمكانية تمديد ولايته لفترة ٣ سنوات. وأدى تنظيم الاستفتاء الدستوري المعترض عليه إلى حدوث انقلاب عسكري في ١٨ شباط/فبراير ٢٠١٠.</w:t>
      </w:r>
      <w:r w:rsidR="00182560">
        <w:rPr>
          <w:rFonts w:hint="cs"/>
          <w:rtl/>
          <w:lang w:val="en-GB" w:eastAsia="zh-TW"/>
        </w:rPr>
        <w:t xml:space="preserve"> </w:t>
      </w:r>
      <w:r w:rsidR="00182560">
        <w:rPr>
          <w:rtl/>
          <w:lang w:val="en-GB" w:eastAsia="zh-TW"/>
        </w:rPr>
        <w:t>وقد قام بذلك الانقلاب المجلس الأعلى لاستعادة الديمقراطية، بزعامة سالو دجيبو، قائد السرب في الجيش، الذي عين رئيس وزراء مدني، وهو السيد محمدو داندا الذي تولى تنسيق عمل الحكومة الانتقالية.</w:t>
      </w:r>
    </w:p>
    <w:p w:rsidR="00182560" w:rsidRPr="002B7393" w:rsidRDefault="00B6758C" w:rsidP="00F00C2A">
      <w:pPr>
        <w:pStyle w:val="SingleTxtGA"/>
        <w:rPr>
          <w:rtl/>
          <w:lang w:val="en-GB" w:eastAsia="zh-TW"/>
        </w:rPr>
      </w:pPr>
      <w:r>
        <w:rPr>
          <w:rtl/>
          <w:lang w:val="en-GB" w:eastAsia="zh-TW"/>
        </w:rPr>
        <w:t>١٩-</w:t>
      </w:r>
      <w:r>
        <w:rPr>
          <w:rtl/>
          <w:lang w:val="en-GB" w:eastAsia="zh-TW"/>
        </w:rPr>
        <w:tab/>
      </w:r>
      <w:r w:rsidR="00182560">
        <w:rPr>
          <w:rtl/>
          <w:lang w:val="en-GB" w:eastAsia="zh-TW"/>
        </w:rPr>
        <w:t>وفي الفترة من 18 شباط/فبراير 2010 إلى 6 نيسان/أبريل 2011، تولت مؤسستان أحدثهما الانقلاب العسكري، وهما المجلس الأعلى لاستعادة الديمقراطية والحكومة الانتقالية، مهام السلطة التنفيذية، وفقاً للأمر رقم 2010</w:t>
      </w:r>
      <w:r w:rsidR="00F00C2A">
        <w:rPr>
          <w:rFonts w:hint="cs"/>
          <w:rtl/>
          <w:lang w:val="en-GB" w:eastAsia="zh-TW"/>
        </w:rPr>
        <w:t>-001</w:t>
      </w:r>
      <w:r w:rsidR="00182560">
        <w:rPr>
          <w:rtl/>
          <w:lang w:val="en-GB" w:eastAsia="zh-TW"/>
        </w:rPr>
        <w:t xml:space="preserve"> الصادر في 22 شباط/فبراير 2010 والمتعلق بتنظيم السلطات العامة خلال المرحلة الانتقالية.</w:t>
      </w:r>
    </w:p>
    <w:p w:rsidR="00182560" w:rsidRPr="002B7393" w:rsidRDefault="00B6758C" w:rsidP="00182560">
      <w:pPr>
        <w:pStyle w:val="SingleTxtGA"/>
        <w:rPr>
          <w:rtl/>
          <w:lang w:val="en-GB" w:eastAsia="zh-TW"/>
        </w:rPr>
      </w:pPr>
      <w:r>
        <w:rPr>
          <w:rtl/>
          <w:lang w:val="en-GB" w:eastAsia="zh-TW"/>
        </w:rPr>
        <w:t>٢٠-</w:t>
      </w:r>
      <w:r>
        <w:rPr>
          <w:rtl/>
          <w:lang w:val="en-GB" w:eastAsia="zh-TW"/>
        </w:rPr>
        <w:tab/>
      </w:r>
      <w:r w:rsidR="00182560">
        <w:rPr>
          <w:rtl/>
          <w:lang w:val="en-GB" w:eastAsia="zh-TW"/>
        </w:rPr>
        <w:t>وقد كانت تصرفات المجلس العسكري الحاكم متمشية مع احترام مبادئ الديمقراطية وسيادة القانون.</w:t>
      </w:r>
      <w:r w:rsidR="00BC21E5">
        <w:rPr>
          <w:rFonts w:hint="cs"/>
          <w:rtl/>
          <w:lang w:val="en-GB" w:eastAsia="zh-TW"/>
        </w:rPr>
        <w:t xml:space="preserve"> </w:t>
      </w:r>
      <w:r w:rsidR="00182560">
        <w:rPr>
          <w:rtl/>
          <w:lang w:val="en-GB" w:eastAsia="zh-TW"/>
        </w:rPr>
        <w:t>وانعكس هذا الالتزام في إنشاء الحكومة الانتقالية، والمرصد الوطني لحقوق الإنسان والحريات الأساسية، والمرصد الوطني للإعلام، والمجلس الدستوري، ومحكمة تدقيق الحسابات، ومحكمة الدولة، والمجلس الاستشاري الوطني الذي هو الجهاز التشريعي الخاص بالمرحلة الانتقالية.</w:t>
      </w:r>
      <w:r w:rsidR="00BC21E5">
        <w:rPr>
          <w:rFonts w:hint="cs"/>
          <w:rtl/>
          <w:lang w:val="en-GB" w:eastAsia="zh-TW"/>
        </w:rPr>
        <w:t xml:space="preserve"> </w:t>
      </w:r>
    </w:p>
    <w:p w:rsidR="00182560" w:rsidRPr="002B7393" w:rsidRDefault="00B6758C" w:rsidP="00793AD1">
      <w:pPr>
        <w:pStyle w:val="SingleTxtGA"/>
        <w:rPr>
          <w:rtl/>
          <w:lang w:val="en-GB" w:eastAsia="zh-TW"/>
        </w:rPr>
      </w:pPr>
      <w:r>
        <w:rPr>
          <w:rtl/>
          <w:lang w:val="en-GB" w:eastAsia="zh-TW"/>
        </w:rPr>
        <w:t>٢١-</w:t>
      </w:r>
      <w:r>
        <w:rPr>
          <w:rtl/>
          <w:lang w:val="en-GB" w:eastAsia="zh-TW"/>
        </w:rPr>
        <w:tab/>
      </w:r>
      <w:r w:rsidR="00182560">
        <w:rPr>
          <w:rtl/>
          <w:lang w:val="en-GB" w:eastAsia="zh-TW"/>
        </w:rPr>
        <w:t>واتسمت فترة الانتقال السياسي أساسا</w:t>
      </w:r>
      <w:r w:rsidR="00F00C2A">
        <w:rPr>
          <w:rFonts w:hint="cs"/>
          <w:rtl/>
          <w:lang w:val="en-GB" w:eastAsia="zh-TW"/>
        </w:rPr>
        <w:t>ً</w:t>
      </w:r>
      <w:r w:rsidR="00182560">
        <w:rPr>
          <w:rtl/>
          <w:lang w:val="en-GB" w:eastAsia="zh-TW"/>
        </w:rPr>
        <w:t xml:space="preserve"> بإنشاء اللجنة الوطنية المستقلة للانتخابات التي نظمت ست عمليات اقتراع في الفترة من 31 تشرين الأ</w:t>
      </w:r>
      <w:r w:rsidR="00BC21E5">
        <w:rPr>
          <w:rtl/>
          <w:lang w:val="en-GB" w:eastAsia="zh-TW"/>
        </w:rPr>
        <w:t>ول/أكتوبر 2010 إلى 12 آذار/</w:t>
      </w:r>
      <w:r w:rsidR="00BC21E5">
        <w:rPr>
          <w:rFonts w:hint="cs"/>
          <w:rtl/>
          <w:lang w:val="en-GB" w:eastAsia="zh-TW"/>
        </w:rPr>
        <w:t xml:space="preserve"> </w:t>
      </w:r>
      <w:r w:rsidR="00BC21E5">
        <w:rPr>
          <w:rtl/>
          <w:lang w:val="en-GB" w:eastAsia="zh-TW"/>
        </w:rPr>
        <w:t>مارس</w:t>
      </w:r>
      <w:r w:rsidR="00BC21E5">
        <w:rPr>
          <w:rFonts w:hint="cs"/>
          <w:rtl/>
          <w:lang w:val="en-GB" w:eastAsia="zh-TW"/>
        </w:rPr>
        <w:t> </w:t>
      </w:r>
      <w:r w:rsidR="00182560">
        <w:rPr>
          <w:rtl/>
          <w:lang w:val="en-GB" w:eastAsia="zh-TW"/>
        </w:rPr>
        <w:t>2011.</w:t>
      </w:r>
      <w:r w:rsidR="00BC21E5">
        <w:rPr>
          <w:rFonts w:hint="cs"/>
          <w:rtl/>
          <w:lang w:val="en-GB" w:eastAsia="zh-TW"/>
        </w:rPr>
        <w:t xml:space="preserve"> </w:t>
      </w:r>
      <w:r w:rsidR="00182560">
        <w:rPr>
          <w:rtl/>
          <w:lang w:val="en-GB" w:eastAsia="zh-TW"/>
        </w:rPr>
        <w:t>وشملت تلك العمليات الاستفتاء الدستوري الذي جرى في ٣١ تشرين الأول/</w:t>
      </w:r>
      <w:r w:rsidR="00BC21E5">
        <w:rPr>
          <w:rFonts w:hint="cs"/>
          <w:rtl/>
          <w:lang w:val="en-GB" w:eastAsia="zh-TW"/>
        </w:rPr>
        <w:t xml:space="preserve"> </w:t>
      </w:r>
      <w:r w:rsidR="00182560">
        <w:rPr>
          <w:rtl/>
          <w:lang w:val="en-GB" w:eastAsia="zh-TW"/>
        </w:rPr>
        <w:t>أكتوبر ٢٠١٠، والانتخابات البلدية والإقليمية في ١١ كانون الثاني/يناير ٢٠١١، والانتخابات التشريعية التي تزامنت مع الجولة الأولى للانتخابات الرئاسية في ٣١ كانون الثاني/يناير ٢٠١١ والجولة الثانية للانتخابات الرئاسية في ١٢ آذار/مارس ٢٠١١.</w:t>
      </w:r>
    </w:p>
    <w:p w:rsidR="00182560" w:rsidRPr="002B7393" w:rsidRDefault="00B6758C" w:rsidP="00182560">
      <w:pPr>
        <w:pStyle w:val="SingleTxtGA"/>
        <w:rPr>
          <w:rtl/>
          <w:lang w:val="en-GB" w:eastAsia="zh-TW"/>
        </w:rPr>
      </w:pPr>
      <w:r>
        <w:rPr>
          <w:rtl/>
          <w:lang w:val="en-GB" w:eastAsia="zh-TW"/>
        </w:rPr>
        <w:t>٢٢-</w:t>
      </w:r>
      <w:r>
        <w:rPr>
          <w:rtl/>
          <w:lang w:val="en-GB" w:eastAsia="zh-TW"/>
        </w:rPr>
        <w:tab/>
      </w:r>
      <w:r w:rsidR="00182560">
        <w:rPr>
          <w:rtl/>
          <w:lang w:val="en-GB" w:eastAsia="zh-TW"/>
        </w:rPr>
        <w:t>وفي أعقاب تلك الانتخابات التي اعترف المراقبون الوطنيون والدوليون والأطراف السياسية الفاعلة بأنها كانت حرة وشفافة، انتُخب السيد محمدو إيسوفو رئيساً لجمهورية النيجر،</w:t>
      </w:r>
      <w:r w:rsidR="00BC21E5">
        <w:rPr>
          <w:rFonts w:hint="cs"/>
          <w:rtl/>
          <w:lang w:val="en-GB" w:eastAsia="zh-TW"/>
        </w:rPr>
        <w:t xml:space="preserve"> </w:t>
      </w:r>
      <w:r w:rsidR="00182560">
        <w:rPr>
          <w:rtl/>
          <w:lang w:val="en-GB" w:eastAsia="zh-TW"/>
        </w:rPr>
        <w:t>الذي عيَّن السيد بريجي رافيني رئيسا</w:t>
      </w:r>
      <w:r w:rsidR="00BC21E5">
        <w:rPr>
          <w:rFonts w:hint="cs"/>
          <w:rtl/>
          <w:lang w:val="en-GB" w:eastAsia="zh-TW"/>
        </w:rPr>
        <w:t>ً</w:t>
      </w:r>
      <w:r w:rsidR="00182560">
        <w:rPr>
          <w:rtl/>
          <w:lang w:val="en-GB" w:eastAsia="zh-TW"/>
        </w:rPr>
        <w:t xml:space="preserve"> للوزراء.</w:t>
      </w:r>
      <w:r w:rsidR="00BC21E5">
        <w:rPr>
          <w:rFonts w:hint="cs"/>
          <w:rtl/>
          <w:lang w:val="en-GB" w:eastAsia="zh-TW"/>
        </w:rPr>
        <w:t xml:space="preserve"> </w:t>
      </w:r>
      <w:r w:rsidR="00182560">
        <w:rPr>
          <w:rtl/>
          <w:lang w:val="en-GB" w:eastAsia="zh-TW"/>
        </w:rPr>
        <w:t>وقدم هذا الأخير بياناً بالسياسة العامة لحكومته أمام الجمعية الوطنية في ١٦ حزيران/يونيه ٢٠١١.</w:t>
      </w:r>
      <w:r w:rsidR="00BC21E5">
        <w:rPr>
          <w:rFonts w:hint="cs"/>
          <w:rtl/>
          <w:lang w:val="en-GB" w:eastAsia="zh-TW"/>
        </w:rPr>
        <w:t xml:space="preserve"> </w:t>
      </w:r>
    </w:p>
    <w:p w:rsidR="00182560" w:rsidRPr="002B7393" w:rsidRDefault="00B6758C" w:rsidP="00182560">
      <w:pPr>
        <w:pStyle w:val="SingleTxtGA"/>
        <w:rPr>
          <w:rtl/>
          <w:lang w:val="en-GB" w:eastAsia="zh-TW"/>
        </w:rPr>
      </w:pPr>
      <w:r w:rsidRPr="003C7B1B">
        <w:rPr>
          <w:spacing w:val="-2"/>
          <w:rtl/>
          <w:lang w:val="en-GB" w:eastAsia="zh-TW"/>
        </w:rPr>
        <w:t>٢٣-</w:t>
      </w:r>
      <w:r w:rsidRPr="003C7B1B">
        <w:rPr>
          <w:spacing w:val="-2"/>
          <w:rtl/>
          <w:lang w:val="en-GB" w:eastAsia="zh-TW"/>
        </w:rPr>
        <w:tab/>
      </w:r>
      <w:r w:rsidR="00182560" w:rsidRPr="003C7B1B">
        <w:rPr>
          <w:spacing w:val="-2"/>
          <w:rtl/>
          <w:lang w:val="en-GB" w:eastAsia="zh-TW"/>
        </w:rPr>
        <w:t>وقد جرى إنشاء كل المؤسسات التي نص عليها دستور ٢٥ تشرين الثاني/نوفمبر ٢٠١٠</w:t>
      </w:r>
      <w:r w:rsidR="00182560">
        <w:rPr>
          <w:rtl/>
          <w:lang w:val="en-GB" w:eastAsia="zh-TW"/>
        </w:rPr>
        <w:t xml:space="preserve"> والقوانين الأخرى للجمهورية، بما في ذلك اللجنة الوطنية لحقوق الإنسان التي تتوافق مع مبادئ باريس.</w:t>
      </w:r>
      <w:r w:rsidR="003C7B1B">
        <w:rPr>
          <w:rFonts w:hint="cs"/>
          <w:rtl/>
          <w:lang w:val="en-GB" w:eastAsia="zh-TW"/>
        </w:rPr>
        <w:t xml:space="preserve"> </w:t>
      </w:r>
    </w:p>
    <w:p w:rsidR="00182560" w:rsidRPr="002B7393" w:rsidRDefault="00B6758C" w:rsidP="00182560">
      <w:pPr>
        <w:pStyle w:val="SingleTxtGA"/>
        <w:rPr>
          <w:rtl/>
          <w:lang w:val="en-GB" w:eastAsia="zh-TW"/>
        </w:rPr>
      </w:pPr>
      <w:r>
        <w:rPr>
          <w:rtl/>
          <w:lang w:val="en-GB" w:eastAsia="zh-TW"/>
        </w:rPr>
        <w:t>٢٤-</w:t>
      </w:r>
      <w:r>
        <w:rPr>
          <w:rtl/>
          <w:lang w:val="en-GB" w:eastAsia="zh-TW"/>
        </w:rPr>
        <w:tab/>
      </w:r>
      <w:r w:rsidR="00182560">
        <w:rPr>
          <w:rtl/>
          <w:lang w:val="en-GB" w:eastAsia="zh-TW"/>
        </w:rPr>
        <w:t>ويرد أدناه بيان البنية الحالية للهياكل الدستورية:</w:t>
      </w:r>
    </w:p>
    <w:p w:rsidR="00182560" w:rsidRPr="002B7393" w:rsidRDefault="00182560" w:rsidP="00793AD1">
      <w:pPr>
        <w:pStyle w:val="H23GA"/>
        <w:rPr>
          <w:rtl/>
          <w:lang w:val="en-GB"/>
        </w:rPr>
      </w:pPr>
      <w:r>
        <w:rPr>
          <w:lang w:val="en-GB"/>
        </w:rPr>
        <w:lastRenderedPageBreak/>
        <w:tab/>
      </w:r>
      <w:r>
        <w:rPr>
          <w:lang w:val="en-GB"/>
        </w:rPr>
        <w:tab/>
      </w:r>
      <w:r>
        <w:rPr>
          <w:rtl/>
          <w:lang w:val="en-GB"/>
        </w:rPr>
        <w:t>السلطة التنفيذية</w:t>
      </w:r>
    </w:p>
    <w:p w:rsidR="00182560" w:rsidRPr="00FA549C" w:rsidRDefault="00182560" w:rsidP="00793AD1">
      <w:pPr>
        <w:pStyle w:val="Bullet1GA"/>
        <w:bidi/>
        <w:rPr>
          <w:bCs/>
          <w:rtl/>
          <w:lang w:val="en-GB" w:eastAsia="zh-TW"/>
        </w:rPr>
      </w:pPr>
      <w:r>
        <w:rPr>
          <w:rtl/>
          <w:lang w:val="en-GB" w:eastAsia="zh-TW"/>
        </w:rPr>
        <w:t>رئيس الجمهورية هو الضامن للاستقلال الوطني والوحدة الوطنية وسلامة الإقليم واحترام الدستور والمعاهدات والاتفاقات الدولية.</w:t>
      </w:r>
      <w:r w:rsidR="00377A30">
        <w:rPr>
          <w:rFonts w:hint="cs"/>
          <w:rtl/>
          <w:lang w:val="en-GB" w:eastAsia="zh-TW"/>
        </w:rPr>
        <w:t xml:space="preserve"> </w:t>
      </w:r>
      <w:r>
        <w:rPr>
          <w:rtl/>
          <w:lang w:val="en-GB" w:eastAsia="zh-TW"/>
        </w:rPr>
        <w:t>ويكفل السير العادي لعمل السلطات العامة واستمرارية الدولة؛</w:t>
      </w:r>
    </w:p>
    <w:p w:rsidR="00182560" w:rsidRPr="00C126A2" w:rsidRDefault="00182560" w:rsidP="00793AD1">
      <w:pPr>
        <w:pStyle w:val="Bullet1GA"/>
        <w:bidi/>
        <w:rPr>
          <w:rtl/>
          <w:lang w:val="en-GB" w:eastAsia="zh-TW"/>
        </w:rPr>
      </w:pPr>
      <w:r>
        <w:rPr>
          <w:rtl/>
          <w:lang w:val="en-GB" w:eastAsia="zh-TW"/>
        </w:rPr>
        <w:t>الحكومة: يتولى رئيس الوزراء قيادة الحكومة وإدارة دفتها وتنسيق عملها.</w:t>
      </w:r>
    </w:p>
    <w:p w:rsidR="00182560" w:rsidRPr="002B7393" w:rsidRDefault="00182560" w:rsidP="00377A30">
      <w:pPr>
        <w:pStyle w:val="H23GA"/>
        <w:rPr>
          <w:rtl/>
          <w:lang w:val="en-GB"/>
        </w:rPr>
      </w:pPr>
      <w:r>
        <w:rPr>
          <w:lang w:val="en-GB"/>
        </w:rPr>
        <w:tab/>
      </w:r>
      <w:r>
        <w:rPr>
          <w:lang w:val="en-GB"/>
        </w:rPr>
        <w:tab/>
      </w:r>
      <w:r>
        <w:rPr>
          <w:rtl/>
          <w:lang w:val="en-GB"/>
        </w:rPr>
        <w:t>السلطة التشريعية</w:t>
      </w:r>
    </w:p>
    <w:p w:rsidR="00182560" w:rsidRPr="00C126A2" w:rsidRDefault="00182560" w:rsidP="00793AD1">
      <w:pPr>
        <w:pStyle w:val="Bullet1GA"/>
        <w:bidi/>
        <w:rPr>
          <w:rtl/>
          <w:lang w:val="en-GB" w:eastAsia="zh-TW"/>
        </w:rPr>
      </w:pPr>
      <w:r>
        <w:rPr>
          <w:rtl/>
          <w:lang w:val="en-GB" w:eastAsia="zh-TW"/>
        </w:rPr>
        <w:t xml:space="preserve">يمارس السلطة التشريعية مجلس واحد هو الجمعية الوطنية </w:t>
      </w:r>
      <w:r w:rsidR="00D4764C">
        <w:rPr>
          <w:rtl/>
          <w:lang w:val="en-GB" w:eastAsia="zh-TW"/>
        </w:rPr>
        <w:t>التي يسمى أعضاؤها النواب الوطني</w:t>
      </w:r>
      <w:r w:rsidR="00D4764C">
        <w:rPr>
          <w:rFonts w:hint="cs"/>
          <w:rtl/>
          <w:lang w:val="en-GB" w:eastAsia="zh-TW"/>
        </w:rPr>
        <w:t>و</w:t>
      </w:r>
      <w:r>
        <w:rPr>
          <w:rtl/>
          <w:lang w:val="en-GB" w:eastAsia="zh-TW"/>
        </w:rPr>
        <w:t>ن.</w:t>
      </w:r>
      <w:r w:rsidR="00377A30">
        <w:rPr>
          <w:rFonts w:hint="cs"/>
          <w:rtl/>
          <w:lang w:val="en-GB" w:eastAsia="zh-TW"/>
        </w:rPr>
        <w:t xml:space="preserve"> </w:t>
      </w:r>
      <w:r>
        <w:rPr>
          <w:rtl/>
          <w:lang w:val="en-GB" w:eastAsia="zh-TW"/>
        </w:rPr>
        <w:t>وتصوت الجمعية الوطنية على القوانين، وتوافق على الضرائب،</w:t>
      </w:r>
      <w:r w:rsidR="00377A30">
        <w:rPr>
          <w:rFonts w:hint="cs"/>
          <w:rtl/>
          <w:lang w:val="en-GB" w:eastAsia="zh-TW"/>
        </w:rPr>
        <w:t xml:space="preserve"> </w:t>
      </w:r>
      <w:r>
        <w:rPr>
          <w:rtl/>
          <w:lang w:val="en-GB" w:eastAsia="zh-TW"/>
        </w:rPr>
        <w:t>وتراقب عمل الحكومة.</w:t>
      </w:r>
    </w:p>
    <w:p w:rsidR="00182560" w:rsidRPr="002B7393" w:rsidRDefault="00182560" w:rsidP="00377A30">
      <w:pPr>
        <w:pStyle w:val="H23GA"/>
        <w:rPr>
          <w:rtl/>
          <w:lang w:val="en-GB"/>
        </w:rPr>
      </w:pPr>
      <w:r>
        <w:rPr>
          <w:lang w:val="en-GB"/>
        </w:rPr>
        <w:tab/>
      </w:r>
      <w:r>
        <w:rPr>
          <w:lang w:val="en-GB"/>
        </w:rPr>
        <w:tab/>
      </w:r>
      <w:r>
        <w:rPr>
          <w:rtl/>
          <w:lang w:val="en-GB"/>
        </w:rPr>
        <w:t>السلطة القضائية</w:t>
      </w:r>
    </w:p>
    <w:p w:rsidR="00182560" w:rsidRPr="00B634AD" w:rsidRDefault="00182560" w:rsidP="00793AD1">
      <w:pPr>
        <w:pStyle w:val="Bullet1GA"/>
        <w:bidi/>
        <w:rPr>
          <w:spacing w:val="-2"/>
          <w:rtl/>
          <w:lang w:val="en-GB" w:eastAsia="zh-TW"/>
        </w:rPr>
      </w:pPr>
      <w:r w:rsidRPr="00B634AD">
        <w:rPr>
          <w:spacing w:val="-2"/>
          <w:rtl/>
          <w:lang w:val="en-GB" w:eastAsia="zh-TW"/>
        </w:rPr>
        <w:t>السلطة القضائية في النيجر مستقلة عن السلطتين التشريعية والتنفيذية.</w:t>
      </w:r>
      <w:r w:rsidR="00377A30" w:rsidRPr="00B634AD">
        <w:rPr>
          <w:rFonts w:hint="cs"/>
          <w:spacing w:val="-2"/>
          <w:rtl/>
          <w:lang w:val="en-GB" w:eastAsia="zh-TW"/>
        </w:rPr>
        <w:t xml:space="preserve"> </w:t>
      </w:r>
      <w:r w:rsidRPr="00B634AD">
        <w:rPr>
          <w:spacing w:val="-2"/>
          <w:rtl/>
          <w:lang w:val="en-GB" w:eastAsia="zh-TW"/>
        </w:rPr>
        <w:t>وتمارس السلطة القضائية المحكمة الدستورية ومحكمة النقض ومجلس الدولة ومحكمة تدقيق الحسابات والمحاكم.</w:t>
      </w:r>
      <w:r w:rsidR="00377A30" w:rsidRPr="00B634AD">
        <w:rPr>
          <w:rFonts w:hint="cs"/>
          <w:spacing w:val="-2"/>
          <w:rtl/>
          <w:lang w:val="en-GB" w:eastAsia="zh-TW"/>
        </w:rPr>
        <w:t xml:space="preserve"> </w:t>
      </w:r>
      <w:r w:rsidRPr="00B634AD">
        <w:rPr>
          <w:spacing w:val="-2"/>
          <w:rtl/>
          <w:lang w:val="en-GB" w:eastAsia="zh-TW"/>
        </w:rPr>
        <w:t>ومن بين الهياكل الدستورية القضائية، يمكن إيراد ما يلي:</w:t>
      </w:r>
    </w:p>
    <w:p w:rsidR="00182560" w:rsidRPr="00FA549C" w:rsidRDefault="00182560" w:rsidP="002B4721">
      <w:pPr>
        <w:pStyle w:val="Bullet2GA"/>
        <w:tabs>
          <w:tab w:val="clear" w:pos="3062"/>
        </w:tabs>
        <w:bidi/>
        <w:rPr>
          <w:rtl/>
          <w:lang w:val="en-GB" w:eastAsia="zh-TW"/>
        </w:rPr>
      </w:pPr>
      <w:r>
        <w:rPr>
          <w:rtl/>
          <w:lang w:val="en-GB" w:eastAsia="zh-TW"/>
        </w:rPr>
        <w:t>المحكمة الدستورية: تختص بالنظر في المسائل الدستورية والانتخابية.</w:t>
      </w:r>
      <w:r w:rsidR="00377A30">
        <w:rPr>
          <w:rFonts w:hint="cs"/>
          <w:rtl/>
          <w:lang w:val="en-GB" w:eastAsia="zh-TW"/>
        </w:rPr>
        <w:t xml:space="preserve"> </w:t>
      </w:r>
      <w:r>
        <w:rPr>
          <w:rtl/>
          <w:lang w:val="en-GB" w:eastAsia="zh-TW"/>
        </w:rPr>
        <w:t>وتبت في دستورية القوانين والأوامر وكذلك في تطابق المعاهدات والاتفاقات الدولية مع الدستور.</w:t>
      </w:r>
      <w:r w:rsidR="00377A30">
        <w:rPr>
          <w:rFonts w:hint="cs"/>
          <w:rtl/>
          <w:lang w:val="en-GB" w:eastAsia="zh-TW"/>
        </w:rPr>
        <w:t xml:space="preserve"> </w:t>
      </w:r>
      <w:r>
        <w:rPr>
          <w:rtl/>
          <w:lang w:val="en-GB" w:eastAsia="zh-TW"/>
        </w:rPr>
        <w:t>وتبت في جميع المسائل المتعلقة بتفسير الدستور وتطبيقه؛</w:t>
      </w:r>
    </w:p>
    <w:p w:rsidR="00182560" w:rsidRPr="00FA549C" w:rsidRDefault="00182560" w:rsidP="002B4721">
      <w:pPr>
        <w:pStyle w:val="Bullet2GA"/>
        <w:tabs>
          <w:tab w:val="clear" w:pos="3062"/>
        </w:tabs>
        <w:bidi/>
        <w:rPr>
          <w:rtl/>
          <w:lang w:val="en-GB" w:eastAsia="zh-TW"/>
        </w:rPr>
      </w:pPr>
      <w:r>
        <w:rPr>
          <w:rtl/>
          <w:lang w:val="en-GB" w:eastAsia="zh-TW"/>
        </w:rPr>
        <w:t>محكمة النقض: وهي أعلى محكمة في الجمهورية فيما يتعلق بالمسائل القضائية؛</w:t>
      </w:r>
    </w:p>
    <w:p w:rsidR="00182560" w:rsidRPr="00FA549C" w:rsidRDefault="00182560" w:rsidP="002B4721">
      <w:pPr>
        <w:pStyle w:val="Bullet2GA"/>
        <w:tabs>
          <w:tab w:val="clear" w:pos="3062"/>
        </w:tabs>
        <w:bidi/>
        <w:rPr>
          <w:rtl/>
          <w:lang w:val="en-GB" w:eastAsia="zh-TW"/>
        </w:rPr>
      </w:pPr>
      <w:r>
        <w:rPr>
          <w:rtl/>
          <w:lang w:val="en-GB" w:eastAsia="zh-TW"/>
        </w:rPr>
        <w:t>مجلس الدولة: وهو أعلى محكمة فيما يتعلق بالمسائل الإدارية.</w:t>
      </w:r>
      <w:r w:rsidR="007C3A46">
        <w:rPr>
          <w:rFonts w:hint="cs"/>
          <w:rtl/>
          <w:lang w:val="en-GB" w:eastAsia="zh-TW"/>
        </w:rPr>
        <w:t xml:space="preserve"> </w:t>
      </w:r>
      <w:r>
        <w:rPr>
          <w:rtl/>
          <w:lang w:val="en-GB" w:eastAsia="zh-TW"/>
        </w:rPr>
        <w:t>ويقضي ابتدائياً ونهائياً في قضايا التعسف في استخدام السلطة من جانب السلطات الإدارية وكذلك في الطعون المتعلقة بتفسير وتقييم مشروعية القرارات الإدارية؛</w:t>
      </w:r>
    </w:p>
    <w:p w:rsidR="00182560" w:rsidRPr="00FA549C" w:rsidRDefault="00182560" w:rsidP="002B4721">
      <w:pPr>
        <w:pStyle w:val="Bullet2GA"/>
        <w:tabs>
          <w:tab w:val="clear" w:pos="3062"/>
        </w:tabs>
        <w:bidi/>
        <w:rPr>
          <w:rtl/>
          <w:lang w:val="en-GB" w:eastAsia="zh-TW"/>
        </w:rPr>
      </w:pPr>
      <w:r>
        <w:rPr>
          <w:rtl/>
          <w:lang w:val="en-GB" w:eastAsia="zh-TW"/>
        </w:rPr>
        <w:t>محكمة تدقيق الحسابات: وهي أعلى محكمة لمراقبة المالية العامة.</w:t>
      </w:r>
      <w:r w:rsidR="007C3A46">
        <w:rPr>
          <w:rFonts w:hint="cs"/>
          <w:rtl/>
          <w:lang w:val="en-GB" w:eastAsia="zh-TW"/>
        </w:rPr>
        <w:t xml:space="preserve"> </w:t>
      </w:r>
      <w:r>
        <w:rPr>
          <w:rtl/>
          <w:lang w:val="en-GB" w:eastAsia="zh-TW"/>
        </w:rPr>
        <w:t>وتضطلع بصلاحيات قضائية وتمارس اختصاص المراقبة وكذلك اختصاص إسداء المشورة؛</w:t>
      </w:r>
      <w:r w:rsidR="007C3A46">
        <w:rPr>
          <w:rFonts w:hint="cs"/>
          <w:rtl/>
          <w:lang w:val="en-GB" w:eastAsia="zh-TW"/>
        </w:rPr>
        <w:t xml:space="preserve"> </w:t>
      </w:r>
      <w:r>
        <w:rPr>
          <w:rtl/>
          <w:lang w:val="en-GB" w:eastAsia="zh-TW"/>
        </w:rPr>
        <w:t>وتقضي في المسائل المتعلقة بحسابات الدولة وأجهزة الحكم المحلي والمؤسسات والشركات العامة والسلطات الإدارية المستقلة وأي منظمة أخرى تتلقى دعماً مالياً من الدولة والأجهزة المتفرعة عنها؛</w:t>
      </w:r>
    </w:p>
    <w:p w:rsidR="00182560" w:rsidRPr="00C126A2" w:rsidRDefault="00182560" w:rsidP="002B4721">
      <w:pPr>
        <w:pStyle w:val="Bullet2GA"/>
        <w:tabs>
          <w:tab w:val="clear" w:pos="3062"/>
        </w:tabs>
        <w:bidi/>
        <w:rPr>
          <w:rtl/>
          <w:lang w:val="en-GB" w:eastAsia="zh-TW"/>
        </w:rPr>
      </w:pPr>
      <w:r>
        <w:rPr>
          <w:rtl/>
          <w:lang w:val="en-GB" w:eastAsia="zh-TW"/>
        </w:rPr>
        <w:t xml:space="preserve">محكمة العدل العليا: وهي منبثقة عن الجمعية الوطنية وتختص بمحاكمة أعضاء الحكومة على الجرائم أو الجنح التي يرتكبونها أثناء ممارستهم العمل الحكومي أو عندما كان الجيش يمارس وظائف </w:t>
      </w:r>
      <w:r>
        <w:rPr>
          <w:rtl/>
          <w:lang w:val="en-GB" w:eastAsia="zh-TW"/>
        </w:rPr>
        <w:lastRenderedPageBreak/>
        <w:t>سياسية في عام ١٩٩٦ ومحاكمة رئيس الجمهورية عند ارتكابه لأعمال تصنَّف من الخيانة العظمى أثناء ممارسة مهامه.</w:t>
      </w:r>
      <w:r w:rsidR="00B634AD">
        <w:rPr>
          <w:rFonts w:hint="cs"/>
          <w:rtl/>
          <w:lang w:val="en-GB" w:eastAsia="zh-TW"/>
        </w:rPr>
        <w:t xml:space="preserve"> </w:t>
      </w:r>
    </w:p>
    <w:p w:rsidR="00182560" w:rsidRPr="007F3B78" w:rsidRDefault="00B6758C" w:rsidP="00182560">
      <w:pPr>
        <w:pStyle w:val="SingleTxtGA"/>
        <w:rPr>
          <w:rtl/>
          <w:lang w:val="en-GB" w:eastAsia="zh-TW"/>
        </w:rPr>
      </w:pPr>
      <w:r>
        <w:rPr>
          <w:rtl/>
          <w:lang w:val="en-GB" w:eastAsia="zh-TW"/>
        </w:rPr>
        <w:t>٢٥-</w:t>
      </w:r>
      <w:r>
        <w:rPr>
          <w:rtl/>
          <w:lang w:val="en-GB" w:eastAsia="zh-TW"/>
        </w:rPr>
        <w:tab/>
      </w:r>
      <w:r w:rsidR="00182560">
        <w:rPr>
          <w:rtl/>
          <w:lang w:val="en-GB" w:eastAsia="zh-TW"/>
        </w:rPr>
        <w:t>ويعتمد النظام القضائي على مصدرين اثنين هما القانون الوضعي والعرف.</w:t>
      </w:r>
      <w:r w:rsidR="007C3A46">
        <w:rPr>
          <w:rFonts w:hint="cs"/>
          <w:rtl/>
          <w:lang w:val="en-GB" w:eastAsia="zh-TW"/>
        </w:rPr>
        <w:t xml:space="preserve"> </w:t>
      </w:r>
      <w:r w:rsidR="00182560">
        <w:rPr>
          <w:rtl/>
          <w:lang w:val="en-GB" w:eastAsia="zh-TW"/>
        </w:rPr>
        <w:t>ففي قضايا الأحوال الشخصية، وهي الزواج والطلاق والميراث، تطبق المحاكم على نطاق واسع الأعراف.</w:t>
      </w:r>
      <w:r w:rsidR="007C3A46">
        <w:rPr>
          <w:rFonts w:hint="cs"/>
          <w:rtl/>
          <w:lang w:val="en-GB" w:eastAsia="zh-TW"/>
        </w:rPr>
        <w:t xml:space="preserve"> </w:t>
      </w:r>
      <w:r w:rsidR="00182560">
        <w:rPr>
          <w:rtl/>
          <w:lang w:val="en-GB" w:eastAsia="zh-TW"/>
        </w:rPr>
        <w:t>غير أن أحكام المادة 99 من الدستور تنص على أن "القانون يحدد القواعد المتعلقة بالإجراءات التي يجري وفقها النظر في تلك الأعراف ومواءمتها مع المبادئ الأساسية للدستور".</w:t>
      </w:r>
    </w:p>
    <w:p w:rsidR="00182560" w:rsidRDefault="00182560" w:rsidP="005D4246">
      <w:pPr>
        <w:pStyle w:val="H23GA"/>
        <w:rPr>
          <w:rtl/>
          <w:lang w:val="en-GB"/>
        </w:rPr>
      </w:pPr>
      <w:r>
        <w:rPr>
          <w:lang w:val="en-GB"/>
        </w:rPr>
        <w:tab/>
      </w:r>
      <w:r>
        <w:rPr>
          <w:lang w:val="en-GB"/>
        </w:rPr>
        <w:tab/>
      </w:r>
      <w:r>
        <w:rPr>
          <w:rtl/>
          <w:lang w:val="en-GB"/>
        </w:rPr>
        <w:t>المؤسسات والهياكل الأخرى</w:t>
      </w:r>
    </w:p>
    <w:p w:rsidR="00182560" w:rsidRPr="007F3B78" w:rsidRDefault="00B6758C" w:rsidP="00182560">
      <w:pPr>
        <w:pStyle w:val="SingleTxtGA"/>
        <w:rPr>
          <w:rtl/>
          <w:lang w:val="en-GB" w:eastAsia="zh-TW"/>
        </w:rPr>
      </w:pPr>
      <w:r>
        <w:rPr>
          <w:rtl/>
          <w:lang w:val="en-GB" w:eastAsia="zh-TW"/>
        </w:rPr>
        <w:t>٢٦-</w:t>
      </w:r>
      <w:r>
        <w:rPr>
          <w:rtl/>
          <w:lang w:val="en-GB" w:eastAsia="zh-TW"/>
        </w:rPr>
        <w:tab/>
      </w:r>
      <w:r w:rsidR="00182560">
        <w:rPr>
          <w:rtl/>
          <w:lang w:val="en-GB" w:eastAsia="zh-TW"/>
        </w:rPr>
        <w:t>تشمل أساسا</w:t>
      </w:r>
      <w:r w:rsidR="005D4246">
        <w:rPr>
          <w:rFonts w:hint="cs"/>
          <w:rtl/>
          <w:lang w:val="en-GB" w:eastAsia="zh-TW"/>
        </w:rPr>
        <w:t>ً</w:t>
      </w:r>
      <w:r w:rsidR="00182560">
        <w:rPr>
          <w:rtl/>
          <w:lang w:val="en-GB" w:eastAsia="zh-TW"/>
        </w:rPr>
        <w:t xml:space="preserve"> ما يلي:</w:t>
      </w:r>
    </w:p>
    <w:p w:rsidR="00182560" w:rsidRPr="00C126A2" w:rsidRDefault="00182560" w:rsidP="00D4764C">
      <w:pPr>
        <w:pStyle w:val="Bullet1GA"/>
        <w:bidi/>
        <w:rPr>
          <w:rtl/>
          <w:lang w:val="en-GB" w:eastAsia="zh-TW"/>
        </w:rPr>
      </w:pPr>
      <w:r w:rsidRPr="00CB54F1">
        <w:rPr>
          <w:b/>
          <w:bCs/>
          <w:rtl/>
          <w:lang w:val="en-GB" w:eastAsia="zh-TW"/>
        </w:rPr>
        <w:t>اللجنة الوطنية لحقوق الإنسان:</w:t>
      </w:r>
      <w:r>
        <w:rPr>
          <w:rtl/>
          <w:lang w:val="en-GB" w:eastAsia="zh-TW"/>
        </w:rPr>
        <w:t xml:space="preserve"> أنشئت بموجب القانون رقم </w:t>
      </w:r>
      <w:r w:rsidR="00D4764C">
        <w:rPr>
          <w:rFonts w:hint="cs"/>
          <w:rtl/>
          <w:lang w:val="en-GB" w:eastAsia="zh-TW"/>
        </w:rPr>
        <w:t xml:space="preserve">2012-44 </w:t>
      </w:r>
      <w:r>
        <w:rPr>
          <w:rtl/>
          <w:lang w:val="en-GB" w:eastAsia="zh-TW"/>
        </w:rPr>
        <w:t>الصادر في 24 آب/أغسطس 2012، وهي سلطة إدارية مستقلة تتولى السهر على تعزيز وإعمال الحقوق والحريات المكرسة في الدستور؛</w:t>
      </w:r>
    </w:p>
    <w:p w:rsidR="00182560" w:rsidRPr="00C126A2" w:rsidRDefault="00182560" w:rsidP="00982BF7">
      <w:pPr>
        <w:pStyle w:val="Bullet1GA"/>
        <w:bidi/>
        <w:rPr>
          <w:rtl/>
          <w:lang w:val="en-GB" w:eastAsia="zh-TW"/>
        </w:rPr>
      </w:pPr>
      <w:r w:rsidRPr="00CB54F1">
        <w:rPr>
          <w:b/>
          <w:bCs/>
          <w:rtl/>
          <w:lang w:val="en-GB" w:eastAsia="zh-TW"/>
        </w:rPr>
        <w:t>المجلس الأعلى للإعلام:</w:t>
      </w:r>
      <w:r>
        <w:rPr>
          <w:rtl/>
          <w:lang w:val="en-GB" w:eastAsia="zh-TW"/>
        </w:rPr>
        <w:t xml:space="preserve"> أنشئ بموجب القانون رقم </w:t>
      </w:r>
      <w:r w:rsidR="00982BF7">
        <w:rPr>
          <w:rFonts w:hint="cs"/>
          <w:rtl/>
          <w:lang w:val="en-GB" w:eastAsia="zh-TW"/>
        </w:rPr>
        <w:t>2012-34</w:t>
      </w:r>
      <w:r w:rsidR="00D4764C">
        <w:rPr>
          <w:rtl/>
          <w:lang w:val="en-GB" w:eastAsia="zh-TW"/>
        </w:rPr>
        <w:t xml:space="preserve"> الصادر في</w:t>
      </w:r>
      <w:r w:rsidR="00D4764C">
        <w:rPr>
          <w:rFonts w:hint="cs"/>
          <w:rtl/>
          <w:lang w:val="en-GB" w:eastAsia="zh-TW"/>
        </w:rPr>
        <w:t> </w:t>
      </w:r>
      <w:r>
        <w:rPr>
          <w:rtl/>
          <w:lang w:val="en-GB" w:eastAsia="zh-TW"/>
        </w:rPr>
        <w:t>7 حزيران/يونيه 2012 بشأن تشكيل المجلس الأعلى للإعلام وصلاحياته وتنظيمه وسير عمله، وهو سلطة إدارية مستقلة تناط بها مهمة تأمين وضمان حرية واستقلال وسائط الإعلام السمعية البصرية والصحافة المطبوعة والإلكترونية وفقاً للقانون؛</w:t>
      </w:r>
    </w:p>
    <w:p w:rsidR="00182560" w:rsidRPr="00C126A2" w:rsidRDefault="00182560" w:rsidP="00182560">
      <w:pPr>
        <w:pStyle w:val="Bullet1GA"/>
        <w:bidi/>
        <w:rPr>
          <w:rtl/>
          <w:lang w:val="en-GB" w:eastAsia="zh-TW"/>
        </w:rPr>
      </w:pPr>
      <w:r w:rsidRPr="00CB54F1">
        <w:rPr>
          <w:b/>
          <w:bCs/>
          <w:rtl/>
          <w:lang w:val="en-GB" w:eastAsia="zh-TW"/>
        </w:rPr>
        <w:t>وسيط الجمهورية:</w:t>
      </w:r>
      <w:r>
        <w:rPr>
          <w:rtl/>
          <w:lang w:val="en-GB" w:eastAsia="zh-TW"/>
        </w:rPr>
        <w:t xml:space="preserve"> أنشئ في آب/أغسطس 2011، وهو سلطة مستقلة تتلقى، بموجب الشروط التي يحددها القانون، المطالبات المتعلقة بعمل إدارات الدولة وأجهزة الحكم المحلي والمؤسسات العامة وكل الهيئات الأخرى التي تضطلع بمهام الخدمة العامة، في علاقاتها مع المواطنين.</w:t>
      </w:r>
      <w:r w:rsidR="007C3A46">
        <w:rPr>
          <w:rFonts w:hint="cs"/>
          <w:rtl/>
          <w:lang w:val="en-GB" w:eastAsia="zh-TW"/>
        </w:rPr>
        <w:t xml:space="preserve"> </w:t>
      </w:r>
      <w:r>
        <w:rPr>
          <w:rtl/>
          <w:lang w:val="en-GB" w:eastAsia="zh-TW"/>
        </w:rPr>
        <w:t>وقد عُدل القانون المنظم لهذه المؤسسة واستُكمل في عام 2013؛</w:t>
      </w:r>
    </w:p>
    <w:p w:rsidR="00182560" w:rsidRPr="00C126A2" w:rsidRDefault="00182560" w:rsidP="00982BF7">
      <w:pPr>
        <w:pStyle w:val="Bullet1GA"/>
        <w:bidi/>
        <w:rPr>
          <w:rtl/>
          <w:lang w:val="en-GB" w:eastAsia="zh-TW"/>
        </w:rPr>
      </w:pPr>
      <w:r w:rsidRPr="00982BF7">
        <w:rPr>
          <w:b/>
          <w:bCs/>
          <w:spacing w:val="-6"/>
          <w:rtl/>
          <w:lang w:val="en-GB" w:eastAsia="zh-TW"/>
        </w:rPr>
        <w:t>المجلس الاقتصادي والاجتماعي والثقافي:</w:t>
      </w:r>
      <w:r w:rsidRPr="00982BF7">
        <w:rPr>
          <w:spacing w:val="-6"/>
          <w:rtl/>
          <w:lang w:val="en-GB" w:eastAsia="zh-TW"/>
        </w:rPr>
        <w:t xml:space="preserve"> أنشئ بموجب القانون رقم </w:t>
      </w:r>
      <w:r w:rsidR="00982BF7" w:rsidRPr="00982BF7">
        <w:rPr>
          <w:rFonts w:hint="cs"/>
          <w:spacing w:val="-6"/>
          <w:rtl/>
          <w:lang w:val="en-GB" w:eastAsia="zh-TW"/>
        </w:rPr>
        <w:t>2011-40</w:t>
      </w:r>
      <w:r>
        <w:rPr>
          <w:rtl/>
          <w:lang w:val="en-GB" w:eastAsia="zh-TW"/>
        </w:rPr>
        <w:t xml:space="preserve"> الصادر في 7 كانون الأول/ديسمبر 2011 بشأن تحديد صلاحيات المجلس الاقتصادي والاجتماعي والثقافي وتشكيلته وتنظيمه وسير عمله، ويساعد رئيس الجمهورية والجمعية الوطنية في المجالات الاقتصادية والاجتماعية والثقافية.</w:t>
      </w:r>
      <w:r w:rsidR="007C3A46">
        <w:rPr>
          <w:rFonts w:hint="cs"/>
          <w:rtl/>
          <w:lang w:val="en-GB" w:eastAsia="zh-TW"/>
        </w:rPr>
        <w:t xml:space="preserve"> </w:t>
      </w:r>
      <w:r>
        <w:rPr>
          <w:rtl/>
          <w:lang w:val="en-GB" w:eastAsia="zh-TW"/>
        </w:rPr>
        <w:t>ويدلي برأيه في مشاريع ومقترَحات القوانين المتصلة بالمجال الاقتصادي والاجتماعي والثقافي، باستثناء قوانين المالية؛</w:t>
      </w:r>
    </w:p>
    <w:p w:rsidR="00182560" w:rsidRPr="00C126A2" w:rsidRDefault="00182560" w:rsidP="00F53172">
      <w:pPr>
        <w:pStyle w:val="Bullet1GA"/>
        <w:bidi/>
        <w:rPr>
          <w:rtl/>
          <w:lang w:val="en-GB" w:eastAsia="zh-TW"/>
        </w:rPr>
      </w:pPr>
      <w:r w:rsidRPr="00CB54F1">
        <w:rPr>
          <w:b/>
          <w:bCs/>
          <w:rtl/>
          <w:lang w:val="en-GB" w:eastAsia="zh-TW"/>
        </w:rPr>
        <w:t>اللجنة الوطنية لتنسيق جهود مكافحة الاتجار بالأشخاص:</w:t>
      </w:r>
      <w:r>
        <w:rPr>
          <w:rtl/>
          <w:lang w:val="en-GB" w:eastAsia="zh-TW"/>
        </w:rPr>
        <w:t xml:space="preserve"> أنشئت بموجب المرسوم رقم </w:t>
      </w:r>
      <w:r w:rsidR="00F53172" w:rsidRPr="002C6FB7">
        <w:t>2012-082/PRN/MJ</w:t>
      </w:r>
      <w:r w:rsidR="00F53172">
        <w:rPr>
          <w:rFonts w:hint="cs"/>
          <w:rtl/>
          <w:lang w:val="en-GB" w:eastAsia="zh-TW"/>
        </w:rPr>
        <w:t xml:space="preserve"> </w:t>
      </w:r>
      <w:r>
        <w:rPr>
          <w:rtl/>
          <w:lang w:val="en-GB" w:eastAsia="zh-TW"/>
        </w:rPr>
        <w:t>الصادر في 21 آذار/مارس 2012، وهي الهيئة التي تحرّك السياسات والبرامج المتعلقة بمنع الاتجار بالأشخاص وتضع تصوراً لها وتبلورها؛</w:t>
      </w:r>
    </w:p>
    <w:p w:rsidR="00182560" w:rsidRPr="00C126A2" w:rsidRDefault="00182560" w:rsidP="00F53172">
      <w:pPr>
        <w:pStyle w:val="Bullet1GA"/>
        <w:bidi/>
        <w:rPr>
          <w:rtl/>
          <w:lang w:val="en-GB" w:eastAsia="zh-TW"/>
        </w:rPr>
      </w:pPr>
      <w:r w:rsidRPr="00CB54F1">
        <w:rPr>
          <w:b/>
          <w:bCs/>
          <w:rtl/>
          <w:lang w:val="en-GB" w:eastAsia="zh-TW"/>
        </w:rPr>
        <w:t>الوكالة الوطنية لمكافحة الاتجار بالأشخاص:</w:t>
      </w:r>
      <w:r>
        <w:rPr>
          <w:rtl/>
          <w:lang w:val="en-GB" w:eastAsia="zh-TW"/>
        </w:rPr>
        <w:t xml:space="preserve"> أنشئت بموجب المرسوم </w:t>
      </w:r>
      <w:r w:rsidR="007C3A46">
        <w:rPr>
          <w:rFonts w:hint="cs"/>
          <w:rtl/>
          <w:lang w:val="en-GB" w:eastAsia="zh-TW"/>
        </w:rPr>
        <w:t xml:space="preserve">  </w:t>
      </w:r>
      <w:r>
        <w:rPr>
          <w:rtl/>
          <w:lang w:val="en-GB" w:eastAsia="zh-TW"/>
        </w:rPr>
        <w:t>ر</w:t>
      </w:r>
      <w:r w:rsidR="007C3A46">
        <w:rPr>
          <w:rtl/>
          <w:lang w:val="en-GB" w:eastAsia="zh-TW"/>
        </w:rPr>
        <w:t>قم</w:t>
      </w:r>
      <w:r w:rsidR="007C3A46">
        <w:rPr>
          <w:rFonts w:hint="cs"/>
          <w:rtl/>
          <w:lang w:val="en-GB" w:eastAsia="zh-TW"/>
        </w:rPr>
        <w:t> </w:t>
      </w:r>
      <w:r w:rsidR="00F53172" w:rsidRPr="002C6FB7">
        <w:t>2012-08</w:t>
      </w:r>
      <w:r w:rsidR="00F53172">
        <w:t>3</w:t>
      </w:r>
      <w:r w:rsidR="00F53172" w:rsidRPr="002C6FB7">
        <w:t>/PRN/MJ</w:t>
      </w:r>
      <w:r w:rsidR="007C3A46">
        <w:rPr>
          <w:rFonts w:hint="cs"/>
          <w:rtl/>
          <w:lang w:val="en-GB" w:eastAsia="zh-TW"/>
        </w:rPr>
        <w:t xml:space="preserve"> </w:t>
      </w:r>
      <w:r>
        <w:rPr>
          <w:rtl/>
          <w:lang w:val="en-GB" w:eastAsia="zh-TW"/>
        </w:rPr>
        <w:t xml:space="preserve">الصادر في 21 آذار/مارس 2012، وهي البنية التشغيلية المكلفة بتنفيذ وتطبيق السياسات والاستراتيجيات الوطنية التي </w:t>
      </w:r>
      <w:r>
        <w:rPr>
          <w:rtl/>
          <w:lang w:val="en-GB" w:eastAsia="zh-TW"/>
        </w:rPr>
        <w:lastRenderedPageBreak/>
        <w:t>اعتمدتها اللجنة الوطنية لتنسيق جهود مكافحة الاتجار بالأشخاص، فضلاً عن تنفيذ خطة العمل ذات الصلة؛</w:t>
      </w:r>
    </w:p>
    <w:p w:rsidR="00182560" w:rsidRPr="00C126A2" w:rsidRDefault="00182560" w:rsidP="00F53172">
      <w:pPr>
        <w:pStyle w:val="Bullet1GA"/>
        <w:bidi/>
        <w:rPr>
          <w:rtl/>
          <w:lang w:val="en-GB" w:eastAsia="zh-TW"/>
        </w:rPr>
      </w:pPr>
      <w:r w:rsidRPr="00CB54F1">
        <w:rPr>
          <w:b/>
          <w:bCs/>
          <w:rtl/>
          <w:lang w:val="en-GB" w:eastAsia="zh-TW"/>
        </w:rPr>
        <w:t>الوكالة الوطنية للمساعدة القانونية والقضائية:</w:t>
      </w:r>
      <w:r w:rsidR="00F53172">
        <w:rPr>
          <w:rtl/>
          <w:lang w:val="en-GB" w:eastAsia="zh-TW"/>
        </w:rPr>
        <w:t xml:space="preserve"> أنشئت بموجب القانون رقم</w:t>
      </w:r>
      <w:r w:rsidR="00F53172">
        <w:rPr>
          <w:rFonts w:hint="cs"/>
          <w:rtl/>
          <w:lang w:val="en-GB" w:eastAsia="zh-TW"/>
        </w:rPr>
        <w:t> 2011-42</w:t>
      </w:r>
      <w:r>
        <w:rPr>
          <w:rtl/>
          <w:lang w:val="en-GB" w:eastAsia="zh-TW"/>
        </w:rPr>
        <w:t xml:space="preserve"> الصادر في 14 كانون الأول/ديسمبر 2011 والمتعلق بتحديد القواعد المنطبقة على المساعدة القانونية </w:t>
      </w:r>
      <w:r w:rsidR="007C3A46">
        <w:rPr>
          <w:rtl/>
          <w:lang w:val="en-GB" w:eastAsia="zh-TW"/>
        </w:rPr>
        <w:t>والقضائية وإنشاء مؤسسة عامة ذات</w:t>
      </w:r>
      <w:r w:rsidR="007C3A46">
        <w:rPr>
          <w:rFonts w:hint="cs"/>
          <w:rtl/>
          <w:lang w:val="en-GB" w:eastAsia="zh-TW"/>
        </w:rPr>
        <w:t> </w:t>
      </w:r>
      <w:r>
        <w:rPr>
          <w:rtl/>
          <w:lang w:val="en-GB" w:eastAsia="zh-TW"/>
        </w:rPr>
        <w:t>طابع إداري تسمى "الوكالة الوطنية للمساعدة القانونية والقضائية". وتتمثل مهمتها في إتاحة المساعدة القانونية والقضائية لفئات معينة من الأشخاص الضعفاء والأشخاص الذين لا يملكون ما يكفي من الدخل لسدّ تكاليف المحاكمة؛</w:t>
      </w:r>
    </w:p>
    <w:p w:rsidR="00182560" w:rsidRPr="00C126A2" w:rsidRDefault="00182560" w:rsidP="00D51B5A">
      <w:pPr>
        <w:pStyle w:val="Bullet1GA"/>
        <w:bidi/>
        <w:rPr>
          <w:rtl/>
          <w:lang w:val="en-GB" w:eastAsia="zh-TW"/>
        </w:rPr>
      </w:pPr>
      <w:r w:rsidRPr="005D4246">
        <w:rPr>
          <w:b/>
          <w:bCs/>
          <w:rtl/>
          <w:lang w:val="en-GB" w:eastAsia="zh-TW"/>
        </w:rPr>
        <w:t>الهيئة العليا لتوطيد السلام:</w:t>
      </w:r>
      <w:r>
        <w:rPr>
          <w:rtl/>
          <w:lang w:val="en-GB" w:eastAsia="zh-TW"/>
        </w:rPr>
        <w:t xml:space="preserve"> أنشئت بموجب المرسوم رقم </w:t>
      </w:r>
      <w:r w:rsidR="00D51B5A" w:rsidRPr="002C6FB7">
        <w:t>2014-117/PRN</w:t>
      </w:r>
      <w:r>
        <w:rPr>
          <w:rtl/>
          <w:lang w:val="en-GB" w:eastAsia="zh-TW"/>
        </w:rPr>
        <w:t xml:space="preserve"> الصادر في 17 شباط/فبراير 2014 والمتعلق بصلاحيات الهيئة العليا لتوطيد السلام وتنظيمها وسير عملها، وتتمثل مهمتها في "تعزيز روح السلام والحوار بين مختلف المجتمعات المحلية في البلد والحفاظ على جو من الثقة المتبادلة والتسامح والاحترام تحقيقاً لإرادة مشتركة في العيش معاً"؛</w:t>
      </w:r>
    </w:p>
    <w:p w:rsidR="00182560" w:rsidRPr="00C126A2" w:rsidRDefault="00182560" w:rsidP="00C83E6D">
      <w:pPr>
        <w:pStyle w:val="Bullet1GA"/>
        <w:bidi/>
        <w:rPr>
          <w:rtl/>
          <w:lang w:val="en-GB" w:eastAsia="zh-TW"/>
        </w:rPr>
      </w:pPr>
      <w:r w:rsidRPr="005D4246">
        <w:rPr>
          <w:b/>
          <w:bCs/>
          <w:rtl/>
          <w:lang w:val="en-GB" w:eastAsia="zh-TW"/>
        </w:rPr>
        <w:t xml:space="preserve">مكتب المفوض السامي لمبادرة </w:t>
      </w:r>
      <w:r w:rsidR="005D4246">
        <w:rPr>
          <w:rFonts w:hint="cs"/>
          <w:b/>
          <w:bCs/>
          <w:rtl/>
          <w:lang w:val="en-GB" w:eastAsia="zh-TW"/>
        </w:rPr>
        <w:t>"</w:t>
      </w:r>
      <w:r w:rsidRPr="005D4246">
        <w:rPr>
          <w:b/>
          <w:bCs/>
          <w:rtl/>
          <w:lang w:val="en-GB" w:eastAsia="zh-TW"/>
        </w:rPr>
        <w:t>نون3</w:t>
      </w:r>
      <w:r w:rsidR="002A2675">
        <w:rPr>
          <w:rFonts w:hint="cs"/>
          <w:rtl/>
          <w:lang w:val="en-GB" w:eastAsia="zh-TW"/>
        </w:rPr>
        <w:t xml:space="preserve">" </w:t>
      </w:r>
      <w:r>
        <w:rPr>
          <w:rtl/>
          <w:lang w:val="en-GB" w:eastAsia="zh-TW"/>
        </w:rPr>
        <w:t xml:space="preserve">(نحن النيجريون نطعم النيجريين): أنشئ </w:t>
      </w:r>
      <w:r w:rsidRPr="007C3A46">
        <w:rPr>
          <w:spacing w:val="-4"/>
          <w:rtl/>
          <w:lang w:val="en-GB" w:eastAsia="zh-TW"/>
        </w:rPr>
        <w:t xml:space="preserve">المكتب بموجب المرسوم رقم </w:t>
      </w:r>
      <w:r w:rsidR="00C83E6D" w:rsidRPr="002C6FB7">
        <w:t>2011-407/PRN</w:t>
      </w:r>
      <w:r w:rsidR="00C83E6D">
        <w:rPr>
          <w:rFonts w:hint="cs"/>
          <w:spacing w:val="-4"/>
          <w:rtl/>
          <w:lang w:val="en-GB" w:eastAsia="zh-TW"/>
        </w:rPr>
        <w:t xml:space="preserve"> </w:t>
      </w:r>
      <w:r w:rsidR="00C83E6D">
        <w:rPr>
          <w:spacing w:val="-4"/>
          <w:rtl/>
          <w:lang w:val="en-GB" w:eastAsia="zh-TW"/>
        </w:rPr>
        <w:t>الصادر في 6 أيلول/</w:t>
      </w:r>
      <w:r w:rsidR="00C83E6D">
        <w:rPr>
          <w:rFonts w:hint="cs"/>
          <w:spacing w:val="-4"/>
          <w:rtl/>
          <w:lang w:val="en-GB" w:eastAsia="zh-TW"/>
        </w:rPr>
        <w:t xml:space="preserve"> </w:t>
      </w:r>
      <w:r w:rsidR="00C83E6D">
        <w:rPr>
          <w:spacing w:val="-4"/>
          <w:rtl/>
          <w:lang w:val="en-GB" w:eastAsia="zh-TW"/>
        </w:rPr>
        <w:t>سبتمبر</w:t>
      </w:r>
      <w:r w:rsidR="00C83E6D">
        <w:rPr>
          <w:rFonts w:hint="cs"/>
          <w:spacing w:val="-4"/>
          <w:rtl/>
          <w:lang w:val="en-GB" w:eastAsia="zh-TW"/>
        </w:rPr>
        <w:t> </w:t>
      </w:r>
      <w:r w:rsidRPr="007C3A46">
        <w:rPr>
          <w:spacing w:val="-4"/>
          <w:rtl/>
          <w:lang w:val="en-GB" w:eastAsia="zh-TW"/>
        </w:rPr>
        <w:t>2011،</w:t>
      </w:r>
      <w:r>
        <w:rPr>
          <w:rtl/>
          <w:lang w:val="en-GB" w:eastAsia="zh-TW"/>
        </w:rPr>
        <w:t xml:space="preserve"> ومن المفترض أن يمكّن النيجر من إحداث نقلة نوعية في الاستثمار في قطاع التنمية الريفية وفي القطاعات المتصلة به وهي الصناعات الغذائية الزراعية وتجارة المنتجات الزراعية الحرجية الرعوية المحلية؛</w:t>
      </w:r>
    </w:p>
    <w:p w:rsidR="00182560" w:rsidRDefault="00182560" w:rsidP="00541FB2">
      <w:pPr>
        <w:pStyle w:val="Bullet1GA"/>
        <w:bidi/>
        <w:rPr>
          <w:rtl/>
          <w:lang w:val="en-GB" w:eastAsia="zh-TW"/>
        </w:rPr>
      </w:pPr>
      <w:r w:rsidRPr="00CB54F1">
        <w:rPr>
          <w:b/>
          <w:bCs/>
          <w:rtl/>
          <w:lang w:val="en-GB" w:eastAsia="zh-TW"/>
        </w:rPr>
        <w:t>الهيئة العليا لمكافحة الفساد والجرائم المماثلة:</w:t>
      </w:r>
      <w:r>
        <w:rPr>
          <w:rtl/>
          <w:lang w:val="en-GB" w:eastAsia="zh-TW"/>
        </w:rPr>
        <w:t xml:space="preserve"> أنشئت بموجب المرسوم </w:t>
      </w:r>
      <w:r w:rsidR="007C3A46">
        <w:rPr>
          <w:rFonts w:hint="cs"/>
          <w:rtl/>
          <w:lang w:val="en-GB" w:eastAsia="zh-TW"/>
        </w:rPr>
        <w:t xml:space="preserve"> </w:t>
      </w:r>
      <w:r w:rsidR="007C3A46">
        <w:rPr>
          <w:rtl/>
          <w:lang w:val="en-GB" w:eastAsia="zh-TW"/>
        </w:rPr>
        <w:t>رقم</w:t>
      </w:r>
      <w:r w:rsidR="007C3A46">
        <w:rPr>
          <w:rFonts w:hint="cs"/>
          <w:rtl/>
          <w:lang w:val="en-GB" w:eastAsia="zh-TW"/>
        </w:rPr>
        <w:t> </w:t>
      </w:r>
      <w:r w:rsidR="00541FB2" w:rsidRPr="002C6FB7">
        <w:t>2011-215/PRN/MJ</w:t>
      </w:r>
      <w:r w:rsidR="007C3A46">
        <w:rPr>
          <w:rFonts w:hint="cs"/>
          <w:rtl/>
          <w:lang w:val="en-GB" w:eastAsia="zh-TW"/>
        </w:rPr>
        <w:t xml:space="preserve"> </w:t>
      </w:r>
      <w:r>
        <w:rPr>
          <w:rtl/>
          <w:lang w:val="en-GB" w:eastAsia="zh-TW"/>
        </w:rPr>
        <w:t>الصادر في 26 تموز/يوليه 2011، وتناط بها مهمة متابعة البرنامج الحكومي لمكافحة الفساد وتقييمه، وتلقي البلاغات التي تردها بشأن ممارسات أو أفعال أو جرائم فساد ومخالفات مشابهة وجمعِها في وحدة مركزية واستخدامها، وإجراء دراسات أو تحقيقات، واقتراح التدابير القانونية والإدارية والعملية الرامية إلى منع الفساد وكبحه، وتحديد أسبابه وتقديم مقترحات إلى السلطات المختصة بشأن التدابير الكفيلة بالقضاء على الفساد في جميع المرافق العامة وشبه العامة، وتنفيذ أي مهام أ</w:t>
      </w:r>
      <w:r w:rsidR="007C3A46">
        <w:rPr>
          <w:rtl/>
          <w:lang w:val="en-GB" w:eastAsia="zh-TW"/>
        </w:rPr>
        <w:t>خرى يسندها إليها رئيس الجمهورية</w:t>
      </w:r>
      <w:r w:rsidR="007C3A46">
        <w:rPr>
          <w:rFonts w:hint="cs"/>
          <w:rtl/>
          <w:lang w:val="en-GB" w:eastAsia="zh-TW"/>
        </w:rPr>
        <w:t>؛</w:t>
      </w:r>
    </w:p>
    <w:p w:rsidR="00182560" w:rsidRPr="00C126A2" w:rsidRDefault="00182560" w:rsidP="00B12536">
      <w:pPr>
        <w:pStyle w:val="Bullet1GA"/>
        <w:bidi/>
        <w:rPr>
          <w:rtl/>
          <w:lang w:val="en-GB" w:eastAsia="zh-TW"/>
        </w:rPr>
      </w:pPr>
      <w:r w:rsidRPr="005F2654">
        <w:rPr>
          <w:b/>
          <w:bCs/>
          <w:rtl/>
          <w:lang w:val="en-GB" w:eastAsia="zh-TW"/>
        </w:rPr>
        <w:t>هيئة الزعماء التقليديين:</w:t>
      </w:r>
      <w:r>
        <w:rPr>
          <w:rtl/>
          <w:lang w:val="en-GB" w:eastAsia="zh-TW"/>
        </w:rPr>
        <w:t xml:space="preserve"> ينظمها الأمر رقم </w:t>
      </w:r>
      <w:r w:rsidR="008673B4">
        <w:rPr>
          <w:rFonts w:hint="cs"/>
          <w:rtl/>
          <w:lang w:val="en-GB" w:eastAsia="zh-TW"/>
        </w:rPr>
        <w:t>93-28</w:t>
      </w:r>
      <w:r>
        <w:rPr>
          <w:rtl/>
          <w:lang w:val="en-GB" w:eastAsia="zh-TW"/>
        </w:rPr>
        <w:t xml:space="preserve"> الصادر في 30 آذار/ مارس 1993 والمتعلق بالنظام الأساسي لهذه الهيئة والذي تم تعديله بموجب القانون رقم </w:t>
      </w:r>
      <w:r w:rsidR="00B12536">
        <w:rPr>
          <w:rFonts w:hint="cs"/>
          <w:rtl/>
          <w:lang w:val="en-GB" w:eastAsia="zh-TW"/>
        </w:rPr>
        <w:t>2008-22</w:t>
      </w:r>
      <w:r>
        <w:rPr>
          <w:rtl/>
          <w:lang w:val="en-GB" w:eastAsia="zh-TW"/>
        </w:rPr>
        <w:t xml:space="preserve"> الصادر في ٢٣ حزيران/يونيه ٢٠٠٨ والذي تنص المادة ١٥ منه، وهي مادة جديدة، على أن "الزعيم التقليدي يمارس صلاحية التوفيق بين الأطراف فيما يتعلق بمسائل الأعراف والتقاليد السائدة في المجالين المدني والتجاري.</w:t>
      </w:r>
      <w:r>
        <w:rPr>
          <w:rFonts w:hint="cs"/>
          <w:rtl/>
          <w:lang w:val="en-GB" w:eastAsia="zh-TW"/>
        </w:rPr>
        <w:t xml:space="preserve"> </w:t>
      </w:r>
      <w:r>
        <w:rPr>
          <w:rtl/>
          <w:lang w:val="en-GB" w:eastAsia="zh-TW"/>
        </w:rPr>
        <w:t>وينظم، وفقاً للأعراف السائدة، استخدام الأسر أو الأفراد للأراضي الزراعية والمراعي التي تمتلك المجتمعات التقليدية التي يشرف على شؤونها حقوقاً عرفية معترف بها فيها.</w:t>
      </w:r>
      <w:r>
        <w:rPr>
          <w:rFonts w:hint="cs"/>
          <w:rtl/>
          <w:lang w:val="en-GB" w:eastAsia="zh-TW"/>
        </w:rPr>
        <w:t xml:space="preserve"> </w:t>
      </w:r>
      <w:r>
        <w:rPr>
          <w:rtl/>
          <w:lang w:val="en-GB" w:eastAsia="zh-TW"/>
        </w:rPr>
        <w:t xml:space="preserve">وفي جميع الحالات، يعد الزعيم محاضر </w:t>
      </w:r>
      <w:r>
        <w:rPr>
          <w:rtl/>
          <w:lang w:val="en-GB" w:eastAsia="zh-TW"/>
        </w:rPr>
        <w:lastRenderedPageBreak/>
        <w:t>بحالات التوفيق أو الإخفاق في التوفيق والتي يجب تسجيلها في سجل مخصص ترسل مقتطفات منه إلى السلطة الإدارية والمحكمة المختصة.</w:t>
      </w:r>
      <w:r>
        <w:rPr>
          <w:rFonts w:hint="cs"/>
          <w:rtl/>
          <w:lang w:val="en-GB" w:eastAsia="zh-TW"/>
        </w:rPr>
        <w:t xml:space="preserve"> </w:t>
      </w:r>
      <w:r>
        <w:rPr>
          <w:rtl/>
          <w:lang w:val="en-GB" w:eastAsia="zh-TW"/>
        </w:rPr>
        <w:t>ويمكن للمحكمة المختصة، بناء على طلب أحد الأطراف، أن تصدر أم</w:t>
      </w:r>
      <w:r w:rsidR="007C3A46">
        <w:rPr>
          <w:rtl/>
          <w:lang w:val="en-GB" w:eastAsia="zh-TW"/>
        </w:rPr>
        <w:t xml:space="preserve">راً </w:t>
      </w:r>
      <w:r>
        <w:rPr>
          <w:rtl/>
          <w:lang w:val="en-GB" w:eastAsia="zh-TW"/>
        </w:rPr>
        <w:t>بتنفيذ محاضر التوفيق الموقعة من الأطراف".</w:t>
      </w:r>
    </w:p>
    <w:p w:rsidR="00182560" w:rsidRPr="00C126A2" w:rsidRDefault="00182560" w:rsidP="007C3A46">
      <w:pPr>
        <w:pStyle w:val="H23GA"/>
        <w:rPr>
          <w:rtl/>
          <w:lang w:val="en-GB"/>
        </w:rPr>
      </w:pPr>
      <w:r>
        <w:rPr>
          <w:lang w:val="en-GB"/>
        </w:rPr>
        <w:tab/>
      </w:r>
      <w:r>
        <w:rPr>
          <w:lang w:val="en-GB"/>
        </w:rPr>
        <w:tab/>
      </w:r>
      <w:r>
        <w:rPr>
          <w:rtl/>
          <w:lang w:val="en-GB"/>
        </w:rPr>
        <w:t>الاقتراع</w:t>
      </w:r>
    </w:p>
    <w:p w:rsidR="00182560" w:rsidRPr="007F3B78" w:rsidRDefault="00B6758C" w:rsidP="00182560">
      <w:pPr>
        <w:pStyle w:val="SingleTxtGA"/>
        <w:rPr>
          <w:rtl/>
          <w:lang w:val="en-GB" w:eastAsia="zh-TW"/>
        </w:rPr>
      </w:pPr>
      <w:r>
        <w:rPr>
          <w:rtl/>
          <w:lang w:val="en-GB" w:eastAsia="zh-TW"/>
        </w:rPr>
        <w:t>٢٧-</w:t>
      </w:r>
      <w:r>
        <w:rPr>
          <w:rtl/>
          <w:lang w:val="en-GB" w:eastAsia="zh-TW"/>
        </w:rPr>
        <w:tab/>
      </w:r>
      <w:r w:rsidR="00182560">
        <w:rPr>
          <w:rtl/>
          <w:lang w:val="en-GB" w:eastAsia="zh-TW"/>
        </w:rPr>
        <w:t xml:space="preserve">الاقتراع عامٌ وحرٌ </w:t>
      </w:r>
      <w:r w:rsidR="00182560">
        <w:rPr>
          <w:rFonts w:hint="cs"/>
          <w:rtl/>
          <w:lang w:val="en-GB" w:eastAsia="zh-TW"/>
        </w:rPr>
        <w:t>ومتساوٍ</w:t>
      </w:r>
      <w:r w:rsidR="00182560">
        <w:rPr>
          <w:rtl/>
          <w:lang w:val="en-GB" w:eastAsia="zh-TW"/>
        </w:rPr>
        <w:t xml:space="preserve"> وسريٌ.</w:t>
      </w:r>
      <w:r w:rsidR="00182560">
        <w:rPr>
          <w:rFonts w:hint="cs"/>
          <w:rtl/>
          <w:lang w:val="en-GB" w:eastAsia="zh-TW"/>
        </w:rPr>
        <w:t xml:space="preserve"> </w:t>
      </w:r>
      <w:r w:rsidR="00182560">
        <w:rPr>
          <w:rtl/>
          <w:lang w:val="en-GB" w:eastAsia="zh-TW"/>
        </w:rPr>
        <w:t>وبموجب القانون الأساسي، ووفق الشروط التي يحددها القانون، ي</w:t>
      </w:r>
      <w:r w:rsidR="00C3566B">
        <w:rPr>
          <w:rFonts w:hint="cs"/>
          <w:rtl/>
          <w:lang w:val="en-GB" w:eastAsia="zh-TW"/>
        </w:rPr>
        <w:t>ت</w:t>
      </w:r>
      <w:r w:rsidR="00182560">
        <w:rPr>
          <w:rtl/>
          <w:lang w:val="en-GB" w:eastAsia="zh-TW"/>
        </w:rPr>
        <w:t xml:space="preserve">متع بالحق في التصويت مواطنو النيجر، من كلا الجنسين، الذين أتموا 18 </w:t>
      </w:r>
      <w:r w:rsidR="00182560">
        <w:rPr>
          <w:rFonts w:hint="cs"/>
          <w:rtl/>
          <w:lang w:val="en-GB" w:eastAsia="zh-TW"/>
        </w:rPr>
        <w:t xml:space="preserve">عاماً </w:t>
      </w:r>
      <w:r w:rsidR="00182560">
        <w:rPr>
          <w:rtl/>
          <w:lang w:val="en-GB" w:eastAsia="zh-TW"/>
        </w:rPr>
        <w:t>من العمر يوم الانتخاب، أو القُصّر ممن ليس عليهم وصاية، والذين يتمتعون بحقوقهم المدنية والسياسية.</w:t>
      </w:r>
      <w:r w:rsidR="00182560">
        <w:rPr>
          <w:rFonts w:hint="cs"/>
          <w:rtl/>
          <w:lang w:val="en-GB" w:eastAsia="zh-TW"/>
        </w:rPr>
        <w:t xml:space="preserve"> </w:t>
      </w:r>
      <w:r w:rsidR="00182560">
        <w:rPr>
          <w:rtl/>
          <w:lang w:val="en-GB" w:eastAsia="zh-TW"/>
        </w:rPr>
        <w:t>ويؤهل للترشح لمنصب رئيس الجمهورية مواطنو النيجر من كلا الجنسين الحاملين لجنسية أصلية والذين تبلغ سنهم 35 عاماً على الأقل في يوم إيداع ملفاتهم ويتمتعون بحقوقهم المدنية والسياسية.</w:t>
      </w:r>
      <w:r w:rsidR="00182560">
        <w:rPr>
          <w:rFonts w:hint="cs"/>
          <w:rtl/>
          <w:lang w:val="en-GB" w:eastAsia="zh-TW"/>
        </w:rPr>
        <w:t xml:space="preserve"> </w:t>
      </w:r>
      <w:r w:rsidR="00182560">
        <w:rPr>
          <w:rtl/>
          <w:lang w:val="en-GB" w:eastAsia="zh-TW"/>
        </w:rPr>
        <w:t xml:space="preserve">ولمواطني النيجر من كلا الجنسين، ممن </w:t>
      </w:r>
      <w:r w:rsidR="00182560">
        <w:rPr>
          <w:rFonts w:hint="cs"/>
          <w:rtl/>
          <w:lang w:val="en-GB" w:eastAsia="zh-TW"/>
        </w:rPr>
        <w:t>بلغوا</w:t>
      </w:r>
      <w:r w:rsidR="00182560">
        <w:rPr>
          <w:rtl/>
          <w:lang w:val="en-GB" w:eastAsia="zh-TW"/>
        </w:rPr>
        <w:t xml:space="preserve"> 21 عاماً </w:t>
      </w:r>
      <w:r w:rsidR="00182560">
        <w:rPr>
          <w:rFonts w:hint="cs"/>
          <w:rtl/>
          <w:lang w:val="en-GB" w:eastAsia="zh-TW"/>
        </w:rPr>
        <w:t xml:space="preserve">من العمر </w:t>
      </w:r>
      <w:r w:rsidR="00182560">
        <w:rPr>
          <w:rtl/>
          <w:lang w:val="en-GB" w:eastAsia="zh-TW"/>
        </w:rPr>
        <w:t>ويتمتعون بحقوقهم المدنية والسياسية، الحق في أن يتأهلوا لعضوية الجمعية الوطنية.</w:t>
      </w:r>
    </w:p>
    <w:p w:rsidR="00182560" w:rsidRDefault="00182560" w:rsidP="007C3A46">
      <w:pPr>
        <w:pStyle w:val="H1GA"/>
        <w:rPr>
          <w:color w:val="000000"/>
          <w:rtl/>
          <w:lang w:val="en-GB" w:eastAsia="zh-TW"/>
        </w:rPr>
      </w:pPr>
      <w:r>
        <w:rPr>
          <w:lang w:val="en-GB" w:eastAsia="zh-TW"/>
        </w:rPr>
        <w:tab/>
      </w:r>
      <w:r>
        <w:rPr>
          <w:lang w:val="en-GB" w:eastAsia="zh-TW"/>
        </w:rPr>
        <w:tab/>
      </w:r>
      <w:r>
        <w:rPr>
          <w:rtl/>
          <w:lang w:val="en-GB" w:eastAsia="zh-TW"/>
        </w:rPr>
        <w:t>حرية تكوين الجمعيات</w:t>
      </w:r>
    </w:p>
    <w:p w:rsidR="00182560" w:rsidRPr="007F3B78" w:rsidRDefault="00B6758C" w:rsidP="00FD0B60">
      <w:pPr>
        <w:pStyle w:val="SingleTxtGA"/>
        <w:rPr>
          <w:rtl/>
          <w:lang w:val="en-GB" w:eastAsia="zh-TW"/>
        </w:rPr>
      </w:pPr>
      <w:r>
        <w:rPr>
          <w:rtl/>
          <w:lang w:val="en-GB" w:eastAsia="zh-TW"/>
        </w:rPr>
        <w:t>٢٨-</w:t>
      </w:r>
      <w:r>
        <w:rPr>
          <w:rtl/>
          <w:lang w:val="en-GB" w:eastAsia="zh-TW"/>
        </w:rPr>
        <w:tab/>
      </w:r>
      <w:r w:rsidR="00182560">
        <w:rPr>
          <w:rtl/>
          <w:lang w:val="en-GB" w:eastAsia="zh-TW"/>
        </w:rPr>
        <w:t>في إطار حرية تكوين الجمعيات، وهي حرية يقرها ويكفلها الدستور، تتشكل الأحزاب السياسية وتجمعات الأحزاب السياسية والنقابات والمنظمات غير الحكومية وغيرها من الجمعيات أو اتحادات الجمعيات وتمارس أنشطتها بحرية وفقاً للقوانين واللوائح المعمول بها.</w:t>
      </w:r>
      <w:r w:rsidR="00182560">
        <w:rPr>
          <w:rFonts w:hint="cs"/>
          <w:rtl/>
          <w:lang w:val="en-GB" w:eastAsia="zh-TW"/>
        </w:rPr>
        <w:t xml:space="preserve"> </w:t>
      </w:r>
      <w:r w:rsidR="00FD0B60">
        <w:rPr>
          <w:rtl/>
          <w:lang w:val="en-GB" w:eastAsia="zh-TW"/>
        </w:rPr>
        <w:t>وينص الأمر رقم</w:t>
      </w:r>
      <w:r w:rsidR="00FD0B60">
        <w:rPr>
          <w:rFonts w:hint="cs"/>
          <w:rtl/>
          <w:lang w:val="en-GB" w:eastAsia="zh-TW"/>
        </w:rPr>
        <w:t> 84-06</w:t>
      </w:r>
      <w:r w:rsidR="00182560">
        <w:rPr>
          <w:rtl/>
          <w:lang w:val="en-GB" w:eastAsia="zh-TW"/>
        </w:rPr>
        <w:t xml:space="preserve"> المؤرخ 1 آذار/مارس 1984 والمنظم للجمعيات على ما يلي: يجب التصريح عن كل جمعية والترخيص لها قبل ممارستها لأنشطتها.</w:t>
      </w:r>
      <w:r w:rsidR="00111D59">
        <w:rPr>
          <w:rFonts w:hint="cs"/>
          <w:rtl/>
          <w:lang w:val="en-GB" w:eastAsia="zh-TW"/>
        </w:rPr>
        <w:t xml:space="preserve"> </w:t>
      </w:r>
    </w:p>
    <w:p w:rsidR="00182560" w:rsidRPr="002A13CE" w:rsidRDefault="007C3A46" w:rsidP="009155C9">
      <w:pPr>
        <w:pStyle w:val="HChGA"/>
        <w:rPr>
          <w:rtl/>
          <w:lang w:val="en-GB" w:eastAsia="zh-TW"/>
        </w:rPr>
      </w:pPr>
      <w:bookmarkStart w:id="18" w:name="_Toc485025639"/>
      <w:bookmarkStart w:id="19" w:name="_Toc485026223"/>
      <w:bookmarkStart w:id="20" w:name="_Toc485026301"/>
      <w:r>
        <w:rPr>
          <w:rtl/>
          <w:lang w:val="en-GB" w:eastAsia="zh-TW"/>
        </w:rPr>
        <w:tab/>
      </w:r>
      <w:r w:rsidR="00182560">
        <w:rPr>
          <w:rtl/>
          <w:lang w:val="en-GB" w:eastAsia="zh-TW"/>
        </w:rPr>
        <w:t>ثانيا</w:t>
      </w:r>
      <w:r>
        <w:rPr>
          <w:rFonts w:hint="cs"/>
          <w:rtl/>
          <w:lang w:val="en-GB" w:eastAsia="zh-TW"/>
        </w:rPr>
        <w:t>ً</w:t>
      </w:r>
      <w:r w:rsidR="00182560">
        <w:rPr>
          <w:rtl/>
          <w:lang w:val="en-GB" w:eastAsia="zh-TW"/>
        </w:rPr>
        <w:t>-</w:t>
      </w:r>
      <w:r>
        <w:rPr>
          <w:rtl/>
          <w:lang w:val="en-GB" w:eastAsia="zh-TW"/>
        </w:rPr>
        <w:tab/>
      </w:r>
      <w:r w:rsidR="00182560">
        <w:rPr>
          <w:rtl/>
          <w:lang w:val="en-GB" w:eastAsia="zh-TW"/>
        </w:rPr>
        <w:t>البيانات الاقتصادية</w:t>
      </w:r>
      <w:bookmarkEnd w:id="18"/>
      <w:bookmarkEnd w:id="19"/>
      <w:bookmarkEnd w:id="20"/>
    </w:p>
    <w:p w:rsidR="00182560" w:rsidRPr="00ED7F6B" w:rsidRDefault="00182560" w:rsidP="007C3A46">
      <w:pPr>
        <w:pStyle w:val="Heading1"/>
        <w:bidi/>
        <w:textDirection w:val="tbRlV"/>
        <w:rPr>
          <w:b/>
          <w:rtl/>
          <w:lang w:val="en-GB" w:eastAsia="zh-TW"/>
        </w:rPr>
      </w:pPr>
      <w:r>
        <w:rPr>
          <w:rtl/>
          <w:lang w:val="en-GB" w:eastAsia="zh-TW"/>
        </w:rPr>
        <w:t>الجدول 3</w:t>
      </w:r>
      <w:r w:rsidR="007C3A46">
        <w:rPr>
          <w:rtl/>
          <w:lang w:val="en-GB" w:eastAsia="zh-TW"/>
        </w:rPr>
        <w:tab/>
      </w:r>
      <w:r w:rsidR="007C3A46">
        <w:rPr>
          <w:rtl/>
          <w:lang w:val="en-GB" w:eastAsia="zh-TW"/>
        </w:rPr>
        <w:br/>
      </w:r>
      <w:r w:rsidRPr="007C3A46">
        <w:rPr>
          <w:b/>
          <w:bCs/>
          <w:rtl/>
          <w:lang w:val="en-GB" w:eastAsia="zh-TW"/>
        </w:rPr>
        <w:t>بيانات اقتصادية</w:t>
      </w:r>
    </w:p>
    <w:tbl>
      <w:tblPr>
        <w:tblStyle w:val="TableGrid"/>
        <w:bidiVisual/>
        <w:tblW w:w="0" w:type="auto"/>
        <w:tblInd w:w="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1274"/>
        <w:gridCol w:w="1064"/>
        <w:gridCol w:w="1022"/>
      </w:tblGrid>
      <w:tr w:rsidR="00182560" w:rsidRPr="00145E27" w:rsidTr="00566900">
        <w:trPr>
          <w:tblHeader/>
        </w:trPr>
        <w:tc>
          <w:tcPr>
            <w:tcW w:w="5004" w:type="dxa"/>
            <w:tcBorders>
              <w:top w:val="single" w:sz="4" w:space="0" w:color="auto"/>
              <w:bottom w:val="single" w:sz="12" w:space="0" w:color="auto"/>
            </w:tcBorders>
            <w:tcMar>
              <w:left w:w="0" w:type="dxa"/>
              <w:right w:w="0" w:type="dxa"/>
            </w:tcMar>
            <w:vAlign w:val="bottom"/>
          </w:tcPr>
          <w:p w:rsidR="00182560" w:rsidRPr="00566900" w:rsidRDefault="00182560" w:rsidP="00A15F5A">
            <w:pPr>
              <w:spacing w:before="20" w:after="40" w:line="300" w:lineRule="exact"/>
              <w:ind w:left="57" w:right="57"/>
              <w:textDirection w:val="tbRlV"/>
              <w:rPr>
                <w:rFonts w:ascii="Traditional Arabic" w:hAnsi="Traditional Arabic"/>
                <w:i/>
                <w:iCs/>
                <w:sz w:val="26"/>
                <w:szCs w:val="26"/>
                <w:rtl/>
                <w:lang w:val="en-GB" w:eastAsia="zh-TW"/>
              </w:rPr>
            </w:pPr>
            <w:r w:rsidRPr="00566900">
              <w:rPr>
                <w:rFonts w:ascii="Traditional Arabic" w:hAnsi="Traditional Arabic"/>
                <w:i/>
                <w:iCs/>
                <w:sz w:val="26"/>
                <w:szCs w:val="26"/>
                <w:rtl/>
                <w:lang w:val="en-GB" w:eastAsia="zh-TW"/>
              </w:rPr>
              <w:t>مؤشرات الاقتصاد الكلي</w:t>
            </w:r>
          </w:p>
        </w:tc>
        <w:tc>
          <w:tcPr>
            <w:tcW w:w="1274" w:type="dxa"/>
            <w:tcBorders>
              <w:top w:val="single" w:sz="4" w:space="0" w:color="auto"/>
              <w:bottom w:val="single" w:sz="12" w:space="0" w:color="auto"/>
            </w:tcBorders>
            <w:tcMar>
              <w:left w:w="0" w:type="dxa"/>
              <w:right w:w="0" w:type="dxa"/>
            </w:tcMar>
            <w:vAlign w:val="bottom"/>
          </w:tcPr>
          <w:p w:rsidR="00182560" w:rsidRPr="00566900" w:rsidRDefault="00182560" w:rsidP="002F1819">
            <w:pPr>
              <w:spacing w:before="20" w:after="40" w:line="300" w:lineRule="exact"/>
              <w:ind w:left="57"/>
              <w:textDirection w:val="tbRlV"/>
              <w:rPr>
                <w:rFonts w:ascii="Traditional Arabic" w:hAnsi="Traditional Arabic"/>
                <w:i/>
                <w:iCs/>
                <w:sz w:val="26"/>
                <w:szCs w:val="26"/>
                <w:rtl/>
                <w:lang w:val="en-GB" w:eastAsia="zh-TW"/>
              </w:rPr>
            </w:pPr>
            <w:r w:rsidRPr="00566900">
              <w:rPr>
                <w:rFonts w:ascii="Traditional Arabic" w:hAnsi="Traditional Arabic"/>
                <w:i/>
                <w:iCs/>
                <w:sz w:val="26"/>
                <w:szCs w:val="26"/>
                <w:rtl/>
                <w:lang w:val="en-GB" w:eastAsia="zh-TW"/>
              </w:rPr>
              <w:t>٢٠١١</w:t>
            </w:r>
          </w:p>
        </w:tc>
        <w:tc>
          <w:tcPr>
            <w:tcW w:w="1064" w:type="dxa"/>
            <w:tcBorders>
              <w:top w:val="single" w:sz="4" w:space="0" w:color="auto"/>
              <w:bottom w:val="single" w:sz="12" w:space="0" w:color="auto"/>
            </w:tcBorders>
            <w:tcMar>
              <w:left w:w="0" w:type="dxa"/>
              <w:right w:w="0" w:type="dxa"/>
            </w:tcMar>
            <w:vAlign w:val="bottom"/>
          </w:tcPr>
          <w:p w:rsidR="00182560" w:rsidRPr="00566900" w:rsidRDefault="00182560" w:rsidP="002F1819">
            <w:pPr>
              <w:spacing w:before="20" w:after="40" w:line="300" w:lineRule="exact"/>
              <w:ind w:left="57"/>
              <w:textDirection w:val="tbRlV"/>
              <w:rPr>
                <w:rFonts w:ascii="Traditional Arabic" w:hAnsi="Traditional Arabic"/>
                <w:i/>
                <w:iCs/>
                <w:sz w:val="26"/>
                <w:szCs w:val="26"/>
                <w:rtl/>
                <w:lang w:val="en-GB" w:eastAsia="zh-TW"/>
              </w:rPr>
            </w:pPr>
            <w:r w:rsidRPr="00566900">
              <w:rPr>
                <w:rFonts w:ascii="Traditional Arabic" w:hAnsi="Traditional Arabic"/>
                <w:i/>
                <w:iCs/>
                <w:sz w:val="26"/>
                <w:szCs w:val="26"/>
                <w:rtl/>
                <w:lang w:val="en-GB" w:eastAsia="zh-TW"/>
              </w:rPr>
              <w:t>٢٠١٢</w:t>
            </w:r>
          </w:p>
        </w:tc>
        <w:tc>
          <w:tcPr>
            <w:tcW w:w="1022" w:type="dxa"/>
            <w:tcBorders>
              <w:top w:val="single" w:sz="4" w:space="0" w:color="auto"/>
              <w:bottom w:val="single" w:sz="12" w:space="0" w:color="auto"/>
            </w:tcBorders>
            <w:tcMar>
              <w:left w:w="0" w:type="dxa"/>
              <w:right w:w="0" w:type="dxa"/>
            </w:tcMar>
            <w:vAlign w:val="bottom"/>
          </w:tcPr>
          <w:p w:rsidR="00182560" w:rsidRPr="00566900" w:rsidRDefault="00182560" w:rsidP="002F1819">
            <w:pPr>
              <w:spacing w:before="20" w:after="40" w:line="300" w:lineRule="exact"/>
              <w:ind w:left="57"/>
              <w:textDirection w:val="tbRlV"/>
              <w:rPr>
                <w:rFonts w:ascii="Traditional Arabic" w:hAnsi="Traditional Arabic"/>
                <w:i/>
                <w:iCs/>
                <w:sz w:val="26"/>
                <w:szCs w:val="26"/>
                <w:rtl/>
                <w:lang w:val="en-GB" w:eastAsia="zh-TW"/>
              </w:rPr>
            </w:pPr>
            <w:r w:rsidRPr="00566900">
              <w:rPr>
                <w:rFonts w:ascii="Traditional Arabic" w:hAnsi="Traditional Arabic"/>
                <w:i/>
                <w:iCs/>
                <w:sz w:val="26"/>
                <w:szCs w:val="26"/>
                <w:rtl/>
                <w:lang w:val="en-GB" w:eastAsia="zh-TW"/>
              </w:rPr>
              <w:t>٢٠١٣</w:t>
            </w:r>
          </w:p>
        </w:tc>
      </w:tr>
      <w:tr w:rsidR="00182560" w:rsidRPr="00145E27" w:rsidTr="00566900">
        <w:tc>
          <w:tcPr>
            <w:tcW w:w="8364" w:type="dxa"/>
            <w:gridSpan w:val="4"/>
            <w:tcBorders>
              <w:top w:val="single" w:sz="12" w:space="0" w:color="auto"/>
            </w:tcBorders>
            <w:tcMar>
              <w:left w:w="0" w:type="dxa"/>
              <w:right w:w="0" w:type="dxa"/>
            </w:tcMar>
          </w:tcPr>
          <w:p w:rsidR="00182560" w:rsidRPr="00111D59" w:rsidRDefault="00182560" w:rsidP="00A15F5A">
            <w:pPr>
              <w:spacing w:before="20" w:after="40" w:line="300" w:lineRule="exact"/>
              <w:ind w:left="57" w:right="57"/>
              <w:textDirection w:val="tbRlV"/>
              <w:rPr>
                <w:rFonts w:ascii="Traditional Arabic" w:hAnsi="Traditional Arabic"/>
                <w:b/>
                <w:bCs/>
                <w:sz w:val="26"/>
                <w:szCs w:val="26"/>
                <w:rtl/>
                <w:lang w:val="en-GB" w:eastAsia="zh-TW"/>
              </w:rPr>
            </w:pPr>
            <w:r w:rsidRPr="00111D59">
              <w:rPr>
                <w:rFonts w:ascii="Traditional Arabic" w:hAnsi="Traditional Arabic"/>
                <w:b/>
                <w:bCs/>
                <w:sz w:val="26"/>
                <w:szCs w:val="26"/>
                <w:rtl/>
                <w:lang w:val="en-GB" w:eastAsia="zh-TW"/>
              </w:rPr>
              <w:t>التغير في الناتج المحلي الإجمالي</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الناتج المحلي الإجمالي الاسمي (ببلايين فرنكات الجماعة المالية الأفريقية)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٠٢٤,٣ ٣</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٤١٤,٣ ٣</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٦٥٩,٦ ٣</w:t>
            </w:r>
          </w:p>
        </w:tc>
      </w:tr>
      <w:tr w:rsidR="00182560" w:rsidRPr="00145E27" w:rsidTr="00566900">
        <w:tc>
          <w:tcPr>
            <w:tcW w:w="5004" w:type="dxa"/>
            <w:tcMar>
              <w:left w:w="0" w:type="dxa"/>
              <w:right w:w="0" w:type="dxa"/>
            </w:tcMar>
          </w:tcPr>
          <w:p w:rsidR="00182560" w:rsidRPr="00145E27" w:rsidRDefault="00182560" w:rsidP="001F2369">
            <w:pPr>
              <w:spacing w:before="20" w:after="40" w:line="300" w:lineRule="exact"/>
              <w:ind w:left="57" w:right="168"/>
              <w:jc w:val="lef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نصيب الفرد من الناتج المحلي الإجمالي الاسمي (بآلاف فرنكات الجماعة المالية الأفريقية)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١٨٣,٧</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١٩٩,٣</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٢٠٥,٦</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نمو الناتج المحلي الإجمالي الحقيقي (</w:t>
            </w:r>
            <w:r w:rsidR="00566900" w:rsidRPr="00566900">
              <w:rPr>
                <w:rFonts w:ascii="Traditional Arabic" w:hAnsi="Traditional Arabic"/>
                <w:sz w:val="26"/>
                <w:szCs w:val="26"/>
                <w:rtl/>
                <w:lang w:val="en-GB" w:eastAsia="zh-TW"/>
              </w:rPr>
              <w:t>٪</w:t>
            </w:r>
            <w:r w:rsidRPr="00145E27">
              <w:rPr>
                <w:rFonts w:ascii="Traditional Arabic" w:hAnsi="Traditional Arabic"/>
                <w:sz w:val="26"/>
                <w:szCs w:val="26"/>
                <w:rtl/>
                <w:lang w:val="en-GB" w:eastAsia="zh-TW"/>
              </w:rPr>
              <w:t>)</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٢,٣</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١١,١</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٤,١</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نمو نصيب الفرد من الناتج المحلي الإجمالي الحقيقي (</w:t>
            </w:r>
            <w:r w:rsidR="00566900" w:rsidRPr="00566900">
              <w:rPr>
                <w:rFonts w:ascii="Traditional Arabic" w:hAnsi="Traditional Arabic"/>
                <w:sz w:val="26"/>
                <w:szCs w:val="26"/>
                <w:rtl/>
                <w:lang w:val="en-GB" w:eastAsia="zh-TW"/>
              </w:rPr>
              <w:t>٪</w:t>
            </w:r>
            <w:r w:rsidRPr="00145E27">
              <w:rPr>
                <w:rFonts w:ascii="Traditional Arabic" w:hAnsi="Traditional Arabic"/>
                <w:sz w:val="26"/>
                <w:szCs w:val="26"/>
                <w:rtl/>
                <w:lang w:val="en-GB" w:eastAsia="zh-TW"/>
              </w:rPr>
              <w:t>)</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٥,٥</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٦,٧</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٠,٢</w:t>
            </w:r>
          </w:p>
        </w:tc>
      </w:tr>
      <w:tr w:rsidR="00182560" w:rsidRPr="00145E27" w:rsidTr="00566900">
        <w:tc>
          <w:tcPr>
            <w:tcW w:w="8364" w:type="dxa"/>
            <w:gridSpan w:val="4"/>
            <w:tcMar>
              <w:left w:w="0" w:type="dxa"/>
              <w:right w:w="0" w:type="dxa"/>
            </w:tcMar>
          </w:tcPr>
          <w:p w:rsidR="00182560" w:rsidRPr="00111D59" w:rsidRDefault="00182560" w:rsidP="00A15F5A">
            <w:pPr>
              <w:spacing w:before="20" w:after="40" w:line="300" w:lineRule="exact"/>
              <w:ind w:left="57" w:right="57"/>
              <w:textDirection w:val="tbRlV"/>
              <w:rPr>
                <w:rFonts w:ascii="Traditional Arabic" w:hAnsi="Traditional Arabic"/>
                <w:b/>
                <w:bCs/>
                <w:sz w:val="26"/>
                <w:szCs w:val="26"/>
                <w:rtl/>
                <w:lang w:val="en-GB" w:eastAsia="zh-TW"/>
              </w:rPr>
            </w:pPr>
            <w:r w:rsidRPr="00111D59">
              <w:rPr>
                <w:rFonts w:ascii="Traditional Arabic" w:hAnsi="Traditional Arabic"/>
                <w:b/>
                <w:bCs/>
                <w:sz w:val="26"/>
                <w:szCs w:val="26"/>
                <w:rtl/>
                <w:lang w:val="en-GB" w:eastAsia="zh-TW"/>
              </w:rPr>
              <w:t>معدل نمو الناتج المحلي الإجمالي حسب القطاع (</w:t>
            </w:r>
            <w:r w:rsidR="00566900" w:rsidRPr="00111D59">
              <w:rPr>
                <w:rFonts w:ascii="Traditional Arabic" w:hAnsi="Traditional Arabic"/>
                <w:b/>
                <w:bCs/>
                <w:sz w:val="26"/>
                <w:szCs w:val="26"/>
                <w:rtl/>
                <w:lang w:val="en-GB" w:eastAsia="zh-TW"/>
              </w:rPr>
              <w:t>٪</w:t>
            </w:r>
            <w:r w:rsidRPr="00111D59">
              <w:rPr>
                <w:rFonts w:ascii="Traditional Arabic" w:hAnsi="Traditional Arabic"/>
                <w:b/>
                <w:bCs/>
                <w:sz w:val="26"/>
                <w:szCs w:val="26"/>
                <w:rtl/>
                <w:lang w:val="en-GB" w:eastAsia="zh-TW"/>
              </w:rPr>
              <w:t>)</w:t>
            </w:r>
          </w:p>
        </w:tc>
      </w:tr>
      <w:tr w:rsidR="00182560" w:rsidRPr="00145E27" w:rsidTr="00566900">
        <w:tc>
          <w:tcPr>
            <w:tcW w:w="5004" w:type="dxa"/>
            <w:tcMar>
              <w:left w:w="0" w:type="dxa"/>
              <w:right w:w="0" w:type="dxa"/>
            </w:tcMar>
          </w:tcPr>
          <w:p w:rsidR="00182560" w:rsidRPr="00111D59" w:rsidRDefault="00182560" w:rsidP="00A15F5A">
            <w:pPr>
              <w:spacing w:before="20" w:after="40" w:line="300" w:lineRule="exact"/>
              <w:ind w:left="57" w:right="57"/>
              <w:textDirection w:val="tbRlV"/>
              <w:rPr>
                <w:rFonts w:ascii="Traditional Arabic" w:hAnsi="Traditional Arabic"/>
                <w:b/>
                <w:i/>
                <w:iCs/>
                <w:sz w:val="26"/>
                <w:szCs w:val="26"/>
                <w:rtl/>
                <w:lang w:val="en-GB" w:eastAsia="zh-TW"/>
              </w:rPr>
            </w:pPr>
            <w:r w:rsidRPr="00111D59">
              <w:rPr>
                <w:rFonts w:ascii="Traditional Arabic" w:hAnsi="Traditional Arabic"/>
                <w:i/>
                <w:iCs/>
                <w:sz w:val="26"/>
                <w:szCs w:val="26"/>
                <w:rtl/>
                <w:lang w:val="en-GB" w:eastAsia="zh-TW"/>
              </w:rPr>
              <w:t>القطاع الأولي</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٣,٠</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١٣,٢</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٠,٠</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الزراعة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٦,٧</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١٩,٥</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٢,٠</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تربية الماشية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٤,٥</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٢,٨</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٤,٢</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الغابات وقطع الأشجار</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٢,٥</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١,٧</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١,٧</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صيد الأسماك، وتربية الأسماك، وتربية الأحياء المائية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٣,٥</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٣,٠</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٣,٩</w:t>
            </w:r>
          </w:p>
        </w:tc>
      </w:tr>
      <w:tr w:rsidR="00182560" w:rsidRPr="00145E27" w:rsidTr="00566900">
        <w:tc>
          <w:tcPr>
            <w:tcW w:w="5004" w:type="dxa"/>
            <w:tcMar>
              <w:left w:w="0" w:type="dxa"/>
              <w:right w:w="0" w:type="dxa"/>
            </w:tcMar>
          </w:tcPr>
          <w:p w:rsidR="00182560" w:rsidRPr="00111D59" w:rsidRDefault="00182560" w:rsidP="00A15F5A">
            <w:pPr>
              <w:keepNext/>
              <w:keepLines/>
              <w:spacing w:before="20" w:after="40" w:line="300" w:lineRule="exact"/>
              <w:ind w:left="57" w:right="57"/>
              <w:textDirection w:val="tbRlV"/>
              <w:rPr>
                <w:rFonts w:ascii="Traditional Arabic" w:hAnsi="Traditional Arabic"/>
                <w:b/>
                <w:i/>
                <w:iCs/>
                <w:sz w:val="26"/>
                <w:szCs w:val="26"/>
                <w:rtl/>
                <w:lang w:val="en-GB" w:eastAsia="zh-TW"/>
              </w:rPr>
            </w:pPr>
            <w:r w:rsidRPr="00111D59">
              <w:rPr>
                <w:rFonts w:ascii="Traditional Arabic" w:hAnsi="Traditional Arabic"/>
                <w:i/>
                <w:iCs/>
                <w:sz w:val="26"/>
                <w:szCs w:val="26"/>
                <w:rtl/>
                <w:lang w:val="en-GB" w:eastAsia="zh-TW"/>
              </w:rPr>
              <w:lastRenderedPageBreak/>
              <w:t>القطاع الثانوي</w:t>
            </w:r>
          </w:p>
        </w:tc>
        <w:tc>
          <w:tcPr>
            <w:tcW w:w="1274" w:type="dxa"/>
            <w:tcMar>
              <w:left w:w="0" w:type="dxa"/>
              <w:right w:w="0" w:type="dxa"/>
            </w:tcMar>
            <w:vAlign w:val="bottom"/>
          </w:tcPr>
          <w:p w:rsidR="00182560" w:rsidRPr="00145E27" w:rsidRDefault="00182560" w:rsidP="00566900">
            <w:pPr>
              <w:keepNext/>
              <w:keepLines/>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٥,٣</w:t>
            </w:r>
          </w:p>
        </w:tc>
        <w:tc>
          <w:tcPr>
            <w:tcW w:w="1064" w:type="dxa"/>
            <w:tcMar>
              <w:left w:w="0" w:type="dxa"/>
              <w:right w:w="0" w:type="dxa"/>
            </w:tcMar>
            <w:vAlign w:val="bottom"/>
          </w:tcPr>
          <w:p w:rsidR="00182560" w:rsidRPr="00145E27" w:rsidRDefault="00182560" w:rsidP="00566900">
            <w:pPr>
              <w:keepNext/>
              <w:keepLines/>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٤٢,٣</w:t>
            </w:r>
          </w:p>
        </w:tc>
        <w:tc>
          <w:tcPr>
            <w:tcW w:w="1022" w:type="dxa"/>
            <w:tcMar>
              <w:left w:w="0" w:type="dxa"/>
              <w:right w:w="0" w:type="dxa"/>
            </w:tcMar>
            <w:vAlign w:val="bottom"/>
          </w:tcPr>
          <w:p w:rsidR="00182560" w:rsidRPr="00145E27" w:rsidRDefault="00182560" w:rsidP="00566900">
            <w:pPr>
              <w:keepNext/>
              <w:keepLines/>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٧,٣</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الأنشطة الاستخراجية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١٦,٤</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١٠٦,٥</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٧,٢</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الأنشطة التصنيعية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٤,١</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٣٠,٦</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٩,٩</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إنتاج وتوزيع الكهرباء والغاز والمياه</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١٢,١</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٥,٧</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٥,٧</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البناء</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٤,٣</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٧,٥</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٦,٠</w:t>
            </w:r>
          </w:p>
        </w:tc>
      </w:tr>
      <w:tr w:rsidR="00182560" w:rsidRPr="00145E27" w:rsidTr="00566900">
        <w:tc>
          <w:tcPr>
            <w:tcW w:w="5004" w:type="dxa"/>
            <w:tcMar>
              <w:left w:w="0" w:type="dxa"/>
              <w:right w:w="0" w:type="dxa"/>
            </w:tcMar>
          </w:tcPr>
          <w:p w:rsidR="00182560" w:rsidRPr="00C02372" w:rsidRDefault="00182560" w:rsidP="00A15F5A">
            <w:pPr>
              <w:spacing w:before="20" w:after="40" w:line="300" w:lineRule="exact"/>
              <w:ind w:left="57" w:right="57"/>
              <w:textDirection w:val="tbRlV"/>
              <w:rPr>
                <w:rFonts w:ascii="Traditional Arabic" w:hAnsi="Traditional Arabic"/>
                <w:b/>
                <w:i/>
                <w:iCs/>
                <w:sz w:val="26"/>
                <w:szCs w:val="26"/>
                <w:rtl/>
                <w:lang w:val="en-GB" w:eastAsia="zh-TW"/>
              </w:rPr>
            </w:pPr>
            <w:r w:rsidRPr="00C02372">
              <w:rPr>
                <w:rFonts w:ascii="Traditional Arabic" w:hAnsi="Traditional Arabic"/>
                <w:i/>
                <w:iCs/>
                <w:sz w:val="26"/>
                <w:szCs w:val="26"/>
                <w:rtl/>
                <w:lang w:val="en-GB" w:eastAsia="zh-TW"/>
              </w:rPr>
              <w:t>قطاع الخدمات</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٥,٦</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٥,٥</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٦,٧</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b/>
                <w:bCs/>
                <w:sz w:val="26"/>
                <w:szCs w:val="26"/>
                <w:rtl/>
                <w:lang w:val="en-GB" w:eastAsia="zh-TW"/>
              </w:rPr>
            </w:pPr>
            <w:r w:rsidRPr="00145E27">
              <w:rPr>
                <w:rFonts w:ascii="Traditional Arabic" w:hAnsi="Traditional Arabic"/>
                <w:sz w:val="26"/>
                <w:szCs w:val="26"/>
                <w:rtl/>
                <w:lang w:val="en-GB" w:eastAsia="zh-TW"/>
              </w:rPr>
              <w:t>التجارة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٤,٧</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٥,٠</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٥,٢</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b/>
                <w:bCs/>
                <w:sz w:val="26"/>
                <w:szCs w:val="26"/>
                <w:rtl/>
                <w:lang w:val="en-GB" w:eastAsia="zh-TW"/>
              </w:rPr>
            </w:pPr>
            <w:r w:rsidRPr="00145E27">
              <w:rPr>
                <w:rFonts w:ascii="Traditional Arabic" w:hAnsi="Traditional Arabic"/>
                <w:sz w:val="26"/>
                <w:szCs w:val="26"/>
                <w:rtl/>
                <w:lang w:val="en-GB" w:eastAsia="zh-TW"/>
              </w:rPr>
              <w:t>النقل والتخزين</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٧,٠</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٣,٩</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٥,٨</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b/>
                <w:bCs/>
                <w:sz w:val="26"/>
                <w:szCs w:val="26"/>
                <w:rtl/>
                <w:lang w:val="en-GB" w:eastAsia="zh-TW"/>
              </w:rPr>
            </w:pPr>
            <w:r w:rsidRPr="00145E27">
              <w:rPr>
                <w:rFonts w:ascii="Traditional Arabic" w:hAnsi="Traditional Arabic"/>
                <w:sz w:val="26"/>
                <w:szCs w:val="26"/>
                <w:rtl/>
                <w:lang w:val="en-GB" w:eastAsia="zh-TW"/>
              </w:rPr>
              <w:t>خدمات الإيواء والمطاعم</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٤,٠</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٨,٩</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٤,٠</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الاتصالات</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٦,٥</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٣,٢</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٥,٥</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الأنشطة المالية وأنشطة التأمين</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١٥,٤</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٥,٩</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٥,٢</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الأنشطة العقارية والأنشطة المنجزة لفائدة دوائر الأعمال</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١,٥</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٤,٤</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٣,٩</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أنشطة الإدارة العامة</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٥,٩</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٥,٤</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١٢,٨</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أنشطة الخدمات الأخرى</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٦,٨</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٣,٩</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٣,٨</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i/>
                <w:iCs/>
                <w:sz w:val="26"/>
                <w:szCs w:val="26"/>
                <w:rtl/>
                <w:lang w:val="en-GB" w:eastAsia="zh-TW"/>
              </w:rPr>
            </w:pPr>
            <w:r w:rsidRPr="00145E27">
              <w:rPr>
                <w:rFonts w:ascii="Traditional Arabic" w:hAnsi="Traditional Arabic"/>
                <w:sz w:val="26"/>
                <w:szCs w:val="26"/>
                <w:rtl/>
                <w:lang w:val="en-GB" w:eastAsia="zh-TW"/>
              </w:rPr>
              <w:t>التعليم</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١٠,٢</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١,٥</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٢,٧</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أنشطة مجالي الصحة البشرية والعمل الاجتماعي</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١٠,٢</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٣,٤</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٢,٤</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خدمات أخرى (غير مصنفة في مواضع أخرى)</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٦,٧</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٤,٤</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sz w:val="26"/>
                <w:szCs w:val="26"/>
                <w:rtl/>
                <w:lang w:val="en-GB" w:eastAsia="zh-TW"/>
              </w:rPr>
            </w:pPr>
            <w:r w:rsidRPr="00145E27">
              <w:rPr>
                <w:rFonts w:ascii="Traditional Arabic" w:hAnsi="Traditional Arabic"/>
                <w:sz w:val="26"/>
                <w:szCs w:val="26"/>
                <w:rtl/>
                <w:lang w:val="en-GB" w:eastAsia="zh-TW"/>
              </w:rPr>
              <w:t>٨,٠</w:t>
            </w:r>
          </w:p>
        </w:tc>
      </w:tr>
      <w:tr w:rsidR="00182560" w:rsidRPr="00145E27" w:rsidTr="00566900">
        <w:tc>
          <w:tcPr>
            <w:tcW w:w="5004" w:type="dxa"/>
            <w:tcMar>
              <w:left w:w="0" w:type="dxa"/>
              <w:right w:w="0" w:type="dxa"/>
            </w:tcMar>
          </w:tcPr>
          <w:p w:rsidR="00182560" w:rsidRPr="00145E27" w:rsidRDefault="00182560" w:rsidP="00A15F5A">
            <w:pPr>
              <w:spacing w:before="20" w:after="40" w:line="300" w:lineRule="exact"/>
              <w:ind w:left="57" w:right="57"/>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الضرائب على المنتجات</w:t>
            </w:r>
          </w:p>
        </w:tc>
        <w:tc>
          <w:tcPr>
            <w:tcW w:w="127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١٣,٢</w:t>
            </w:r>
          </w:p>
        </w:tc>
        <w:tc>
          <w:tcPr>
            <w:tcW w:w="1064"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lang w:val="en-GB" w:eastAsia="zh-TW"/>
              </w:rPr>
              <w:t>-</w:t>
            </w:r>
            <w:r w:rsidRPr="00145E27">
              <w:rPr>
                <w:rFonts w:ascii="Traditional Arabic" w:hAnsi="Traditional Arabic"/>
                <w:sz w:val="26"/>
                <w:szCs w:val="26"/>
                <w:rtl/>
                <w:lang w:val="en-GB" w:eastAsia="zh-TW"/>
              </w:rPr>
              <w:t>١٦,٧</w:t>
            </w:r>
          </w:p>
        </w:tc>
        <w:tc>
          <w:tcPr>
            <w:tcW w:w="1022" w:type="dxa"/>
            <w:tcMar>
              <w:left w:w="0" w:type="dxa"/>
              <w:right w:w="0" w:type="dxa"/>
            </w:tcMar>
            <w:vAlign w:val="bottom"/>
          </w:tcPr>
          <w:p w:rsidR="00182560" w:rsidRPr="00145E27" w:rsidRDefault="00182560" w:rsidP="00566900">
            <w:pPr>
              <w:spacing w:before="20" w:after="40" w:line="300" w:lineRule="exact"/>
              <w:textDirection w:val="tbRlV"/>
              <w:rPr>
                <w:rFonts w:ascii="Traditional Arabic" w:hAnsi="Traditional Arabic"/>
                <w:b/>
                <w:sz w:val="26"/>
                <w:szCs w:val="26"/>
                <w:rtl/>
                <w:lang w:val="en-GB" w:eastAsia="zh-TW"/>
              </w:rPr>
            </w:pPr>
            <w:r w:rsidRPr="00145E27">
              <w:rPr>
                <w:rFonts w:ascii="Traditional Arabic" w:hAnsi="Traditional Arabic"/>
                <w:sz w:val="26"/>
                <w:szCs w:val="26"/>
                <w:rtl/>
                <w:lang w:val="en-GB" w:eastAsia="zh-TW"/>
              </w:rPr>
              <w:t>١٠,٨</w:t>
            </w:r>
          </w:p>
        </w:tc>
      </w:tr>
    </w:tbl>
    <w:tbl>
      <w:tblPr>
        <w:tblStyle w:val="TableGrid10"/>
        <w:bidiVisual/>
        <w:tblW w:w="0" w:type="auto"/>
        <w:tblInd w:w="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1"/>
        <w:gridCol w:w="1260"/>
        <w:gridCol w:w="1078"/>
        <w:gridCol w:w="1022"/>
      </w:tblGrid>
      <w:tr w:rsidR="00182560" w:rsidRPr="00566900" w:rsidTr="00566900">
        <w:trPr>
          <w:tblHeader/>
        </w:trPr>
        <w:tc>
          <w:tcPr>
            <w:tcW w:w="8371" w:type="dxa"/>
            <w:gridSpan w:val="4"/>
            <w:tcBorders>
              <w:top w:val="single" w:sz="4" w:space="0" w:color="auto"/>
              <w:bottom w:val="single" w:sz="12" w:space="0" w:color="auto"/>
            </w:tcBorders>
            <w:vAlign w:val="bottom"/>
          </w:tcPr>
          <w:p w:rsidR="00182560" w:rsidRPr="00566900" w:rsidRDefault="00182560" w:rsidP="00566900">
            <w:pPr>
              <w:spacing w:before="20" w:after="40" w:line="300" w:lineRule="exact"/>
              <w:ind w:left="57" w:right="57"/>
              <w:textDirection w:val="tbRlV"/>
              <w:rPr>
                <w:rFonts w:ascii="Traditional Arabic" w:hAnsi="Traditional Arabic"/>
                <w:i/>
                <w:iCs/>
                <w:sz w:val="26"/>
                <w:szCs w:val="26"/>
                <w:rtl/>
                <w:lang w:val="en-GB" w:eastAsia="zh-TW"/>
              </w:rPr>
            </w:pPr>
            <w:r w:rsidRPr="00566900">
              <w:rPr>
                <w:rFonts w:ascii="Traditional Arabic" w:hAnsi="Traditional Arabic"/>
                <w:i/>
                <w:iCs/>
                <w:sz w:val="26"/>
                <w:szCs w:val="26"/>
                <w:rtl/>
                <w:lang w:val="en-GB" w:eastAsia="zh-TW"/>
              </w:rPr>
              <w:t>النسب والمؤشرات الأخرى للاقتصاد الوطني</w:t>
            </w:r>
          </w:p>
        </w:tc>
      </w:tr>
      <w:tr w:rsidR="00182560" w:rsidRPr="00566900" w:rsidTr="00566900">
        <w:tc>
          <w:tcPr>
            <w:tcW w:w="5011" w:type="dxa"/>
            <w:tcBorders>
              <w:top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الدخل القومي الإجمالي (ببلايين فرنكات الجماعة المالية الأفريقية)</w:t>
            </w:r>
          </w:p>
        </w:tc>
        <w:tc>
          <w:tcPr>
            <w:tcW w:w="1260" w:type="dxa"/>
            <w:tcBorders>
              <w:top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w:t>
            </w:r>
            <w:r w:rsidR="00C02372">
              <w:rPr>
                <w:rFonts w:ascii="Traditional Arabic" w:hAnsi="Traditional Arabic" w:hint="cs"/>
                <w:sz w:val="26"/>
                <w:szCs w:val="26"/>
                <w:rtl/>
                <w:lang w:val="en-GB" w:eastAsia="zh-TW"/>
              </w:rPr>
              <w:t> </w:t>
            </w:r>
            <w:r w:rsidRPr="00566900">
              <w:rPr>
                <w:rFonts w:ascii="Traditional Arabic" w:hAnsi="Traditional Arabic"/>
                <w:sz w:val="26"/>
                <w:szCs w:val="26"/>
                <w:rtl/>
                <w:lang w:val="en-GB" w:eastAsia="zh-TW"/>
              </w:rPr>
              <w:t>٠٠٠,٣</w:t>
            </w:r>
          </w:p>
        </w:tc>
        <w:tc>
          <w:tcPr>
            <w:tcW w:w="1078" w:type="dxa"/>
            <w:tcBorders>
              <w:top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w:t>
            </w:r>
            <w:r w:rsidR="00C02372">
              <w:rPr>
                <w:rFonts w:ascii="Traditional Arabic" w:hAnsi="Traditional Arabic" w:hint="cs"/>
                <w:sz w:val="26"/>
                <w:szCs w:val="26"/>
                <w:rtl/>
                <w:lang w:val="en-GB" w:eastAsia="zh-TW"/>
              </w:rPr>
              <w:t> </w:t>
            </w:r>
            <w:r w:rsidRPr="00566900">
              <w:rPr>
                <w:rFonts w:ascii="Traditional Arabic" w:hAnsi="Traditional Arabic"/>
                <w:sz w:val="26"/>
                <w:szCs w:val="26"/>
                <w:rtl/>
                <w:lang w:val="en-GB" w:eastAsia="zh-TW"/>
              </w:rPr>
              <w:t>٣٧٢,٥</w:t>
            </w:r>
          </w:p>
        </w:tc>
        <w:tc>
          <w:tcPr>
            <w:tcW w:w="1022" w:type="dxa"/>
            <w:tcBorders>
              <w:top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w:t>
            </w:r>
            <w:r w:rsidR="00C02372">
              <w:rPr>
                <w:rFonts w:ascii="Traditional Arabic" w:hAnsi="Traditional Arabic" w:hint="cs"/>
                <w:sz w:val="26"/>
                <w:szCs w:val="26"/>
                <w:rtl/>
                <w:lang w:val="en-GB" w:eastAsia="zh-TW"/>
              </w:rPr>
              <w:t> </w:t>
            </w:r>
            <w:r w:rsidRPr="00566900">
              <w:rPr>
                <w:rFonts w:ascii="Traditional Arabic" w:hAnsi="Traditional Arabic"/>
                <w:sz w:val="26"/>
                <w:szCs w:val="26"/>
                <w:rtl/>
                <w:lang w:val="en-GB" w:eastAsia="zh-TW"/>
              </w:rPr>
              <w:t>٦٠٦,١</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معدل الادخار المحلي الإجمالي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١١,٥</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١٦,٧</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١٦,٤</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معدل الاستثمار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٣٨,٤</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٣٤,٩</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٣٤,٤</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الاستهلاك الخاص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٧٤,١</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٧٠,٧</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٧٠,١</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حصة القطاع غير الرسمي الكلي في الناتج المحلي الإجمالي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٦٣,٣</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٦٢,٥</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٦٠,٧</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حصة الزراعة (بمعناها الواسع) في الناتج المحلي الإجمالي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٣٨,٢</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٣٨,٩</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٣٧,٢</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متوسط معدل التضخم السنوي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٢,٩</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٠,٥</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٢,٣</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التغير في معامل انكماش الناتج المحلي الإجمالي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١,٤</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٠,٧</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١,١</w:t>
            </w:r>
          </w:p>
        </w:tc>
      </w:tr>
      <w:tr w:rsidR="00182560" w:rsidRPr="00566900" w:rsidTr="00566900">
        <w:tc>
          <w:tcPr>
            <w:tcW w:w="5011" w:type="dxa"/>
          </w:tcPr>
          <w:p w:rsidR="00182560" w:rsidRPr="00566900" w:rsidRDefault="00182560" w:rsidP="00EE7968">
            <w:pPr>
              <w:spacing w:before="20" w:after="40" w:line="300" w:lineRule="exact"/>
              <w:ind w:left="57" w:right="57"/>
              <w:jc w:val="left"/>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السعر المتفاوض بشأنه للكيلوغرام الواحد من اليورانيوم (بفرنكات الجماعة المالية الأفريقية)</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٧٠</w:t>
            </w:r>
            <w:r w:rsidR="004F7696">
              <w:rPr>
                <w:rFonts w:ascii="Traditional Arabic" w:hAnsi="Traditional Arabic" w:hint="cs"/>
                <w:sz w:val="26"/>
                <w:szCs w:val="26"/>
                <w:rtl/>
                <w:lang w:val="en-GB" w:eastAsia="zh-TW"/>
              </w:rPr>
              <w:t> </w:t>
            </w:r>
            <w:r w:rsidRPr="00566900">
              <w:rPr>
                <w:rFonts w:ascii="Traditional Arabic" w:hAnsi="Traditional Arabic"/>
                <w:sz w:val="26"/>
                <w:szCs w:val="26"/>
                <w:rtl/>
                <w:lang w:val="en-GB" w:eastAsia="zh-TW"/>
              </w:rPr>
              <w:t>٠٠٠</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٧٣</w:t>
            </w:r>
            <w:r w:rsidR="004F7696">
              <w:rPr>
                <w:rFonts w:ascii="Traditional Arabic" w:hAnsi="Traditional Arabic" w:hint="cs"/>
                <w:sz w:val="26"/>
                <w:szCs w:val="26"/>
                <w:rtl/>
                <w:lang w:val="en-GB" w:eastAsia="zh-TW"/>
              </w:rPr>
              <w:t> </w:t>
            </w:r>
            <w:r w:rsidRPr="00566900">
              <w:rPr>
                <w:rFonts w:ascii="Traditional Arabic" w:hAnsi="Traditional Arabic"/>
                <w:sz w:val="26"/>
                <w:szCs w:val="26"/>
                <w:rtl/>
                <w:lang w:val="en-GB" w:eastAsia="zh-TW"/>
              </w:rPr>
              <w:t>٠٠٠</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٧٣</w:t>
            </w:r>
            <w:r w:rsidR="004F7696">
              <w:rPr>
                <w:rFonts w:ascii="Traditional Arabic" w:hAnsi="Traditional Arabic" w:hint="cs"/>
                <w:sz w:val="26"/>
                <w:szCs w:val="26"/>
                <w:rtl/>
                <w:lang w:val="en-GB" w:eastAsia="zh-TW"/>
              </w:rPr>
              <w:t> </w:t>
            </w:r>
            <w:r w:rsidRPr="00566900">
              <w:rPr>
                <w:rFonts w:ascii="Traditional Arabic" w:hAnsi="Traditional Arabic"/>
                <w:sz w:val="26"/>
                <w:szCs w:val="26"/>
                <w:rtl/>
                <w:lang w:val="en-GB" w:eastAsia="zh-TW"/>
              </w:rPr>
              <w:t>٠٠٠</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إيرادات الميزانية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١٧,٠</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١٥,٩</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١٦,٥</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الإيرادات الضريبية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١٦,١</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١٤,٥</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١٥,٢</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مجموع النفقات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٢٢,٦</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٢٣,٣</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٢٨,٤</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النفقات الجارية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١٥,٣</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١١,٤</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١٣,٣</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الدين الخارجي القائم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١٦,٤</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١٧,٧</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٢١,٧</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الميزان التجاري فوب/فوب كنسبة مئوية من الناتج المحلي الإجمالي</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lang w:val="en-GB" w:eastAsia="zh-TW"/>
              </w:rPr>
              <w:t>-</w:t>
            </w:r>
            <w:r w:rsidRPr="00566900">
              <w:rPr>
                <w:rFonts w:ascii="Traditional Arabic" w:hAnsi="Traditional Arabic"/>
                <w:sz w:val="26"/>
                <w:szCs w:val="26"/>
                <w:rtl/>
                <w:lang w:val="en-GB" w:eastAsia="zh-TW"/>
              </w:rPr>
              <w:t>١٥,٤</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lang w:val="en-GB" w:eastAsia="zh-TW"/>
              </w:rPr>
              <w:t>-</w:t>
            </w:r>
            <w:r w:rsidRPr="00566900">
              <w:rPr>
                <w:rFonts w:ascii="Traditional Arabic" w:hAnsi="Traditional Arabic"/>
                <w:sz w:val="26"/>
                <w:szCs w:val="26"/>
                <w:rtl/>
                <w:lang w:val="en-GB" w:eastAsia="zh-TW"/>
              </w:rPr>
              <w:t>٧,٧</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lang w:val="en-GB" w:eastAsia="zh-TW"/>
              </w:rPr>
              <w:t>-</w:t>
            </w:r>
            <w:r w:rsidRPr="00566900">
              <w:rPr>
                <w:rFonts w:ascii="Traditional Arabic" w:hAnsi="Traditional Arabic"/>
                <w:sz w:val="26"/>
                <w:szCs w:val="26"/>
                <w:rtl/>
                <w:lang w:val="en-GB" w:eastAsia="zh-TW"/>
              </w:rPr>
              <w:t>٥,٤</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معدل التغطية التجارة الخارجية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٤٣,٧</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٥٧,١</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٥٦,٤</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قروض مقدمة للاقتصاد (ببلايين فرنكات الجماعة المالية الأفريقية)</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٤٠٢,٦</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٥٠٠,٠</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٥١٩,٨</w:t>
            </w:r>
          </w:p>
        </w:tc>
      </w:tr>
      <w:tr w:rsidR="00182560" w:rsidRPr="00566900" w:rsidTr="00566900">
        <w:tc>
          <w:tcPr>
            <w:tcW w:w="5011"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معدل السيولة في الاقتصاد (٪)</w:t>
            </w:r>
          </w:p>
        </w:tc>
        <w:tc>
          <w:tcPr>
            <w:tcW w:w="1260"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٢٠,٢</w:t>
            </w:r>
          </w:p>
        </w:tc>
        <w:tc>
          <w:tcPr>
            <w:tcW w:w="1078"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٢٣,٥</w:t>
            </w:r>
          </w:p>
        </w:tc>
        <w:tc>
          <w:tcPr>
            <w:tcW w:w="1022" w:type="dxa"/>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٢٤,١</w:t>
            </w:r>
          </w:p>
        </w:tc>
      </w:tr>
      <w:tr w:rsidR="00182560" w:rsidRPr="00566900" w:rsidTr="00566900">
        <w:tc>
          <w:tcPr>
            <w:tcW w:w="5011" w:type="dxa"/>
            <w:tcBorders>
              <w:bottom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lastRenderedPageBreak/>
              <w:t>سرعة تداول النقود</w:t>
            </w:r>
          </w:p>
        </w:tc>
        <w:tc>
          <w:tcPr>
            <w:tcW w:w="1260" w:type="dxa"/>
            <w:tcBorders>
              <w:bottom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٥,٠</w:t>
            </w:r>
          </w:p>
        </w:tc>
        <w:tc>
          <w:tcPr>
            <w:tcW w:w="1078" w:type="dxa"/>
            <w:tcBorders>
              <w:bottom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٤,٣</w:t>
            </w:r>
          </w:p>
        </w:tc>
        <w:tc>
          <w:tcPr>
            <w:tcW w:w="1022" w:type="dxa"/>
            <w:tcBorders>
              <w:bottom w:val="single" w:sz="12" w:space="0" w:color="auto"/>
            </w:tcBorders>
          </w:tcPr>
          <w:p w:rsidR="00182560" w:rsidRPr="00566900" w:rsidRDefault="00182560" w:rsidP="00566900">
            <w:pPr>
              <w:spacing w:before="20" w:after="40" w:line="300" w:lineRule="exact"/>
              <w:ind w:left="57" w:right="57"/>
              <w:textDirection w:val="tbRlV"/>
              <w:rPr>
                <w:rFonts w:ascii="Traditional Arabic" w:hAnsi="Traditional Arabic"/>
                <w:sz w:val="26"/>
                <w:szCs w:val="26"/>
                <w:rtl/>
                <w:lang w:val="en-GB" w:eastAsia="zh-TW"/>
              </w:rPr>
            </w:pPr>
            <w:r w:rsidRPr="00566900">
              <w:rPr>
                <w:rFonts w:ascii="Traditional Arabic" w:hAnsi="Traditional Arabic"/>
                <w:sz w:val="26"/>
                <w:szCs w:val="26"/>
                <w:rtl/>
                <w:lang w:val="en-GB" w:eastAsia="zh-TW"/>
              </w:rPr>
              <w:t>٤,١</w:t>
            </w:r>
          </w:p>
        </w:tc>
      </w:tr>
    </w:tbl>
    <w:p w:rsidR="00182560" w:rsidRPr="00A15F5A" w:rsidRDefault="00182560" w:rsidP="00A15F5A">
      <w:pPr>
        <w:pStyle w:val="SingleTxtGA"/>
        <w:rPr>
          <w:iCs/>
          <w:sz w:val="14"/>
          <w:szCs w:val="26"/>
          <w:rtl/>
          <w:lang w:val="en-GB" w:eastAsia="zh-TW"/>
        </w:rPr>
      </w:pPr>
      <w:r w:rsidRPr="00A15F5A">
        <w:rPr>
          <w:i/>
          <w:iCs/>
          <w:sz w:val="16"/>
          <w:szCs w:val="26"/>
          <w:rtl/>
          <w:lang w:val="en-GB" w:eastAsia="zh-TW"/>
        </w:rPr>
        <w:t>المصدر:</w:t>
      </w:r>
      <w:r w:rsidRPr="00A15F5A">
        <w:rPr>
          <w:sz w:val="16"/>
          <w:szCs w:val="26"/>
          <w:rtl/>
          <w:lang w:val="en-GB" w:eastAsia="zh-TW"/>
        </w:rPr>
        <w:t xml:space="preserve"> الحسابات الاقتصادية القومية للمعهد الوطني للإحصاء - 2014.</w:t>
      </w:r>
    </w:p>
    <w:p w:rsidR="00182560" w:rsidRPr="007F3B78" w:rsidRDefault="00A15F5A" w:rsidP="009155C9">
      <w:pPr>
        <w:pStyle w:val="HChGA"/>
        <w:rPr>
          <w:rtl/>
          <w:lang w:val="en-GB" w:eastAsia="zh-TW"/>
        </w:rPr>
      </w:pPr>
      <w:bookmarkStart w:id="21" w:name="_Toc485025640"/>
      <w:bookmarkStart w:id="22" w:name="_Toc485026224"/>
      <w:bookmarkStart w:id="23" w:name="_Toc485026302"/>
      <w:r>
        <w:rPr>
          <w:rtl/>
          <w:lang w:val="en-GB" w:eastAsia="zh-TW"/>
        </w:rPr>
        <w:tab/>
      </w:r>
      <w:r w:rsidR="00182560">
        <w:rPr>
          <w:rtl/>
          <w:lang w:val="en-GB" w:eastAsia="zh-TW"/>
        </w:rPr>
        <w:t>ثالثا</w:t>
      </w:r>
      <w:r>
        <w:rPr>
          <w:rFonts w:hint="cs"/>
          <w:rtl/>
          <w:lang w:val="en-GB" w:eastAsia="zh-TW"/>
        </w:rPr>
        <w:t>ً</w:t>
      </w:r>
      <w:r w:rsidR="00182560">
        <w:rPr>
          <w:rtl/>
          <w:lang w:val="en-GB" w:eastAsia="zh-TW"/>
        </w:rPr>
        <w:t>-</w:t>
      </w:r>
      <w:r>
        <w:rPr>
          <w:rtl/>
          <w:lang w:val="en-GB" w:eastAsia="zh-TW"/>
        </w:rPr>
        <w:tab/>
      </w:r>
      <w:r w:rsidR="00182560">
        <w:rPr>
          <w:rtl/>
          <w:lang w:val="en-GB" w:eastAsia="zh-TW"/>
        </w:rPr>
        <w:t>الإطار العام لتعزيز حقوق الإنسان وحمايتها</w:t>
      </w:r>
      <w:bookmarkEnd w:id="21"/>
      <w:bookmarkEnd w:id="22"/>
      <w:bookmarkEnd w:id="23"/>
    </w:p>
    <w:p w:rsidR="00182560" w:rsidRPr="00C126A2" w:rsidRDefault="00A15F5A" w:rsidP="009155C9">
      <w:pPr>
        <w:pStyle w:val="H1GA"/>
        <w:rPr>
          <w:rtl/>
          <w:lang w:val="en-GB" w:eastAsia="zh-TW"/>
        </w:rPr>
      </w:pPr>
      <w:bookmarkStart w:id="24" w:name="_Toc485025641"/>
      <w:bookmarkStart w:id="25" w:name="_Toc485026225"/>
      <w:bookmarkStart w:id="26" w:name="_Toc485026303"/>
      <w:r>
        <w:rPr>
          <w:rtl/>
          <w:lang w:val="en-GB" w:eastAsia="zh-TW"/>
        </w:rPr>
        <w:tab/>
      </w:r>
      <w:r w:rsidR="00182560">
        <w:rPr>
          <w:rtl/>
          <w:lang w:val="en-GB" w:eastAsia="zh-TW"/>
        </w:rPr>
        <w:t>ألف-</w:t>
      </w:r>
      <w:r>
        <w:rPr>
          <w:rtl/>
          <w:lang w:val="en-GB" w:eastAsia="zh-TW"/>
        </w:rPr>
        <w:tab/>
      </w:r>
      <w:r w:rsidR="00182560">
        <w:rPr>
          <w:rtl/>
          <w:lang w:val="en-GB" w:eastAsia="zh-TW"/>
        </w:rPr>
        <w:t>قبول المعايير الدولية لحقوق الإنسان</w:t>
      </w:r>
      <w:bookmarkEnd w:id="24"/>
      <w:bookmarkEnd w:id="25"/>
      <w:bookmarkEnd w:id="26"/>
    </w:p>
    <w:p w:rsidR="00182560" w:rsidRPr="007F3B78" w:rsidRDefault="00B6758C" w:rsidP="00A15F5A">
      <w:pPr>
        <w:pStyle w:val="SingleTxtGA"/>
        <w:rPr>
          <w:rtl/>
          <w:lang w:val="en-GB" w:eastAsia="zh-TW"/>
        </w:rPr>
      </w:pPr>
      <w:r>
        <w:rPr>
          <w:rtl/>
          <w:lang w:val="en-GB" w:eastAsia="zh-TW"/>
        </w:rPr>
        <w:t>٢٩-</w:t>
      </w:r>
      <w:r>
        <w:rPr>
          <w:rtl/>
          <w:lang w:val="en-GB" w:eastAsia="zh-TW"/>
        </w:rPr>
        <w:tab/>
      </w:r>
      <w:r w:rsidR="00182560">
        <w:rPr>
          <w:rtl/>
          <w:lang w:val="en-GB" w:eastAsia="zh-TW"/>
        </w:rPr>
        <w:t>انضمت جمهورية النيجر، في إطار احترام وتعزيز القيم العالمية لحقوق الإنسان، إلى الصكوك القانونية الدولية والإقليمية التالية:</w:t>
      </w:r>
    </w:p>
    <w:p w:rsidR="00182560" w:rsidRPr="00C126A2" w:rsidRDefault="00160D40" w:rsidP="00160D40">
      <w:pPr>
        <w:pStyle w:val="H23GA"/>
        <w:rPr>
          <w:rtl/>
          <w:lang w:val="en-GB"/>
        </w:rPr>
      </w:pPr>
      <w:bookmarkStart w:id="27" w:name="OLE_LINK13"/>
      <w:bookmarkStart w:id="28" w:name="OLE_LINK14"/>
      <w:r>
        <w:rPr>
          <w:rtl/>
          <w:lang w:val="en-GB"/>
        </w:rPr>
        <w:tab/>
      </w:r>
      <w:r w:rsidR="00182560">
        <w:rPr>
          <w:rtl/>
          <w:lang w:val="en-GB"/>
        </w:rPr>
        <w:t>(أ)</w:t>
      </w:r>
      <w:r w:rsidR="00182560">
        <w:rPr>
          <w:rtl/>
          <w:lang w:val="en-GB"/>
        </w:rPr>
        <w:tab/>
        <w:t>على الصعيد الدولي</w:t>
      </w:r>
      <w:bookmarkEnd w:id="27"/>
      <w:bookmarkEnd w:id="28"/>
    </w:p>
    <w:p w:rsidR="00182560" w:rsidRPr="00C126A2" w:rsidRDefault="00182560" w:rsidP="00182560">
      <w:pPr>
        <w:pStyle w:val="Bullet1GA"/>
        <w:bidi/>
        <w:rPr>
          <w:rtl/>
          <w:lang w:val="en-GB" w:eastAsia="zh-TW"/>
        </w:rPr>
      </w:pPr>
      <w:r>
        <w:rPr>
          <w:rtl/>
          <w:lang w:val="en-GB" w:eastAsia="zh-TW"/>
        </w:rPr>
        <w:t>الاتفاقية الدولية للقضاء على جميع أشكال التمييز العنصري، التي اعتمدت في 21 كانون الأول/ديسمبر 1965 وصدّق عليها النيجر في 27 نيسان/أبريل 1967.</w:t>
      </w:r>
      <w:r w:rsidR="00F13065">
        <w:rPr>
          <w:rFonts w:hint="cs"/>
          <w:rtl/>
          <w:lang w:val="en-GB" w:eastAsia="zh-TW"/>
        </w:rPr>
        <w:t xml:space="preserve"> </w:t>
      </w:r>
      <w:r>
        <w:rPr>
          <w:rtl/>
          <w:lang w:val="en-GB" w:eastAsia="zh-TW"/>
        </w:rPr>
        <w:t>وقُدم التقرير الدوري الجامع (الجامع للتقارير ١٥ و١٦ و١٧ و١٨ و١٩ و٢٠ و٢١) إلى اللجنة المعنية بالقضاء على التمييز العنصري في آب/أغسطس ٢٠١٥.</w:t>
      </w:r>
      <w:r w:rsidR="00160D40">
        <w:rPr>
          <w:rFonts w:hint="cs"/>
          <w:rtl/>
          <w:lang w:val="en-GB" w:eastAsia="zh-TW"/>
        </w:rPr>
        <w:t xml:space="preserve"> </w:t>
      </w:r>
      <w:r>
        <w:rPr>
          <w:rtl/>
          <w:lang w:val="en-GB" w:eastAsia="zh-TW"/>
        </w:rPr>
        <w:t>وبذلك يتدارك النيجر تأخراً دام 17 سنة؛</w:t>
      </w:r>
    </w:p>
    <w:p w:rsidR="00182560" w:rsidRPr="00C126A2" w:rsidRDefault="00182560" w:rsidP="00182560">
      <w:pPr>
        <w:pStyle w:val="Bullet1GA"/>
        <w:bidi/>
        <w:rPr>
          <w:rtl/>
          <w:lang w:val="en-GB" w:eastAsia="zh-TW"/>
        </w:rPr>
      </w:pPr>
      <w:r>
        <w:rPr>
          <w:rtl/>
          <w:lang w:val="en-GB" w:eastAsia="zh-TW"/>
        </w:rPr>
        <w:t>العهد الدولي الخاص بالحقوق المدنية والسياسية، الذي اعتمد في 16 كانون الأول/ ديسمبر 1966 وانضم إليه النيجر في 7 آذار/مارس 1986.</w:t>
      </w:r>
      <w:r w:rsidR="00F13065">
        <w:rPr>
          <w:rFonts w:hint="cs"/>
          <w:rtl/>
          <w:lang w:val="en-GB" w:eastAsia="zh-TW"/>
        </w:rPr>
        <w:t xml:space="preserve"> </w:t>
      </w:r>
      <w:r>
        <w:rPr>
          <w:rtl/>
          <w:lang w:val="en-GB" w:eastAsia="zh-TW"/>
        </w:rPr>
        <w:t>وقد نظر مجلس حقوق الإنسان في التقرير الأولي في آذار/مارس 1993.</w:t>
      </w:r>
      <w:r w:rsidR="00F13065">
        <w:rPr>
          <w:rFonts w:hint="cs"/>
          <w:rtl/>
          <w:lang w:val="en-GB" w:eastAsia="zh-TW"/>
        </w:rPr>
        <w:t xml:space="preserve"> </w:t>
      </w:r>
      <w:r>
        <w:rPr>
          <w:rtl/>
          <w:lang w:val="en-GB" w:eastAsia="zh-TW"/>
        </w:rPr>
        <w:t>وأحيل التقرير الدوري الجامع في كانون الثاني/يناير ٢٠١٦؛</w:t>
      </w:r>
    </w:p>
    <w:p w:rsidR="00182560" w:rsidRPr="00C126A2" w:rsidRDefault="00182560" w:rsidP="00182560">
      <w:pPr>
        <w:pStyle w:val="Bullet1GA"/>
        <w:bidi/>
        <w:rPr>
          <w:rtl/>
          <w:lang w:val="en-GB" w:eastAsia="zh-TW"/>
        </w:rPr>
      </w:pPr>
      <w:r>
        <w:rPr>
          <w:rtl/>
          <w:lang w:val="en-GB" w:eastAsia="zh-TW"/>
        </w:rPr>
        <w:t>العهد الدولي الخاص بالحقوق الاقتصادية والاجتماعية والثقافية، الذي اعتمد في 16 كانون الأول/ديسمبر 1966 وانضم إليه النيجر في 7 آذار/مارس 1986؛</w:t>
      </w:r>
      <w:r w:rsidR="00DE6869">
        <w:rPr>
          <w:rFonts w:hint="cs"/>
          <w:rtl/>
          <w:lang w:val="en-GB" w:eastAsia="zh-TW"/>
        </w:rPr>
        <w:t xml:space="preserve"> </w:t>
      </w:r>
      <w:r>
        <w:rPr>
          <w:rtl/>
          <w:lang w:val="en-GB" w:eastAsia="zh-TW"/>
        </w:rPr>
        <w:t>وأُقر التقرير الأساسي في ٣٠ و٣١ كانون الأول/ديسمبر ٢٠١٥؛</w:t>
      </w:r>
    </w:p>
    <w:p w:rsidR="00182560" w:rsidRPr="00C126A2" w:rsidRDefault="00182560" w:rsidP="00787230">
      <w:pPr>
        <w:pStyle w:val="Bullet1GA"/>
        <w:bidi/>
        <w:rPr>
          <w:rtl/>
          <w:lang w:val="en-GB" w:eastAsia="zh-TW"/>
        </w:rPr>
      </w:pPr>
      <w:r>
        <w:rPr>
          <w:rtl/>
          <w:lang w:val="en-GB" w:eastAsia="zh-TW"/>
        </w:rPr>
        <w:t>اتفاقية القضاء على جميع أشكال التمييز ضد المرأة، التي اعتمدت في 18 كانون الأول/ديسمبر 1979 وانضم إليها النيجر في 8 تشرين الأول/أكتوبر 1999.</w:t>
      </w:r>
      <w:r w:rsidR="00DE6869">
        <w:rPr>
          <w:rFonts w:hint="cs"/>
          <w:rtl/>
          <w:lang w:val="en-GB" w:eastAsia="zh-TW"/>
        </w:rPr>
        <w:t xml:space="preserve"> </w:t>
      </w:r>
      <w:r>
        <w:rPr>
          <w:rtl/>
          <w:lang w:val="en-GB" w:eastAsia="zh-TW"/>
        </w:rPr>
        <w:t>ونُظر في التقرير الأولي في عام 2007.</w:t>
      </w:r>
      <w:r w:rsidR="00F13065">
        <w:rPr>
          <w:rFonts w:hint="cs"/>
          <w:rtl/>
          <w:lang w:val="en-GB" w:eastAsia="zh-TW"/>
        </w:rPr>
        <w:t xml:space="preserve"> </w:t>
      </w:r>
      <w:r>
        <w:rPr>
          <w:rtl/>
          <w:lang w:val="en-GB" w:eastAsia="zh-TW"/>
        </w:rPr>
        <w:t>وقُدم التقرير الدوري الأول إلى اللجنة المعنية بالاتفاقية في آب/أغسطس ٢٠١٥؛</w:t>
      </w:r>
    </w:p>
    <w:p w:rsidR="00182560" w:rsidRPr="00C126A2" w:rsidRDefault="00182560" w:rsidP="00182560">
      <w:pPr>
        <w:pStyle w:val="Bullet1GA"/>
        <w:bidi/>
        <w:rPr>
          <w:rtl/>
          <w:lang w:val="en-GB" w:eastAsia="zh-TW"/>
        </w:rPr>
      </w:pPr>
      <w:r>
        <w:rPr>
          <w:rtl/>
          <w:lang w:val="en-GB" w:eastAsia="zh-TW"/>
        </w:rPr>
        <w:t>اتفاقية مناهضة التعذيب وغيره من ضروب المعاملة أو العقوبة القاسية أو اللاإنسانية أو المهينة، التي اعتمدت في 20 كانون الأول/ديسمبر 1984</w:t>
      </w:r>
      <w:r w:rsidR="00DE6869">
        <w:rPr>
          <w:rFonts w:hint="cs"/>
          <w:rtl/>
          <w:lang w:val="en-GB" w:eastAsia="zh-TW"/>
        </w:rPr>
        <w:t xml:space="preserve"> </w:t>
      </w:r>
      <w:r>
        <w:rPr>
          <w:rtl/>
          <w:lang w:val="en-GB" w:eastAsia="zh-TW"/>
        </w:rPr>
        <w:t>وصدّق عليها النيجر في 5 تشرين الأول/أكتوبر 1986؛</w:t>
      </w:r>
    </w:p>
    <w:p w:rsidR="00182560" w:rsidRPr="00C126A2" w:rsidRDefault="00182560" w:rsidP="00182560">
      <w:pPr>
        <w:pStyle w:val="Bullet1GA"/>
        <w:bidi/>
        <w:rPr>
          <w:rtl/>
          <w:lang w:val="en-GB" w:eastAsia="zh-TW"/>
        </w:rPr>
      </w:pPr>
      <w:r>
        <w:rPr>
          <w:rtl/>
          <w:lang w:val="en-GB" w:eastAsia="zh-TW"/>
        </w:rPr>
        <w:t>اتفاقية حقوق الطفل، التي اعتمدت في تشرين الثاني/نوفمبر 1989</w:t>
      </w:r>
      <w:r w:rsidR="000A5D4E">
        <w:rPr>
          <w:rFonts w:hint="cs"/>
          <w:rtl/>
          <w:lang w:val="en-GB" w:eastAsia="zh-TW"/>
        </w:rPr>
        <w:t xml:space="preserve"> </w:t>
      </w:r>
      <w:r>
        <w:rPr>
          <w:rtl/>
          <w:lang w:val="en-GB" w:eastAsia="zh-TW"/>
        </w:rPr>
        <w:t>وصدّق عليها النيجر في 30 أيلول/سبتمبر 1990.</w:t>
      </w:r>
      <w:r w:rsidR="00F13065">
        <w:rPr>
          <w:rFonts w:hint="cs"/>
          <w:rtl/>
          <w:lang w:val="en-GB" w:eastAsia="zh-TW"/>
        </w:rPr>
        <w:t xml:space="preserve"> </w:t>
      </w:r>
      <w:r>
        <w:rPr>
          <w:rtl/>
          <w:lang w:val="en-GB" w:eastAsia="zh-TW"/>
        </w:rPr>
        <w:t>ونُظر في التقرير الدوري الثاني في ٤ حزيران/يونيه ٢٠٠٩.</w:t>
      </w:r>
      <w:r w:rsidR="00DE6869">
        <w:rPr>
          <w:rFonts w:hint="cs"/>
          <w:rtl/>
          <w:lang w:val="en-GB" w:eastAsia="zh-TW"/>
        </w:rPr>
        <w:t xml:space="preserve"> </w:t>
      </w:r>
      <w:r>
        <w:rPr>
          <w:rtl/>
          <w:lang w:val="en-GB" w:eastAsia="zh-TW"/>
        </w:rPr>
        <w:t>وأُحيل التقرير الدوري الجامع الذي يغطي الفترة الممتدة من 2009 إلى 2012 إلى لجنة حقوق الطفل؛</w:t>
      </w:r>
    </w:p>
    <w:p w:rsidR="00182560" w:rsidRPr="00C126A2" w:rsidRDefault="00182560" w:rsidP="00182560">
      <w:pPr>
        <w:pStyle w:val="Bullet1GA"/>
        <w:bidi/>
        <w:rPr>
          <w:rtl/>
          <w:lang w:val="en-GB" w:eastAsia="zh-TW"/>
        </w:rPr>
      </w:pPr>
      <w:r>
        <w:rPr>
          <w:rtl/>
          <w:lang w:val="en-GB" w:eastAsia="zh-TW"/>
        </w:rPr>
        <w:lastRenderedPageBreak/>
        <w:t>الاتفاقية الدولية لحماية حقوق جميع العمال المهاجرين وأفراد أسرهم، التي صدّق عليها النيجر في 27 كانون الثاني/يناير 2009؛</w:t>
      </w:r>
    </w:p>
    <w:p w:rsidR="00182560" w:rsidRPr="00C126A2" w:rsidRDefault="00182560" w:rsidP="00182560">
      <w:pPr>
        <w:pStyle w:val="Bullet1GA"/>
        <w:bidi/>
        <w:rPr>
          <w:rtl/>
          <w:lang w:val="en-GB" w:eastAsia="zh-TW"/>
        </w:rPr>
      </w:pPr>
      <w:r>
        <w:rPr>
          <w:rtl/>
          <w:lang w:val="en-GB" w:eastAsia="zh-TW"/>
        </w:rPr>
        <w:t>اتفاقية حقوق الأشخاص ذوي الإعاقة وبروتوكولها الاختياري، اللذان صدّق عليهما النيجر في 24 حزيران/يونيه 2008.</w:t>
      </w:r>
      <w:r w:rsidR="00F13065">
        <w:rPr>
          <w:rFonts w:hint="cs"/>
          <w:rtl/>
          <w:lang w:val="en-GB" w:eastAsia="zh-TW"/>
        </w:rPr>
        <w:t xml:space="preserve"> </w:t>
      </w:r>
      <w:r>
        <w:rPr>
          <w:rtl/>
          <w:lang w:val="en-GB" w:eastAsia="zh-TW"/>
        </w:rPr>
        <w:t>وقد قدم النيجر تقريره الأولي بشأن اتفاقية حقوق الأشخاص ذوي الإعاقة إلى اللجنة المعنية بالاتفاقية في آب/أغسطس ٢٠١٥؛</w:t>
      </w:r>
    </w:p>
    <w:p w:rsidR="00182560" w:rsidRDefault="00182560" w:rsidP="00182560">
      <w:pPr>
        <w:pStyle w:val="Bullet1GA"/>
        <w:bidi/>
        <w:rPr>
          <w:rtl/>
          <w:lang w:val="en-GB" w:eastAsia="zh-TW"/>
        </w:rPr>
      </w:pPr>
      <w:r>
        <w:rPr>
          <w:rtl/>
          <w:lang w:val="en-GB" w:eastAsia="zh-TW"/>
        </w:rPr>
        <w:t>البروتوكول الاختياري لاتفاقية حقوق الطفل بشأن اشتراك الأطفال في المنازعات المسلحة، الذي اعتمد في حزيران/يونيه 2000 وصدّق عليه النيجر في 13 آذار/مارس 2012؛</w:t>
      </w:r>
    </w:p>
    <w:p w:rsidR="00182560" w:rsidRPr="00C126A2" w:rsidRDefault="00182560" w:rsidP="00182560">
      <w:pPr>
        <w:pStyle w:val="Bullet1GA"/>
        <w:bidi/>
        <w:rPr>
          <w:rtl/>
          <w:lang w:val="en-GB" w:eastAsia="zh-TW"/>
        </w:rPr>
      </w:pPr>
      <w:r>
        <w:rPr>
          <w:rtl/>
          <w:lang w:val="en-GB" w:eastAsia="zh-TW"/>
        </w:rPr>
        <w:t>البروتوكول الاختياري الملحق باتفاقية حقوق الطفل بشأن بيع الأطفال واستغلال الأطفال في البغاء وفي المواد الإباحية، الذي صدّق عليه النيجر في ٢٦ تشرين الأول/أكتوبر ٢٠٠٤.</w:t>
      </w:r>
      <w:r w:rsidR="00160D40">
        <w:rPr>
          <w:rFonts w:hint="cs"/>
          <w:rtl/>
          <w:lang w:val="en-GB" w:eastAsia="zh-TW"/>
        </w:rPr>
        <w:t xml:space="preserve"> </w:t>
      </w:r>
      <w:r>
        <w:rPr>
          <w:rtl/>
          <w:lang w:val="en-GB" w:eastAsia="zh-TW"/>
        </w:rPr>
        <w:t>وقد قُدم التقرير الأولي إلى لجنة حقوق الطفل؛</w:t>
      </w:r>
    </w:p>
    <w:p w:rsidR="00182560" w:rsidRPr="00160D40" w:rsidRDefault="00182560" w:rsidP="00182560">
      <w:pPr>
        <w:pStyle w:val="Bullet1GA"/>
        <w:bidi/>
        <w:rPr>
          <w:spacing w:val="-6"/>
          <w:rtl/>
          <w:lang w:val="en-GB" w:eastAsia="zh-TW"/>
        </w:rPr>
      </w:pPr>
      <w:r>
        <w:rPr>
          <w:rtl/>
          <w:lang w:val="en-GB" w:eastAsia="zh-TW"/>
        </w:rPr>
        <w:t xml:space="preserve">بروتوكول منع وقمع ومعاقبة الاتجار بالأشخاص، وبخاصة النساء والأطفال، المكمل لاتفاقية الأمم المتحدة لمكافحة الجريمة المنظمة عبر الوطنية، الذي اعتمد </w:t>
      </w:r>
      <w:r w:rsidRPr="00160D40">
        <w:rPr>
          <w:spacing w:val="-6"/>
          <w:rtl/>
          <w:lang w:val="en-GB" w:eastAsia="zh-TW"/>
        </w:rPr>
        <w:t>في تشرين الثاني/نوفم</w:t>
      </w:r>
      <w:r w:rsidR="00160D40" w:rsidRPr="00160D40">
        <w:rPr>
          <w:spacing w:val="-6"/>
          <w:rtl/>
          <w:lang w:val="en-GB" w:eastAsia="zh-TW"/>
        </w:rPr>
        <w:t>بر 2000 وصدّق عليه النيجر في 30</w:t>
      </w:r>
      <w:r w:rsidRPr="00160D40">
        <w:rPr>
          <w:spacing w:val="-6"/>
          <w:rtl/>
          <w:lang w:val="en-GB" w:eastAsia="zh-TW"/>
        </w:rPr>
        <w:t xml:space="preserve"> أيلول/سبتمبر 2004؛</w:t>
      </w:r>
    </w:p>
    <w:p w:rsidR="00182560" w:rsidRPr="00C126A2" w:rsidRDefault="00182560" w:rsidP="00182560">
      <w:pPr>
        <w:pStyle w:val="Bullet1GA"/>
        <w:bidi/>
        <w:rPr>
          <w:rtl/>
          <w:lang w:val="en-GB" w:eastAsia="zh-TW"/>
        </w:rPr>
      </w:pPr>
      <w:r>
        <w:rPr>
          <w:rtl/>
          <w:lang w:val="en-GB" w:eastAsia="zh-TW"/>
        </w:rPr>
        <w:t>اتفاقية الرضا بالزواج والحد الأدنى لسن الزواج وتسجيل عقود الزواج، التي انضم إليها النيجر في ١ كانون الأول/ديسمبر ١٩٦٤؛</w:t>
      </w:r>
    </w:p>
    <w:p w:rsidR="00182560" w:rsidRPr="00C126A2" w:rsidRDefault="00182560" w:rsidP="00182560">
      <w:pPr>
        <w:pStyle w:val="Bullet1GA"/>
        <w:bidi/>
        <w:rPr>
          <w:rtl/>
          <w:lang w:val="en-GB" w:eastAsia="zh-TW"/>
        </w:rPr>
      </w:pPr>
      <w:r>
        <w:rPr>
          <w:rtl/>
          <w:lang w:val="en-GB" w:eastAsia="zh-TW"/>
        </w:rPr>
        <w:t>اتفاقية منظمة العمل الدولية رقم 182 بشأن حظر أسوأ أشكال عمل الأطفال، التي صدّق عليها النيجر في 4 آب/أغسطس 2000؛</w:t>
      </w:r>
    </w:p>
    <w:p w:rsidR="00182560" w:rsidRPr="00C126A2" w:rsidRDefault="00182560" w:rsidP="002571E9">
      <w:pPr>
        <w:pStyle w:val="Bullet1GA"/>
        <w:bidi/>
        <w:rPr>
          <w:rtl/>
          <w:lang w:val="en-GB" w:eastAsia="zh-TW"/>
        </w:rPr>
      </w:pPr>
      <w:bookmarkStart w:id="29" w:name="OLE_LINK11"/>
      <w:bookmarkStart w:id="30" w:name="OLE_LINK12"/>
      <w:r>
        <w:rPr>
          <w:rtl/>
          <w:lang w:val="en-GB" w:eastAsia="zh-TW"/>
        </w:rPr>
        <w:t>اتفاقية حظر الاتجار بالأشخاص واستغلال دعارة الغير، التي اعتمدت في كانون الأول/ديسمبر 1949 وصدّق عليها النيجر في 10 حزيران/يونيه 1977؛</w:t>
      </w:r>
      <w:bookmarkEnd w:id="29"/>
      <w:bookmarkEnd w:id="30"/>
    </w:p>
    <w:p w:rsidR="00182560" w:rsidRPr="00C126A2" w:rsidRDefault="00182560" w:rsidP="00182560">
      <w:pPr>
        <w:pStyle w:val="Bullet1GA"/>
        <w:bidi/>
        <w:rPr>
          <w:rtl/>
          <w:lang w:val="en-GB" w:eastAsia="zh-TW"/>
        </w:rPr>
      </w:pPr>
      <w:r>
        <w:rPr>
          <w:rtl/>
          <w:lang w:val="en-GB" w:eastAsia="zh-TW"/>
        </w:rPr>
        <w:t>اتفاقية قمع الاتجار بالراشدات، التي اعتمدت في تشرين الأول/أكتوبر 1933 وقبلها النيجر في 25 آب/أغسطس 1961؛</w:t>
      </w:r>
    </w:p>
    <w:p w:rsidR="00182560" w:rsidRPr="00C126A2" w:rsidRDefault="00182560" w:rsidP="00182560">
      <w:pPr>
        <w:pStyle w:val="Bullet1GA"/>
        <w:bidi/>
        <w:rPr>
          <w:rtl/>
          <w:lang w:val="en-GB" w:eastAsia="zh-TW"/>
        </w:rPr>
      </w:pPr>
      <w:r>
        <w:rPr>
          <w:rtl/>
          <w:lang w:val="en-GB" w:eastAsia="zh-TW"/>
        </w:rPr>
        <w:t>اتفاقية منظمة العمل الدولية رقم 100 بشأن مساواة العمال والعاملات في الأجر عن عمل ذي قيمة متساوية، التي صدّق عليها النيجر في عام 1966؛</w:t>
      </w:r>
    </w:p>
    <w:p w:rsidR="00182560" w:rsidRPr="00C126A2" w:rsidRDefault="00182560" w:rsidP="00182560">
      <w:pPr>
        <w:pStyle w:val="Bullet1GA"/>
        <w:bidi/>
        <w:rPr>
          <w:rtl/>
          <w:lang w:val="en-GB" w:eastAsia="zh-TW"/>
        </w:rPr>
      </w:pPr>
      <w:r>
        <w:rPr>
          <w:rtl/>
          <w:lang w:val="en-GB" w:eastAsia="zh-TW"/>
        </w:rPr>
        <w:t>اتفاقية الرق، التي اعتمدت في جنيف في أيلول/سبتمبر 1926</w:t>
      </w:r>
      <w:r w:rsidR="002571E9">
        <w:rPr>
          <w:rFonts w:hint="cs"/>
          <w:rtl/>
          <w:lang w:val="en-GB" w:eastAsia="zh-TW"/>
        </w:rPr>
        <w:t xml:space="preserve"> </w:t>
      </w:r>
      <w:r>
        <w:rPr>
          <w:rtl/>
          <w:lang w:val="en-GB" w:eastAsia="zh-TW"/>
        </w:rPr>
        <w:t>وانضم إليها النيجر في ٢٥ آب/أغسطس ١٩٦١؛</w:t>
      </w:r>
    </w:p>
    <w:p w:rsidR="00182560" w:rsidRPr="00C126A2" w:rsidRDefault="00182560" w:rsidP="00182560">
      <w:pPr>
        <w:pStyle w:val="Bullet1GA"/>
        <w:bidi/>
        <w:rPr>
          <w:rtl/>
          <w:lang w:val="en-GB" w:eastAsia="zh-TW"/>
        </w:rPr>
      </w:pPr>
      <w:r>
        <w:rPr>
          <w:rtl/>
          <w:lang w:val="en-GB" w:eastAsia="zh-TW"/>
        </w:rPr>
        <w:t>البروتوكول المعدل لاتفاقية الرق، الذي اعتمد في تشرين الأول/أكتوبر 1953 وقبله النيجر في ٧ كانون الأول/ديسمبر ١٩٦٤؛</w:t>
      </w:r>
    </w:p>
    <w:p w:rsidR="00182560" w:rsidRPr="00C126A2" w:rsidRDefault="00182560" w:rsidP="00182560">
      <w:pPr>
        <w:pStyle w:val="Bullet1GA"/>
        <w:bidi/>
        <w:rPr>
          <w:rtl/>
          <w:lang w:val="en-GB" w:eastAsia="zh-TW"/>
        </w:rPr>
      </w:pPr>
      <w:r>
        <w:rPr>
          <w:rtl/>
          <w:lang w:val="en-GB" w:eastAsia="zh-TW"/>
        </w:rPr>
        <w:t>الاتفاقية التكميلية لإبطال الرق وتجارة الرقيق والأعراف والممارسات الشبيهة بالرق، التي اعتمدت في نيسان/أبريل 1956 وصدق عليها النيجر في 22 تموز/يوليه 1963؛</w:t>
      </w:r>
    </w:p>
    <w:p w:rsidR="00182560" w:rsidRPr="00C126A2" w:rsidRDefault="00182560" w:rsidP="00182560">
      <w:pPr>
        <w:pStyle w:val="Bullet1GA"/>
        <w:bidi/>
        <w:rPr>
          <w:rtl/>
          <w:lang w:val="en-GB" w:eastAsia="zh-TW"/>
        </w:rPr>
      </w:pPr>
      <w:r>
        <w:rPr>
          <w:rtl/>
          <w:lang w:val="en-GB" w:eastAsia="zh-TW"/>
        </w:rPr>
        <w:lastRenderedPageBreak/>
        <w:t>اتفاقيات جنيف الأربع (1949) بشأن القانون الدولي الإنساني، التي أصبح النيجر طرفاً فيها في 16 آب/أغسطس 1964؛</w:t>
      </w:r>
    </w:p>
    <w:p w:rsidR="00182560" w:rsidRPr="00C126A2" w:rsidRDefault="00182560" w:rsidP="00182560">
      <w:pPr>
        <w:pStyle w:val="Bullet1GA"/>
        <w:bidi/>
        <w:rPr>
          <w:rtl/>
          <w:lang w:val="en-GB" w:eastAsia="zh-TW"/>
        </w:rPr>
      </w:pPr>
      <w:r>
        <w:rPr>
          <w:rtl/>
          <w:lang w:val="en-GB" w:eastAsia="zh-TW"/>
        </w:rPr>
        <w:t>اتفاقية الحقوق السياسية للمرأة، التي اعتمدت في آذار/مارس 1953 وانضم إليها النيجر في 7 كانون الأول/ديسمبر 1964؛</w:t>
      </w:r>
    </w:p>
    <w:p w:rsidR="00182560" w:rsidRPr="00C126A2" w:rsidRDefault="00182560" w:rsidP="00182560">
      <w:pPr>
        <w:pStyle w:val="Bullet1GA"/>
        <w:bidi/>
        <w:rPr>
          <w:rtl/>
          <w:lang w:val="en-GB" w:eastAsia="zh-TW"/>
        </w:rPr>
      </w:pPr>
      <w:r>
        <w:rPr>
          <w:rtl/>
          <w:lang w:val="en-GB" w:eastAsia="zh-TW"/>
        </w:rPr>
        <w:t>اتفاقية منظمة العمل الدولية رقم 29 بشأن العمل الجبري، التي اعتمدت في 28 حزيران/يونيه 1930 وجرى التصديق عليها في 23 آذار/مارس 1962؛</w:t>
      </w:r>
    </w:p>
    <w:p w:rsidR="00182560" w:rsidRPr="00C126A2" w:rsidRDefault="00182560" w:rsidP="00182560">
      <w:pPr>
        <w:pStyle w:val="Bullet1GA"/>
        <w:bidi/>
        <w:rPr>
          <w:rtl/>
          <w:lang w:val="en-GB" w:eastAsia="zh-TW"/>
        </w:rPr>
      </w:pPr>
      <w:r>
        <w:rPr>
          <w:rtl/>
          <w:lang w:val="en-GB" w:eastAsia="zh-TW"/>
        </w:rPr>
        <w:t>الاتفاقية الدولية لمناهضة أخذ الرهائن، التي اعتمدت في كانون الأول/ديسمبر 1979 وجرى التصديق عليها في 17 كانون الأول/ديسمبر 2003؛</w:t>
      </w:r>
    </w:p>
    <w:p w:rsidR="00182560" w:rsidRPr="00C126A2" w:rsidRDefault="00182560" w:rsidP="00182560">
      <w:pPr>
        <w:pStyle w:val="Bullet1GA"/>
        <w:bidi/>
        <w:rPr>
          <w:rtl/>
          <w:lang w:val="en-GB" w:eastAsia="zh-TW"/>
        </w:rPr>
      </w:pPr>
      <w:r>
        <w:rPr>
          <w:rtl/>
          <w:lang w:val="en-GB" w:eastAsia="zh-TW"/>
        </w:rPr>
        <w:t>بروتوكول مكافحة تهريب المهاجرين عن طريق البر والبحر والجو، المكمل لاتفاقية الأمم المتحدة لمكافحة الجريمة المنظمة عبر الوطنية، الذي صدّق عليه النيجر في 18 آذار/مارس 2009؛</w:t>
      </w:r>
    </w:p>
    <w:p w:rsidR="00182560" w:rsidRPr="00C126A2" w:rsidRDefault="00182560" w:rsidP="00182560">
      <w:pPr>
        <w:pStyle w:val="Bullet1GA"/>
        <w:bidi/>
        <w:rPr>
          <w:rtl/>
          <w:lang w:val="en-GB" w:eastAsia="zh-TW"/>
        </w:rPr>
      </w:pPr>
      <w:r>
        <w:rPr>
          <w:rtl/>
          <w:lang w:val="en-GB" w:eastAsia="zh-TW"/>
        </w:rPr>
        <w:t>إعلان بشأن حقوق الإنسان للأفراد الذين ليسوا من مواطني البلد الذي يعيشون فيه، الذي اعتمد في كانون الأول/ديسمبر 1985 وجرى التصديق عليه في 27 كانون الثاني/يناير 2009؛</w:t>
      </w:r>
    </w:p>
    <w:p w:rsidR="00182560" w:rsidRPr="007E4BA4" w:rsidRDefault="00182560" w:rsidP="00182560">
      <w:pPr>
        <w:pStyle w:val="Bullet1GA"/>
        <w:bidi/>
        <w:rPr>
          <w:rtl/>
          <w:lang w:val="en-GB" w:eastAsia="zh-TW"/>
        </w:rPr>
      </w:pPr>
      <w:r>
        <w:rPr>
          <w:rtl/>
          <w:lang w:val="en-GB" w:eastAsia="zh-TW"/>
        </w:rPr>
        <w:t>اتفاقية مكافحة التمييز في مجال التعليم، التي اعتمدت في 14 كانون الأول/ ديسمبر 1960 وانضم إليها النيجر في 16 تموز/يوليه 1968؛</w:t>
      </w:r>
    </w:p>
    <w:p w:rsidR="00182560" w:rsidRPr="00DE6869" w:rsidRDefault="00182560" w:rsidP="00182560">
      <w:pPr>
        <w:pStyle w:val="Bullet1GA"/>
        <w:bidi/>
        <w:rPr>
          <w:spacing w:val="-6"/>
          <w:rtl/>
          <w:lang w:val="en-GB" w:eastAsia="zh-TW"/>
        </w:rPr>
      </w:pPr>
      <w:r>
        <w:rPr>
          <w:rtl/>
          <w:lang w:val="en-GB" w:eastAsia="zh-TW"/>
        </w:rPr>
        <w:t xml:space="preserve">الاتفاقية الدولية لمناهضة الفصل العنصري في الألعاب الرياضية، التي اعتمدت </w:t>
      </w:r>
      <w:r w:rsidRPr="00DE6869">
        <w:rPr>
          <w:spacing w:val="-6"/>
          <w:rtl/>
          <w:lang w:val="en-GB" w:eastAsia="zh-TW"/>
        </w:rPr>
        <w:t>في كانون الأول/ديسمبر 1985 وصدّق عليها النيجر في 2 أيلول/سبتمبر 1986؛</w:t>
      </w:r>
    </w:p>
    <w:p w:rsidR="00182560" w:rsidRPr="00C126A2" w:rsidRDefault="00182560" w:rsidP="00182560">
      <w:pPr>
        <w:pStyle w:val="Bullet1GA"/>
        <w:bidi/>
        <w:rPr>
          <w:rtl/>
          <w:lang w:val="en-GB" w:eastAsia="zh-TW"/>
        </w:rPr>
      </w:pPr>
      <w:r>
        <w:rPr>
          <w:rtl/>
          <w:lang w:val="en-GB" w:eastAsia="zh-TW"/>
        </w:rPr>
        <w:t>الاتفاقية الدولية بشأن قمع جريمة الفصل العنصري ومعاقبة مرتكبيها، التي اعتمدت في تشرين الثاني/نوفمبر 1973 وصدّق عليها النيجر في 28 حزيران/يونيه 1978؛</w:t>
      </w:r>
    </w:p>
    <w:p w:rsidR="00182560" w:rsidRPr="00D92150" w:rsidRDefault="00182560" w:rsidP="00182560">
      <w:pPr>
        <w:pStyle w:val="Bullet1GA"/>
        <w:bidi/>
        <w:rPr>
          <w:spacing w:val="-2"/>
          <w:rtl/>
          <w:lang w:val="en-GB" w:eastAsia="zh-TW"/>
        </w:rPr>
      </w:pPr>
      <w:r>
        <w:rPr>
          <w:rtl/>
          <w:lang w:val="en-GB" w:eastAsia="zh-TW"/>
        </w:rPr>
        <w:t xml:space="preserve">اتفاقية منظمة العمل الدولية رقم 98 بشأن حق التنظيم والمفاوضة الجماعية، </w:t>
      </w:r>
      <w:r w:rsidRPr="00D92150">
        <w:rPr>
          <w:spacing w:val="-2"/>
          <w:rtl/>
          <w:lang w:val="en-GB" w:eastAsia="zh-TW"/>
        </w:rPr>
        <w:t>التي اعتمدت في عام 1949 وصدّق عليها النيجر في 23 آذار/مارس 1962؛</w:t>
      </w:r>
    </w:p>
    <w:p w:rsidR="00182560" w:rsidRPr="00610F77" w:rsidRDefault="00182560" w:rsidP="00182560">
      <w:pPr>
        <w:pStyle w:val="Bullet1GA"/>
        <w:bidi/>
        <w:rPr>
          <w:rtl/>
          <w:lang w:val="en-GB" w:eastAsia="zh-TW"/>
        </w:rPr>
      </w:pPr>
      <w:r>
        <w:rPr>
          <w:rtl/>
          <w:lang w:val="en-GB" w:eastAsia="zh-TW"/>
        </w:rPr>
        <w:t>اتفاقية منظمة العمل الدولية رقم 105 بشأن التمييز في الاستخدام والمهنة، التي اعتمدت في عام 1958 وصدّق عليها النيجر في 23 آذار/مارس 1962؛</w:t>
      </w:r>
    </w:p>
    <w:p w:rsidR="00182560" w:rsidRPr="00610F77" w:rsidRDefault="00182560" w:rsidP="00E74C8B">
      <w:pPr>
        <w:pStyle w:val="Bullet1GA"/>
        <w:bidi/>
        <w:rPr>
          <w:rtl/>
          <w:lang w:val="en-GB" w:eastAsia="zh-TW"/>
        </w:rPr>
      </w:pPr>
      <w:r>
        <w:rPr>
          <w:rtl/>
          <w:lang w:val="en-GB" w:eastAsia="zh-TW"/>
        </w:rPr>
        <w:t>اتفاقية منظمة العمل الدولية رقم 138 بشأن الحد الأدنى لسن الاستخدام، التي اعتمدت في عام 1973 وصدّق عليها النيجر في 4 كانون الأول/</w:t>
      </w:r>
      <w:r w:rsidR="00D92150">
        <w:rPr>
          <w:rFonts w:hint="cs"/>
          <w:rtl/>
          <w:lang w:val="en-GB" w:eastAsia="zh-TW"/>
        </w:rPr>
        <w:t xml:space="preserve"> </w:t>
      </w:r>
      <w:r>
        <w:rPr>
          <w:rtl/>
          <w:lang w:val="en-GB" w:eastAsia="zh-TW"/>
        </w:rPr>
        <w:t>ديسمبر 1978؛</w:t>
      </w:r>
    </w:p>
    <w:p w:rsidR="00182560" w:rsidRPr="00D92150" w:rsidRDefault="00182560" w:rsidP="00182560">
      <w:pPr>
        <w:pStyle w:val="Bullet1GA"/>
        <w:bidi/>
        <w:rPr>
          <w:spacing w:val="-2"/>
          <w:rtl/>
          <w:lang w:val="en-GB" w:eastAsia="zh-TW"/>
        </w:rPr>
      </w:pPr>
      <w:r>
        <w:rPr>
          <w:rtl/>
          <w:lang w:val="en-GB" w:eastAsia="zh-TW"/>
        </w:rPr>
        <w:t xml:space="preserve">اتفاقية بشأن تهريب المهاجرين عن طريق الجو والبر والبحر وحماية العمال </w:t>
      </w:r>
      <w:r w:rsidRPr="00D92150">
        <w:rPr>
          <w:spacing w:val="-2"/>
          <w:rtl/>
          <w:lang w:val="en-GB" w:eastAsia="zh-TW"/>
        </w:rPr>
        <w:t>المهاجرين وأفراد أسرهم، التي صدّق عليها النيجر في 30 أيلول/سبتمبر 2004؛</w:t>
      </w:r>
    </w:p>
    <w:p w:rsidR="00182560" w:rsidRPr="00610F77" w:rsidRDefault="00182560" w:rsidP="00182560">
      <w:pPr>
        <w:pStyle w:val="Bullet1GA"/>
        <w:bidi/>
        <w:rPr>
          <w:rtl/>
          <w:lang w:val="en-GB" w:eastAsia="zh-TW"/>
        </w:rPr>
      </w:pPr>
      <w:r>
        <w:rPr>
          <w:rtl/>
          <w:lang w:val="en-GB" w:eastAsia="zh-TW"/>
        </w:rPr>
        <w:t xml:space="preserve">البروتوكول الاختياري لاتفاقية مناهضة التعذيب وغيره من ضروب المعاملة </w:t>
      </w:r>
      <w:r w:rsidR="00334F38">
        <w:rPr>
          <w:rFonts w:hint="cs"/>
          <w:rtl/>
          <w:lang w:val="en-GB" w:eastAsia="zh-TW"/>
        </w:rPr>
        <w:t xml:space="preserve">أو العقوبة </w:t>
      </w:r>
      <w:r>
        <w:rPr>
          <w:rtl/>
          <w:lang w:val="en-GB" w:eastAsia="zh-TW"/>
        </w:rPr>
        <w:t>القاسية أو اللاإنسانية أو المهينة، الذي صدّق عليه النيجر في 7 تشرين الثاني/نوفمبر 2014؛</w:t>
      </w:r>
    </w:p>
    <w:p w:rsidR="00182560" w:rsidRDefault="00182560" w:rsidP="00182560">
      <w:pPr>
        <w:pStyle w:val="Bullet1GA"/>
        <w:bidi/>
        <w:rPr>
          <w:rtl/>
          <w:lang w:val="en-GB" w:eastAsia="zh-TW"/>
        </w:rPr>
      </w:pPr>
      <w:r>
        <w:rPr>
          <w:rtl/>
          <w:lang w:val="en-GB" w:eastAsia="zh-TW"/>
        </w:rPr>
        <w:lastRenderedPageBreak/>
        <w:t>الاتفاقية الدولية لحماية جميع الأشخاص من الاختفاء القسري، التي صدّق عليها النيجر في 24 تموز/يوليه 2015.</w:t>
      </w:r>
      <w:r w:rsidR="00DE6869">
        <w:rPr>
          <w:rFonts w:hint="cs"/>
          <w:rtl/>
          <w:lang w:val="en-GB" w:eastAsia="zh-TW"/>
        </w:rPr>
        <w:t xml:space="preserve"> </w:t>
      </w:r>
    </w:p>
    <w:p w:rsidR="00182560" w:rsidRPr="007F3B78" w:rsidRDefault="00B6758C" w:rsidP="00182560">
      <w:pPr>
        <w:pStyle w:val="SingleTxtGA"/>
        <w:rPr>
          <w:rtl/>
          <w:lang w:val="en-GB" w:eastAsia="zh-TW"/>
        </w:rPr>
      </w:pPr>
      <w:r>
        <w:rPr>
          <w:rtl/>
          <w:lang w:val="en-GB" w:eastAsia="zh-TW"/>
        </w:rPr>
        <w:t>٣٠-</w:t>
      </w:r>
      <w:r>
        <w:rPr>
          <w:rtl/>
          <w:lang w:val="en-GB" w:eastAsia="zh-TW"/>
        </w:rPr>
        <w:tab/>
      </w:r>
      <w:r w:rsidR="00182560">
        <w:rPr>
          <w:rtl/>
          <w:lang w:val="en-GB" w:eastAsia="zh-TW"/>
        </w:rPr>
        <w:t>ولم تنضم دولة النيجر حتى الآن لبعض الصكوك الدولية، ومنها ما يلي:</w:t>
      </w:r>
    </w:p>
    <w:p w:rsidR="00182560" w:rsidRPr="007F3B78" w:rsidRDefault="00182560" w:rsidP="00182560">
      <w:pPr>
        <w:pStyle w:val="Bullet1GA"/>
        <w:bidi/>
        <w:rPr>
          <w:rtl/>
          <w:lang w:val="en-GB" w:eastAsia="zh-TW"/>
        </w:rPr>
      </w:pPr>
      <w:r>
        <w:rPr>
          <w:rtl/>
          <w:lang w:val="en-GB" w:eastAsia="zh-TW"/>
        </w:rPr>
        <w:t>البروتوكول الاختياري الثاني الملحق بالعهد الدولي الخاص بالحقوق المدنية والسياسية والهادف إلى إلغاء عقوبة الإعدام.</w:t>
      </w:r>
      <w:r w:rsidR="00D92150">
        <w:rPr>
          <w:rFonts w:hint="cs"/>
          <w:rtl/>
          <w:lang w:val="en-GB" w:eastAsia="zh-TW"/>
        </w:rPr>
        <w:t xml:space="preserve"> </w:t>
      </w:r>
      <w:r>
        <w:rPr>
          <w:rtl/>
          <w:lang w:val="en-GB" w:eastAsia="zh-TW"/>
        </w:rPr>
        <w:t>وقد قدم مشروع قانون يجيز التصديق على البروتوكول إلى الجمعية الوطنية للنظر فيه؛</w:t>
      </w:r>
    </w:p>
    <w:p w:rsidR="00182560" w:rsidRPr="007F3B78" w:rsidRDefault="00182560" w:rsidP="00182560">
      <w:pPr>
        <w:pStyle w:val="Bullet1GA"/>
        <w:bidi/>
        <w:rPr>
          <w:rtl/>
          <w:lang w:val="en-GB" w:eastAsia="zh-TW"/>
        </w:rPr>
      </w:pPr>
      <w:r>
        <w:rPr>
          <w:rtl/>
          <w:lang w:val="en-GB" w:eastAsia="zh-TW"/>
        </w:rPr>
        <w:t>البروتوكول الاختياري الملحق بالاتفاقية الدولية لحماية جميع الأشخاص من الاختفاء القسري، الذي وقع عليه في عام 2007؛</w:t>
      </w:r>
    </w:p>
    <w:p w:rsidR="00182560" w:rsidRPr="007F3B78" w:rsidRDefault="00182560" w:rsidP="00182560">
      <w:pPr>
        <w:pStyle w:val="Bullet1GA"/>
        <w:bidi/>
        <w:rPr>
          <w:rtl/>
          <w:lang w:val="en-GB" w:eastAsia="zh-TW"/>
        </w:rPr>
      </w:pPr>
      <w:r>
        <w:rPr>
          <w:rtl/>
          <w:lang w:val="en-GB" w:eastAsia="zh-TW"/>
        </w:rPr>
        <w:t>البروتوكول الاختياري الملحق بالعهد الدولي الخاص بالحقوق الاقتصادية والاجتماعية والثقافية.</w:t>
      </w:r>
      <w:r w:rsidR="00D61D28">
        <w:rPr>
          <w:rFonts w:hint="cs"/>
          <w:rtl/>
          <w:lang w:val="en-GB" w:eastAsia="zh-TW"/>
        </w:rPr>
        <w:t xml:space="preserve"> </w:t>
      </w:r>
      <w:r>
        <w:rPr>
          <w:rtl/>
          <w:lang w:val="en-GB" w:eastAsia="zh-TW"/>
        </w:rPr>
        <w:t>وعملية التصديق عليه جارية.</w:t>
      </w:r>
      <w:r w:rsidR="00DE6869">
        <w:rPr>
          <w:rFonts w:hint="cs"/>
          <w:rtl/>
          <w:lang w:val="en-GB" w:eastAsia="zh-TW"/>
        </w:rPr>
        <w:t xml:space="preserve"> </w:t>
      </w:r>
    </w:p>
    <w:p w:rsidR="00182560" w:rsidRPr="00C126A2" w:rsidRDefault="00B6758C" w:rsidP="00182560">
      <w:pPr>
        <w:pStyle w:val="SingleTxtGA"/>
        <w:rPr>
          <w:rtl/>
          <w:lang w:val="en-GB" w:eastAsia="zh-TW"/>
        </w:rPr>
      </w:pPr>
      <w:r>
        <w:rPr>
          <w:rtl/>
          <w:lang w:val="en-GB" w:eastAsia="zh-TW"/>
        </w:rPr>
        <w:t>٣١-</w:t>
      </w:r>
      <w:r>
        <w:rPr>
          <w:rtl/>
          <w:lang w:val="en-GB" w:eastAsia="zh-TW"/>
        </w:rPr>
        <w:tab/>
      </w:r>
      <w:r w:rsidR="00182560">
        <w:rPr>
          <w:rtl/>
          <w:lang w:val="en-GB" w:eastAsia="zh-TW"/>
        </w:rPr>
        <w:t>وعلاوة على ذلك، أبدى النيجر تحفظات عند التصديق على اتفاقية القضاء على جميع أشكال التم</w:t>
      </w:r>
      <w:r w:rsidR="00D61D28">
        <w:rPr>
          <w:rtl/>
          <w:lang w:val="en-GB" w:eastAsia="zh-TW"/>
        </w:rPr>
        <w:t>ييز ضد المرأة</w:t>
      </w:r>
      <w:r w:rsidR="00D61D28">
        <w:rPr>
          <w:rFonts w:hint="cs"/>
          <w:rtl/>
          <w:lang w:val="en-GB" w:eastAsia="zh-TW"/>
        </w:rPr>
        <w:t xml:space="preserve">. </w:t>
      </w:r>
      <w:r w:rsidR="00182560">
        <w:rPr>
          <w:rtl/>
          <w:lang w:val="en-GB" w:eastAsia="zh-TW"/>
        </w:rPr>
        <w:t>وتتعلق تلك التحفظات بالفقرت</w:t>
      </w:r>
      <w:r w:rsidR="00D61D28">
        <w:rPr>
          <w:rtl/>
          <w:lang w:val="en-GB" w:eastAsia="zh-TW"/>
        </w:rPr>
        <w:t>ين الفرعيتين (د) و(و) من المادة</w:t>
      </w:r>
      <w:r w:rsidR="00D61D28">
        <w:rPr>
          <w:rFonts w:hint="cs"/>
          <w:rtl/>
          <w:lang w:val="en-GB" w:eastAsia="zh-TW"/>
        </w:rPr>
        <w:t> </w:t>
      </w:r>
      <w:r w:rsidR="00182560">
        <w:rPr>
          <w:rtl/>
          <w:lang w:val="en-GB" w:eastAsia="zh-TW"/>
        </w:rPr>
        <w:t>2، والفقرة الفرعية (أ) من المادة 5، والفقرة 4 من المادة 15، والفقرات الفرعية (ج) و(هـ) و(ز) من الفقرة 1 من المادة 16.</w:t>
      </w:r>
      <w:r w:rsidR="00D61D28">
        <w:rPr>
          <w:rFonts w:hint="cs"/>
          <w:rtl/>
          <w:lang w:val="en-GB" w:eastAsia="zh-TW"/>
        </w:rPr>
        <w:t xml:space="preserve"> </w:t>
      </w:r>
      <w:r w:rsidR="00182560">
        <w:rPr>
          <w:rtl/>
          <w:lang w:val="en-GB" w:eastAsia="zh-TW"/>
        </w:rPr>
        <w:t>ومن المهم الإشارة إلى أن النيجر بلد يتميز بطابع إسلامي راسخ حيث لا تزال القيود الاجتماعية والثقافية تلقي بثقلها؛</w:t>
      </w:r>
      <w:r w:rsidR="00D61D28">
        <w:rPr>
          <w:rFonts w:hint="cs"/>
          <w:rtl/>
          <w:lang w:val="en-GB" w:eastAsia="zh-TW"/>
        </w:rPr>
        <w:t xml:space="preserve"> </w:t>
      </w:r>
      <w:r w:rsidR="00182560">
        <w:rPr>
          <w:rtl/>
          <w:lang w:val="en-GB" w:eastAsia="zh-TW"/>
        </w:rPr>
        <w:t>مما يجعل تغيير الذهنيات يتطلب بذل جهود كبيرة.</w:t>
      </w:r>
      <w:r w:rsidR="00D61D28">
        <w:rPr>
          <w:rFonts w:hint="cs"/>
          <w:rtl/>
          <w:lang w:val="en-GB" w:eastAsia="zh-TW"/>
        </w:rPr>
        <w:t xml:space="preserve"> </w:t>
      </w:r>
      <w:r w:rsidR="00182560">
        <w:rPr>
          <w:rtl/>
          <w:lang w:val="en-GB" w:eastAsia="zh-TW"/>
        </w:rPr>
        <w:t>ولتحقيق ذلك، يتم تنفيذ حملات توعية منتظمة بغية تغيير هذه الأنماط وبالتالي التوصل إلى سحب التحفظات.</w:t>
      </w:r>
    </w:p>
    <w:p w:rsidR="00182560" w:rsidRPr="00D8412D" w:rsidRDefault="00A41BC6" w:rsidP="00A41BC6">
      <w:pPr>
        <w:pStyle w:val="H23GA"/>
        <w:rPr>
          <w:rtl/>
          <w:lang w:val="en-GB"/>
        </w:rPr>
      </w:pPr>
      <w:r>
        <w:rPr>
          <w:rtl/>
          <w:lang w:val="en-GB"/>
        </w:rPr>
        <w:tab/>
      </w:r>
      <w:r w:rsidR="00182560">
        <w:rPr>
          <w:rtl/>
          <w:lang w:val="en-GB"/>
        </w:rPr>
        <w:t>(ب)</w:t>
      </w:r>
      <w:r w:rsidR="00182560">
        <w:rPr>
          <w:rtl/>
          <w:lang w:val="en-GB"/>
        </w:rPr>
        <w:tab/>
        <w:t>على الصعيد الإقليمي</w:t>
      </w:r>
    </w:p>
    <w:p w:rsidR="00182560" w:rsidRPr="007F3B78" w:rsidRDefault="00182560" w:rsidP="00182560">
      <w:pPr>
        <w:pStyle w:val="Bullet1GA"/>
        <w:bidi/>
        <w:rPr>
          <w:rtl/>
          <w:lang w:val="en-GB" w:eastAsia="zh-TW"/>
        </w:rPr>
      </w:pPr>
      <w:r>
        <w:rPr>
          <w:rtl/>
          <w:lang w:val="en-GB" w:eastAsia="zh-TW"/>
        </w:rPr>
        <w:t xml:space="preserve">الميثاق الأفريقي لحقوق الإنسان والشعوب، </w:t>
      </w:r>
      <w:r w:rsidR="00A41BC6">
        <w:rPr>
          <w:rtl/>
          <w:lang w:val="en-GB" w:eastAsia="zh-TW"/>
        </w:rPr>
        <w:t>الذي اعتمد في 27 حزيران/ يونيه</w:t>
      </w:r>
      <w:r w:rsidR="00A41BC6">
        <w:rPr>
          <w:rFonts w:hint="cs"/>
          <w:rtl/>
          <w:lang w:val="en-GB" w:eastAsia="zh-TW"/>
        </w:rPr>
        <w:t> </w:t>
      </w:r>
      <w:r>
        <w:rPr>
          <w:rtl/>
          <w:lang w:val="en-GB" w:eastAsia="zh-TW"/>
        </w:rPr>
        <w:t xml:space="preserve">1981 وصدّق عليه النيجر في 21 </w:t>
      </w:r>
      <w:r w:rsidR="00A41BC6">
        <w:rPr>
          <w:rtl/>
          <w:lang w:val="en-GB" w:eastAsia="zh-TW"/>
        </w:rPr>
        <w:t>تموز/يوليه 1986.</w:t>
      </w:r>
      <w:r w:rsidR="00F13065">
        <w:rPr>
          <w:rFonts w:hint="cs"/>
          <w:rtl/>
          <w:lang w:val="en-GB" w:eastAsia="zh-TW"/>
        </w:rPr>
        <w:t xml:space="preserve"> </w:t>
      </w:r>
      <w:r w:rsidR="00A41BC6">
        <w:rPr>
          <w:rtl/>
          <w:lang w:val="en-GB" w:eastAsia="zh-TW"/>
        </w:rPr>
        <w:t>وفي نيسان/</w:t>
      </w:r>
      <w:r w:rsidR="00A41BC6">
        <w:rPr>
          <w:rFonts w:hint="cs"/>
          <w:rtl/>
          <w:lang w:val="en-GB" w:eastAsia="zh-TW"/>
        </w:rPr>
        <w:t xml:space="preserve"> </w:t>
      </w:r>
      <w:r w:rsidR="00A41BC6">
        <w:rPr>
          <w:rtl/>
          <w:lang w:val="en-GB" w:eastAsia="zh-TW"/>
        </w:rPr>
        <w:t>أبريل</w:t>
      </w:r>
      <w:r w:rsidR="00A41BC6">
        <w:rPr>
          <w:rFonts w:hint="cs"/>
          <w:rtl/>
          <w:lang w:val="en-GB" w:eastAsia="zh-TW"/>
        </w:rPr>
        <w:t> </w:t>
      </w:r>
      <w:r>
        <w:rPr>
          <w:rtl/>
          <w:lang w:val="en-GB" w:eastAsia="zh-TW"/>
        </w:rPr>
        <w:t>2015، قدم النيجر تقريره الدوري الجامع الذي يغطي الفترة من 2003 إلى 2014؛</w:t>
      </w:r>
    </w:p>
    <w:p w:rsidR="00182560" w:rsidRPr="007F3B78" w:rsidRDefault="00182560" w:rsidP="00DD190D">
      <w:pPr>
        <w:pStyle w:val="Bullet1GA"/>
        <w:bidi/>
        <w:rPr>
          <w:rtl/>
          <w:lang w:val="en-GB" w:eastAsia="zh-TW"/>
        </w:rPr>
      </w:pPr>
      <w:r>
        <w:rPr>
          <w:rtl/>
          <w:lang w:val="en-GB" w:eastAsia="zh-TW"/>
        </w:rPr>
        <w:t>الميثاق الأفريقي لحقوق الطفل ورفاهه، الذي اعتمد في تموز/يوليه 1990 وصدّق عليه النيجر في 11 كانون الأول/ديسمبر 1999.</w:t>
      </w:r>
      <w:r w:rsidR="00F13065">
        <w:rPr>
          <w:rFonts w:hint="cs"/>
          <w:rtl/>
          <w:lang w:val="en-GB" w:eastAsia="zh-TW"/>
        </w:rPr>
        <w:t xml:space="preserve"> </w:t>
      </w:r>
      <w:r>
        <w:rPr>
          <w:rtl/>
          <w:lang w:val="en-GB" w:eastAsia="zh-TW"/>
        </w:rPr>
        <w:t>وقد نوقش التقرير الأولي للنيجر في تشرين الثاني/نوفمبر 2011 من قبل لجنة الخبراء المعنية بحقوق الطفل ورفاهه؛</w:t>
      </w:r>
    </w:p>
    <w:p w:rsidR="00182560" w:rsidRPr="007F3B78" w:rsidRDefault="00182560" w:rsidP="00182560">
      <w:pPr>
        <w:pStyle w:val="Bullet1GA"/>
        <w:bidi/>
        <w:rPr>
          <w:rtl/>
          <w:lang w:val="en-GB" w:eastAsia="zh-TW"/>
        </w:rPr>
      </w:pPr>
      <w:r>
        <w:rPr>
          <w:rtl/>
          <w:lang w:val="en-GB" w:eastAsia="zh-TW"/>
        </w:rPr>
        <w:t>اتفاقية منظمة الوحدة الأفريقية التي تحكم المظاهر الخاصة بمشكلات اللاجئين في أفريقيا، التي اعتمدت في أيلول/سبتمبر 1969، وصد</w:t>
      </w:r>
      <w:r w:rsidR="00A41BC6">
        <w:rPr>
          <w:rtl/>
          <w:lang w:val="en-GB" w:eastAsia="zh-TW"/>
        </w:rPr>
        <w:t>ق عليها النيجر في</w:t>
      </w:r>
      <w:r w:rsidR="00A41BC6">
        <w:rPr>
          <w:rFonts w:hint="cs"/>
          <w:rtl/>
          <w:lang w:val="en-GB" w:eastAsia="zh-TW"/>
        </w:rPr>
        <w:t> </w:t>
      </w:r>
      <w:r>
        <w:rPr>
          <w:rtl/>
          <w:lang w:val="en-GB" w:eastAsia="zh-TW"/>
        </w:rPr>
        <w:t>21 أيلول/سبتمبر 1971؛</w:t>
      </w:r>
    </w:p>
    <w:p w:rsidR="00182560" w:rsidRPr="007F3B78" w:rsidRDefault="00182560" w:rsidP="00182560">
      <w:pPr>
        <w:pStyle w:val="Bullet1GA"/>
        <w:bidi/>
        <w:rPr>
          <w:rtl/>
          <w:lang w:val="en-GB" w:eastAsia="zh-TW"/>
        </w:rPr>
      </w:pPr>
      <w:r>
        <w:rPr>
          <w:rtl/>
          <w:lang w:val="en-GB" w:eastAsia="zh-TW"/>
        </w:rPr>
        <w:t>اتفاقية منظمة الوحدة الأفريقية للقضاء على أعمال المرتزقة في أفريقيا، التي اعتمدت في عام 1977 وصدّق عليها النيجر في 19 حزيران/يونيه 1980؛</w:t>
      </w:r>
    </w:p>
    <w:p w:rsidR="00182560" w:rsidRPr="007F3B78" w:rsidRDefault="00182560" w:rsidP="00182560">
      <w:pPr>
        <w:pStyle w:val="Bullet1GA"/>
        <w:bidi/>
        <w:rPr>
          <w:rtl/>
          <w:lang w:val="en-GB" w:eastAsia="zh-TW"/>
        </w:rPr>
      </w:pPr>
      <w:r>
        <w:rPr>
          <w:rtl/>
          <w:lang w:val="en-GB" w:eastAsia="zh-TW"/>
        </w:rPr>
        <w:t>الميثاق الأفريقي بشأن الديمقراطية والانتخابات والحكم، الذي وقّع عليه النيجر في 17 حزيران/يونيه 2008؛</w:t>
      </w:r>
    </w:p>
    <w:p w:rsidR="00182560" w:rsidRPr="007F3B78" w:rsidRDefault="00182560" w:rsidP="00182560">
      <w:pPr>
        <w:pStyle w:val="Bullet1GA"/>
        <w:bidi/>
        <w:rPr>
          <w:rtl/>
          <w:lang w:val="en-GB" w:eastAsia="zh-TW"/>
        </w:rPr>
      </w:pPr>
      <w:r>
        <w:rPr>
          <w:rtl/>
          <w:lang w:val="en-GB" w:eastAsia="zh-TW"/>
        </w:rPr>
        <w:lastRenderedPageBreak/>
        <w:t>اتفاقية الاتحاد الأفريقي لحماية المشردين داخليا</w:t>
      </w:r>
      <w:r w:rsidR="007C3A46">
        <w:rPr>
          <w:rFonts w:hint="cs"/>
          <w:rtl/>
          <w:lang w:val="en-GB" w:eastAsia="zh-TW"/>
        </w:rPr>
        <w:t>ً</w:t>
      </w:r>
      <w:r>
        <w:rPr>
          <w:rtl/>
          <w:lang w:val="en-GB" w:eastAsia="zh-TW"/>
        </w:rPr>
        <w:t xml:space="preserve"> في أفريقيا ومساعدتهم (اتفاقية كمبالا)، التي وقّع عليها النيجر في 23 تشرين الأول/أكتوبر 2009 وصدّق عليها في 10 أيار/مايو 2012؛</w:t>
      </w:r>
    </w:p>
    <w:p w:rsidR="00182560" w:rsidRPr="007F3B78" w:rsidRDefault="00182560" w:rsidP="00182560">
      <w:pPr>
        <w:pStyle w:val="Bullet1GA"/>
        <w:bidi/>
        <w:rPr>
          <w:rtl/>
          <w:lang w:val="en-GB" w:eastAsia="zh-TW"/>
        </w:rPr>
      </w:pPr>
      <w:r>
        <w:rPr>
          <w:rtl/>
          <w:lang w:val="en-GB" w:eastAsia="zh-TW"/>
        </w:rPr>
        <w:t>بروتوكول الجماعة الاقتصادية لدول غرب أفريقيا المتعلق بحرية تنقل الأشخاص وحق الإقامة والاستقرار، الذي اعتمد في أيار/مايو 1979 وصدّق عليه النيجر في 29 تشرين الثاني/نوفمبر 1979.</w:t>
      </w:r>
    </w:p>
    <w:p w:rsidR="00182560" w:rsidRPr="00D43AA7" w:rsidRDefault="00B6758C" w:rsidP="00182560">
      <w:pPr>
        <w:pStyle w:val="SingleTxtGA"/>
        <w:rPr>
          <w:rtl/>
          <w:lang w:val="en-GB" w:eastAsia="zh-TW"/>
        </w:rPr>
      </w:pPr>
      <w:r>
        <w:rPr>
          <w:rtl/>
          <w:lang w:val="en-GB" w:eastAsia="zh-TW"/>
        </w:rPr>
        <w:t>٣٢-</w:t>
      </w:r>
      <w:r>
        <w:rPr>
          <w:rtl/>
          <w:lang w:val="en-GB" w:eastAsia="zh-TW"/>
        </w:rPr>
        <w:tab/>
      </w:r>
      <w:r w:rsidR="00182560">
        <w:rPr>
          <w:rtl/>
          <w:lang w:val="en-GB" w:eastAsia="zh-TW"/>
        </w:rPr>
        <w:t>والنيجر ليس طرفا</w:t>
      </w:r>
      <w:r w:rsidR="00761276">
        <w:rPr>
          <w:rFonts w:hint="cs"/>
          <w:rtl/>
          <w:lang w:val="en-GB" w:eastAsia="zh-TW"/>
        </w:rPr>
        <w:t>ً</w:t>
      </w:r>
      <w:r w:rsidR="00182560">
        <w:rPr>
          <w:rtl/>
          <w:lang w:val="en-GB" w:eastAsia="zh-TW"/>
        </w:rPr>
        <w:t xml:space="preserve"> في البروتوكول الملحق بالميثاق الأفريقي لحقوق الإنسان والشعوب المتعلق بحقوق المرأة في أفريقيا (بروتوكول مابوتو).</w:t>
      </w:r>
      <w:r w:rsidR="00761276">
        <w:rPr>
          <w:rFonts w:hint="cs"/>
          <w:rtl/>
          <w:lang w:val="en-GB" w:eastAsia="zh-TW"/>
        </w:rPr>
        <w:t xml:space="preserve"> </w:t>
      </w:r>
      <w:r w:rsidR="00182560">
        <w:rPr>
          <w:rtl/>
          <w:lang w:val="en-GB" w:eastAsia="zh-TW"/>
        </w:rPr>
        <w:t>ويعود السبب في عدم التصديق على هذا الصك إلى القيود الاجتماعية الثقافية التي لا تزال تلقي بثقلها.</w:t>
      </w:r>
      <w:r w:rsidR="00DE6869">
        <w:rPr>
          <w:rFonts w:hint="cs"/>
          <w:rtl/>
          <w:lang w:val="en-GB" w:eastAsia="zh-TW"/>
        </w:rPr>
        <w:t xml:space="preserve"> </w:t>
      </w:r>
    </w:p>
    <w:p w:rsidR="00182560" w:rsidRPr="00C126A2" w:rsidRDefault="00B6758C" w:rsidP="00B22594">
      <w:pPr>
        <w:pStyle w:val="SingleTxtGA"/>
        <w:rPr>
          <w:rtl/>
          <w:lang w:val="en-GB" w:eastAsia="zh-TW"/>
        </w:rPr>
      </w:pPr>
      <w:r>
        <w:rPr>
          <w:rtl/>
          <w:lang w:val="en-GB" w:eastAsia="zh-TW"/>
        </w:rPr>
        <w:t>٣٣-</w:t>
      </w:r>
      <w:r>
        <w:rPr>
          <w:rtl/>
          <w:lang w:val="en-GB" w:eastAsia="zh-TW"/>
        </w:rPr>
        <w:tab/>
      </w:r>
      <w:r w:rsidR="00182560">
        <w:rPr>
          <w:rtl/>
          <w:lang w:val="en-GB" w:eastAsia="zh-TW"/>
        </w:rPr>
        <w:t>وبالإضافة إلى الانضمام إلى هذه الصكوك القانونية الدولية والإقليمية، اتخذ النيجر تدابير تشريعية وتنظيمية يتم من خلالها تنفيذ الالتزامات المتخذة على الصعيدين الدولي والإقليمي من أجل تعزيز وحماية حقوق الإنسان لجميع مواطني النيجر أو الأجانب الذين يعيشون على أراضي النيجر.</w:t>
      </w:r>
      <w:r w:rsidR="00761276">
        <w:rPr>
          <w:rFonts w:hint="cs"/>
          <w:rtl/>
          <w:lang w:val="en-GB" w:eastAsia="zh-TW"/>
        </w:rPr>
        <w:t xml:space="preserve"> </w:t>
      </w:r>
    </w:p>
    <w:p w:rsidR="00182560" w:rsidRPr="00C126A2" w:rsidRDefault="00761276" w:rsidP="009155C9">
      <w:pPr>
        <w:pStyle w:val="H1GA"/>
        <w:rPr>
          <w:rtl/>
          <w:lang w:val="en-GB" w:eastAsia="zh-TW"/>
        </w:rPr>
      </w:pPr>
      <w:bookmarkStart w:id="31" w:name="_Toc485025642"/>
      <w:bookmarkStart w:id="32" w:name="_Toc485026226"/>
      <w:bookmarkStart w:id="33" w:name="_Toc485026304"/>
      <w:r>
        <w:rPr>
          <w:rtl/>
          <w:lang w:val="en-GB" w:eastAsia="zh-TW"/>
        </w:rPr>
        <w:tab/>
      </w:r>
      <w:r w:rsidR="00182560">
        <w:rPr>
          <w:rtl/>
          <w:lang w:val="en-GB" w:eastAsia="zh-TW"/>
        </w:rPr>
        <w:t>باء-</w:t>
      </w:r>
      <w:r>
        <w:rPr>
          <w:rtl/>
          <w:lang w:val="en-GB" w:eastAsia="zh-TW"/>
        </w:rPr>
        <w:tab/>
      </w:r>
      <w:r w:rsidR="00182560">
        <w:rPr>
          <w:rtl/>
          <w:lang w:val="en-GB" w:eastAsia="zh-TW"/>
        </w:rPr>
        <w:t>الإطار القانوني لحماية حقوق الإنسان على المستوى الوطني</w:t>
      </w:r>
      <w:bookmarkEnd w:id="31"/>
      <w:bookmarkEnd w:id="32"/>
      <w:bookmarkEnd w:id="33"/>
    </w:p>
    <w:p w:rsidR="00182560" w:rsidRPr="007F3B78" w:rsidRDefault="00B6758C" w:rsidP="00761276">
      <w:pPr>
        <w:pStyle w:val="SingleTxtGA"/>
        <w:rPr>
          <w:rtl/>
          <w:lang w:val="en-GB" w:eastAsia="zh-TW"/>
        </w:rPr>
      </w:pPr>
      <w:r>
        <w:rPr>
          <w:rtl/>
          <w:lang w:val="en-GB" w:eastAsia="zh-TW"/>
        </w:rPr>
        <w:t>٣٤-</w:t>
      </w:r>
      <w:r>
        <w:rPr>
          <w:rtl/>
          <w:lang w:val="en-GB" w:eastAsia="zh-TW"/>
        </w:rPr>
        <w:tab/>
      </w:r>
      <w:r w:rsidR="00182560">
        <w:rPr>
          <w:rtl/>
          <w:lang w:val="en-GB" w:eastAsia="zh-TW"/>
        </w:rPr>
        <w:t>تؤكد ديباجة الدستور من جديد على تشبث النيجر "بمبادئ التعددية الديمقراطية وحقوق الإنسان كما حددها الإعلان العالمي لحقوق الإنسان الصادر عام 1948 والعهد الدولي الخاص بالحقوق المدنية والسياسية الصادر عام 1966 والعهد الدولي الخاص بالحقوق الاقتصادية والاجتماعية والثقافية الصادر عام 1966 والميثاق الأفريقي لحقوق الإنسان والشعوب الصادر عام 1981".</w:t>
      </w:r>
    </w:p>
    <w:p w:rsidR="00182560" w:rsidRPr="007F3B78" w:rsidRDefault="00B6758C" w:rsidP="00B22594">
      <w:pPr>
        <w:pStyle w:val="SingleTxtGA"/>
        <w:rPr>
          <w:rtl/>
          <w:lang w:val="en-GB" w:eastAsia="zh-TW"/>
        </w:rPr>
      </w:pPr>
      <w:r>
        <w:rPr>
          <w:rtl/>
          <w:lang w:val="en-GB" w:eastAsia="zh-TW"/>
        </w:rPr>
        <w:t>٣٥-</w:t>
      </w:r>
      <w:r>
        <w:rPr>
          <w:rtl/>
          <w:lang w:val="en-GB" w:eastAsia="zh-TW"/>
        </w:rPr>
        <w:tab/>
      </w:r>
      <w:r w:rsidR="00182560">
        <w:rPr>
          <w:rtl/>
          <w:lang w:val="en-GB" w:eastAsia="zh-TW"/>
        </w:rPr>
        <w:t>وتنص المادة 171 من الدستور على أن "المعاهدات أو الاتفاقات المصدق عليها قانونياً تكتسب، حال نشرها، سلطة أعلى من سلطة القوانين، شريطة تطبيق كل اتفاق أو معاهدة من قبل الطرف الآخر".</w:t>
      </w:r>
    </w:p>
    <w:p w:rsidR="00182560" w:rsidRPr="007F3B78" w:rsidRDefault="00B6758C" w:rsidP="00B22594">
      <w:pPr>
        <w:pStyle w:val="SingleTxtGA"/>
        <w:rPr>
          <w:rtl/>
          <w:lang w:val="en-GB" w:eastAsia="zh-TW"/>
        </w:rPr>
      </w:pPr>
      <w:r>
        <w:rPr>
          <w:rtl/>
          <w:lang w:val="en-GB" w:eastAsia="zh-TW"/>
        </w:rPr>
        <w:t>٣٦-</w:t>
      </w:r>
      <w:r>
        <w:rPr>
          <w:rtl/>
          <w:lang w:val="en-GB" w:eastAsia="zh-TW"/>
        </w:rPr>
        <w:tab/>
      </w:r>
      <w:r w:rsidR="00182560">
        <w:rPr>
          <w:rtl/>
          <w:lang w:val="en-GB" w:eastAsia="zh-TW"/>
        </w:rPr>
        <w:t>وتضمن الدولة إدراج الصكوك الدولية المتعلقة بحقوق الإنسان في القانون المحلي سواء عن طريق اعتماد تشريعات جديدة أو مواءمة التشريعات القائمة.</w:t>
      </w:r>
    </w:p>
    <w:p w:rsidR="00182560" w:rsidRPr="007F3B78" w:rsidRDefault="00B6758C" w:rsidP="00B22594">
      <w:pPr>
        <w:pStyle w:val="SingleTxtGA"/>
        <w:rPr>
          <w:rtl/>
          <w:lang w:val="en-GB" w:eastAsia="zh-TW"/>
        </w:rPr>
      </w:pPr>
      <w:r>
        <w:rPr>
          <w:rtl/>
          <w:lang w:val="en-GB" w:eastAsia="zh-TW"/>
        </w:rPr>
        <w:t>٣٧-</w:t>
      </w:r>
      <w:r>
        <w:rPr>
          <w:rtl/>
          <w:lang w:val="en-GB" w:eastAsia="zh-TW"/>
        </w:rPr>
        <w:tab/>
      </w:r>
      <w:r w:rsidR="00182560">
        <w:rPr>
          <w:rtl/>
          <w:lang w:val="en-GB" w:eastAsia="zh-TW"/>
        </w:rPr>
        <w:t>وعلى المستوى المؤسسي، أنشأ النيجر عدداً من الهياكل التي تهدف إلى تعزيز وحماية حقوق الإنسان.</w:t>
      </w:r>
    </w:p>
    <w:p w:rsidR="00182560" w:rsidRPr="00C126A2" w:rsidRDefault="00182560" w:rsidP="00761276">
      <w:pPr>
        <w:pStyle w:val="H23GA"/>
        <w:rPr>
          <w:rtl/>
          <w:lang w:val="en-GB"/>
        </w:rPr>
      </w:pPr>
      <w:r>
        <w:rPr>
          <w:lang w:val="en-GB"/>
        </w:rPr>
        <w:tab/>
      </w:r>
      <w:r>
        <w:rPr>
          <w:lang w:val="en-GB"/>
        </w:rPr>
        <w:tab/>
      </w:r>
      <w:r>
        <w:rPr>
          <w:rtl/>
          <w:lang w:val="en-GB"/>
        </w:rPr>
        <w:t>الآليات القضائية</w:t>
      </w:r>
    </w:p>
    <w:p w:rsidR="00182560" w:rsidRDefault="00B6758C" w:rsidP="008A7FD7">
      <w:pPr>
        <w:pStyle w:val="SingleTxtGA"/>
        <w:rPr>
          <w:rtl/>
          <w:lang w:val="en-GB" w:eastAsia="zh-TW"/>
        </w:rPr>
      </w:pPr>
      <w:r>
        <w:rPr>
          <w:rtl/>
          <w:lang w:val="en-GB" w:eastAsia="zh-TW"/>
        </w:rPr>
        <w:t>٣٨-</w:t>
      </w:r>
      <w:r>
        <w:rPr>
          <w:rtl/>
          <w:lang w:val="en-GB" w:eastAsia="zh-TW"/>
        </w:rPr>
        <w:tab/>
      </w:r>
      <w:r w:rsidR="00182560">
        <w:rPr>
          <w:rtl/>
          <w:lang w:val="en-GB" w:eastAsia="zh-TW"/>
        </w:rPr>
        <w:t>تتولى إقامة العدل في النيجر المحاكم الابتدائية (30 محكمة)، ومحاكم الدرجة العليا (10 محاكم)، ومحاكم الاستئناف (محكمتان)، ومجلس الدولة، ومحكمة النقض، ومحكمة تدقيق الحسابات، والمحكمة الدستورية.</w:t>
      </w:r>
      <w:r w:rsidR="00761276">
        <w:rPr>
          <w:rFonts w:hint="cs"/>
          <w:rtl/>
          <w:lang w:val="en-GB" w:eastAsia="zh-TW" w:bidi="ar-DZ"/>
        </w:rPr>
        <w:t xml:space="preserve"> </w:t>
      </w:r>
      <w:r w:rsidR="00182560">
        <w:rPr>
          <w:rtl/>
          <w:lang w:val="en-GB" w:eastAsia="zh-TW"/>
        </w:rPr>
        <w:t>ويمكن للمواطنين ضحايا انتهاكات حقوق الإنسان اللجوء إلى المحاكم وسلك سبل الانتصاف.</w:t>
      </w:r>
    </w:p>
    <w:p w:rsidR="00182560" w:rsidRPr="007F3B78" w:rsidRDefault="00B6758C" w:rsidP="008A7FD7">
      <w:pPr>
        <w:pStyle w:val="SingleTxtGA"/>
        <w:rPr>
          <w:rtl/>
          <w:lang w:val="en-GB" w:eastAsia="zh-TW"/>
        </w:rPr>
      </w:pPr>
      <w:r>
        <w:rPr>
          <w:rtl/>
          <w:lang w:val="en-GB" w:eastAsia="zh-TW"/>
        </w:rPr>
        <w:t>٣٩-</w:t>
      </w:r>
      <w:r>
        <w:rPr>
          <w:rtl/>
          <w:lang w:val="en-GB" w:eastAsia="zh-TW"/>
        </w:rPr>
        <w:tab/>
      </w:r>
      <w:r w:rsidR="00182560">
        <w:rPr>
          <w:rtl/>
          <w:lang w:val="en-GB" w:eastAsia="zh-TW"/>
        </w:rPr>
        <w:t>وإلى جانب هذه المحاكم العادية، توجد محاكم خاصة.</w:t>
      </w:r>
      <w:r w:rsidR="00761276">
        <w:rPr>
          <w:rFonts w:hint="cs"/>
          <w:rtl/>
          <w:lang w:val="en-GB" w:eastAsia="zh-TW"/>
        </w:rPr>
        <w:t xml:space="preserve"> </w:t>
      </w:r>
      <w:r w:rsidR="00182560">
        <w:rPr>
          <w:rtl/>
          <w:lang w:val="en-GB" w:eastAsia="zh-TW"/>
        </w:rPr>
        <w:t xml:space="preserve">فهناك عشر محاكم مختصة في قضايا العمل وعشر محاكم للأحداث وعشر محاكم تجارية وعشر محاكم مختصة في قضايا الأصول </w:t>
      </w:r>
      <w:r w:rsidR="00182560">
        <w:rPr>
          <w:rtl/>
          <w:lang w:val="en-GB" w:eastAsia="zh-TW"/>
        </w:rPr>
        <w:lastRenderedPageBreak/>
        <w:t>العقارية الريفية وعشر محاكم إدارية.</w:t>
      </w:r>
      <w:r w:rsidR="00761276">
        <w:rPr>
          <w:rFonts w:hint="cs"/>
          <w:rtl/>
          <w:lang w:val="en-GB" w:eastAsia="zh-TW"/>
        </w:rPr>
        <w:t xml:space="preserve"> </w:t>
      </w:r>
      <w:r w:rsidR="00182560">
        <w:rPr>
          <w:rtl/>
          <w:lang w:val="en-GB" w:eastAsia="zh-TW"/>
        </w:rPr>
        <w:t>وتتبع هذه المحاكم لمحاكم الدرجة العليا و/أو المحاكم الابتدائية.</w:t>
      </w:r>
      <w:r w:rsidR="00761276">
        <w:rPr>
          <w:rFonts w:hint="cs"/>
          <w:rtl/>
          <w:lang w:val="en-GB" w:eastAsia="zh-TW"/>
        </w:rPr>
        <w:t xml:space="preserve"> </w:t>
      </w:r>
      <w:r w:rsidR="00182560">
        <w:rPr>
          <w:rtl/>
          <w:lang w:val="en-GB" w:eastAsia="zh-TW"/>
        </w:rPr>
        <w:t>وبلغ عدد القضاة الذين يعملون في جميع هذه المحاكم 382 قاضيا</w:t>
      </w:r>
      <w:r w:rsidR="00761276">
        <w:rPr>
          <w:rFonts w:hint="cs"/>
          <w:rtl/>
          <w:lang w:val="en-GB" w:eastAsia="zh-TW"/>
        </w:rPr>
        <w:t>ً</w:t>
      </w:r>
      <w:r w:rsidR="00182560">
        <w:rPr>
          <w:rtl/>
          <w:lang w:val="en-GB" w:eastAsia="zh-TW"/>
        </w:rPr>
        <w:t xml:space="preserve"> في عام 2014.</w:t>
      </w:r>
    </w:p>
    <w:p w:rsidR="00182560" w:rsidRPr="00761276" w:rsidRDefault="00761276" w:rsidP="00761276">
      <w:pPr>
        <w:pStyle w:val="SingleTxtGA"/>
        <w:rPr>
          <w:b/>
          <w:bCs/>
          <w:rtl/>
          <w:lang w:val="en-GB" w:eastAsia="zh-TW"/>
        </w:rPr>
      </w:pPr>
      <w:bookmarkStart w:id="34" w:name="_Toc385863578"/>
      <w:r>
        <w:rPr>
          <w:rtl/>
          <w:lang w:val="en-GB" w:eastAsia="zh-TW"/>
        </w:rPr>
        <w:t>الجدول ٤</w:t>
      </w:r>
      <w:r>
        <w:rPr>
          <w:rtl/>
          <w:lang w:val="en-GB" w:eastAsia="zh-TW"/>
        </w:rPr>
        <w:tab/>
      </w:r>
      <w:r>
        <w:rPr>
          <w:rtl/>
          <w:lang w:val="en-GB" w:eastAsia="zh-TW"/>
        </w:rPr>
        <w:br/>
      </w:r>
      <w:r w:rsidR="00182560" w:rsidRPr="00761276">
        <w:rPr>
          <w:b/>
          <w:bCs/>
          <w:rtl/>
          <w:lang w:val="en-GB" w:eastAsia="zh-TW"/>
        </w:rPr>
        <w:t>تطور أعداد القضاة حسب نوع الجنس</w:t>
      </w:r>
      <w:bookmarkEnd w:id="34"/>
    </w:p>
    <w:tbl>
      <w:tblPr>
        <w:bidiVisual/>
        <w:tblW w:w="0" w:type="auto"/>
        <w:tblInd w:w="1258" w:type="dxa"/>
        <w:tblLayout w:type="fixed"/>
        <w:tblCellMar>
          <w:left w:w="0" w:type="dxa"/>
          <w:right w:w="0" w:type="dxa"/>
        </w:tblCellMar>
        <w:tblLook w:val="04A0" w:firstRow="1" w:lastRow="0" w:firstColumn="1" w:lastColumn="0" w:noHBand="0" w:noVBand="1"/>
      </w:tblPr>
      <w:tblGrid>
        <w:gridCol w:w="2709"/>
        <w:gridCol w:w="965"/>
        <w:gridCol w:w="868"/>
        <w:gridCol w:w="924"/>
        <w:gridCol w:w="933"/>
        <w:gridCol w:w="733"/>
      </w:tblGrid>
      <w:tr w:rsidR="00182560" w:rsidRPr="00761276" w:rsidTr="00761276">
        <w:trPr>
          <w:tblHeader/>
        </w:trPr>
        <w:tc>
          <w:tcPr>
            <w:tcW w:w="2709" w:type="dxa"/>
            <w:tcBorders>
              <w:top w:val="single" w:sz="4" w:space="0" w:color="auto"/>
              <w:bottom w:val="single" w:sz="12" w:space="0" w:color="auto"/>
            </w:tcBorders>
            <w:vAlign w:val="bottom"/>
          </w:tcPr>
          <w:p w:rsidR="00182560" w:rsidRPr="00761276" w:rsidRDefault="00182560" w:rsidP="00761276">
            <w:pPr>
              <w:spacing w:before="20" w:after="40" w:line="300" w:lineRule="exact"/>
              <w:ind w:left="57" w:right="57"/>
              <w:textDirection w:val="tbRlV"/>
              <w:rPr>
                <w:i/>
                <w:iCs/>
                <w:sz w:val="26"/>
                <w:szCs w:val="26"/>
                <w:rtl/>
                <w:lang w:val="en-GB" w:eastAsia="zh-TW"/>
              </w:rPr>
            </w:pPr>
            <w:r w:rsidRPr="00761276">
              <w:rPr>
                <w:i/>
                <w:iCs/>
                <w:sz w:val="26"/>
                <w:szCs w:val="26"/>
                <w:rtl/>
                <w:lang w:val="en-GB" w:eastAsia="zh-TW"/>
              </w:rPr>
              <w:t>القضاة</w:t>
            </w:r>
          </w:p>
        </w:tc>
        <w:tc>
          <w:tcPr>
            <w:tcW w:w="965" w:type="dxa"/>
            <w:tcBorders>
              <w:top w:val="single" w:sz="4" w:space="0" w:color="auto"/>
              <w:bottom w:val="single" w:sz="12" w:space="0" w:color="auto"/>
            </w:tcBorders>
            <w:vAlign w:val="bottom"/>
          </w:tcPr>
          <w:p w:rsidR="00182560" w:rsidRPr="00761276" w:rsidRDefault="00182560" w:rsidP="00761276">
            <w:pPr>
              <w:spacing w:before="20" w:after="40" w:line="300" w:lineRule="exact"/>
              <w:ind w:left="57" w:right="57"/>
              <w:textDirection w:val="tbRlV"/>
              <w:rPr>
                <w:i/>
                <w:iCs/>
                <w:sz w:val="26"/>
                <w:szCs w:val="26"/>
                <w:rtl/>
                <w:lang w:val="en-GB" w:eastAsia="zh-TW"/>
              </w:rPr>
            </w:pPr>
            <w:r w:rsidRPr="00761276">
              <w:rPr>
                <w:i/>
                <w:iCs/>
                <w:sz w:val="26"/>
                <w:szCs w:val="26"/>
                <w:rtl/>
                <w:lang w:val="en-GB" w:eastAsia="zh-TW"/>
              </w:rPr>
              <w:t>٢٠١٠</w:t>
            </w:r>
          </w:p>
        </w:tc>
        <w:tc>
          <w:tcPr>
            <w:tcW w:w="868" w:type="dxa"/>
            <w:tcBorders>
              <w:top w:val="single" w:sz="4" w:space="0" w:color="auto"/>
              <w:bottom w:val="single" w:sz="12" w:space="0" w:color="auto"/>
            </w:tcBorders>
            <w:vAlign w:val="bottom"/>
          </w:tcPr>
          <w:p w:rsidR="00182560" w:rsidRPr="00761276" w:rsidRDefault="00182560" w:rsidP="00761276">
            <w:pPr>
              <w:spacing w:before="20" w:after="40" w:line="300" w:lineRule="exact"/>
              <w:ind w:left="57" w:right="57"/>
              <w:textDirection w:val="tbRlV"/>
              <w:rPr>
                <w:i/>
                <w:iCs/>
                <w:sz w:val="26"/>
                <w:szCs w:val="26"/>
                <w:rtl/>
                <w:lang w:val="en-GB" w:eastAsia="zh-TW"/>
              </w:rPr>
            </w:pPr>
            <w:r w:rsidRPr="00761276">
              <w:rPr>
                <w:i/>
                <w:iCs/>
                <w:sz w:val="26"/>
                <w:szCs w:val="26"/>
                <w:rtl/>
                <w:lang w:val="en-GB" w:eastAsia="zh-TW"/>
              </w:rPr>
              <w:t>٢٠١١</w:t>
            </w:r>
          </w:p>
        </w:tc>
        <w:tc>
          <w:tcPr>
            <w:tcW w:w="924" w:type="dxa"/>
            <w:tcBorders>
              <w:top w:val="single" w:sz="4" w:space="0" w:color="auto"/>
              <w:bottom w:val="single" w:sz="12" w:space="0" w:color="auto"/>
            </w:tcBorders>
            <w:vAlign w:val="bottom"/>
          </w:tcPr>
          <w:p w:rsidR="00182560" w:rsidRPr="00761276" w:rsidRDefault="00182560" w:rsidP="00761276">
            <w:pPr>
              <w:spacing w:before="20" w:after="40" w:line="300" w:lineRule="exact"/>
              <w:ind w:left="57" w:right="57"/>
              <w:textDirection w:val="tbRlV"/>
              <w:rPr>
                <w:i/>
                <w:iCs/>
                <w:sz w:val="26"/>
                <w:szCs w:val="26"/>
                <w:rtl/>
                <w:lang w:val="en-GB" w:eastAsia="zh-TW"/>
              </w:rPr>
            </w:pPr>
            <w:r w:rsidRPr="00761276">
              <w:rPr>
                <w:i/>
                <w:iCs/>
                <w:sz w:val="26"/>
                <w:szCs w:val="26"/>
                <w:rtl/>
                <w:lang w:val="en-GB" w:eastAsia="zh-TW"/>
              </w:rPr>
              <w:t>٢٠١٢</w:t>
            </w:r>
          </w:p>
        </w:tc>
        <w:tc>
          <w:tcPr>
            <w:tcW w:w="933" w:type="dxa"/>
            <w:tcBorders>
              <w:top w:val="single" w:sz="4" w:space="0" w:color="auto"/>
              <w:bottom w:val="single" w:sz="12" w:space="0" w:color="auto"/>
            </w:tcBorders>
            <w:vAlign w:val="bottom"/>
          </w:tcPr>
          <w:p w:rsidR="00182560" w:rsidRPr="00761276" w:rsidRDefault="00182560" w:rsidP="00761276">
            <w:pPr>
              <w:spacing w:before="20" w:after="40" w:line="300" w:lineRule="exact"/>
              <w:ind w:left="57" w:right="57"/>
              <w:textDirection w:val="tbRlV"/>
              <w:rPr>
                <w:i/>
                <w:iCs/>
                <w:sz w:val="26"/>
                <w:szCs w:val="26"/>
                <w:rtl/>
                <w:lang w:val="en-GB" w:eastAsia="zh-TW"/>
              </w:rPr>
            </w:pPr>
            <w:r w:rsidRPr="00761276">
              <w:rPr>
                <w:i/>
                <w:iCs/>
                <w:sz w:val="26"/>
                <w:szCs w:val="26"/>
                <w:rtl/>
                <w:lang w:val="en-GB" w:eastAsia="zh-TW"/>
              </w:rPr>
              <w:t>٢٠١٣</w:t>
            </w:r>
          </w:p>
        </w:tc>
        <w:tc>
          <w:tcPr>
            <w:tcW w:w="733" w:type="dxa"/>
            <w:tcBorders>
              <w:top w:val="single" w:sz="4" w:space="0" w:color="auto"/>
              <w:bottom w:val="single" w:sz="12" w:space="0" w:color="auto"/>
            </w:tcBorders>
            <w:vAlign w:val="bottom"/>
          </w:tcPr>
          <w:p w:rsidR="00182560" w:rsidRPr="00761276" w:rsidRDefault="00182560" w:rsidP="00761276">
            <w:pPr>
              <w:spacing w:before="20" w:after="40" w:line="300" w:lineRule="exact"/>
              <w:ind w:left="57" w:right="57"/>
              <w:textDirection w:val="tbRlV"/>
              <w:rPr>
                <w:i/>
                <w:iCs/>
                <w:sz w:val="26"/>
                <w:szCs w:val="26"/>
                <w:rtl/>
                <w:lang w:val="en-GB" w:eastAsia="zh-TW"/>
              </w:rPr>
            </w:pPr>
            <w:r w:rsidRPr="00761276">
              <w:rPr>
                <w:i/>
                <w:iCs/>
                <w:sz w:val="26"/>
                <w:szCs w:val="26"/>
                <w:rtl/>
                <w:lang w:val="en-GB" w:eastAsia="zh-TW"/>
              </w:rPr>
              <w:t>٢٠١٤</w:t>
            </w:r>
          </w:p>
        </w:tc>
      </w:tr>
      <w:tr w:rsidR="00182560" w:rsidRPr="00761276" w:rsidTr="00761276">
        <w:tc>
          <w:tcPr>
            <w:tcW w:w="2709" w:type="dxa"/>
            <w:tcBorders>
              <w:top w:val="single" w:sz="12" w:space="0" w:color="auto"/>
            </w:tcBorders>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الرجال</w:t>
            </w:r>
          </w:p>
        </w:tc>
        <w:tc>
          <w:tcPr>
            <w:tcW w:w="965" w:type="dxa"/>
            <w:tcBorders>
              <w:top w:val="single" w:sz="12"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٢٨٦</w:t>
            </w:r>
          </w:p>
        </w:tc>
        <w:tc>
          <w:tcPr>
            <w:tcW w:w="868" w:type="dxa"/>
            <w:tcBorders>
              <w:top w:val="single" w:sz="12"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٢٩٤</w:t>
            </w:r>
          </w:p>
        </w:tc>
        <w:tc>
          <w:tcPr>
            <w:tcW w:w="924" w:type="dxa"/>
            <w:tcBorders>
              <w:top w:val="single" w:sz="12"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٣٠٨</w:t>
            </w:r>
          </w:p>
        </w:tc>
        <w:tc>
          <w:tcPr>
            <w:tcW w:w="933" w:type="dxa"/>
            <w:tcBorders>
              <w:top w:val="single" w:sz="12"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٣٢٩</w:t>
            </w:r>
          </w:p>
        </w:tc>
        <w:tc>
          <w:tcPr>
            <w:tcW w:w="733" w:type="dxa"/>
            <w:tcBorders>
              <w:top w:val="single" w:sz="12"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٣٤٧</w:t>
            </w:r>
          </w:p>
        </w:tc>
      </w:tr>
      <w:tr w:rsidR="00182560" w:rsidRPr="00761276" w:rsidTr="00761276">
        <w:tc>
          <w:tcPr>
            <w:tcW w:w="2709" w:type="dxa"/>
            <w:tcBorders>
              <w:bottom w:val="single" w:sz="4" w:space="0" w:color="auto"/>
            </w:tcBorders>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النساء</w:t>
            </w:r>
          </w:p>
        </w:tc>
        <w:tc>
          <w:tcPr>
            <w:tcW w:w="965" w:type="dxa"/>
            <w:tcBorders>
              <w:bottom w:val="single" w:sz="4"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٢٨</w:t>
            </w:r>
          </w:p>
        </w:tc>
        <w:tc>
          <w:tcPr>
            <w:tcW w:w="868" w:type="dxa"/>
            <w:tcBorders>
              <w:bottom w:val="single" w:sz="4"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٣٤</w:t>
            </w:r>
          </w:p>
        </w:tc>
        <w:tc>
          <w:tcPr>
            <w:tcW w:w="924" w:type="dxa"/>
            <w:tcBorders>
              <w:bottom w:val="single" w:sz="4"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٢٩</w:t>
            </w:r>
          </w:p>
        </w:tc>
        <w:tc>
          <w:tcPr>
            <w:tcW w:w="933" w:type="dxa"/>
            <w:tcBorders>
              <w:bottom w:val="single" w:sz="4"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٣٣</w:t>
            </w:r>
          </w:p>
        </w:tc>
        <w:tc>
          <w:tcPr>
            <w:tcW w:w="733" w:type="dxa"/>
            <w:tcBorders>
              <w:bottom w:val="single" w:sz="4" w:space="0" w:color="auto"/>
            </w:tcBorders>
            <w:vAlign w:val="bottom"/>
          </w:tcPr>
          <w:p w:rsidR="00182560" w:rsidRPr="00761276" w:rsidRDefault="00182560" w:rsidP="00761276">
            <w:pPr>
              <w:spacing w:before="20" w:after="40" w:line="300" w:lineRule="exact"/>
              <w:ind w:left="57" w:right="57"/>
              <w:textDirection w:val="tbRlV"/>
              <w:rPr>
                <w:sz w:val="26"/>
                <w:szCs w:val="26"/>
                <w:rtl/>
                <w:lang w:val="en-GB" w:eastAsia="zh-TW"/>
              </w:rPr>
            </w:pPr>
            <w:r w:rsidRPr="00761276">
              <w:rPr>
                <w:sz w:val="26"/>
                <w:szCs w:val="26"/>
                <w:rtl/>
                <w:lang w:val="en-GB" w:eastAsia="zh-TW"/>
              </w:rPr>
              <w:t>٣٥</w:t>
            </w:r>
          </w:p>
        </w:tc>
      </w:tr>
      <w:tr w:rsidR="00182560" w:rsidRPr="00761276" w:rsidTr="00761276">
        <w:tc>
          <w:tcPr>
            <w:tcW w:w="2709" w:type="dxa"/>
            <w:tcBorders>
              <w:top w:val="single" w:sz="4" w:space="0" w:color="auto"/>
              <w:bottom w:val="single" w:sz="12" w:space="0" w:color="auto"/>
            </w:tcBorders>
          </w:tcPr>
          <w:p w:rsidR="00182560" w:rsidRPr="00075DF2" w:rsidRDefault="00075DF2" w:rsidP="00761276">
            <w:pPr>
              <w:spacing w:before="20" w:after="40" w:line="300" w:lineRule="exact"/>
              <w:ind w:left="57" w:right="57"/>
              <w:textDirection w:val="tbRlV"/>
              <w:rPr>
                <w:b/>
                <w:bCs/>
                <w:sz w:val="26"/>
                <w:szCs w:val="26"/>
                <w:rtl/>
                <w:lang w:val="en-GB" w:eastAsia="zh-TW"/>
              </w:rPr>
            </w:pPr>
            <w:r w:rsidRPr="00075DF2">
              <w:rPr>
                <w:rFonts w:hint="cs"/>
                <w:b/>
                <w:bCs/>
                <w:sz w:val="26"/>
                <w:szCs w:val="26"/>
                <w:rtl/>
                <w:lang w:val="en-GB" w:eastAsia="zh-TW"/>
              </w:rPr>
              <w:t xml:space="preserve">   </w:t>
            </w:r>
            <w:r w:rsidR="00182560" w:rsidRPr="00075DF2">
              <w:rPr>
                <w:b/>
                <w:bCs/>
                <w:sz w:val="26"/>
                <w:szCs w:val="26"/>
                <w:rtl/>
                <w:lang w:val="en-GB" w:eastAsia="zh-TW"/>
              </w:rPr>
              <w:t>المجموع</w:t>
            </w:r>
          </w:p>
        </w:tc>
        <w:tc>
          <w:tcPr>
            <w:tcW w:w="965" w:type="dxa"/>
            <w:tcBorders>
              <w:top w:val="single" w:sz="4" w:space="0" w:color="auto"/>
              <w:bottom w:val="single" w:sz="12" w:space="0" w:color="auto"/>
            </w:tcBorders>
            <w:vAlign w:val="bottom"/>
          </w:tcPr>
          <w:p w:rsidR="00182560" w:rsidRPr="00075DF2" w:rsidRDefault="00182560" w:rsidP="00761276">
            <w:pPr>
              <w:spacing w:before="20" w:after="40" w:line="300" w:lineRule="exact"/>
              <w:ind w:left="57" w:right="57"/>
              <w:textDirection w:val="tbRlV"/>
              <w:rPr>
                <w:b/>
                <w:bCs/>
                <w:sz w:val="26"/>
                <w:szCs w:val="26"/>
                <w:rtl/>
                <w:lang w:val="en-GB" w:eastAsia="zh-TW"/>
              </w:rPr>
            </w:pPr>
            <w:r w:rsidRPr="00075DF2">
              <w:rPr>
                <w:b/>
                <w:bCs/>
                <w:sz w:val="26"/>
                <w:szCs w:val="26"/>
                <w:rtl/>
                <w:lang w:val="en-GB" w:eastAsia="zh-TW"/>
              </w:rPr>
              <w:t>٣١٤</w:t>
            </w:r>
          </w:p>
        </w:tc>
        <w:tc>
          <w:tcPr>
            <w:tcW w:w="868" w:type="dxa"/>
            <w:tcBorders>
              <w:top w:val="single" w:sz="4" w:space="0" w:color="auto"/>
              <w:bottom w:val="single" w:sz="12" w:space="0" w:color="auto"/>
            </w:tcBorders>
            <w:vAlign w:val="bottom"/>
          </w:tcPr>
          <w:p w:rsidR="00182560" w:rsidRPr="00075DF2" w:rsidRDefault="00182560" w:rsidP="00761276">
            <w:pPr>
              <w:spacing w:before="20" w:after="40" w:line="300" w:lineRule="exact"/>
              <w:ind w:left="57" w:right="57"/>
              <w:textDirection w:val="tbRlV"/>
              <w:rPr>
                <w:b/>
                <w:bCs/>
                <w:sz w:val="26"/>
                <w:szCs w:val="26"/>
                <w:rtl/>
                <w:lang w:val="en-GB" w:eastAsia="zh-TW"/>
              </w:rPr>
            </w:pPr>
            <w:r w:rsidRPr="00075DF2">
              <w:rPr>
                <w:b/>
                <w:bCs/>
                <w:sz w:val="26"/>
                <w:szCs w:val="26"/>
                <w:rtl/>
                <w:lang w:val="en-GB" w:eastAsia="zh-TW"/>
              </w:rPr>
              <w:t>٣٢٨</w:t>
            </w:r>
          </w:p>
        </w:tc>
        <w:tc>
          <w:tcPr>
            <w:tcW w:w="924" w:type="dxa"/>
            <w:tcBorders>
              <w:top w:val="single" w:sz="4" w:space="0" w:color="auto"/>
              <w:bottom w:val="single" w:sz="12" w:space="0" w:color="auto"/>
            </w:tcBorders>
            <w:vAlign w:val="bottom"/>
          </w:tcPr>
          <w:p w:rsidR="00182560" w:rsidRPr="00075DF2" w:rsidRDefault="00182560" w:rsidP="00761276">
            <w:pPr>
              <w:spacing w:before="20" w:after="40" w:line="300" w:lineRule="exact"/>
              <w:ind w:left="57" w:right="57"/>
              <w:textDirection w:val="tbRlV"/>
              <w:rPr>
                <w:b/>
                <w:bCs/>
                <w:sz w:val="26"/>
                <w:szCs w:val="26"/>
                <w:rtl/>
                <w:lang w:val="en-GB" w:eastAsia="zh-TW"/>
              </w:rPr>
            </w:pPr>
            <w:r w:rsidRPr="00075DF2">
              <w:rPr>
                <w:b/>
                <w:bCs/>
                <w:sz w:val="26"/>
                <w:szCs w:val="26"/>
                <w:rtl/>
                <w:lang w:val="en-GB" w:eastAsia="zh-TW"/>
              </w:rPr>
              <w:t>٣٣٧</w:t>
            </w:r>
          </w:p>
        </w:tc>
        <w:tc>
          <w:tcPr>
            <w:tcW w:w="933" w:type="dxa"/>
            <w:tcBorders>
              <w:top w:val="single" w:sz="4" w:space="0" w:color="auto"/>
              <w:bottom w:val="single" w:sz="12" w:space="0" w:color="auto"/>
            </w:tcBorders>
            <w:vAlign w:val="bottom"/>
          </w:tcPr>
          <w:p w:rsidR="00182560" w:rsidRPr="00075DF2" w:rsidRDefault="00182560" w:rsidP="00761276">
            <w:pPr>
              <w:spacing w:before="20" w:after="40" w:line="300" w:lineRule="exact"/>
              <w:ind w:left="57" w:right="57"/>
              <w:textDirection w:val="tbRlV"/>
              <w:rPr>
                <w:b/>
                <w:bCs/>
                <w:sz w:val="26"/>
                <w:szCs w:val="26"/>
                <w:rtl/>
                <w:lang w:val="en-GB" w:eastAsia="zh-TW"/>
              </w:rPr>
            </w:pPr>
            <w:r w:rsidRPr="00075DF2">
              <w:rPr>
                <w:b/>
                <w:bCs/>
                <w:sz w:val="26"/>
                <w:szCs w:val="26"/>
                <w:rtl/>
                <w:lang w:val="en-GB" w:eastAsia="zh-TW"/>
              </w:rPr>
              <w:t>٣٦٢</w:t>
            </w:r>
          </w:p>
        </w:tc>
        <w:tc>
          <w:tcPr>
            <w:tcW w:w="733" w:type="dxa"/>
            <w:tcBorders>
              <w:top w:val="single" w:sz="4" w:space="0" w:color="auto"/>
              <w:bottom w:val="single" w:sz="12" w:space="0" w:color="auto"/>
            </w:tcBorders>
            <w:vAlign w:val="bottom"/>
          </w:tcPr>
          <w:p w:rsidR="00182560" w:rsidRPr="00075DF2" w:rsidRDefault="00182560" w:rsidP="00761276">
            <w:pPr>
              <w:spacing w:before="20" w:after="40" w:line="300" w:lineRule="exact"/>
              <w:ind w:left="57" w:right="57"/>
              <w:textDirection w:val="tbRlV"/>
              <w:rPr>
                <w:b/>
                <w:bCs/>
                <w:sz w:val="26"/>
                <w:szCs w:val="26"/>
                <w:rtl/>
                <w:lang w:val="en-GB" w:eastAsia="zh-TW"/>
              </w:rPr>
            </w:pPr>
            <w:r w:rsidRPr="00075DF2">
              <w:rPr>
                <w:b/>
                <w:bCs/>
                <w:sz w:val="26"/>
                <w:szCs w:val="26"/>
                <w:rtl/>
                <w:lang w:val="en-GB" w:eastAsia="zh-TW"/>
              </w:rPr>
              <w:t>٣٨٢</w:t>
            </w:r>
          </w:p>
        </w:tc>
      </w:tr>
    </w:tbl>
    <w:p w:rsidR="00182560" w:rsidRPr="00761276" w:rsidRDefault="00182560" w:rsidP="00761276">
      <w:pPr>
        <w:pStyle w:val="SingleTxtGA"/>
        <w:rPr>
          <w:iCs/>
          <w:sz w:val="16"/>
          <w:szCs w:val="26"/>
          <w:rtl/>
          <w:lang w:val="en-GB" w:eastAsia="zh-TW"/>
        </w:rPr>
      </w:pPr>
      <w:r w:rsidRPr="00761276">
        <w:rPr>
          <w:i/>
          <w:iCs/>
          <w:sz w:val="16"/>
          <w:szCs w:val="26"/>
          <w:rtl/>
          <w:lang w:val="en-GB" w:eastAsia="zh-TW"/>
        </w:rPr>
        <w:t>المصدر:</w:t>
      </w:r>
      <w:r w:rsidRPr="00761276">
        <w:rPr>
          <w:sz w:val="16"/>
          <w:szCs w:val="26"/>
          <w:rtl/>
          <w:lang w:val="en-GB" w:eastAsia="zh-TW"/>
        </w:rPr>
        <w:t xml:space="preserve"> الأمانة الدائمة للمجلس الأعلى للقضاء.</w:t>
      </w:r>
    </w:p>
    <w:p w:rsidR="00182560" w:rsidRPr="007F3B78" w:rsidRDefault="00B6758C" w:rsidP="00761276">
      <w:pPr>
        <w:pStyle w:val="SingleTxtGA"/>
        <w:rPr>
          <w:rtl/>
          <w:lang w:val="en-GB" w:eastAsia="zh-TW"/>
        </w:rPr>
      </w:pPr>
      <w:r>
        <w:rPr>
          <w:rtl/>
          <w:lang w:val="en-GB" w:eastAsia="zh-TW"/>
        </w:rPr>
        <w:t>٤٠-</w:t>
      </w:r>
      <w:r>
        <w:rPr>
          <w:rtl/>
          <w:lang w:val="en-GB" w:eastAsia="zh-TW"/>
        </w:rPr>
        <w:tab/>
      </w:r>
      <w:r w:rsidR="00182560">
        <w:rPr>
          <w:rtl/>
          <w:lang w:val="en-GB" w:eastAsia="zh-TW"/>
        </w:rPr>
        <w:t>ومن أجل ضمان الحق في الدفاع، بلغ عدد المحامين 116 محامياً مقيدين في نقابة المحامين و15 محامياً متدرباً و6 شركات مدنية مهنية للمحاماة في عام 2015.</w:t>
      </w:r>
      <w:r w:rsidR="00F13065">
        <w:rPr>
          <w:rFonts w:hint="cs"/>
          <w:rtl/>
          <w:lang w:val="en-GB" w:eastAsia="zh-TW"/>
        </w:rPr>
        <w:t xml:space="preserve"> </w:t>
      </w:r>
      <w:r w:rsidR="00182560">
        <w:rPr>
          <w:rtl/>
          <w:lang w:val="en-GB" w:eastAsia="zh-TW"/>
        </w:rPr>
        <w:t>وقد أنشأت الدولة نظام المحامين المعينين (يتألف من محامين متطوعين يُعيّنون بقرار من وزير العدل) للدفاع عن الأشخاص الذين لا يستطيعون تحمل نفقات محام.</w:t>
      </w:r>
      <w:r w:rsidR="00761276">
        <w:rPr>
          <w:rFonts w:hint="cs"/>
          <w:rtl/>
          <w:lang w:val="en-GB" w:eastAsia="zh-TW"/>
        </w:rPr>
        <w:t xml:space="preserve"> </w:t>
      </w:r>
      <w:r w:rsidR="00182560">
        <w:rPr>
          <w:rtl/>
          <w:lang w:val="en-GB" w:eastAsia="zh-TW"/>
        </w:rPr>
        <w:t>وفي عام 2010، بلغ عدد المحامين المعينين 225 محاميا</w:t>
      </w:r>
      <w:r w:rsidR="00761276">
        <w:rPr>
          <w:rFonts w:hint="cs"/>
          <w:rtl/>
          <w:lang w:val="en-GB" w:eastAsia="zh-TW"/>
        </w:rPr>
        <w:t>ً</w:t>
      </w:r>
      <w:r w:rsidR="00182560">
        <w:rPr>
          <w:rtl/>
          <w:lang w:val="en-GB" w:eastAsia="zh-TW"/>
        </w:rPr>
        <w:t>.</w:t>
      </w:r>
      <w:r w:rsidR="00761276">
        <w:rPr>
          <w:rFonts w:hint="cs"/>
          <w:rtl/>
          <w:lang w:val="en-GB" w:eastAsia="zh-TW"/>
        </w:rPr>
        <w:t xml:space="preserve"> </w:t>
      </w:r>
    </w:p>
    <w:p w:rsidR="00182560" w:rsidRPr="007F3B78" w:rsidRDefault="00B6758C" w:rsidP="00761276">
      <w:pPr>
        <w:pStyle w:val="SingleTxtGA"/>
        <w:rPr>
          <w:rtl/>
          <w:lang w:val="en-GB" w:eastAsia="zh-TW"/>
        </w:rPr>
      </w:pPr>
      <w:r>
        <w:rPr>
          <w:rtl/>
          <w:lang w:val="en-GB" w:eastAsia="zh-TW"/>
        </w:rPr>
        <w:t>٤١-</w:t>
      </w:r>
      <w:r>
        <w:rPr>
          <w:rtl/>
          <w:lang w:val="en-GB" w:eastAsia="zh-TW"/>
        </w:rPr>
        <w:tab/>
      </w:r>
      <w:r w:rsidR="00182560">
        <w:rPr>
          <w:rtl/>
          <w:lang w:val="en-GB" w:eastAsia="zh-TW"/>
        </w:rPr>
        <w:t>وعلى الصعيد الداخلي، هناك هيئات أخرى خارج نطاق القضاء تتولى مسؤولية تعزيز حقوق الإنسان وحمايتها، وهي على النحو التالي:</w:t>
      </w:r>
    </w:p>
    <w:p w:rsidR="00182560" w:rsidRPr="007F3B78" w:rsidRDefault="00182560" w:rsidP="00B22594">
      <w:pPr>
        <w:pStyle w:val="Bullet1GA"/>
        <w:bidi/>
        <w:rPr>
          <w:rtl/>
          <w:lang w:val="en-GB" w:eastAsia="zh-TW"/>
        </w:rPr>
      </w:pPr>
      <w:r>
        <w:rPr>
          <w:rtl/>
          <w:lang w:val="en-GB" w:eastAsia="zh-TW"/>
        </w:rPr>
        <w:t xml:space="preserve">مديرية حقوق الإنسان والعمل الاجتماعي: وقد رقيت هذه المديرية لتصبح المديرية العامة لحقوق الإنسان الحقوق والحماية القضائية للأحداث والعمل الاجتماعي ومنحت ولاية موسعة تشمل عدة جوانب هي حقوق الإنسان والحماية القضائية للأحداث والعمل الاجتماعي، وذلك بموجب القرار رقم </w:t>
      </w:r>
      <w:r>
        <w:rPr>
          <w:lang w:val="en-GB" w:eastAsia="zh-TW"/>
        </w:rPr>
        <w:t>017</w:t>
      </w:r>
      <w:r w:rsidR="00DD190D">
        <w:rPr>
          <w:lang w:eastAsia="zh-TW"/>
        </w:rPr>
        <w:t>/</w:t>
      </w:r>
      <w:r>
        <w:rPr>
          <w:lang w:val="en-GB" w:eastAsia="zh-TW"/>
        </w:rPr>
        <w:t>MJ/GS/PPG/SG</w:t>
      </w:r>
      <w:r>
        <w:rPr>
          <w:rtl/>
          <w:lang w:val="en-GB" w:eastAsia="zh-TW"/>
        </w:rPr>
        <w:t xml:space="preserve"> المؤرخ 1 آذار/مارس 2012 والمتعلق بتنظيم دوائر الإدارة المركزية لوزارة العدل.</w:t>
      </w:r>
      <w:r w:rsidR="00761276">
        <w:rPr>
          <w:rFonts w:hint="cs"/>
          <w:rtl/>
          <w:lang w:val="en-GB" w:eastAsia="zh-TW"/>
        </w:rPr>
        <w:t xml:space="preserve"> </w:t>
      </w:r>
      <w:r>
        <w:rPr>
          <w:rtl/>
          <w:lang w:val="en-GB" w:eastAsia="zh-TW"/>
        </w:rPr>
        <w:t>وتتمثل مهمة هذه المديرية العامة، التي تشرف على ثلاث مديريات، في رصد وتنفيذ سياسات حقوق الإنسان وسياسة قضاء الأحداث، وتنسيق عملية صياغة التقارير المقدمة لهيئات المعاهدات، والسهر على التنفيذ الفعال للصكوك الدولية والإقليمية والوطنية المتعلقة بحقوق الإنسان، وتنفيذ المساعدة القانونية والقضائية وغيرها.</w:t>
      </w:r>
      <w:r w:rsidR="00761276">
        <w:rPr>
          <w:rFonts w:hint="cs"/>
          <w:rtl/>
          <w:lang w:val="en-GB" w:eastAsia="zh-TW"/>
        </w:rPr>
        <w:t xml:space="preserve"> </w:t>
      </w:r>
      <w:r>
        <w:rPr>
          <w:rtl/>
          <w:lang w:val="en-GB" w:eastAsia="zh-TW"/>
        </w:rPr>
        <w:t>كما تعمل على منع انتهاكات حقوق الإنسان من خلال الإعلام والتثقيف والتوعية والتحقيقات وتحديد الأطر القانونية والتنسيق بين الجهات الفاعلة العامة والمجتمع المدني؛</w:t>
      </w:r>
    </w:p>
    <w:p w:rsidR="00182560" w:rsidRPr="007F3B78" w:rsidRDefault="00182560" w:rsidP="00B22594">
      <w:pPr>
        <w:pStyle w:val="Bullet1GA"/>
        <w:bidi/>
        <w:rPr>
          <w:rtl/>
          <w:lang w:val="en-GB" w:eastAsia="zh-TW"/>
        </w:rPr>
      </w:pPr>
      <w:r>
        <w:rPr>
          <w:rtl/>
          <w:lang w:val="en-GB" w:eastAsia="zh-TW"/>
        </w:rPr>
        <w:t>مديرية إدارة السجون وإعادة الإدماج: وقد رقيت هذه المديرية لتصبح المديرية العامة لإدارة وأمن السجون وإعادة الإدماج بموجب القرار المذكور أعلاه، وتخضع لسلطتها ثلاث مديريات تتمثل مهامها الرئيسية في رصد حالة حقوق الإنسان في السجون، ووضع لوائح مؤسسات السجون وإنفاذها، ووضع استراتيجيات وبرامج لمنع المخاطر في المؤسسات الإصلاحية، ووضع وتنفيذ برامج لإعادة الإدماج بما في ذلك سياسات تدريب السجناء وتوفير فرص العمالة لهم في جملة أمور أخرى.</w:t>
      </w:r>
      <w:r w:rsidR="00761276">
        <w:rPr>
          <w:rFonts w:hint="cs"/>
          <w:rtl/>
          <w:lang w:val="en-GB" w:eastAsia="zh-TW"/>
        </w:rPr>
        <w:t xml:space="preserve"> </w:t>
      </w:r>
      <w:r>
        <w:rPr>
          <w:rtl/>
          <w:lang w:val="en-GB" w:eastAsia="zh-TW"/>
        </w:rPr>
        <w:t xml:space="preserve">وتتولى هذه المديرية أيضاً توفير التدريب </w:t>
      </w:r>
      <w:r>
        <w:rPr>
          <w:rtl/>
          <w:lang w:val="en-GB" w:eastAsia="zh-TW"/>
        </w:rPr>
        <w:lastRenderedPageBreak/>
        <w:t>لموظفي السجون وإدارة المؤسسات الإصلاحية، ولا</w:t>
      </w:r>
      <w:r w:rsidR="00736A5D">
        <w:rPr>
          <w:rFonts w:hint="cs"/>
          <w:rtl/>
          <w:lang w:val="en-GB" w:eastAsia="zh-TW"/>
        </w:rPr>
        <w:t xml:space="preserve"> </w:t>
      </w:r>
      <w:r>
        <w:rPr>
          <w:rtl/>
          <w:lang w:val="en-GB" w:eastAsia="zh-TW"/>
        </w:rPr>
        <w:t>سيما من خلال ضمان مراعاة المسائل المتعلقة بتغذية المحتجزين وصحتهم والحقوق الأخرى المعترف بها بموجب المرسوم المتعلق بالنظام الداخلي للسجون؛</w:t>
      </w:r>
    </w:p>
    <w:p w:rsidR="00182560" w:rsidRPr="007F3B78" w:rsidRDefault="00182560" w:rsidP="00B22594">
      <w:pPr>
        <w:pStyle w:val="Bullet1GA"/>
        <w:bidi/>
        <w:rPr>
          <w:rtl/>
          <w:lang w:val="en-GB" w:eastAsia="zh-TW"/>
        </w:rPr>
      </w:pPr>
      <w:r>
        <w:rPr>
          <w:rtl/>
          <w:lang w:val="en-GB" w:eastAsia="zh-TW"/>
        </w:rPr>
        <w:t>المديرية العامة لحماية الطفل والنهوض الاجتماعي والعمل الإنساني.</w:t>
      </w:r>
      <w:r w:rsidR="00761276">
        <w:rPr>
          <w:rFonts w:hint="cs"/>
          <w:rtl/>
          <w:lang w:val="en-GB" w:eastAsia="zh-TW"/>
        </w:rPr>
        <w:t xml:space="preserve"> </w:t>
      </w:r>
      <w:r>
        <w:rPr>
          <w:rtl/>
          <w:lang w:val="en-GB" w:eastAsia="zh-TW"/>
        </w:rPr>
        <w:t>وتتمثل مهمتها في وضع وتنفيذ السياسات والاستراتيجيات والخطط والبرامج المتعلقة بحماية الطفل والحماية الاجتماعية والعمل الإنساني.</w:t>
      </w:r>
      <w:r w:rsidR="00761276">
        <w:rPr>
          <w:rFonts w:hint="cs"/>
          <w:rtl/>
          <w:lang w:val="en-GB" w:eastAsia="zh-TW"/>
        </w:rPr>
        <w:t xml:space="preserve"> </w:t>
      </w:r>
      <w:r>
        <w:rPr>
          <w:rtl/>
          <w:lang w:val="en-GB" w:eastAsia="zh-TW"/>
        </w:rPr>
        <w:t>بالإضافة إلى ذلك، تكفل هذه المديرية تنفيذ أحكام اتفاقية حقوق الطفل واتفاقية حقوق الأشخاص ذوي الإعاقة والميثاق الأفريقي لحقوق الطفل ورفاهه؛</w:t>
      </w:r>
    </w:p>
    <w:p w:rsidR="00182560" w:rsidRPr="007F3B78" w:rsidRDefault="00182560" w:rsidP="00B22594">
      <w:pPr>
        <w:pStyle w:val="Bullet1GA"/>
        <w:bidi/>
        <w:rPr>
          <w:rtl/>
          <w:lang w:val="en-GB" w:eastAsia="zh-TW"/>
        </w:rPr>
      </w:pPr>
      <w:r>
        <w:rPr>
          <w:rtl/>
          <w:lang w:val="en-GB" w:eastAsia="zh-TW"/>
        </w:rPr>
        <w:t>مديرية النهوض بالمرأة: رقيت هذه الدائرة التابعة لوزارة السكان والنهوض بالمرأة وحماية الطفل إلى المديرية العامة للنهوض بالمرأة والشؤون الجنسانية.</w:t>
      </w:r>
      <w:r w:rsidR="00761276">
        <w:rPr>
          <w:rFonts w:hint="cs"/>
          <w:rtl/>
          <w:lang w:val="en-GB" w:eastAsia="zh-TW"/>
        </w:rPr>
        <w:t xml:space="preserve"> </w:t>
      </w:r>
      <w:r>
        <w:rPr>
          <w:rtl/>
          <w:lang w:val="en-GB" w:eastAsia="zh-TW"/>
        </w:rPr>
        <w:t>وتشمل ثلاث مديريات، وهي مديرية القيادة النسائية ومديرية تمكين المرأة ومديرية التعزيز المؤسسي والشؤون الجنسانية.</w:t>
      </w:r>
      <w:r w:rsidR="00761276">
        <w:rPr>
          <w:rFonts w:hint="cs"/>
          <w:rtl/>
          <w:lang w:val="en-GB" w:eastAsia="zh-TW"/>
        </w:rPr>
        <w:t xml:space="preserve"> </w:t>
      </w:r>
      <w:r>
        <w:rPr>
          <w:rtl/>
          <w:lang w:val="en-GB" w:eastAsia="zh-TW"/>
        </w:rPr>
        <w:t>وتتمثل مهمتها في ضمان تنفيذ السياسة الوطنية المتعلقة بالنهوض بالمرأة والشؤون الجنسانية، وإدماج السياسة الجنسانية في خطط وبرامج التنمية.</w:t>
      </w:r>
      <w:r w:rsidR="00761276">
        <w:rPr>
          <w:rFonts w:hint="cs"/>
          <w:rtl/>
          <w:lang w:val="en-GB" w:eastAsia="zh-TW"/>
        </w:rPr>
        <w:t xml:space="preserve"> </w:t>
      </w:r>
      <w:r>
        <w:rPr>
          <w:rtl/>
          <w:lang w:val="en-GB" w:eastAsia="zh-TW"/>
        </w:rPr>
        <w:t>وتضطلع هذه المديرية أيضاً بضمان تنفيذ اتفاقية القضاء على جميع أشكال التمييز ضد المرأة؛</w:t>
      </w:r>
    </w:p>
    <w:p w:rsidR="00182560" w:rsidRPr="007F3B78" w:rsidRDefault="00182560" w:rsidP="00B22594">
      <w:pPr>
        <w:pStyle w:val="Bullet1GA"/>
        <w:bidi/>
        <w:rPr>
          <w:rtl/>
          <w:lang w:val="en-GB" w:eastAsia="zh-TW"/>
        </w:rPr>
      </w:pPr>
      <w:r>
        <w:rPr>
          <w:rtl/>
          <w:lang w:val="en-GB" w:eastAsia="zh-TW"/>
        </w:rPr>
        <w:t xml:space="preserve">جهاز الشرطة: أُنشئت دائرة مركزية لحماية القُصّر والنساء بموجب القرار رقم </w:t>
      </w:r>
      <w:r>
        <w:rPr>
          <w:lang w:val="en-GB" w:eastAsia="zh-TW"/>
        </w:rPr>
        <w:t>0045MI/S/D/AR/DGPN</w:t>
      </w:r>
      <w:r>
        <w:rPr>
          <w:rtl/>
          <w:lang w:val="en-GB" w:eastAsia="zh-TW"/>
        </w:rPr>
        <w:t xml:space="preserve"> المؤرخ 28 كانون الثاني/يناير 2011.</w:t>
      </w:r>
      <w:r w:rsidR="00F13065">
        <w:rPr>
          <w:rFonts w:hint="cs"/>
          <w:rtl/>
          <w:lang w:val="en-GB" w:eastAsia="zh-TW"/>
        </w:rPr>
        <w:t xml:space="preserve"> </w:t>
      </w:r>
      <w:r>
        <w:rPr>
          <w:rtl/>
          <w:lang w:val="en-GB" w:eastAsia="zh-TW"/>
        </w:rPr>
        <w:t>وتضم هذه الدائرة وحدة للسكرتاريا، وشعبة لحماية القُصّر، وشعبة لحماية المرأة، وشعبة للوثائق، وشعبة للتحقيقات، وفرقا</w:t>
      </w:r>
      <w:r w:rsidR="00DD190D">
        <w:rPr>
          <w:rFonts w:hint="cs"/>
          <w:rtl/>
          <w:lang w:val="en-GB" w:eastAsia="zh-TW" w:bidi="ar-DZ"/>
        </w:rPr>
        <w:t>ً</w:t>
      </w:r>
      <w:r>
        <w:rPr>
          <w:rtl/>
          <w:lang w:val="en-GB" w:eastAsia="zh-TW"/>
        </w:rPr>
        <w:t xml:space="preserve"> خاصة مكلفة بحماية القُصّر والنساء على مستوى المناطق والمحافظات والبلديات وكذلك على مستوى مراكز الشرطة الخاصة ومراكز الشرطة الحدودية.</w:t>
      </w:r>
      <w:r w:rsidR="00761276">
        <w:rPr>
          <w:rFonts w:hint="cs"/>
          <w:rtl/>
          <w:lang w:val="en-GB" w:eastAsia="zh-TW"/>
        </w:rPr>
        <w:t xml:space="preserve"> </w:t>
      </w:r>
      <w:r>
        <w:rPr>
          <w:rtl/>
          <w:lang w:val="en-GB" w:eastAsia="zh-TW"/>
        </w:rPr>
        <w:t>وتتلقى هذه الوحدات وتعالج الشكاوى المقدمة من الضحايا القُصّر أو قضايا الأحداث الذين ينتهكون قانون العقوبات.</w:t>
      </w:r>
      <w:r w:rsidR="00761276">
        <w:rPr>
          <w:rFonts w:hint="cs"/>
          <w:rtl/>
          <w:lang w:val="en-GB" w:eastAsia="zh-TW"/>
        </w:rPr>
        <w:t xml:space="preserve"> </w:t>
      </w:r>
      <w:r>
        <w:rPr>
          <w:rtl/>
          <w:lang w:val="en-GB" w:eastAsia="zh-TW"/>
        </w:rPr>
        <w:t>وتضطلع بهذه المهمة فرقة الأحداث التي تتولى، في جملة أمور، كشف وتشخيص العلامات الدالة على الاستعداد للجنوح لدى الأطفال الذين يعيشون في الشوارع و/أو الأطفال المنفصلين عن أسرهم، ومعاينة وقمع جميع أشكال الاعتداء و/أو الإساءة المرتكبة ضد الأطفال داخل أسرهم أو خارجها، وحالات الاستغلال الجنسي، والاغتصاب، والميل الجنسي إلى الأطفال أو استغلالهم في إنتاج المواد الإباحية، واختطاف القُصّر، والتجنيد، وقمع أي انتهاك للقانون الجنائي يرتكبه أو يُرتكب ضد قاصر، ورصد وضع القصّر المعرضين للخطر في المؤسسات المتخصصة العامة أو الخاصة المعنية بحماية الطفل؛</w:t>
      </w:r>
    </w:p>
    <w:p w:rsidR="00182560" w:rsidRPr="007F3B78" w:rsidRDefault="00182560" w:rsidP="00C77524">
      <w:pPr>
        <w:pStyle w:val="Bullet1GA"/>
        <w:bidi/>
        <w:rPr>
          <w:rtl/>
          <w:lang w:val="en-GB" w:eastAsia="zh-TW"/>
        </w:rPr>
      </w:pPr>
      <w:r>
        <w:rPr>
          <w:rtl/>
          <w:lang w:val="en-GB" w:eastAsia="zh-TW"/>
        </w:rPr>
        <w:t xml:space="preserve">الحماية المدنية: تخضع دائرة الحماية المدنية لأحكام القرار رقم </w:t>
      </w:r>
      <w:r>
        <w:rPr>
          <w:lang w:val="en-GB" w:eastAsia="zh-TW"/>
        </w:rPr>
        <w:t>086/MI/SP/D/AR</w:t>
      </w:r>
      <w:r>
        <w:rPr>
          <w:rtl/>
          <w:lang w:val="en-GB" w:eastAsia="zh-TW"/>
        </w:rPr>
        <w:t xml:space="preserve"> المؤرخ 14 شباط/فبراير 2012 والمتعلق بتنظيم الدوائر المركزية لوزارة الداخلية.</w:t>
      </w:r>
      <w:r w:rsidR="00761276">
        <w:rPr>
          <w:rFonts w:hint="cs"/>
          <w:rtl/>
          <w:lang w:val="en-GB" w:eastAsia="zh-TW"/>
        </w:rPr>
        <w:t xml:space="preserve"> </w:t>
      </w:r>
      <w:r>
        <w:rPr>
          <w:rtl/>
          <w:lang w:val="en-GB" w:eastAsia="zh-TW"/>
        </w:rPr>
        <w:t>وتسهر هذه الدائرة على حماية الأشخاص والممتلكات والبيئة من مخاطر الحوادث والكوارث التي يتسبب فيها البشر أو الطبيعة وفي الظروف ذات الصلة بالدفاع المدني.</w:t>
      </w:r>
      <w:r w:rsidR="00761276">
        <w:rPr>
          <w:rFonts w:hint="cs"/>
          <w:rtl/>
          <w:lang w:val="en-GB" w:eastAsia="zh-TW"/>
        </w:rPr>
        <w:t xml:space="preserve"> </w:t>
      </w:r>
      <w:r>
        <w:rPr>
          <w:rtl/>
          <w:lang w:val="en-GB" w:eastAsia="zh-TW"/>
        </w:rPr>
        <w:t xml:space="preserve">وتتولى دراسة ووضع تدابير الأمن المدني </w:t>
      </w:r>
      <w:r>
        <w:rPr>
          <w:rtl/>
          <w:lang w:val="en-GB" w:eastAsia="zh-TW"/>
        </w:rPr>
        <w:lastRenderedPageBreak/>
        <w:t>على الصعيد الوطني.</w:t>
      </w:r>
      <w:r w:rsidR="00761276">
        <w:rPr>
          <w:rFonts w:hint="cs"/>
          <w:rtl/>
          <w:lang w:val="en-GB" w:eastAsia="zh-TW"/>
        </w:rPr>
        <w:t xml:space="preserve"> </w:t>
      </w:r>
      <w:r>
        <w:rPr>
          <w:rtl/>
          <w:lang w:val="en-GB" w:eastAsia="zh-TW"/>
        </w:rPr>
        <w:t>كما تنظم وتنسق تدابير الطوارئ وتنفذ التدابير الإنسانية اللازمة لحماية السكان في أوقات الأزمات أو الحرب؛</w:t>
      </w:r>
    </w:p>
    <w:p w:rsidR="00182560" w:rsidRPr="007F3B78" w:rsidRDefault="00182560" w:rsidP="00B22594">
      <w:pPr>
        <w:pStyle w:val="Bullet1GA"/>
        <w:bidi/>
        <w:rPr>
          <w:rtl/>
          <w:lang w:val="en-GB" w:eastAsia="zh-TW"/>
        </w:rPr>
      </w:pPr>
      <w:r>
        <w:rPr>
          <w:rtl/>
          <w:lang w:val="en-GB" w:eastAsia="zh-TW"/>
        </w:rPr>
        <w:t>الحرس الوطني للنيجر: تتولى هذه الدائرة مهمة إدارة السجون وتسيير شؤونها والإشراف عليها، بالإضافة إلى مهام حماية المباني العامة والحفاظ على النظام واستعادته وعمليات الدفاع عن الأراضي الوطنية والأشخاص وممتلكاتهم.</w:t>
      </w:r>
      <w:r w:rsidR="00761276">
        <w:rPr>
          <w:rFonts w:hint="cs"/>
          <w:rtl/>
          <w:lang w:val="en-GB" w:eastAsia="zh-TW"/>
        </w:rPr>
        <w:t xml:space="preserve"> </w:t>
      </w:r>
      <w:r>
        <w:rPr>
          <w:rtl/>
          <w:lang w:val="en-GB" w:eastAsia="zh-TW"/>
        </w:rPr>
        <w:t>وعقب الإصلاحات التي أدخلت على هذه المؤسسة، فقد أصبحت تتمتع الآن بصلاحية تلقي الشكاوى التي يقدمها ضحايا انتهاكات حقوق الإنسان في المناطق النائية من النيجر؛</w:t>
      </w:r>
    </w:p>
    <w:p w:rsidR="00182560" w:rsidRPr="007F3B78" w:rsidRDefault="00182560" w:rsidP="00B22594">
      <w:pPr>
        <w:pStyle w:val="Bullet1GA"/>
        <w:bidi/>
        <w:rPr>
          <w:rtl/>
          <w:lang w:val="en-GB" w:eastAsia="zh-TW"/>
        </w:rPr>
      </w:pPr>
      <w:r>
        <w:rPr>
          <w:rtl/>
          <w:lang w:val="en-GB" w:eastAsia="zh-TW"/>
        </w:rPr>
        <w:t>الدائرة التثقيفية والقضائية والوقائية: أنشئت بموجب القرار رقم 0</w:t>
      </w:r>
      <w:r w:rsidR="00761276">
        <w:rPr>
          <w:rtl/>
          <w:lang w:val="en-GB" w:eastAsia="zh-TW"/>
        </w:rPr>
        <w:t>8 الصادر في</w:t>
      </w:r>
      <w:r w:rsidR="00761276">
        <w:rPr>
          <w:rFonts w:hint="cs"/>
          <w:rtl/>
          <w:lang w:val="en-GB" w:eastAsia="zh-TW"/>
        </w:rPr>
        <w:t> </w:t>
      </w:r>
      <w:r>
        <w:rPr>
          <w:rtl/>
          <w:lang w:val="en-GB" w:eastAsia="zh-TW"/>
        </w:rPr>
        <w:t>٣٠ نيسان/أبريل 2007، وهي تخضع لوصاية وزارة السكان والنهوض بالمرأة وحماية الطفل ولها حضور في عدة مدن في البلد لتقديم المساعدة والمشورة إلى القُصّر المخالفين للقانون أو المعرضين للخطر؛</w:t>
      </w:r>
      <w:r w:rsidR="00761276">
        <w:rPr>
          <w:rFonts w:hint="cs"/>
          <w:rtl/>
          <w:lang w:val="en-GB" w:eastAsia="zh-TW"/>
        </w:rPr>
        <w:t xml:space="preserve"> </w:t>
      </w:r>
      <w:r>
        <w:rPr>
          <w:rtl/>
          <w:lang w:val="en-GB" w:eastAsia="zh-TW"/>
        </w:rPr>
        <w:t>ويتمثل دورها أساسا</w:t>
      </w:r>
      <w:r w:rsidR="00761276">
        <w:rPr>
          <w:rFonts w:hint="cs"/>
          <w:rtl/>
          <w:lang w:val="en-GB" w:eastAsia="zh-TW"/>
        </w:rPr>
        <w:t>ً</w:t>
      </w:r>
      <w:r>
        <w:rPr>
          <w:rtl/>
          <w:lang w:val="en-GB" w:eastAsia="zh-TW"/>
        </w:rPr>
        <w:t xml:space="preserve"> في الوقاية والتثقيف، لا</w:t>
      </w:r>
      <w:r w:rsidR="00761276">
        <w:rPr>
          <w:rFonts w:hint="cs"/>
          <w:rtl/>
          <w:lang w:val="en-GB" w:eastAsia="zh-TW"/>
        </w:rPr>
        <w:t xml:space="preserve"> </w:t>
      </w:r>
      <w:r>
        <w:rPr>
          <w:rtl/>
          <w:lang w:val="en-GB" w:eastAsia="zh-TW"/>
        </w:rPr>
        <w:t>سيما عن طريق الرعاية المبكرة لجميع حالات الأطفال المعرضين للخطر وتقديم المساعدة التعليمية للأحداث وإعادة إدماجهم اجتماعياً وإجراء التحقيقات الاجتماعية؛</w:t>
      </w:r>
    </w:p>
    <w:p w:rsidR="00182560" w:rsidRPr="007F3B78" w:rsidRDefault="00182560" w:rsidP="00B22594">
      <w:pPr>
        <w:pStyle w:val="Bullet1GA"/>
        <w:bidi/>
        <w:rPr>
          <w:rtl/>
          <w:lang w:val="en-GB" w:eastAsia="zh-TW"/>
        </w:rPr>
      </w:pPr>
      <w:r>
        <w:rPr>
          <w:rtl/>
          <w:lang w:val="en-GB" w:eastAsia="zh-TW"/>
        </w:rPr>
        <w:t>دائرة الخدمة الاجتماعية الملحقة بالمحاكم ودائرة الخدمات الاجتماعية المجتمعية: تضطلع دائرة الخدمة الاجتماعية الملحقة بالمحاكم بإجراء التحقيق في المسائل الأخلاقية، بناء على طلب القضاة، في إطار النظر في القضايا المطروحة أمامهم.</w:t>
      </w:r>
      <w:r w:rsidR="00761276">
        <w:rPr>
          <w:rFonts w:hint="cs"/>
          <w:rtl/>
          <w:lang w:val="en-GB" w:eastAsia="zh-TW"/>
        </w:rPr>
        <w:t xml:space="preserve"> </w:t>
      </w:r>
    </w:p>
    <w:p w:rsidR="00182560" w:rsidRPr="007F3B78" w:rsidRDefault="00B6758C" w:rsidP="00B22594">
      <w:pPr>
        <w:pStyle w:val="SingleTxtGA"/>
        <w:rPr>
          <w:rtl/>
          <w:lang w:val="en-GB" w:eastAsia="zh-TW"/>
        </w:rPr>
      </w:pPr>
      <w:r>
        <w:rPr>
          <w:rtl/>
          <w:lang w:val="en-GB" w:eastAsia="zh-TW"/>
        </w:rPr>
        <w:t>٤٢-</w:t>
      </w:r>
      <w:r>
        <w:rPr>
          <w:rtl/>
          <w:lang w:val="en-GB" w:eastAsia="zh-TW"/>
        </w:rPr>
        <w:tab/>
      </w:r>
      <w:r w:rsidR="00182560">
        <w:rPr>
          <w:rtl/>
          <w:lang w:val="en-GB" w:eastAsia="zh-TW"/>
        </w:rPr>
        <w:t>أما دائرة الخدمات الاجتماعية المجتمعية، فهي تتولى إجراء تحقيقات بشأن أخلاق الأوصياء على الأطفال وتتوخى التنمية المحلية الشاملة للأشخاص ذوي الإعاقة.</w:t>
      </w:r>
    </w:p>
    <w:p w:rsidR="00182560" w:rsidRPr="007F3B78" w:rsidRDefault="00B6758C" w:rsidP="00B22594">
      <w:pPr>
        <w:pStyle w:val="SingleTxtGA"/>
        <w:rPr>
          <w:rtl/>
          <w:lang w:val="en-GB" w:eastAsia="zh-TW"/>
        </w:rPr>
      </w:pPr>
      <w:r>
        <w:rPr>
          <w:rtl/>
          <w:lang w:val="en-GB" w:eastAsia="zh-TW"/>
        </w:rPr>
        <w:t>٤٣-</w:t>
      </w:r>
      <w:r>
        <w:rPr>
          <w:rtl/>
          <w:lang w:val="en-GB" w:eastAsia="zh-TW"/>
        </w:rPr>
        <w:tab/>
      </w:r>
      <w:r w:rsidR="00182560">
        <w:rPr>
          <w:rtl/>
          <w:lang w:val="en-GB" w:eastAsia="zh-TW"/>
        </w:rPr>
        <w:t>ويمكن الاحتجاج بأحكام صكوك حقوق الإنسان أمام المحاكم أو السلطات الإدارية.</w:t>
      </w:r>
      <w:r w:rsidR="00761276">
        <w:rPr>
          <w:rFonts w:hint="cs"/>
          <w:rtl/>
          <w:lang w:val="en-GB" w:eastAsia="zh-TW"/>
        </w:rPr>
        <w:t xml:space="preserve"> </w:t>
      </w:r>
      <w:r w:rsidR="00182560">
        <w:rPr>
          <w:rtl/>
          <w:lang w:val="en-GB" w:eastAsia="zh-TW"/>
        </w:rPr>
        <w:t>وهناك في النيجر الكثير من السوابق القضائية في هذا الصدد، ولا سيما فيما يتعلق بمصالح الطفل الفضلى والتي يمكن الاحتجاج بها أمام السلطات القضائية والإدارية.</w:t>
      </w:r>
    </w:p>
    <w:p w:rsidR="00182560" w:rsidRPr="00C126A2" w:rsidRDefault="00182560" w:rsidP="00B22594">
      <w:pPr>
        <w:pStyle w:val="H23GA"/>
        <w:rPr>
          <w:rtl/>
          <w:lang w:val="en-GB"/>
        </w:rPr>
      </w:pPr>
      <w:r>
        <w:rPr>
          <w:lang w:val="en-GB"/>
        </w:rPr>
        <w:tab/>
      </w:r>
      <w:r>
        <w:rPr>
          <w:lang w:val="en-GB"/>
        </w:rPr>
        <w:tab/>
      </w:r>
      <w:r>
        <w:rPr>
          <w:rtl/>
          <w:lang w:val="en-GB"/>
        </w:rPr>
        <w:t>الوصول إلى العدالة</w:t>
      </w:r>
    </w:p>
    <w:p w:rsidR="00182560" w:rsidRPr="00DE6869" w:rsidRDefault="00B6758C" w:rsidP="00B22594">
      <w:pPr>
        <w:pStyle w:val="SingleTxtGA"/>
        <w:rPr>
          <w:spacing w:val="-4"/>
          <w:rtl/>
          <w:lang w:val="en-GB" w:eastAsia="zh-TW"/>
        </w:rPr>
      </w:pPr>
      <w:r w:rsidRPr="00DE6869">
        <w:rPr>
          <w:spacing w:val="-4"/>
          <w:rtl/>
          <w:lang w:val="en-GB" w:eastAsia="zh-TW"/>
        </w:rPr>
        <w:t>٤٤-</w:t>
      </w:r>
      <w:r w:rsidRPr="00DE6869">
        <w:rPr>
          <w:spacing w:val="-4"/>
          <w:rtl/>
          <w:lang w:val="en-GB" w:eastAsia="zh-TW"/>
        </w:rPr>
        <w:tab/>
      </w:r>
      <w:r w:rsidR="00182560" w:rsidRPr="00DE6869">
        <w:rPr>
          <w:spacing w:val="-4"/>
          <w:rtl/>
          <w:lang w:val="en-GB" w:eastAsia="zh-TW"/>
        </w:rPr>
        <w:t>الوصول إلى العدالة متاح للجميع بالمجان.</w:t>
      </w:r>
      <w:r w:rsidR="00761276" w:rsidRPr="00DE6869">
        <w:rPr>
          <w:rFonts w:hint="cs"/>
          <w:spacing w:val="-4"/>
          <w:rtl/>
          <w:lang w:val="en-GB" w:eastAsia="zh-TW"/>
        </w:rPr>
        <w:t xml:space="preserve"> </w:t>
      </w:r>
      <w:r w:rsidR="00182560" w:rsidRPr="00DE6869">
        <w:rPr>
          <w:spacing w:val="-4"/>
          <w:rtl/>
          <w:lang w:val="en-GB" w:eastAsia="zh-TW"/>
        </w:rPr>
        <w:t>وقد أُدرج الإعلان العالمي لحقوق الإنسان في النظام القانوني المحلي في النيجر ويمكن الاحتجاج به أمام محاكم النيجر مثلما يُحتج باستمرار باتفاقية حقوق الطفل عندما يتعلق الأمر بمصالح الطفل الفضلى، لا سيما في مسألتي التبني والحضانة.</w:t>
      </w:r>
    </w:p>
    <w:p w:rsidR="00182560" w:rsidRPr="00C126A2" w:rsidRDefault="00B6758C" w:rsidP="00773822">
      <w:pPr>
        <w:pStyle w:val="SingleTxtGA"/>
        <w:rPr>
          <w:rtl/>
          <w:lang w:val="en-GB" w:eastAsia="zh-TW"/>
        </w:rPr>
      </w:pPr>
      <w:r>
        <w:rPr>
          <w:rtl/>
          <w:lang w:val="en-GB" w:eastAsia="zh-TW"/>
        </w:rPr>
        <w:t>٤٥-</w:t>
      </w:r>
      <w:r>
        <w:rPr>
          <w:rtl/>
          <w:lang w:val="en-GB" w:eastAsia="zh-TW"/>
        </w:rPr>
        <w:tab/>
      </w:r>
      <w:r w:rsidR="00182560">
        <w:rPr>
          <w:rtl/>
          <w:lang w:val="en-GB" w:eastAsia="zh-TW"/>
        </w:rPr>
        <w:t>الوكالة الوطنية للمساعدة القانونية والقضائية: أنش</w:t>
      </w:r>
      <w:r w:rsidR="00761276">
        <w:rPr>
          <w:rtl/>
          <w:lang w:val="en-GB" w:eastAsia="zh-TW"/>
        </w:rPr>
        <w:t>ئت هذه الهيئة بموجب القانون رقم</w:t>
      </w:r>
      <w:r w:rsidR="00761276">
        <w:rPr>
          <w:rFonts w:hint="cs"/>
          <w:rtl/>
          <w:lang w:val="en-GB" w:eastAsia="zh-TW"/>
        </w:rPr>
        <w:t> </w:t>
      </w:r>
      <w:r w:rsidR="00773822">
        <w:rPr>
          <w:rFonts w:hint="cs"/>
          <w:rtl/>
          <w:lang w:val="en-GB" w:eastAsia="zh-TW"/>
        </w:rPr>
        <w:t>2011-042</w:t>
      </w:r>
      <w:r w:rsidR="00182560">
        <w:rPr>
          <w:rtl/>
          <w:lang w:val="en-GB" w:eastAsia="zh-TW"/>
        </w:rPr>
        <w:t xml:space="preserve"> الصادر في 14 كانون الأول/ديسمبر 2011 والذي يحدد القواعد المطبقة على المساعدة القانونية والقضائية.</w:t>
      </w:r>
      <w:r w:rsidR="00761276">
        <w:rPr>
          <w:rFonts w:hint="cs"/>
          <w:rtl/>
          <w:lang w:val="en-GB" w:eastAsia="zh-TW"/>
        </w:rPr>
        <w:t xml:space="preserve"> </w:t>
      </w:r>
      <w:r w:rsidR="00182560">
        <w:rPr>
          <w:rtl/>
          <w:lang w:val="en-GB" w:eastAsia="zh-TW"/>
        </w:rPr>
        <w:t>وتتمثل مهمتها في توفير المساعدة القانونية والقضائية لفئات محددة من الأشخاص ضعفاء الحال وللذين يفتقرون إلى الدخل اللازم لتغطية تكاليف المحاكمة.</w:t>
      </w:r>
      <w:r w:rsidR="00761276">
        <w:rPr>
          <w:rFonts w:hint="cs"/>
          <w:rtl/>
          <w:lang w:val="en-GB" w:eastAsia="zh-TW"/>
        </w:rPr>
        <w:t xml:space="preserve"> </w:t>
      </w:r>
      <w:r w:rsidR="00182560">
        <w:rPr>
          <w:rtl/>
          <w:lang w:val="en-GB" w:eastAsia="zh-TW"/>
        </w:rPr>
        <w:t xml:space="preserve">وتسهم الوكالة في وضع وتنفيذ سياسات وطنية في مجال المساعدة القانونية والقضائية، وتنسق </w:t>
      </w:r>
      <w:r w:rsidR="00182560">
        <w:rPr>
          <w:rtl/>
          <w:lang w:val="en-GB" w:eastAsia="zh-TW"/>
        </w:rPr>
        <w:lastRenderedPageBreak/>
        <w:t>جميع الأنشطة المضطلع بها في هذا الصدد.</w:t>
      </w:r>
      <w:r w:rsidR="00761276">
        <w:rPr>
          <w:rFonts w:hint="cs"/>
          <w:rtl/>
          <w:lang w:val="en-GB" w:eastAsia="zh-TW"/>
        </w:rPr>
        <w:t xml:space="preserve"> </w:t>
      </w:r>
      <w:r w:rsidR="00182560">
        <w:rPr>
          <w:rtl/>
          <w:lang w:val="en-GB" w:eastAsia="zh-TW"/>
        </w:rPr>
        <w:t xml:space="preserve">وهي مسؤولة </w:t>
      </w:r>
      <w:r w:rsidR="007C3A46">
        <w:rPr>
          <w:rtl/>
          <w:lang w:val="en-GB" w:eastAsia="zh-TW"/>
        </w:rPr>
        <w:t>أيضاً</w:t>
      </w:r>
      <w:r w:rsidR="00182560">
        <w:rPr>
          <w:rtl/>
          <w:lang w:val="en-GB" w:eastAsia="zh-TW"/>
        </w:rPr>
        <w:t xml:space="preserve"> عن وضع إطار للتشاور بين مختلف الجهات الفاعلة، وحشد الموارد المالية والمادية والبشرية.</w:t>
      </w:r>
    </w:p>
    <w:p w:rsidR="00182560" w:rsidRDefault="00B6758C" w:rsidP="00B22594">
      <w:pPr>
        <w:pStyle w:val="SingleTxtGA"/>
        <w:rPr>
          <w:rtl/>
          <w:lang w:val="en-GB" w:eastAsia="zh-TW"/>
        </w:rPr>
      </w:pPr>
      <w:r>
        <w:rPr>
          <w:rtl/>
          <w:lang w:val="en-GB" w:eastAsia="zh-TW"/>
        </w:rPr>
        <w:t>٤٦-</w:t>
      </w:r>
      <w:r>
        <w:rPr>
          <w:rtl/>
          <w:lang w:val="en-GB" w:eastAsia="zh-TW"/>
        </w:rPr>
        <w:tab/>
      </w:r>
      <w:r w:rsidR="00182560">
        <w:rPr>
          <w:rtl/>
          <w:lang w:val="en-GB" w:eastAsia="zh-TW"/>
        </w:rPr>
        <w:t>وعلى الرغم من الاعتراف بهذا المبدأ، تظل هناك بعض الصعوبات الناجمة عن بعد الدوائر القضائية عن المتقاضين واتساع رقعة بعض المناطق الريفية المعزولة التي يصعب الوصول إليها، خاصة في موسم الأمطار.</w:t>
      </w:r>
      <w:r w:rsidR="00761276">
        <w:rPr>
          <w:rFonts w:hint="cs"/>
          <w:rtl/>
          <w:lang w:val="en-GB" w:eastAsia="zh-TW"/>
        </w:rPr>
        <w:t xml:space="preserve"> </w:t>
      </w:r>
      <w:r w:rsidR="00182560">
        <w:rPr>
          <w:rtl/>
          <w:lang w:val="en-GB" w:eastAsia="zh-TW"/>
        </w:rPr>
        <w:t>ويُضاف إلى هذه الصعوبات بطء الإجراءات القضائية، وطغيان الطابع التقني على اللغة القانونية وصعوبة فهمها، وارتفاع معدل الأمية في أوساط سكان النيجر.</w:t>
      </w:r>
    </w:p>
    <w:p w:rsidR="00182560" w:rsidRPr="00C126A2" w:rsidRDefault="00182560" w:rsidP="00B22594">
      <w:pPr>
        <w:pStyle w:val="H23GA"/>
        <w:rPr>
          <w:rtl/>
          <w:lang w:val="en-GB"/>
        </w:rPr>
      </w:pPr>
      <w:r>
        <w:rPr>
          <w:lang w:val="en-GB"/>
        </w:rPr>
        <w:tab/>
      </w:r>
      <w:r>
        <w:rPr>
          <w:lang w:val="en-GB"/>
        </w:rPr>
        <w:tab/>
      </w:r>
      <w:r>
        <w:rPr>
          <w:rtl/>
          <w:lang w:val="en-GB"/>
        </w:rPr>
        <w:t>الهيئات الإقليمية التي يعترف بها البلد</w:t>
      </w:r>
    </w:p>
    <w:p w:rsidR="00182560" w:rsidRPr="00C126A2" w:rsidRDefault="00B6758C" w:rsidP="00B22594">
      <w:pPr>
        <w:pStyle w:val="SingleTxtGA"/>
        <w:rPr>
          <w:rtl/>
          <w:lang w:val="en-GB" w:eastAsia="zh-TW"/>
        </w:rPr>
      </w:pPr>
      <w:r>
        <w:rPr>
          <w:rtl/>
          <w:lang w:val="en-GB" w:eastAsia="zh-TW"/>
        </w:rPr>
        <w:t>٤٧-</w:t>
      </w:r>
      <w:r>
        <w:rPr>
          <w:rtl/>
          <w:lang w:val="en-GB" w:eastAsia="zh-TW"/>
        </w:rPr>
        <w:tab/>
      </w:r>
      <w:r w:rsidR="00182560">
        <w:rPr>
          <w:rtl/>
          <w:lang w:val="en-GB" w:eastAsia="zh-TW"/>
        </w:rPr>
        <w:t>يعترف النيجر باختصاص محكمة العدل التابعة للجماعة الاقتصادية لدول غرب أفريقيا.</w:t>
      </w:r>
      <w:r w:rsidR="00761276">
        <w:rPr>
          <w:rFonts w:hint="cs"/>
          <w:rtl/>
          <w:lang w:val="en-GB" w:eastAsia="zh-TW"/>
        </w:rPr>
        <w:t xml:space="preserve"> </w:t>
      </w:r>
      <w:r w:rsidR="00182560">
        <w:rPr>
          <w:rtl/>
          <w:lang w:val="en-GB" w:eastAsia="zh-TW"/>
        </w:rPr>
        <w:t>فعلى سبيل المثال، لجأت المواطنة النيجرية خديجت</w:t>
      </w:r>
      <w:r w:rsidR="00761276">
        <w:rPr>
          <w:rtl/>
          <w:lang w:val="en-GB" w:eastAsia="zh-TW"/>
        </w:rPr>
        <w:t>و ماني كوراو في 14 أيلول/</w:t>
      </w:r>
      <w:r w:rsidR="00761276">
        <w:rPr>
          <w:rFonts w:hint="cs"/>
          <w:rtl/>
          <w:lang w:val="en-GB" w:eastAsia="zh-TW"/>
        </w:rPr>
        <w:t xml:space="preserve"> </w:t>
      </w:r>
      <w:r w:rsidR="00761276">
        <w:rPr>
          <w:rtl/>
          <w:lang w:val="en-GB" w:eastAsia="zh-TW"/>
        </w:rPr>
        <w:t>سبتمبر</w:t>
      </w:r>
      <w:r w:rsidR="00761276">
        <w:rPr>
          <w:rFonts w:hint="cs"/>
          <w:rtl/>
          <w:lang w:val="en-GB" w:eastAsia="zh-TW"/>
        </w:rPr>
        <w:t> </w:t>
      </w:r>
      <w:r w:rsidR="00182560">
        <w:rPr>
          <w:rtl/>
          <w:lang w:val="en-GB" w:eastAsia="zh-TW"/>
        </w:rPr>
        <w:t>2007 إلى هذه المحكمة بغرض إدانة جمهورية النيجر بتهم منها على وجه الخصوص انتهاكها لحقوقها (الرق).</w:t>
      </w:r>
      <w:r w:rsidR="00761276">
        <w:rPr>
          <w:rFonts w:hint="cs"/>
          <w:rtl/>
          <w:lang w:val="en-GB" w:eastAsia="zh-TW"/>
        </w:rPr>
        <w:t xml:space="preserve"> </w:t>
      </w:r>
      <w:r w:rsidR="00182560">
        <w:rPr>
          <w:rtl/>
          <w:lang w:val="en-GB" w:eastAsia="zh-TW"/>
        </w:rPr>
        <w:t>وقد أقرت المحكمة الأضرار التي تعرضت لها هذه المرأة الشابة وحكمت على دولة النيجر بمنحها مبلغ 10 ملايين فرنك من فرنكات الجماعة المالية الأفريقية كتعويض عن الضرر الذي لحق بها.</w:t>
      </w:r>
      <w:r w:rsidR="008358CC">
        <w:rPr>
          <w:rFonts w:hint="cs"/>
          <w:rtl/>
          <w:lang w:val="en-GB" w:eastAsia="zh-TW"/>
        </w:rPr>
        <w:t xml:space="preserve"> </w:t>
      </w:r>
      <w:r w:rsidR="00182560">
        <w:rPr>
          <w:rtl/>
          <w:lang w:val="en-GB" w:eastAsia="zh-TW"/>
        </w:rPr>
        <w:t>وقد نُفذ ذلك الحكم.</w:t>
      </w:r>
      <w:r w:rsidR="008358CC">
        <w:rPr>
          <w:rFonts w:hint="cs"/>
          <w:rtl/>
          <w:lang w:val="en-GB" w:eastAsia="zh-TW"/>
        </w:rPr>
        <w:t xml:space="preserve"> </w:t>
      </w:r>
      <w:r w:rsidR="00182560">
        <w:rPr>
          <w:rtl/>
          <w:lang w:val="en-GB" w:eastAsia="zh-TW"/>
        </w:rPr>
        <w:t>ومن المهم الإشارة إلى أن مواطني النيجر كثيراً ما يلجؤون إلى هذه المحكمة.</w:t>
      </w:r>
      <w:r w:rsidR="008358CC">
        <w:rPr>
          <w:rFonts w:hint="cs"/>
          <w:rtl/>
          <w:lang w:val="en-GB" w:eastAsia="zh-TW"/>
        </w:rPr>
        <w:t xml:space="preserve"> </w:t>
      </w:r>
    </w:p>
    <w:p w:rsidR="00182560" w:rsidRPr="002A13CE" w:rsidRDefault="008358CC" w:rsidP="009155C9">
      <w:pPr>
        <w:pStyle w:val="H1GA"/>
        <w:rPr>
          <w:rtl/>
          <w:lang w:val="en-GB" w:eastAsia="zh-TW"/>
        </w:rPr>
      </w:pPr>
      <w:bookmarkStart w:id="35" w:name="_Toc485025643"/>
      <w:bookmarkStart w:id="36" w:name="_Toc485026227"/>
      <w:bookmarkStart w:id="37" w:name="_Toc485026305"/>
      <w:r>
        <w:rPr>
          <w:rtl/>
          <w:lang w:val="en-GB" w:eastAsia="zh-TW"/>
        </w:rPr>
        <w:tab/>
      </w:r>
      <w:r w:rsidR="00182560">
        <w:rPr>
          <w:rtl/>
          <w:lang w:val="en-GB" w:eastAsia="zh-TW"/>
        </w:rPr>
        <w:t>جيم-</w:t>
      </w:r>
      <w:r>
        <w:rPr>
          <w:rtl/>
          <w:lang w:val="en-GB" w:eastAsia="zh-TW"/>
        </w:rPr>
        <w:tab/>
      </w:r>
      <w:r w:rsidR="00182560">
        <w:rPr>
          <w:rtl/>
          <w:lang w:val="en-GB" w:eastAsia="zh-TW"/>
        </w:rPr>
        <w:t>إطار تعزيز حقوق الإنسان على المستوى الوطني</w:t>
      </w:r>
      <w:bookmarkEnd w:id="35"/>
      <w:bookmarkEnd w:id="36"/>
      <w:bookmarkEnd w:id="37"/>
    </w:p>
    <w:p w:rsidR="00182560" w:rsidRPr="00C126A2" w:rsidRDefault="00182560" w:rsidP="008358CC">
      <w:pPr>
        <w:pStyle w:val="H23GA"/>
        <w:rPr>
          <w:rtl/>
          <w:lang w:val="en-GB"/>
        </w:rPr>
      </w:pPr>
      <w:r>
        <w:rPr>
          <w:lang w:val="en-GB"/>
        </w:rPr>
        <w:tab/>
      </w:r>
      <w:r>
        <w:rPr>
          <w:lang w:val="en-GB"/>
        </w:rPr>
        <w:tab/>
      </w:r>
      <w:r>
        <w:rPr>
          <w:rtl/>
          <w:lang w:val="en-GB"/>
        </w:rPr>
        <w:t>البرلمانات والهيئات التداولية الوطنية والإقليمية</w:t>
      </w:r>
    </w:p>
    <w:p w:rsidR="00182560" w:rsidRPr="00C126A2" w:rsidRDefault="00B6758C" w:rsidP="008358CC">
      <w:pPr>
        <w:pStyle w:val="SingleTxtGA"/>
        <w:rPr>
          <w:rtl/>
          <w:lang w:val="en-GB" w:eastAsia="zh-TW"/>
        </w:rPr>
      </w:pPr>
      <w:r>
        <w:rPr>
          <w:rtl/>
          <w:lang w:val="en-GB" w:eastAsia="zh-TW"/>
        </w:rPr>
        <w:t>٤٨-</w:t>
      </w:r>
      <w:r>
        <w:rPr>
          <w:rtl/>
          <w:lang w:val="en-GB" w:eastAsia="zh-TW"/>
        </w:rPr>
        <w:tab/>
      </w:r>
      <w:r w:rsidR="00182560">
        <w:rPr>
          <w:rtl/>
          <w:lang w:val="en-GB" w:eastAsia="zh-TW"/>
        </w:rPr>
        <w:t>يساهم البرلمانيون، وفقاً للمسؤوليات المنوطة بهم، في تعزيز حقوق الإنسان من خلال تيسير التصديق على المعاهدات الدولية أو مراقبة العمل الحكومي عن طريق إجراء الاستجوابات وطرح الأسئلة الشفوية بشأن الانتهاكات المزعومة لحقوق الإنسان.</w:t>
      </w:r>
      <w:r w:rsidR="008358CC">
        <w:rPr>
          <w:rFonts w:hint="cs"/>
          <w:rtl/>
          <w:lang w:val="en-GB" w:eastAsia="zh-TW"/>
        </w:rPr>
        <w:t xml:space="preserve"> </w:t>
      </w:r>
      <w:r w:rsidR="00182560">
        <w:rPr>
          <w:rtl/>
          <w:lang w:val="en-GB" w:eastAsia="zh-TW"/>
        </w:rPr>
        <w:t>ويجرون تحقيقات برلمانية للتأكد من حالات الانتهاكات التي تناهت إلى علمهم ويضطلعون بمهمة الوساطة في هذا الصدد.</w:t>
      </w:r>
    </w:p>
    <w:p w:rsidR="00182560" w:rsidRPr="00C126A2" w:rsidRDefault="00B6758C" w:rsidP="00B22594">
      <w:pPr>
        <w:pStyle w:val="SingleTxtGA"/>
        <w:rPr>
          <w:rtl/>
          <w:lang w:val="en-GB" w:eastAsia="zh-TW"/>
        </w:rPr>
      </w:pPr>
      <w:r>
        <w:rPr>
          <w:rtl/>
          <w:lang w:val="en-GB" w:eastAsia="zh-TW"/>
        </w:rPr>
        <w:t>٤٩-</w:t>
      </w:r>
      <w:r>
        <w:rPr>
          <w:rtl/>
          <w:lang w:val="en-GB" w:eastAsia="zh-TW"/>
        </w:rPr>
        <w:tab/>
      </w:r>
      <w:r w:rsidR="00182560">
        <w:rPr>
          <w:rtl/>
          <w:lang w:val="en-GB" w:eastAsia="zh-TW"/>
        </w:rPr>
        <w:t>وبغية بناء قدرات البرلمانيين، نُظّمت لأعضاء البرلمان أيام برلمانية في مجالات الإعلام والتدريب والتوعية.</w:t>
      </w:r>
      <w:r w:rsidR="008358CC">
        <w:rPr>
          <w:rFonts w:hint="cs"/>
          <w:rtl/>
          <w:lang w:val="en-GB" w:eastAsia="zh-TW"/>
        </w:rPr>
        <w:t xml:space="preserve"> </w:t>
      </w:r>
      <w:r w:rsidR="00182560">
        <w:rPr>
          <w:rtl/>
          <w:lang w:val="en-GB" w:eastAsia="zh-TW"/>
        </w:rPr>
        <w:t>وفي هذا السياق، تعتزم وزارة العدل، بالتعاون مع شركائها التقنيين والماليين وفي إطار خطة العمل المطبقة، تنظيم يوم لتدريب البرلمانيين وتوعيتهم بشأن معايير حقوق الإنسان.</w:t>
      </w:r>
    </w:p>
    <w:p w:rsidR="00182560" w:rsidRPr="00C126A2" w:rsidRDefault="00B6758C" w:rsidP="002E6800">
      <w:pPr>
        <w:pStyle w:val="SingleTxtGA"/>
        <w:rPr>
          <w:rtl/>
          <w:lang w:val="en-GB" w:eastAsia="zh-TW"/>
        </w:rPr>
      </w:pPr>
      <w:r>
        <w:rPr>
          <w:rtl/>
          <w:lang w:val="en-GB" w:eastAsia="zh-TW"/>
        </w:rPr>
        <w:t>٥٠-</w:t>
      </w:r>
      <w:r>
        <w:rPr>
          <w:rtl/>
          <w:lang w:val="en-GB" w:eastAsia="zh-TW"/>
        </w:rPr>
        <w:tab/>
      </w:r>
      <w:r w:rsidR="00182560">
        <w:rPr>
          <w:rtl/>
          <w:lang w:val="en-GB" w:eastAsia="zh-TW"/>
        </w:rPr>
        <w:t>ومنذ الانقلاب الذي وقع في شباط/فبراير 2010، حُلّت اللجنة الوطنية لحقوق الإنسان والحريات الأساسية وحل محلها المرصد الوطني لحقوق الإنسان والحريات الأساسية.</w:t>
      </w:r>
      <w:r w:rsidR="008358CC">
        <w:rPr>
          <w:rFonts w:hint="cs"/>
          <w:rtl/>
          <w:lang w:val="en-GB" w:eastAsia="zh-TW"/>
        </w:rPr>
        <w:t xml:space="preserve"> </w:t>
      </w:r>
      <w:r w:rsidR="00182560">
        <w:rPr>
          <w:rtl/>
          <w:lang w:val="en-GB" w:eastAsia="zh-TW"/>
        </w:rPr>
        <w:t>وهو عبارة عن سلطة إدارية تسهر على حماية الحقوق والحريات وإعمالها.</w:t>
      </w:r>
      <w:r w:rsidR="008358CC">
        <w:rPr>
          <w:rFonts w:hint="cs"/>
          <w:rtl/>
          <w:lang w:val="en-GB" w:eastAsia="zh-TW"/>
        </w:rPr>
        <w:t xml:space="preserve"> </w:t>
      </w:r>
      <w:r w:rsidR="00182560">
        <w:rPr>
          <w:rtl/>
          <w:lang w:val="en-GB" w:eastAsia="zh-TW"/>
        </w:rPr>
        <w:t xml:space="preserve">وقد أُنشئ المرصد في 30 آذار/مارس 2010 بموجب الأمر رقم </w:t>
      </w:r>
      <w:r w:rsidR="002E6800">
        <w:rPr>
          <w:rFonts w:hint="cs"/>
          <w:rtl/>
          <w:lang w:val="en-GB" w:eastAsia="zh-TW"/>
        </w:rPr>
        <w:t>2010-27</w:t>
      </w:r>
      <w:r w:rsidR="00182560">
        <w:rPr>
          <w:rtl/>
          <w:lang w:val="en-GB" w:eastAsia="zh-TW"/>
        </w:rPr>
        <w:t xml:space="preserve"> المؤرخ 20 أيار/مايو 2010 والمعدل بموجب الأمر رقم </w:t>
      </w:r>
      <w:r w:rsidR="002E6800">
        <w:rPr>
          <w:rFonts w:hint="cs"/>
          <w:rtl/>
          <w:lang w:val="en-GB" w:eastAsia="zh-TW"/>
        </w:rPr>
        <w:t>2010-45</w:t>
      </w:r>
      <w:r w:rsidR="00182560">
        <w:rPr>
          <w:rtl/>
          <w:lang w:val="en-GB" w:eastAsia="zh-TW"/>
        </w:rPr>
        <w:t xml:space="preserve"> المؤرخ 20 تموز/يوليه </w:t>
      </w:r>
      <w:r w:rsidR="008358CC">
        <w:rPr>
          <w:rtl/>
          <w:lang w:val="en-GB" w:eastAsia="zh-TW"/>
        </w:rPr>
        <w:t>2010، وبدأ عمله في أيلول/</w:t>
      </w:r>
      <w:r w:rsidR="008358CC">
        <w:rPr>
          <w:rFonts w:hint="cs"/>
          <w:rtl/>
          <w:lang w:val="en-GB" w:eastAsia="zh-TW"/>
        </w:rPr>
        <w:t xml:space="preserve"> </w:t>
      </w:r>
      <w:r w:rsidR="008358CC">
        <w:rPr>
          <w:rtl/>
          <w:lang w:val="en-GB" w:eastAsia="zh-TW"/>
        </w:rPr>
        <w:t>سبتمبر</w:t>
      </w:r>
      <w:r w:rsidR="008358CC">
        <w:rPr>
          <w:rFonts w:hint="cs"/>
          <w:rtl/>
          <w:lang w:val="en-GB" w:eastAsia="zh-TW"/>
        </w:rPr>
        <w:t> </w:t>
      </w:r>
      <w:r w:rsidR="00182560">
        <w:rPr>
          <w:rtl/>
          <w:lang w:val="en-GB" w:eastAsia="zh-TW"/>
        </w:rPr>
        <w:t xml:space="preserve">2010 وهو يضم اثني عشر عضواً ينتمي عشرة منهم إلى المجتمع المدني (رابطة المحامين، والاتحاد النسائي والجمعيات النسائية المعنية بتعزيز وحماية حقوق الإنسان، والصحافة، وكلية </w:t>
      </w:r>
      <w:r w:rsidR="00182560">
        <w:rPr>
          <w:rtl/>
          <w:lang w:val="en-GB" w:eastAsia="zh-TW"/>
        </w:rPr>
        <w:lastRenderedPageBreak/>
        <w:t>العلوم الاقتصادية والقانونية، ونقابة الأطباء، والاتحادات العمالية، وتجمع منظمات وجمعيات الدفاع عن حقوق الإنسان وتعزيز الديمقراطية، وجمعية الزعماء التقليديين).</w:t>
      </w:r>
    </w:p>
    <w:p w:rsidR="00182560" w:rsidRPr="00083A80" w:rsidRDefault="00B6758C" w:rsidP="00B22594">
      <w:pPr>
        <w:pStyle w:val="SingleTxtGA"/>
        <w:rPr>
          <w:rtl/>
          <w:lang w:val="en-GB" w:eastAsia="zh-TW"/>
        </w:rPr>
      </w:pPr>
      <w:r>
        <w:rPr>
          <w:rtl/>
          <w:lang w:val="en-GB" w:eastAsia="zh-TW"/>
        </w:rPr>
        <w:t>٥١-</w:t>
      </w:r>
      <w:r>
        <w:rPr>
          <w:rtl/>
          <w:lang w:val="en-GB" w:eastAsia="zh-TW"/>
        </w:rPr>
        <w:tab/>
      </w:r>
      <w:r w:rsidR="00182560">
        <w:rPr>
          <w:rtl/>
          <w:lang w:val="en-GB" w:eastAsia="zh-TW"/>
        </w:rPr>
        <w:t>وفي عام 2012، حلت محل المرصد الوطني لحقوق الإنسان والحريات الأساسية اللجنة الوطنية لحقوق الإنسان المنصوص عليها في المادة 44 من الدستور.</w:t>
      </w:r>
      <w:r w:rsidR="008358CC">
        <w:rPr>
          <w:rFonts w:hint="cs"/>
          <w:rtl/>
          <w:lang w:val="en-GB" w:eastAsia="zh-TW"/>
        </w:rPr>
        <w:t xml:space="preserve"> </w:t>
      </w:r>
      <w:r w:rsidR="00182560">
        <w:rPr>
          <w:rtl/>
          <w:lang w:val="en-GB" w:eastAsia="zh-TW"/>
        </w:rPr>
        <w:t>وتسهر اللجنة على النهوض بالحقوق والحريات وإعمالها.</w:t>
      </w:r>
      <w:r w:rsidR="008358CC">
        <w:rPr>
          <w:rFonts w:hint="cs"/>
          <w:rtl/>
          <w:lang w:val="en-GB" w:eastAsia="zh-TW"/>
        </w:rPr>
        <w:t xml:space="preserve"> </w:t>
      </w:r>
      <w:r w:rsidR="00182560">
        <w:rPr>
          <w:rtl/>
          <w:lang w:val="en-GB" w:eastAsia="zh-TW"/>
        </w:rPr>
        <w:t>وهي سلطة إدارية مستقلة منشأة وفقاً لمبادئ باريس.</w:t>
      </w:r>
      <w:r w:rsidR="008358CC">
        <w:rPr>
          <w:rFonts w:hint="cs"/>
          <w:rtl/>
          <w:lang w:val="en-GB" w:eastAsia="zh-TW"/>
        </w:rPr>
        <w:t xml:space="preserve"> </w:t>
      </w:r>
      <w:r w:rsidR="00182560">
        <w:rPr>
          <w:rtl/>
          <w:lang w:val="en-GB" w:eastAsia="zh-TW"/>
        </w:rPr>
        <w:t>وينص القانون على أن تقدم اللجنة إلى الجمعية الوطنية تقريراً سنوياً عن حقوق الإنسان.</w:t>
      </w:r>
    </w:p>
    <w:p w:rsidR="00182560" w:rsidRPr="00C126A2" w:rsidRDefault="00182560" w:rsidP="00B22594">
      <w:pPr>
        <w:pStyle w:val="H23GA"/>
        <w:rPr>
          <w:rtl/>
          <w:lang w:val="en-GB"/>
        </w:rPr>
      </w:pPr>
      <w:r>
        <w:rPr>
          <w:lang w:val="en-GB"/>
        </w:rPr>
        <w:tab/>
      </w:r>
      <w:r>
        <w:rPr>
          <w:lang w:val="en-GB"/>
        </w:rPr>
        <w:tab/>
      </w:r>
      <w:r>
        <w:rPr>
          <w:rtl/>
          <w:lang w:val="en-GB"/>
        </w:rPr>
        <w:t>نشر الصكوك المتعلقة بحقوق الإنسان</w:t>
      </w:r>
    </w:p>
    <w:p w:rsidR="00182560" w:rsidRPr="00083A80" w:rsidRDefault="00B6758C" w:rsidP="00B22594">
      <w:pPr>
        <w:pStyle w:val="SingleTxtGA"/>
        <w:rPr>
          <w:rtl/>
          <w:lang w:val="en-GB" w:eastAsia="zh-TW"/>
        </w:rPr>
      </w:pPr>
      <w:r>
        <w:rPr>
          <w:rtl/>
          <w:lang w:val="en-GB" w:eastAsia="zh-TW"/>
        </w:rPr>
        <w:t>٥٢-</w:t>
      </w:r>
      <w:r>
        <w:rPr>
          <w:rtl/>
          <w:lang w:val="en-GB" w:eastAsia="zh-TW"/>
        </w:rPr>
        <w:tab/>
      </w:r>
      <w:r w:rsidR="00182560">
        <w:rPr>
          <w:rtl/>
          <w:lang w:val="en-GB" w:eastAsia="zh-TW"/>
        </w:rPr>
        <w:t>نُفّذت خلال السنوات الأخيرة أنشطة التوعية والتثقيف التالي ذكرها:</w:t>
      </w:r>
    </w:p>
    <w:p w:rsidR="00182560" w:rsidRPr="00083A80" w:rsidRDefault="00182560" w:rsidP="00B22594">
      <w:pPr>
        <w:pStyle w:val="Bullet1GA"/>
        <w:bidi/>
        <w:rPr>
          <w:rtl/>
          <w:lang w:val="en-GB" w:eastAsia="zh-TW"/>
        </w:rPr>
      </w:pPr>
      <w:r>
        <w:rPr>
          <w:rtl/>
          <w:lang w:val="en-GB" w:eastAsia="zh-TW"/>
        </w:rPr>
        <w:t>تدريب أطر جميع الوزارات على النهج القائم على حقوق الإنسان وبشأن هيئات المعاهدات؛</w:t>
      </w:r>
    </w:p>
    <w:p w:rsidR="00182560" w:rsidRPr="00083A80" w:rsidRDefault="00182560" w:rsidP="00B22594">
      <w:pPr>
        <w:pStyle w:val="Bullet1GA"/>
        <w:bidi/>
        <w:rPr>
          <w:rtl/>
          <w:lang w:val="en-GB" w:eastAsia="zh-TW"/>
        </w:rPr>
      </w:pPr>
      <w:r>
        <w:rPr>
          <w:rtl/>
          <w:lang w:val="en-GB" w:eastAsia="zh-TW"/>
        </w:rPr>
        <w:t>تدريب قوات الدفاع والأمن في مجال حقوق الإنسان؛</w:t>
      </w:r>
    </w:p>
    <w:p w:rsidR="00182560" w:rsidRPr="00083A80" w:rsidRDefault="00182560" w:rsidP="00B22594">
      <w:pPr>
        <w:pStyle w:val="Bullet1GA"/>
        <w:bidi/>
        <w:rPr>
          <w:rtl/>
          <w:lang w:val="en-GB" w:eastAsia="zh-TW"/>
        </w:rPr>
      </w:pPr>
      <w:r>
        <w:rPr>
          <w:rtl/>
          <w:lang w:val="en-GB" w:eastAsia="zh-TW"/>
        </w:rPr>
        <w:t>القيام بأنشطة في سياق الاحتفال بحملة الستة عشر يوماً من النشاط للنضال في سبيل حقوق المرأة (من 25 تشرين الثاني/نوفمبر إلى 10 كانون الأول/</w:t>
      </w:r>
      <w:r w:rsidR="00D01DFE">
        <w:rPr>
          <w:rFonts w:hint="cs"/>
          <w:rtl/>
          <w:lang w:val="en-GB" w:eastAsia="zh-TW"/>
        </w:rPr>
        <w:t xml:space="preserve"> </w:t>
      </w:r>
      <w:r>
        <w:rPr>
          <w:rtl/>
          <w:lang w:val="en-GB" w:eastAsia="zh-TW"/>
        </w:rPr>
        <w:t>ديسمبر من كل سنة)، وهي مبادرة تأتي في إطار التشاور الذي يجمع بين الدولة والمجتمع المدني والشركاء التقنيين والماليين؛</w:t>
      </w:r>
    </w:p>
    <w:p w:rsidR="00182560" w:rsidRPr="00083A80" w:rsidRDefault="00182560" w:rsidP="00B22594">
      <w:pPr>
        <w:pStyle w:val="Bullet1GA"/>
        <w:bidi/>
        <w:rPr>
          <w:rtl/>
          <w:lang w:val="en-GB" w:eastAsia="zh-TW"/>
        </w:rPr>
      </w:pPr>
      <w:r>
        <w:rPr>
          <w:rtl/>
          <w:lang w:val="en-GB" w:eastAsia="zh-TW"/>
        </w:rPr>
        <w:t>"قافلة العدالة" التي تضم إعلاميين وحقوقيين يشاركون في أنشطة التوعية بحقوق المرأة والطفل، من خلال الأيام المفتوحة التي تنظم في المحاكم والمناقشات والعروض؛</w:t>
      </w:r>
    </w:p>
    <w:p w:rsidR="00182560" w:rsidRPr="00083A80" w:rsidRDefault="00182560" w:rsidP="00B22594">
      <w:pPr>
        <w:pStyle w:val="Bullet1GA"/>
        <w:bidi/>
        <w:rPr>
          <w:rtl/>
          <w:lang w:val="en-GB" w:eastAsia="zh-TW"/>
        </w:rPr>
      </w:pPr>
      <w:r>
        <w:rPr>
          <w:rtl/>
          <w:lang w:val="en-GB" w:eastAsia="zh-TW"/>
        </w:rPr>
        <w:t>نشر الإعلان العالمي لحقوق الإنسان بمناسبة الاحتفال باليوم الدولي لحقوق الإنسان؛</w:t>
      </w:r>
    </w:p>
    <w:p w:rsidR="00182560" w:rsidRPr="00083A80" w:rsidRDefault="00182560" w:rsidP="008358CC">
      <w:pPr>
        <w:pStyle w:val="Bullet1GA"/>
        <w:bidi/>
        <w:rPr>
          <w:rtl/>
          <w:lang w:val="en-GB" w:eastAsia="zh-TW"/>
        </w:rPr>
      </w:pPr>
      <w:r>
        <w:rPr>
          <w:rtl/>
          <w:lang w:val="en-GB" w:eastAsia="zh-TW"/>
        </w:rPr>
        <w:t xml:space="preserve">توزيع </w:t>
      </w:r>
      <w:r w:rsidR="008358CC">
        <w:rPr>
          <w:rFonts w:hint="cs"/>
          <w:rtl/>
          <w:lang w:val="en-GB" w:eastAsia="zh-TW"/>
        </w:rPr>
        <w:t xml:space="preserve">000 6 </w:t>
      </w:r>
      <w:r>
        <w:rPr>
          <w:rtl/>
          <w:lang w:val="en-GB" w:eastAsia="zh-TW"/>
        </w:rPr>
        <w:t>نسخة من اتفاقية حقوق الطفل واتفاقية حقوق الأشخاص ذوي الإعاقة على المدارس.</w:t>
      </w:r>
      <w:r w:rsidR="008358CC">
        <w:rPr>
          <w:rFonts w:hint="cs"/>
          <w:rtl/>
          <w:lang w:val="en-GB" w:eastAsia="zh-TW"/>
        </w:rPr>
        <w:t xml:space="preserve"> </w:t>
      </w:r>
    </w:p>
    <w:p w:rsidR="00182560" w:rsidRPr="00C126A2" w:rsidRDefault="00182560" w:rsidP="00B22594">
      <w:pPr>
        <w:pStyle w:val="H23GA"/>
        <w:rPr>
          <w:rtl/>
          <w:lang w:val="en-GB"/>
        </w:rPr>
      </w:pPr>
      <w:r>
        <w:rPr>
          <w:lang w:val="en-GB"/>
        </w:rPr>
        <w:tab/>
      </w:r>
      <w:r>
        <w:rPr>
          <w:lang w:val="en-GB"/>
        </w:rPr>
        <w:tab/>
      </w:r>
      <w:r>
        <w:rPr>
          <w:rtl/>
          <w:lang w:val="en-GB"/>
        </w:rPr>
        <w:t>دور المجتمع المدني، بما في ذلك المنظمات غير الحكومية</w:t>
      </w:r>
    </w:p>
    <w:p w:rsidR="00182560" w:rsidRPr="00083A80" w:rsidRDefault="00B6758C" w:rsidP="00EE1761">
      <w:pPr>
        <w:pStyle w:val="SingleTxtGA"/>
        <w:rPr>
          <w:rtl/>
          <w:lang w:val="en-GB" w:eastAsia="zh-TW"/>
        </w:rPr>
      </w:pPr>
      <w:r>
        <w:rPr>
          <w:rtl/>
          <w:lang w:val="en-GB" w:eastAsia="zh-TW"/>
        </w:rPr>
        <w:t>٥٣-</w:t>
      </w:r>
      <w:r>
        <w:rPr>
          <w:rtl/>
          <w:lang w:val="en-GB" w:eastAsia="zh-TW"/>
        </w:rPr>
        <w:tab/>
      </w:r>
      <w:r w:rsidR="00182560">
        <w:rPr>
          <w:rtl/>
          <w:lang w:val="en-GB" w:eastAsia="zh-TW"/>
        </w:rPr>
        <w:t>يضطلع المجتمع المدني بدور أساسي في تعزيز وحماية حقوق الإنسان في النيجر.</w:t>
      </w:r>
      <w:r w:rsidR="008358CC">
        <w:rPr>
          <w:rFonts w:hint="cs"/>
          <w:rtl/>
          <w:lang w:val="en-GB" w:eastAsia="zh-TW"/>
        </w:rPr>
        <w:t xml:space="preserve"> </w:t>
      </w:r>
      <w:r w:rsidR="00182560">
        <w:rPr>
          <w:rtl/>
          <w:lang w:val="en-GB" w:eastAsia="zh-TW"/>
        </w:rPr>
        <w:t>وإدراكاً لهذا الدور، اتخذت الدولة عدداً من الخطوات ليس فقط لتيسير إنشاء الجمعيات والمنظمات غير الحكومية والنقابات العمالية، بل وأيضاً لتيسير الأنشطة التي تنفذها هذه الكيانات.</w:t>
      </w:r>
      <w:r w:rsidR="008358CC">
        <w:rPr>
          <w:rFonts w:hint="cs"/>
          <w:rtl/>
          <w:lang w:val="en-GB" w:eastAsia="zh-TW"/>
        </w:rPr>
        <w:t xml:space="preserve"> </w:t>
      </w:r>
      <w:r w:rsidR="00182560">
        <w:rPr>
          <w:rtl/>
          <w:lang w:val="en-GB" w:eastAsia="zh-TW"/>
        </w:rPr>
        <w:t xml:space="preserve">ووفقاً للمادة 8 من الأمر رقم </w:t>
      </w:r>
      <w:r w:rsidR="00EE1761">
        <w:rPr>
          <w:rFonts w:hint="cs"/>
          <w:rtl/>
          <w:lang w:val="en-GB" w:eastAsia="zh-TW"/>
        </w:rPr>
        <w:t>84-06</w:t>
      </w:r>
      <w:r w:rsidR="00182560">
        <w:rPr>
          <w:rtl/>
          <w:lang w:val="en-GB" w:eastAsia="zh-TW"/>
        </w:rPr>
        <w:t xml:space="preserve"> المؤرخ 1 آذار/مارس 1984 والمنظِّم للجمعيات، فإن جمعيات الأشخاص الطبيعيين في النيجر تتشكل بالموافقة الحرة، من خلال تقديم إخطار بذلك والحصول على ترخيص، وتتمتع بالأهلية القانونية.</w:t>
      </w:r>
      <w:r w:rsidR="008358CC">
        <w:rPr>
          <w:rFonts w:hint="cs"/>
          <w:rtl/>
          <w:lang w:val="en-GB" w:eastAsia="zh-TW"/>
        </w:rPr>
        <w:t xml:space="preserve"> </w:t>
      </w:r>
      <w:r w:rsidR="00182560">
        <w:rPr>
          <w:rtl/>
          <w:lang w:val="en-GB" w:eastAsia="zh-TW"/>
        </w:rPr>
        <w:t>وفي عام 2015، كان هناك 2</w:t>
      </w:r>
      <w:r w:rsidR="00855F40">
        <w:rPr>
          <w:rFonts w:hint="cs"/>
          <w:rtl/>
          <w:lang w:val="en-GB" w:eastAsia="zh-TW"/>
        </w:rPr>
        <w:t> </w:t>
      </w:r>
      <w:r w:rsidR="00182560">
        <w:rPr>
          <w:rtl/>
          <w:lang w:val="en-GB" w:eastAsia="zh-TW"/>
        </w:rPr>
        <w:t>202 جمعية،</w:t>
      </w:r>
      <w:r w:rsidR="008358CC">
        <w:rPr>
          <w:rFonts w:hint="cs"/>
          <w:rtl/>
          <w:lang w:val="en-GB" w:eastAsia="zh-TW"/>
        </w:rPr>
        <w:t xml:space="preserve"> </w:t>
      </w:r>
      <w:r w:rsidR="00182560">
        <w:rPr>
          <w:rtl/>
          <w:lang w:val="en-GB" w:eastAsia="zh-TW"/>
        </w:rPr>
        <w:t>و</w:t>
      </w:r>
      <w:r w:rsidR="00855F40">
        <w:rPr>
          <w:rFonts w:hint="cs"/>
          <w:rtl/>
          <w:lang w:val="en-GB" w:eastAsia="zh-TW"/>
        </w:rPr>
        <w:t xml:space="preserve">557 1 </w:t>
      </w:r>
      <w:r w:rsidR="00182560">
        <w:rPr>
          <w:rtl/>
          <w:lang w:val="en-GB" w:eastAsia="zh-TW"/>
        </w:rPr>
        <w:t>منظمة غير حكومية، و13 نقابة مركزية، وتنسيقية للنقابات غير المنتسبة تضم أكثر من 250 نقابة.</w:t>
      </w:r>
    </w:p>
    <w:p w:rsidR="00182560" w:rsidRPr="00083A80" w:rsidRDefault="00B6758C" w:rsidP="00B22594">
      <w:pPr>
        <w:pStyle w:val="SingleTxtGA"/>
        <w:rPr>
          <w:rtl/>
          <w:lang w:val="en-GB" w:eastAsia="zh-TW"/>
        </w:rPr>
      </w:pPr>
      <w:r>
        <w:rPr>
          <w:rtl/>
          <w:lang w:val="en-GB" w:eastAsia="zh-TW"/>
        </w:rPr>
        <w:t>٥٤-</w:t>
      </w:r>
      <w:r>
        <w:rPr>
          <w:rtl/>
          <w:lang w:val="en-GB" w:eastAsia="zh-TW"/>
        </w:rPr>
        <w:tab/>
      </w:r>
      <w:r w:rsidR="00182560">
        <w:rPr>
          <w:rtl/>
          <w:lang w:val="en-GB" w:eastAsia="zh-TW"/>
        </w:rPr>
        <w:t>وبغية تعزيز المشاركة السياسية والعامة الجيدة، وضع النيجر عدة آليات للحوار والتشاور الاجتماعي، لا</w:t>
      </w:r>
      <w:r w:rsidR="008358CC">
        <w:rPr>
          <w:rFonts w:hint="cs"/>
          <w:rtl/>
          <w:lang w:val="en-GB" w:eastAsia="zh-TW"/>
        </w:rPr>
        <w:t> </w:t>
      </w:r>
      <w:r w:rsidR="00182560">
        <w:rPr>
          <w:rtl/>
          <w:lang w:val="en-GB" w:eastAsia="zh-TW"/>
        </w:rPr>
        <w:t xml:space="preserve">سيما عن طريق إنشاء المجلس الوطني للحوار السياسي واللجنة الوطنية للحوار </w:t>
      </w:r>
      <w:r w:rsidR="00182560">
        <w:rPr>
          <w:rtl/>
          <w:lang w:val="en-GB" w:eastAsia="zh-TW"/>
        </w:rPr>
        <w:lastRenderedPageBreak/>
        <w:t>الاجتماعي، فضلاً عن إشراك الجهات الفاعلة في المجتمع المدني في المؤسسات الوطنية.</w:t>
      </w:r>
      <w:r w:rsidR="008358CC">
        <w:rPr>
          <w:rFonts w:hint="cs"/>
          <w:rtl/>
          <w:lang w:val="en-GB" w:eastAsia="zh-TW"/>
        </w:rPr>
        <w:t xml:space="preserve"> </w:t>
      </w:r>
      <w:r w:rsidR="00182560">
        <w:rPr>
          <w:rtl/>
          <w:lang w:val="en-GB" w:eastAsia="zh-TW"/>
        </w:rPr>
        <w:t>وقد بلغ عدد الأحزاب السياسية، في عام 2014، 79 حزباً.</w:t>
      </w:r>
      <w:r w:rsidR="008358CC">
        <w:rPr>
          <w:rFonts w:hint="cs"/>
          <w:rtl/>
          <w:lang w:val="en-GB" w:eastAsia="zh-TW"/>
        </w:rPr>
        <w:t xml:space="preserve"> </w:t>
      </w:r>
    </w:p>
    <w:p w:rsidR="00182560" w:rsidRPr="000B330E" w:rsidRDefault="00182560" w:rsidP="00B22594">
      <w:pPr>
        <w:pStyle w:val="H23GA"/>
        <w:rPr>
          <w:rtl/>
          <w:lang w:val="en-GB"/>
        </w:rPr>
      </w:pPr>
      <w:r>
        <w:rPr>
          <w:lang w:val="en-GB"/>
        </w:rPr>
        <w:tab/>
      </w:r>
      <w:r>
        <w:rPr>
          <w:lang w:val="en-GB"/>
        </w:rPr>
        <w:tab/>
      </w:r>
      <w:r>
        <w:rPr>
          <w:rtl/>
          <w:lang w:val="en-GB"/>
        </w:rPr>
        <w:t>التعاون والمساعدة في مجال التنمية</w:t>
      </w:r>
    </w:p>
    <w:p w:rsidR="00182560" w:rsidRPr="00083A80" w:rsidRDefault="00B6758C" w:rsidP="00B22594">
      <w:pPr>
        <w:pStyle w:val="SingleTxtGA"/>
        <w:rPr>
          <w:rtl/>
          <w:lang w:val="en-GB" w:eastAsia="zh-TW"/>
        </w:rPr>
      </w:pPr>
      <w:r>
        <w:rPr>
          <w:rtl/>
          <w:lang w:val="en-GB" w:eastAsia="zh-TW"/>
        </w:rPr>
        <w:t>٥٥-</w:t>
      </w:r>
      <w:r>
        <w:rPr>
          <w:rtl/>
          <w:lang w:val="en-GB" w:eastAsia="zh-TW"/>
        </w:rPr>
        <w:tab/>
      </w:r>
      <w:r w:rsidR="00182560">
        <w:rPr>
          <w:rtl/>
          <w:lang w:val="en-GB" w:eastAsia="zh-TW"/>
        </w:rPr>
        <w:t>في مجال التنمية، يحظى النيجر بدعم من الشركاء التقنيين والماليين الموجودين في البلد.</w:t>
      </w:r>
      <w:r w:rsidR="008358CC">
        <w:rPr>
          <w:rFonts w:hint="cs"/>
          <w:rtl/>
          <w:lang w:val="en-GB" w:eastAsia="zh-TW"/>
        </w:rPr>
        <w:t xml:space="preserve"> </w:t>
      </w:r>
      <w:r w:rsidR="00182560">
        <w:rPr>
          <w:rtl/>
          <w:lang w:val="en-GB" w:eastAsia="zh-TW"/>
        </w:rPr>
        <w:t>ومن بين هؤلاء الشركاء وكالات الأمم المتحدة، لا سيما برنامج الأمم المتحدة الإنمائي، واليونيسيف، ومنظمة الصحة العالمية، ومفوضية شؤون اللاجئين، وصندوق الأمم المتحدة للسكان، وما إلى ذلك. وتشمل تدخلات هذه الكيانات جميع المجالات، بما في ذلك الصحة والتعليم والبيئة والتثقيف في مجال حقوق الإنسان.</w:t>
      </w:r>
      <w:r w:rsidR="008358CC">
        <w:rPr>
          <w:rFonts w:hint="cs"/>
          <w:rtl/>
          <w:lang w:val="en-GB" w:eastAsia="zh-TW"/>
        </w:rPr>
        <w:t xml:space="preserve"> </w:t>
      </w:r>
    </w:p>
    <w:p w:rsidR="00182560" w:rsidRPr="00083A80" w:rsidRDefault="00B6758C" w:rsidP="00B22594">
      <w:pPr>
        <w:pStyle w:val="SingleTxtGA"/>
        <w:rPr>
          <w:rtl/>
          <w:lang w:val="en-GB" w:eastAsia="zh-TW"/>
        </w:rPr>
      </w:pPr>
      <w:r>
        <w:rPr>
          <w:rtl/>
          <w:lang w:val="en-GB" w:eastAsia="zh-TW"/>
        </w:rPr>
        <w:t>٥٦-</w:t>
      </w:r>
      <w:r>
        <w:rPr>
          <w:rtl/>
          <w:lang w:val="en-GB" w:eastAsia="zh-TW"/>
        </w:rPr>
        <w:tab/>
      </w:r>
      <w:r w:rsidR="00182560">
        <w:rPr>
          <w:rtl/>
          <w:lang w:val="en-GB" w:eastAsia="zh-TW"/>
        </w:rPr>
        <w:t xml:space="preserve">وقد دعمت مفوضية الأمم المتحدة السامية لحقوق الإنسان، منذ عام 2008، بالتعاون مع فريق الأمم المتحدة القطري، تنفيذ المشروع </w:t>
      </w:r>
      <w:r w:rsidR="00182560">
        <w:rPr>
          <w:lang w:val="en-GB" w:eastAsia="zh-TW"/>
        </w:rPr>
        <w:t>ACTION 2</w:t>
      </w:r>
      <w:r w:rsidR="00182560">
        <w:rPr>
          <w:rtl/>
          <w:lang w:val="en-GB" w:eastAsia="zh-TW"/>
        </w:rPr>
        <w:t xml:space="preserve"> في شراكة مع وزارة العدل وبرنامج الأمم المتحدة الإنمائي، واليونيسيف، وصندوق الأمم المتحدة للسكان، وهيئة الأمم المتحدة للمرأة، وبرنامج الأغذية العالمي.</w:t>
      </w:r>
      <w:r w:rsidR="008358CC">
        <w:rPr>
          <w:rFonts w:hint="cs"/>
          <w:rtl/>
          <w:lang w:val="en-GB" w:eastAsia="zh-TW"/>
        </w:rPr>
        <w:t xml:space="preserve"> </w:t>
      </w:r>
    </w:p>
    <w:p w:rsidR="00182560" w:rsidRPr="00083A80" w:rsidRDefault="00B6758C" w:rsidP="00B22594">
      <w:pPr>
        <w:pStyle w:val="SingleTxtGA"/>
        <w:rPr>
          <w:rtl/>
          <w:lang w:val="en-GB" w:eastAsia="zh-TW"/>
        </w:rPr>
      </w:pPr>
      <w:r>
        <w:rPr>
          <w:rtl/>
          <w:lang w:val="en-GB" w:eastAsia="zh-TW"/>
        </w:rPr>
        <w:t>٥٧-</w:t>
      </w:r>
      <w:r>
        <w:rPr>
          <w:rtl/>
          <w:lang w:val="en-GB" w:eastAsia="zh-TW"/>
        </w:rPr>
        <w:tab/>
      </w:r>
      <w:r w:rsidR="00182560">
        <w:rPr>
          <w:rtl/>
          <w:lang w:val="en-GB" w:eastAsia="zh-TW"/>
        </w:rPr>
        <w:t>وفي مجال النهوض بالمرأة، ينظم النيجر، كل سنتين، معرضاً دولياً للحرف النسائية، وهو إطار هدفه تمكين المرأة في النيجر.</w:t>
      </w:r>
    </w:p>
    <w:p w:rsidR="00182560" w:rsidRPr="00083A80" w:rsidRDefault="00B6758C" w:rsidP="00B22594">
      <w:pPr>
        <w:pStyle w:val="SingleTxtGA"/>
        <w:rPr>
          <w:rtl/>
          <w:lang w:val="en-GB" w:eastAsia="zh-TW"/>
        </w:rPr>
      </w:pPr>
      <w:r>
        <w:rPr>
          <w:rtl/>
          <w:lang w:val="en-GB" w:eastAsia="zh-TW"/>
        </w:rPr>
        <w:t>٥٨-</w:t>
      </w:r>
      <w:r>
        <w:rPr>
          <w:rtl/>
          <w:lang w:val="en-GB" w:eastAsia="zh-TW"/>
        </w:rPr>
        <w:tab/>
      </w:r>
      <w:r w:rsidR="00182560">
        <w:rPr>
          <w:rtl/>
          <w:lang w:val="en-GB" w:eastAsia="zh-TW"/>
        </w:rPr>
        <w:t>وفي إطار تعزيز حق الأطفال في الترفيه، يُنظّم النيجر سنوياً مهرجان سوكابي (سوكابي بمعنى الطفل)، وهو مهرجان فني وثقافي إدماجي يشارك في فعالياته أطفال من المنطقة دون الإقليمية.</w:t>
      </w:r>
    </w:p>
    <w:p w:rsidR="00182560" w:rsidRPr="00C126A2" w:rsidRDefault="008358CC" w:rsidP="009155C9">
      <w:pPr>
        <w:pStyle w:val="H1GA"/>
        <w:rPr>
          <w:rtl/>
          <w:lang w:val="en-GB" w:eastAsia="zh-TW"/>
        </w:rPr>
      </w:pPr>
      <w:bookmarkStart w:id="38" w:name="_Toc485026228"/>
      <w:bookmarkStart w:id="39" w:name="_Toc485026306"/>
      <w:r>
        <w:rPr>
          <w:rtl/>
          <w:lang w:val="en-GB" w:eastAsia="zh-TW"/>
        </w:rPr>
        <w:tab/>
      </w:r>
      <w:r w:rsidR="00182560">
        <w:rPr>
          <w:rtl/>
          <w:lang w:val="en-GB" w:eastAsia="zh-TW"/>
        </w:rPr>
        <w:t>دال-</w:t>
      </w:r>
      <w:r>
        <w:rPr>
          <w:rtl/>
          <w:lang w:val="en-GB" w:eastAsia="zh-TW"/>
        </w:rPr>
        <w:tab/>
      </w:r>
      <w:r w:rsidR="00182560">
        <w:rPr>
          <w:rtl/>
          <w:lang w:val="en-GB" w:eastAsia="zh-TW"/>
        </w:rPr>
        <w:t>عملية تقديم التقارير على المستوى الوطني</w:t>
      </w:r>
      <w:bookmarkEnd w:id="38"/>
      <w:bookmarkEnd w:id="39"/>
    </w:p>
    <w:p w:rsidR="00182560" w:rsidRPr="00083A80" w:rsidRDefault="00B6758C" w:rsidP="008358CC">
      <w:pPr>
        <w:pStyle w:val="SingleTxtGA"/>
        <w:rPr>
          <w:rtl/>
          <w:lang w:val="en-GB" w:eastAsia="zh-TW"/>
        </w:rPr>
      </w:pPr>
      <w:r>
        <w:rPr>
          <w:rtl/>
          <w:lang w:val="en-GB" w:eastAsia="zh-TW"/>
        </w:rPr>
        <w:t>٥٩-</w:t>
      </w:r>
      <w:r>
        <w:rPr>
          <w:rtl/>
          <w:lang w:val="en-GB" w:eastAsia="zh-TW"/>
        </w:rPr>
        <w:tab/>
      </w:r>
      <w:r w:rsidR="00182560">
        <w:rPr>
          <w:rtl/>
          <w:lang w:val="en-GB" w:eastAsia="zh-TW"/>
        </w:rPr>
        <w:t>في سياق إعداد وتقديم التقارير إلى هيئات المعاهدات، أنشأ النيجر، في عام 2010، لجنة مشتركة بين الوزارات مكلفة بصياغة تقارير النيجر إلى هيئات المعاهدات والاستعراض الدوري الشامل.</w:t>
      </w:r>
      <w:r w:rsidR="008358CC">
        <w:rPr>
          <w:rFonts w:hint="cs"/>
          <w:rtl/>
          <w:lang w:val="en-GB" w:eastAsia="zh-TW"/>
        </w:rPr>
        <w:t xml:space="preserve"> </w:t>
      </w:r>
    </w:p>
    <w:p w:rsidR="00182560" w:rsidRPr="00083A80" w:rsidRDefault="00B6758C" w:rsidP="00B22594">
      <w:pPr>
        <w:pStyle w:val="SingleTxtGA"/>
        <w:rPr>
          <w:rtl/>
          <w:lang w:val="en-GB" w:eastAsia="zh-TW"/>
        </w:rPr>
      </w:pPr>
      <w:r>
        <w:rPr>
          <w:rtl/>
          <w:lang w:val="en-GB" w:eastAsia="zh-TW"/>
        </w:rPr>
        <w:t>٦٠-</w:t>
      </w:r>
      <w:r>
        <w:rPr>
          <w:rtl/>
          <w:lang w:val="en-GB" w:eastAsia="zh-TW"/>
        </w:rPr>
        <w:tab/>
      </w:r>
      <w:r w:rsidR="00182560">
        <w:rPr>
          <w:rtl/>
          <w:lang w:val="en-GB" w:eastAsia="zh-TW"/>
        </w:rPr>
        <w:t xml:space="preserve">وتُحددّ مهام هذه اللجنة في المادة 3 من القرار رقم </w:t>
      </w:r>
      <w:r w:rsidR="00182560">
        <w:rPr>
          <w:lang w:val="en-GB" w:eastAsia="zh-TW"/>
        </w:rPr>
        <w:t>0013/MJ/DH/DDH/AS</w:t>
      </w:r>
      <w:r w:rsidR="008358CC">
        <w:rPr>
          <w:rtl/>
          <w:lang w:val="en-GB" w:eastAsia="zh-TW"/>
        </w:rPr>
        <w:t xml:space="preserve"> الصادر في</w:t>
      </w:r>
      <w:r w:rsidR="008358CC">
        <w:rPr>
          <w:rFonts w:hint="cs"/>
          <w:rtl/>
          <w:lang w:val="en-GB" w:eastAsia="zh-TW"/>
        </w:rPr>
        <w:t> </w:t>
      </w:r>
      <w:r w:rsidR="00182560">
        <w:rPr>
          <w:rtl/>
          <w:lang w:val="en-GB" w:eastAsia="zh-TW"/>
        </w:rPr>
        <w:t>17 آذار/مارس 2010.</w:t>
      </w:r>
      <w:r w:rsidR="00F13065">
        <w:rPr>
          <w:rFonts w:hint="cs"/>
          <w:rtl/>
          <w:lang w:val="en-GB" w:eastAsia="zh-TW"/>
        </w:rPr>
        <w:t xml:space="preserve"> </w:t>
      </w:r>
      <w:r w:rsidR="00182560">
        <w:rPr>
          <w:rtl/>
          <w:lang w:val="en-GB" w:eastAsia="zh-TW"/>
        </w:rPr>
        <w:t>وتتكون اللجنة من خمسة وعشرين عضواً، وقد بدأت مهامها رسمياً في 12 أيار/مايو 2010 في احتفال عُقد بهذه المناسبة اشترك في تنظيمه وزارة العدل والفريق القطري لمنظومة الأمم المتحدة.</w:t>
      </w:r>
      <w:r w:rsidR="008358CC">
        <w:rPr>
          <w:rFonts w:hint="cs"/>
          <w:rtl/>
          <w:lang w:val="en-GB" w:eastAsia="zh-TW"/>
        </w:rPr>
        <w:t xml:space="preserve"> </w:t>
      </w:r>
      <w:r w:rsidR="00182560">
        <w:rPr>
          <w:rtl/>
          <w:lang w:val="en-GB" w:eastAsia="zh-TW"/>
        </w:rPr>
        <w:t>ويجري حاليا</w:t>
      </w:r>
      <w:r w:rsidR="008358CC">
        <w:rPr>
          <w:rFonts w:hint="cs"/>
          <w:rtl/>
          <w:lang w:val="en-GB" w:eastAsia="zh-TW"/>
        </w:rPr>
        <w:t>ً</w:t>
      </w:r>
      <w:r w:rsidR="00182560">
        <w:rPr>
          <w:rtl/>
          <w:lang w:val="en-GB" w:eastAsia="zh-TW"/>
        </w:rPr>
        <w:t xml:space="preserve"> إعداد مرسوم سيحل محل القرار المنظم للجنة.</w:t>
      </w:r>
      <w:r w:rsidR="008358CC">
        <w:rPr>
          <w:rFonts w:hint="cs"/>
          <w:rtl/>
          <w:lang w:val="en-GB" w:eastAsia="zh-TW"/>
        </w:rPr>
        <w:t xml:space="preserve"> </w:t>
      </w:r>
      <w:r w:rsidR="00182560">
        <w:rPr>
          <w:rtl/>
          <w:lang w:val="en-GB" w:eastAsia="zh-TW"/>
        </w:rPr>
        <w:t>ويهدف هذا المرسوم إلى تزويد اللجنة بأمانة دائمة والموارد اللازمة لعملها.</w:t>
      </w:r>
      <w:r w:rsidR="008358CC">
        <w:rPr>
          <w:rFonts w:hint="cs"/>
          <w:rtl/>
          <w:lang w:val="en-GB" w:eastAsia="zh-TW"/>
        </w:rPr>
        <w:t xml:space="preserve"> </w:t>
      </w:r>
    </w:p>
    <w:p w:rsidR="00182560" w:rsidRPr="00083A80" w:rsidRDefault="00B6758C" w:rsidP="008358CC">
      <w:pPr>
        <w:pStyle w:val="SingleTxtGA"/>
        <w:rPr>
          <w:rtl/>
          <w:lang w:val="en-GB" w:eastAsia="zh-TW"/>
        </w:rPr>
      </w:pPr>
      <w:r>
        <w:rPr>
          <w:rtl/>
          <w:lang w:val="en-GB" w:eastAsia="zh-TW"/>
        </w:rPr>
        <w:t>٦١-</w:t>
      </w:r>
      <w:r>
        <w:rPr>
          <w:rtl/>
          <w:lang w:val="en-GB" w:eastAsia="zh-TW"/>
        </w:rPr>
        <w:tab/>
      </w:r>
      <w:r w:rsidR="00182560">
        <w:rPr>
          <w:rtl/>
          <w:lang w:val="en-GB" w:eastAsia="zh-TW"/>
        </w:rPr>
        <w:t>وفيما يتعلق بالتعاون مع هيئات المعاهدات، تواصل اللجنة بذل جهودها من أجل تدارك التأخير في تقديم التقارير.</w:t>
      </w:r>
      <w:r w:rsidR="008358CC">
        <w:rPr>
          <w:rFonts w:hint="cs"/>
          <w:rtl/>
          <w:lang w:val="en-GB" w:eastAsia="zh-TW"/>
        </w:rPr>
        <w:t xml:space="preserve"> </w:t>
      </w:r>
      <w:r w:rsidR="00182560">
        <w:rPr>
          <w:rtl/>
          <w:lang w:val="en-GB" w:eastAsia="zh-TW"/>
        </w:rPr>
        <w:t>ففي نيسان/أبريل 2015، قدم النيجر إلى المفوضية الأفريقية تقريره الدوري الجامع (</w:t>
      </w:r>
      <w:r w:rsidR="008358CC">
        <w:rPr>
          <w:rFonts w:hint="cs"/>
          <w:rtl/>
          <w:lang w:val="en-GB" w:eastAsia="zh-TW"/>
        </w:rPr>
        <w:t>2014-2003</w:t>
      </w:r>
      <w:r w:rsidR="00182560">
        <w:rPr>
          <w:rtl/>
          <w:lang w:val="en-GB" w:eastAsia="zh-TW"/>
        </w:rPr>
        <w:t>) بشأن تنفيذ الميثاق الأفريقي لحقوق الإنسان والشعوب.</w:t>
      </w:r>
      <w:r w:rsidR="008358CC">
        <w:rPr>
          <w:rFonts w:hint="cs"/>
          <w:rtl/>
          <w:lang w:val="en-GB" w:eastAsia="zh-TW"/>
        </w:rPr>
        <w:t xml:space="preserve"> </w:t>
      </w:r>
    </w:p>
    <w:p w:rsidR="00182560" w:rsidRPr="00083A80" w:rsidRDefault="00B6758C" w:rsidP="00B22594">
      <w:pPr>
        <w:pStyle w:val="SingleTxtGA"/>
        <w:rPr>
          <w:rtl/>
          <w:lang w:val="en-GB" w:eastAsia="zh-TW"/>
        </w:rPr>
      </w:pPr>
      <w:r>
        <w:rPr>
          <w:rtl/>
          <w:lang w:val="en-GB" w:eastAsia="zh-TW"/>
        </w:rPr>
        <w:t>٦٢-</w:t>
      </w:r>
      <w:r>
        <w:rPr>
          <w:rtl/>
          <w:lang w:val="en-GB" w:eastAsia="zh-TW"/>
        </w:rPr>
        <w:tab/>
      </w:r>
      <w:r w:rsidR="00182560">
        <w:rPr>
          <w:rtl/>
          <w:lang w:val="en-GB" w:eastAsia="zh-TW"/>
        </w:rPr>
        <w:t>وفي آب/أغسطس 2015، تم عرض التقرير الخاص بتنفيذ اتفاقية القضاء على جميع أشكال التمييز العنصري على اللجنة المعنية بالقضاء على التمييز العنصري في جنيف.</w:t>
      </w:r>
      <w:r w:rsidR="008358CC">
        <w:rPr>
          <w:rFonts w:hint="cs"/>
          <w:rtl/>
          <w:lang w:val="en-GB" w:eastAsia="zh-TW"/>
        </w:rPr>
        <w:t xml:space="preserve"> </w:t>
      </w:r>
      <w:r w:rsidR="00182560">
        <w:rPr>
          <w:rtl/>
          <w:lang w:val="en-GB" w:eastAsia="zh-TW"/>
        </w:rPr>
        <w:t xml:space="preserve">وقدم النيجر إلى الهيئات الرقابية للأمم المتحدة التقارير المتعلقة باتفاقية حقوق الأشخاص ذوي </w:t>
      </w:r>
      <w:r w:rsidR="00182560">
        <w:rPr>
          <w:rtl/>
          <w:lang w:val="en-GB" w:eastAsia="zh-TW"/>
        </w:rPr>
        <w:lastRenderedPageBreak/>
        <w:t>الإعاقة، واتفاقية القضاء على جميع أشكال التمييز ضد المرأة، واتفاقية حقوق الطفل، وكذلك التقرير الخاص بالبروتوكول الاختياري الملحق باتفاقية حقوق الطفل بشأن بيع الأطفال واستغلال الأطفال في البغاء وفي المواد الإباحية.</w:t>
      </w:r>
      <w:r w:rsidR="008358CC">
        <w:rPr>
          <w:rFonts w:hint="cs"/>
          <w:rtl/>
          <w:lang w:val="en-GB" w:eastAsia="zh-TW"/>
        </w:rPr>
        <w:t xml:space="preserve"> </w:t>
      </w:r>
      <w:r w:rsidR="00182560">
        <w:rPr>
          <w:rtl/>
          <w:lang w:val="en-GB" w:eastAsia="zh-TW"/>
        </w:rPr>
        <w:t>وأخيراً أحال النيجر، في عام 2016، تقريره بشأن العهد الدولي الخاص بالحقوق المدنية والسياسية، فضلاً عن الوثيقة الأساسية الموحدة المستكملة.</w:t>
      </w:r>
    </w:p>
    <w:p w:rsidR="00182560" w:rsidRPr="00083A80" w:rsidRDefault="00B6758C" w:rsidP="00B22594">
      <w:pPr>
        <w:pStyle w:val="SingleTxtGA"/>
        <w:rPr>
          <w:rtl/>
          <w:lang w:val="en-GB" w:eastAsia="zh-TW"/>
        </w:rPr>
      </w:pPr>
      <w:r>
        <w:rPr>
          <w:rtl/>
          <w:lang w:val="en-GB" w:eastAsia="zh-TW"/>
        </w:rPr>
        <w:t>٦٣-</w:t>
      </w:r>
      <w:r>
        <w:rPr>
          <w:rtl/>
          <w:lang w:val="en-GB" w:eastAsia="zh-TW"/>
        </w:rPr>
        <w:tab/>
      </w:r>
      <w:r w:rsidR="00182560">
        <w:rPr>
          <w:rtl/>
          <w:lang w:val="en-GB" w:eastAsia="zh-TW"/>
        </w:rPr>
        <w:t>وفيما يتعلق بكل هذه التقارير، اعتمدت اللجنة نهجاً تشاركياً تمثّل في إشراك مختلف الجهات الفاعلة في عملية صياغة واعتماد تلك التقارير في إطار حلقة عمل وطنية.</w:t>
      </w:r>
    </w:p>
    <w:p w:rsidR="00182560" w:rsidRPr="00454854" w:rsidRDefault="00182560" w:rsidP="00DE6869">
      <w:pPr>
        <w:pStyle w:val="H23GA"/>
        <w:rPr>
          <w:rtl/>
          <w:lang w:val="en-GB"/>
        </w:rPr>
      </w:pPr>
      <w:r>
        <w:rPr>
          <w:lang w:val="en-GB"/>
        </w:rPr>
        <w:tab/>
      </w:r>
      <w:r>
        <w:rPr>
          <w:lang w:val="en-GB"/>
        </w:rPr>
        <w:tab/>
      </w:r>
      <w:r>
        <w:rPr>
          <w:rtl/>
          <w:lang w:val="en-GB"/>
        </w:rPr>
        <w:t>معلومات عن عدم التمييز والمساواة وسبل ‏الانتصاف الفعالة‏</w:t>
      </w:r>
    </w:p>
    <w:p w:rsidR="00182560" w:rsidRPr="00C126A2" w:rsidRDefault="00182560" w:rsidP="00AE0FA9">
      <w:pPr>
        <w:pStyle w:val="H4GA"/>
        <w:rPr>
          <w:rtl/>
          <w:lang w:val="en-GB"/>
        </w:rPr>
      </w:pPr>
      <w:r>
        <w:rPr>
          <w:lang w:val="en-GB"/>
        </w:rPr>
        <w:tab/>
      </w:r>
      <w:r>
        <w:rPr>
          <w:lang w:val="en-GB"/>
        </w:rPr>
        <w:tab/>
      </w:r>
      <w:r>
        <w:rPr>
          <w:rtl/>
          <w:lang w:val="en-GB"/>
        </w:rPr>
        <w:t>عدم التمييز والمساواة</w:t>
      </w:r>
    </w:p>
    <w:p w:rsidR="00182560" w:rsidRPr="00083A80" w:rsidRDefault="00B6758C" w:rsidP="008358CC">
      <w:pPr>
        <w:pStyle w:val="SingleTxtGA"/>
        <w:rPr>
          <w:rtl/>
          <w:lang w:val="en-GB" w:eastAsia="zh-TW"/>
        </w:rPr>
      </w:pPr>
      <w:r>
        <w:rPr>
          <w:rtl/>
          <w:lang w:val="en-GB" w:eastAsia="zh-TW"/>
        </w:rPr>
        <w:t>٦٤-</w:t>
      </w:r>
      <w:r>
        <w:rPr>
          <w:rtl/>
          <w:lang w:val="en-GB" w:eastAsia="zh-TW"/>
        </w:rPr>
        <w:tab/>
      </w:r>
      <w:r w:rsidR="00182560">
        <w:rPr>
          <w:rtl/>
          <w:lang w:val="en-GB" w:eastAsia="zh-TW"/>
        </w:rPr>
        <w:t>بوصفه دولة طرف في جل الصكوك القانونية الدولية والإقليمية المتعلقة بحقوق الإنسان، يعيد النيجر التأكيد في دستوره الصادر في 25 تشرين الثاني/نوفمبر 2010 على التزامه بمبدأ سيادة القانون.</w:t>
      </w:r>
      <w:r w:rsidR="008358CC">
        <w:rPr>
          <w:rFonts w:hint="cs"/>
          <w:rtl/>
          <w:lang w:val="en-GB" w:eastAsia="zh-TW"/>
        </w:rPr>
        <w:t xml:space="preserve"> </w:t>
      </w:r>
      <w:r w:rsidR="00182560">
        <w:rPr>
          <w:rtl/>
          <w:lang w:val="en-GB" w:eastAsia="zh-TW"/>
        </w:rPr>
        <w:t>وتنص المادة 8 من الدستور على أن "جمهورية النيجر دولة قائمة على سيادة القانون.</w:t>
      </w:r>
      <w:r w:rsidR="008358CC">
        <w:rPr>
          <w:rFonts w:hint="cs"/>
          <w:rtl/>
          <w:lang w:val="en-GB" w:eastAsia="zh-TW"/>
        </w:rPr>
        <w:t xml:space="preserve"> </w:t>
      </w:r>
      <w:r w:rsidR="00182560">
        <w:rPr>
          <w:rtl/>
          <w:lang w:val="en-GB" w:eastAsia="zh-TW"/>
        </w:rPr>
        <w:t>وتكفل لجميع المواطنين المساواة أمام القانون دون تمييز على أساس الجنس أو الأصل الاجتماعي أو العرقي أو الإثني أو الديني.</w:t>
      </w:r>
      <w:r w:rsidR="008358CC">
        <w:rPr>
          <w:rFonts w:hint="cs"/>
          <w:rtl/>
          <w:lang w:val="en-GB" w:eastAsia="zh-TW"/>
        </w:rPr>
        <w:t xml:space="preserve"> </w:t>
      </w:r>
      <w:r w:rsidR="00182560">
        <w:rPr>
          <w:rtl/>
          <w:lang w:val="en-GB" w:eastAsia="zh-TW"/>
        </w:rPr>
        <w:t>وتحترم جميع العقائد وتحميها.</w:t>
      </w:r>
      <w:r w:rsidR="008358CC">
        <w:rPr>
          <w:rFonts w:hint="cs"/>
          <w:rtl/>
          <w:lang w:val="en-GB" w:eastAsia="zh-TW"/>
        </w:rPr>
        <w:t xml:space="preserve"> </w:t>
      </w:r>
      <w:r w:rsidR="00182560">
        <w:rPr>
          <w:rtl/>
          <w:lang w:val="en-GB" w:eastAsia="zh-TW"/>
        </w:rPr>
        <w:t>ولا يمكن لأي دين أو عقيدة أن يكتسب السلطة السياسية ولا أن يتدخل في شؤون الدولة".</w:t>
      </w:r>
    </w:p>
    <w:p w:rsidR="00182560" w:rsidRPr="00FA549C" w:rsidRDefault="00B6758C" w:rsidP="00B22594">
      <w:pPr>
        <w:pStyle w:val="SingleTxtGA"/>
        <w:rPr>
          <w:iCs/>
          <w:rtl/>
          <w:lang w:val="en-GB" w:eastAsia="zh-TW"/>
        </w:rPr>
      </w:pPr>
      <w:r>
        <w:rPr>
          <w:rtl/>
          <w:lang w:val="en-GB" w:eastAsia="zh-TW"/>
        </w:rPr>
        <w:t>٦٥-</w:t>
      </w:r>
      <w:r>
        <w:rPr>
          <w:rtl/>
          <w:lang w:val="en-GB" w:eastAsia="zh-TW"/>
        </w:rPr>
        <w:tab/>
      </w:r>
      <w:r w:rsidR="00182560">
        <w:rPr>
          <w:rtl/>
          <w:lang w:val="en-GB" w:eastAsia="zh-TW"/>
        </w:rPr>
        <w:t>وتنص المادة 117 من الدستور على ما يلي: "تقام العدالة في الإقليم الوطني باسم الشعب وفي إطار الاحترام الكامل لسيادة القانون ولحقوق كل مواطن وحرياته.</w:t>
      </w:r>
      <w:r w:rsidR="008358CC">
        <w:rPr>
          <w:rFonts w:hint="cs"/>
          <w:rtl/>
          <w:lang w:val="en-GB" w:eastAsia="zh-TW"/>
        </w:rPr>
        <w:t xml:space="preserve"> </w:t>
      </w:r>
      <w:r w:rsidR="00182560">
        <w:rPr>
          <w:rtl/>
          <w:lang w:val="en-GB" w:eastAsia="zh-TW"/>
        </w:rPr>
        <w:t>وتكون القرارات القضائية ملزمة للجميع، سلطات عامة ومواطنين.</w:t>
      </w:r>
      <w:r w:rsidR="008358CC">
        <w:rPr>
          <w:rFonts w:hint="cs"/>
          <w:rtl/>
          <w:lang w:val="en-GB" w:eastAsia="zh-TW"/>
        </w:rPr>
        <w:t xml:space="preserve"> </w:t>
      </w:r>
      <w:r w:rsidR="00182560">
        <w:rPr>
          <w:rtl/>
          <w:lang w:val="en-GB" w:eastAsia="zh-TW"/>
        </w:rPr>
        <w:t>ولا يمكن انتقادها إلا بالوسائل والأشكال التي يجيزها القانون".</w:t>
      </w:r>
      <w:r w:rsidR="008358CC">
        <w:rPr>
          <w:rFonts w:hint="cs"/>
          <w:rtl/>
          <w:lang w:val="en-GB" w:eastAsia="zh-TW"/>
        </w:rPr>
        <w:t xml:space="preserve"> </w:t>
      </w:r>
      <w:r w:rsidR="00182560">
        <w:rPr>
          <w:rtl/>
          <w:lang w:val="en-GB" w:eastAsia="zh-TW"/>
        </w:rPr>
        <w:t>أما المادة 118 فتنص على أن "القضاة، أثناء ممارستهم لمهامهم، مستقلون ولا يخضعون إلا لسلطة القانون".</w:t>
      </w:r>
    </w:p>
    <w:p w:rsidR="00182560" w:rsidRPr="00083A80" w:rsidRDefault="00B6758C" w:rsidP="00B22594">
      <w:pPr>
        <w:pStyle w:val="SingleTxtGA"/>
        <w:rPr>
          <w:rtl/>
          <w:lang w:val="en-GB" w:eastAsia="zh-TW"/>
        </w:rPr>
      </w:pPr>
      <w:r>
        <w:rPr>
          <w:rtl/>
          <w:lang w:val="en-GB" w:eastAsia="zh-TW"/>
        </w:rPr>
        <w:t>٦٦-</w:t>
      </w:r>
      <w:r>
        <w:rPr>
          <w:rtl/>
          <w:lang w:val="en-GB" w:eastAsia="zh-TW"/>
        </w:rPr>
        <w:tab/>
      </w:r>
      <w:r w:rsidR="00182560">
        <w:rPr>
          <w:rtl/>
          <w:lang w:val="en-GB" w:eastAsia="zh-TW"/>
        </w:rPr>
        <w:t>وبناءً على ذلك، يمكن لأي شخص يرى أن حقوقه قد انتهكت اللجوء إلى المحاكم طلباً لجبر الضرر.</w:t>
      </w:r>
      <w:r w:rsidR="008358CC">
        <w:rPr>
          <w:rFonts w:hint="cs"/>
          <w:rtl/>
          <w:lang w:val="en-GB" w:eastAsia="zh-TW"/>
        </w:rPr>
        <w:t xml:space="preserve"> </w:t>
      </w:r>
      <w:r w:rsidR="00182560">
        <w:rPr>
          <w:rtl/>
          <w:lang w:val="en-GB" w:eastAsia="zh-TW"/>
        </w:rPr>
        <w:t>ويمكن لهذا الشخص، في حالة عدم الرضا بما قُرّر، اتباع سبل الانتصاف المنصوص عليها في القانون.</w:t>
      </w:r>
      <w:r w:rsidR="008358CC">
        <w:rPr>
          <w:rFonts w:hint="cs"/>
          <w:rtl/>
          <w:lang w:val="en-GB" w:eastAsia="zh-TW"/>
        </w:rPr>
        <w:t xml:space="preserve"> </w:t>
      </w:r>
      <w:r w:rsidR="00182560">
        <w:rPr>
          <w:rtl/>
          <w:lang w:val="en-GB" w:eastAsia="zh-TW"/>
        </w:rPr>
        <w:t>وتتيح الهياكل القانونية والمؤسسية القائمة لهذا الغرض إطاراً أفضل لتحقيق هذه المساواة.</w:t>
      </w:r>
      <w:r w:rsidR="008358CC">
        <w:rPr>
          <w:rFonts w:hint="cs"/>
          <w:rtl/>
          <w:lang w:val="en-GB" w:eastAsia="zh-TW"/>
        </w:rPr>
        <w:t xml:space="preserve"> </w:t>
      </w:r>
      <w:r w:rsidR="00182560">
        <w:rPr>
          <w:rtl/>
          <w:lang w:val="en-GB" w:eastAsia="zh-TW"/>
        </w:rPr>
        <w:t>وهي كالتالي:</w:t>
      </w:r>
    </w:p>
    <w:p w:rsidR="00182560" w:rsidRPr="00083A80" w:rsidRDefault="00182560" w:rsidP="00B22594">
      <w:pPr>
        <w:pStyle w:val="Bullet1GA"/>
        <w:bidi/>
        <w:rPr>
          <w:rtl/>
          <w:lang w:val="en-GB" w:eastAsia="zh-TW"/>
        </w:rPr>
      </w:pPr>
      <w:r>
        <w:rPr>
          <w:rtl/>
          <w:lang w:val="en-GB" w:eastAsia="zh-TW"/>
        </w:rPr>
        <w:t>الشرطة والدرك اللذان يجريان التحقيقات الأولية؛</w:t>
      </w:r>
    </w:p>
    <w:p w:rsidR="00182560" w:rsidRPr="00083A80" w:rsidRDefault="00182560" w:rsidP="00B22594">
      <w:pPr>
        <w:pStyle w:val="Bullet1GA"/>
        <w:bidi/>
        <w:rPr>
          <w:rtl/>
          <w:lang w:val="en-GB" w:eastAsia="zh-TW"/>
        </w:rPr>
      </w:pPr>
      <w:r>
        <w:rPr>
          <w:rtl/>
          <w:lang w:val="en-GB" w:eastAsia="zh-TW"/>
        </w:rPr>
        <w:t>الهيئات القضائية التي تتألف من المحاكم، إذ يكفل القانون مبادئ وضمانات المحاكمة العادلة، ولا سيما حقوق الدفاع، وقانونية التجريم والعقاب، وافتراض البراءة.</w:t>
      </w:r>
      <w:r w:rsidR="008358CC">
        <w:rPr>
          <w:rFonts w:hint="cs"/>
          <w:rtl/>
          <w:lang w:val="en-GB" w:eastAsia="zh-TW"/>
        </w:rPr>
        <w:t xml:space="preserve"> </w:t>
      </w:r>
      <w:r>
        <w:rPr>
          <w:rtl/>
          <w:lang w:val="en-GB" w:eastAsia="zh-TW"/>
        </w:rPr>
        <w:t>ويمكن سلك سبل الانتصاف عند الاقتضاء.</w:t>
      </w:r>
    </w:p>
    <w:p w:rsidR="00182560" w:rsidRPr="00083A80" w:rsidRDefault="00B6758C" w:rsidP="00B22594">
      <w:pPr>
        <w:pStyle w:val="SingleTxtGA"/>
        <w:rPr>
          <w:rtl/>
          <w:lang w:val="en-GB" w:eastAsia="zh-TW"/>
        </w:rPr>
      </w:pPr>
      <w:r>
        <w:rPr>
          <w:rtl/>
          <w:lang w:val="en-GB" w:eastAsia="zh-TW"/>
        </w:rPr>
        <w:t>٦٧-</w:t>
      </w:r>
      <w:r>
        <w:rPr>
          <w:rtl/>
          <w:lang w:val="en-GB" w:eastAsia="zh-TW"/>
        </w:rPr>
        <w:tab/>
      </w:r>
      <w:r w:rsidR="00182560">
        <w:rPr>
          <w:rtl/>
          <w:lang w:val="en-GB" w:eastAsia="zh-TW"/>
        </w:rPr>
        <w:t>وعلى غرار اللجنة الوطنية لحقوق الإنسان، فإن المديرية العامة لحقوق الإنسان والحماية القضائية للأحداث والعمل الاجتماعي والمديرية العامة لحماية الطفل والنهوض الاجتماعي والعمل الإنساني والمديرية العامة للنهوض بالمرأة والشؤون الجنسانية تساهم، بموجب اختصاصاتها، في القضاء على جميع أشكال التمييز، لا سيما فيما يتعلق بالفئات الضعيفة.</w:t>
      </w:r>
    </w:p>
    <w:p w:rsidR="00182560" w:rsidRPr="00083A80" w:rsidRDefault="00B6758C" w:rsidP="00B22594">
      <w:pPr>
        <w:pStyle w:val="SingleTxtGA"/>
        <w:rPr>
          <w:rtl/>
          <w:lang w:val="en-GB" w:eastAsia="zh-TW"/>
        </w:rPr>
      </w:pPr>
      <w:r>
        <w:rPr>
          <w:rtl/>
          <w:lang w:val="en-GB" w:eastAsia="zh-TW"/>
        </w:rPr>
        <w:t>٦٨-</w:t>
      </w:r>
      <w:r>
        <w:rPr>
          <w:rtl/>
          <w:lang w:val="en-GB" w:eastAsia="zh-TW"/>
        </w:rPr>
        <w:tab/>
      </w:r>
      <w:r w:rsidR="00182560">
        <w:rPr>
          <w:rtl/>
          <w:lang w:val="en-GB" w:eastAsia="zh-TW"/>
        </w:rPr>
        <w:t>وينص القانون الجنائي على أحكام في مجال التمييز، بما فيها ما يلي:</w:t>
      </w:r>
    </w:p>
    <w:p w:rsidR="00182560" w:rsidRPr="00FA549C" w:rsidRDefault="00BA0A7D" w:rsidP="00BA0A7D">
      <w:pPr>
        <w:pStyle w:val="SingleTxtGA"/>
        <w:ind w:left="1928"/>
        <w:rPr>
          <w:iCs/>
          <w:rtl/>
          <w:lang w:val="en-GB" w:eastAsia="zh-TW"/>
        </w:rPr>
      </w:pPr>
      <w:r>
        <w:rPr>
          <w:rtl/>
          <w:lang w:val="en-GB" w:eastAsia="zh-TW"/>
        </w:rPr>
        <w:lastRenderedPageBreak/>
        <w:tab/>
      </w:r>
      <w:r w:rsidR="00182560">
        <w:rPr>
          <w:rtl/>
          <w:lang w:val="en-GB" w:eastAsia="zh-TW"/>
        </w:rPr>
        <w:t>المادة 102: "يعاقب بالحبس لمدة تتراوح بين سنة وخمس سنوات والمنع من الإقامة على أي فعل من أفعال التمييز العرقي أو الإثني وأي عمل دعائي ينحاز لإقليم معين وأي مظهر يتعارض مع حرية الوجدان وحرية العبادة من شأنه أن يؤلب المواطنين بعضهم على بعض.</w:t>
      </w:r>
      <w:r>
        <w:rPr>
          <w:rFonts w:hint="cs"/>
          <w:rtl/>
          <w:lang w:val="en-GB" w:eastAsia="zh-TW"/>
        </w:rPr>
        <w:t xml:space="preserve"> </w:t>
      </w:r>
      <w:r w:rsidR="00182560">
        <w:rPr>
          <w:rtl/>
          <w:lang w:val="en-GB" w:eastAsia="zh-TW"/>
        </w:rPr>
        <w:t>عندما يكون فعل التمييز العرقي أو الإثني أو العمل الدعائي المنحاز لإقليم معين أو المظهر المتعارض مع حرية الوجدان أو العبادة الغرض منه أو نتيجته ارتكاب جريمة أو جنحة ضد أمن الدولة أو سلامة أراضي الجمهورية، يحاكم مرتكبه أو المحرض عليه بوصفه مشاركا</w:t>
      </w:r>
      <w:r w:rsidR="007058CE">
        <w:rPr>
          <w:rFonts w:hint="cs"/>
          <w:rtl/>
          <w:lang w:val="en-GB" w:eastAsia="zh-TW"/>
        </w:rPr>
        <w:t>ً</w:t>
      </w:r>
      <w:r w:rsidR="00182560">
        <w:rPr>
          <w:rtl/>
          <w:lang w:val="en-GB" w:eastAsia="zh-TW"/>
        </w:rPr>
        <w:t xml:space="preserve"> أو شريكا</w:t>
      </w:r>
      <w:r w:rsidR="007058CE">
        <w:rPr>
          <w:rFonts w:hint="cs"/>
          <w:rtl/>
          <w:lang w:val="en-GB" w:eastAsia="zh-TW"/>
        </w:rPr>
        <w:t>ً</w:t>
      </w:r>
      <w:r w:rsidR="00182560">
        <w:rPr>
          <w:rtl/>
          <w:lang w:val="en-GB" w:eastAsia="zh-TW"/>
        </w:rPr>
        <w:t>، تبعاً للحالة".</w:t>
      </w:r>
    </w:p>
    <w:p w:rsidR="00182560" w:rsidRPr="00FA549C" w:rsidRDefault="00BA0A7D" w:rsidP="00BA0A7D">
      <w:pPr>
        <w:pStyle w:val="SingleTxtGA"/>
        <w:ind w:left="1928"/>
        <w:rPr>
          <w:iCs/>
          <w:rtl/>
          <w:lang w:val="en-GB" w:eastAsia="zh-TW"/>
        </w:rPr>
      </w:pPr>
      <w:r>
        <w:rPr>
          <w:rtl/>
          <w:lang w:val="en-GB" w:eastAsia="zh-TW"/>
        </w:rPr>
        <w:tab/>
      </w:r>
      <w:r w:rsidR="00182560">
        <w:rPr>
          <w:rtl/>
          <w:lang w:val="en-GB" w:eastAsia="zh-TW"/>
        </w:rPr>
        <w:t xml:space="preserve">المادة 3-208: "تشكل جرائم حرب ويعاقب عليها </w:t>
      </w:r>
      <w:r w:rsidR="007C3A46">
        <w:rPr>
          <w:rtl/>
          <w:lang w:val="en-GB" w:eastAsia="zh-TW"/>
        </w:rPr>
        <w:t>وفقاً</w:t>
      </w:r>
      <w:r w:rsidR="00182560">
        <w:rPr>
          <w:rtl/>
          <w:lang w:val="en-GB" w:eastAsia="zh-TW"/>
        </w:rPr>
        <w:t xml:space="preserve"> لأحكام هذا الفصل الجرائم الخطيرة المبينة أدناه التي تسبب، سواء بارتكاب فعل أو الامتناع عن فعل، ضر</w:t>
      </w:r>
      <w:r w:rsidR="007C3A46">
        <w:rPr>
          <w:rtl/>
          <w:lang w:val="en-GB" w:eastAsia="zh-TW"/>
        </w:rPr>
        <w:t xml:space="preserve">راً </w:t>
      </w:r>
      <w:r w:rsidR="00182560">
        <w:rPr>
          <w:rtl/>
          <w:lang w:val="en-GB" w:eastAsia="zh-TW"/>
        </w:rPr>
        <w:t>للأشخاص والممتلكات المحميين بموجب الاتفاقات التي وقعت في جنيف في 12 آب/أغسطس 1949 والبروتوكولين الإضافيين الأول والثاني لتلك الاتفاقات، ال</w:t>
      </w:r>
      <w:r w:rsidR="007058CE">
        <w:rPr>
          <w:rFonts w:hint="cs"/>
          <w:rtl/>
          <w:lang w:val="en-GB" w:eastAsia="zh-TW"/>
        </w:rPr>
        <w:t>ل</w:t>
      </w:r>
      <w:r w:rsidR="00182560">
        <w:rPr>
          <w:rtl/>
          <w:lang w:val="en-GB" w:eastAsia="zh-TW"/>
        </w:rPr>
        <w:t>ذين اعتمدا في جنيف في 8 حزيران/يونيه 1977: (...).</w:t>
      </w:r>
    </w:p>
    <w:p w:rsidR="00182560" w:rsidRPr="00083A80" w:rsidRDefault="00BA0A7D" w:rsidP="00BA0A7D">
      <w:pPr>
        <w:pStyle w:val="SingleTxtGA"/>
        <w:ind w:left="1928"/>
        <w:rPr>
          <w:rtl/>
          <w:lang w:val="en-GB" w:eastAsia="zh-TW"/>
        </w:rPr>
      </w:pPr>
      <w:r>
        <w:rPr>
          <w:rtl/>
          <w:lang w:val="en-GB" w:eastAsia="zh-TW"/>
        </w:rPr>
        <w:tab/>
      </w:r>
      <w:r w:rsidR="00182560">
        <w:rPr>
          <w:rtl/>
          <w:lang w:val="en-GB" w:eastAsia="zh-TW"/>
        </w:rPr>
        <w:t>ممارسة الفصل العنصري وغيره من الممارسات اللاإنسانية والمهينة المبنية على التمييز العرقي التي تؤدي إلى الاعتداء على الكرامة الشخصية".</w:t>
      </w:r>
    </w:p>
    <w:p w:rsidR="00182560" w:rsidRPr="00083A80" w:rsidRDefault="00B6758C" w:rsidP="00B22594">
      <w:pPr>
        <w:pStyle w:val="SingleTxtGA"/>
        <w:rPr>
          <w:rtl/>
          <w:lang w:val="en-GB" w:eastAsia="zh-TW"/>
        </w:rPr>
      </w:pPr>
      <w:r>
        <w:rPr>
          <w:rtl/>
          <w:lang w:val="en-GB" w:eastAsia="zh-TW"/>
        </w:rPr>
        <w:t>٦٩-</w:t>
      </w:r>
      <w:r>
        <w:rPr>
          <w:rtl/>
          <w:lang w:val="en-GB" w:eastAsia="zh-TW"/>
        </w:rPr>
        <w:tab/>
      </w:r>
      <w:r w:rsidR="00182560">
        <w:rPr>
          <w:rtl/>
          <w:lang w:val="en-GB" w:eastAsia="zh-TW"/>
        </w:rPr>
        <w:t>وللحد من التفاوتات الاقتصادية والاجتماعية والجغرافية بين المناطق الريفية والمناطق الحضرية، اختار النيجر نظام اللامركزية كأسلوب لتنظيم الإقليم وإدارته.</w:t>
      </w:r>
    </w:p>
    <w:p w:rsidR="00182560" w:rsidRPr="009B28F7" w:rsidRDefault="00182560" w:rsidP="007058CE">
      <w:pPr>
        <w:pStyle w:val="H4GA"/>
        <w:rPr>
          <w:rtl/>
          <w:lang w:val="en-GB"/>
        </w:rPr>
      </w:pPr>
      <w:r>
        <w:rPr>
          <w:lang w:val="en-GB"/>
        </w:rPr>
        <w:tab/>
      </w:r>
      <w:r>
        <w:rPr>
          <w:lang w:val="en-GB"/>
        </w:rPr>
        <w:tab/>
      </w:r>
      <w:r>
        <w:rPr>
          <w:rtl/>
          <w:lang w:val="en-GB"/>
        </w:rPr>
        <w:t>الفئات الضعيفة</w:t>
      </w:r>
    </w:p>
    <w:p w:rsidR="00182560" w:rsidRPr="00083A80" w:rsidRDefault="00B6758C" w:rsidP="00B22594">
      <w:pPr>
        <w:pStyle w:val="SingleTxtGA"/>
        <w:rPr>
          <w:rtl/>
          <w:lang w:val="en-GB" w:eastAsia="zh-TW"/>
        </w:rPr>
      </w:pPr>
      <w:r>
        <w:rPr>
          <w:rtl/>
          <w:lang w:val="en-GB" w:eastAsia="zh-TW"/>
        </w:rPr>
        <w:t>٧٠-</w:t>
      </w:r>
      <w:r>
        <w:rPr>
          <w:rtl/>
          <w:lang w:val="en-GB" w:eastAsia="zh-TW"/>
        </w:rPr>
        <w:tab/>
      </w:r>
      <w:r w:rsidR="00182560">
        <w:rPr>
          <w:rtl/>
          <w:lang w:val="en-GB" w:eastAsia="zh-TW"/>
        </w:rPr>
        <w:t>من بين الفئات الضعيفة التي توليها السلطات اهتماماً خاصاً الأطفال والنساء والأشخاص ذوو الإعاقة وكبار السن.</w:t>
      </w:r>
    </w:p>
    <w:p w:rsidR="00182560" w:rsidRPr="009B28F7" w:rsidRDefault="00182560" w:rsidP="007058CE">
      <w:pPr>
        <w:pStyle w:val="H4GA"/>
        <w:rPr>
          <w:rtl/>
          <w:lang w:val="en-GB"/>
        </w:rPr>
      </w:pPr>
      <w:r>
        <w:rPr>
          <w:lang w:val="en-GB"/>
        </w:rPr>
        <w:tab/>
      </w:r>
      <w:r>
        <w:rPr>
          <w:lang w:val="en-GB"/>
        </w:rPr>
        <w:tab/>
      </w:r>
      <w:r>
        <w:rPr>
          <w:rtl/>
          <w:lang w:val="en-GB"/>
        </w:rPr>
        <w:t>الأطفال</w:t>
      </w:r>
    </w:p>
    <w:p w:rsidR="00182560" w:rsidRPr="009B28F7" w:rsidRDefault="00B6758C" w:rsidP="00B22594">
      <w:pPr>
        <w:pStyle w:val="SingleTxtGA"/>
        <w:rPr>
          <w:rtl/>
          <w:lang w:val="en-GB" w:eastAsia="zh-TW"/>
        </w:rPr>
      </w:pPr>
      <w:r>
        <w:rPr>
          <w:rtl/>
          <w:lang w:val="en-GB" w:eastAsia="zh-TW"/>
        </w:rPr>
        <w:t>٧١-</w:t>
      </w:r>
      <w:r>
        <w:rPr>
          <w:rtl/>
          <w:lang w:val="en-GB" w:eastAsia="zh-TW"/>
        </w:rPr>
        <w:tab/>
      </w:r>
      <w:r w:rsidR="00182560">
        <w:rPr>
          <w:rtl/>
          <w:lang w:val="en-GB" w:eastAsia="zh-TW"/>
        </w:rPr>
        <w:t xml:space="preserve">تنص الفقرة الفرعية 2 من المادة 21 من دستور 25 تشرين الثاني/نوفمبر 2010 على أنه "من واجب الدولة والسلطات العامة ضمان الصحة البدنية </w:t>
      </w:r>
      <w:r w:rsidR="00BA0A7D">
        <w:rPr>
          <w:rtl/>
          <w:lang w:val="en-GB" w:eastAsia="zh-TW"/>
        </w:rPr>
        <w:t>والعقلية والأخلاقية للأسرة، ولا</w:t>
      </w:r>
      <w:r w:rsidR="00BA0A7D">
        <w:rPr>
          <w:rFonts w:hint="cs"/>
          <w:rtl/>
          <w:lang w:val="en-GB" w:eastAsia="zh-TW"/>
        </w:rPr>
        <w:t> </w:t>
      </w:r>
      <w:r w:rsidR="00182560">
        <w:rPr>
          <w:rtl/>
          <w:lang w:val="en-GB" w:eastAsia="zh-TW"/>
        </w:rPr>
        <w:t>سيما الأمهات والأطفال".</w:t>
      </w:r>
      <w:r w:rsidR="00BA0A7D">
        <w:rPr>
          <w:rFonts w:hint="cs"/>
          <w:rtl/>
          <w:lang w:val="en-GB" w:eastAsia="zh-TW"/>
        </w:rPr>
        <w:t xml:space="preserve"> </w:t>
      </w:r>
      <w:r w:rsidR="00182560">
        <w:rPr>
          <w:rtl/>
          <w:lang w:val="en-GB" w:eastAsia="zh-TW"/>
        </w:rPr>
        <w:t>كما تنص الفقرة الفرعية 2 من المادة 22 على أنه "بالإضافة إلى ذلك، تتخذ الدولة تدابير لمكافحة العنف ضد النساء والأطفال في الحياة العامة والخاصة".</w:t>
      </w:r>
    </w:p>
    <w:p w:rsidR="00182560" w:rsidRPr="00C126A2" w:rsidRDefault="00B6758C" w:rsidP="00B22594">
      <w:pPr>
        <w:pStyle w:val="SingleTxtGA"/>
        <w:rPr>
          <w:rtl/>
          <w:lang w:val="en-GB" w:eastAsia="zh-TW"/>
        </w:rPr>
      </w:pPr>
      <w:r>
        <w:rPr>
          <w:rtl/>
          <w:lang w:val="en-GB" w:eastAsia="zh-TW"/>
        </w:rPr>
        <w:t>٧٢-</w:t>
      </w:r>
      <w:r>
        <w:rPr>
          <w:rtl/>
          <w:lang w:val="en-GB" w:eastAsia="zh-TW"/>
        </w:rPr>
        <w:tab/>
      </w:r>
      <w:r w:rsidR="00182560">
        <w:rPr>
          <w:rtl/>
          <w:lang w:val="en-GB" w:eastAsia="zh-TW"/>
        </w:rPr>
        <w:t>وتنص الفقرة الفرعية 2 من المادة 24 من الدستور على أن "الدولة والسلطات العامة الأخرى تحمي الشباب من الاستغلال والإهمال.</w:t>
      </w:r>
      <w:r w:rsidR="00BA0A7D">
        <w:rPr>
          <w:rFonts w:hint="cs"/>
          <w:rtl/>
          <w:lang w:val="en-GB" w:eastAsia="zh-TW"/>
        </w:rPr>
        <w:t xml:space="preserve"> </w:t>
      </w:r>
      <w:r w:rsidR="00182560">
        <w:rPr>
          <w:rtl/>
          <w:lang w:val="en-GB" w:eastAsia="zh-TW"/>
        </w:rPr>
        <w:t>وتكفل الدولة النماء المادي والفكري للشباب.</w:t>
      </w:r>
      <w:r w:rsidR="00BA0A7D">
        <w:rPr>
          <w:rFonts w:hint="cs"/>
          <w:rtl/>
          <w:lang w:val="en-GB" w:eastAsia="zh-TW"/>
        </w:rPr>
        <w:t xml:space="preserve"> </w:t>
      </w:r>
      <w:r w:rsidR="00182560">
        <w:rPr>
          <w:rtl/>
          <w:lang w:val="en-GB" w:eastAsia="zh-TW"/>
        </w:rPr>
        <w:t>وتكفل تعزيز تدريب الشباب وتوفير فرص العمالة لهم وإدماجهم في سوق العمل".</w:t>
      </w:r>
      <w:r w:rsidR="00BA0A7D">
        <w:rPr>
          <w:rFonts w:hint="cs"/>
          <w:rtl/>
          <w:lang w:val="en-GB" w:eastAsia="zh-TW"/>
        </w:rPr>
        <w:t xml:space="preserve"> </w:t>
      </w:r>
    </w:p>
    <w:p w:rsidR="00182560" w:rsidRPr="00C126A2" w:rsidRDefault="00B6758C" w:rsidP="00B22594">
      <w:pPr>
        <w:pStyle w:val="SingleTxtGA"/>
        <w:rPr>
          <w:rtl/>
          <w:lang w:val="en-GB" w:eastAsia="zh-TW"/>
        </w:rPr>
      </w:pPr>
      <w:r>
        <w:rPr>
          <w:rtl/>
          <w:lang w:val="en-GB" w:eastAsia="zh-TW"/>
        </w:rPr>
        <w:t>٧٣-</w:t>
      </w:r>
      <w:r>
        <w:rPr>
          <w:rtl/>
          <w:lang w:val="en-GB" w:eastAsia="zh-TW"/>
        </w:rPr>
        <w:tab/>
      </w:r>
      <w:r w:rsidR="00182560">
        <w:rPr>
          <w:rtl/>
          <w:lang w:val="en-GB" w:eastAsia="zh-TW"/>
        </w:rPr>
        <w:t>وقد اعتمد النيجر عدداً من السياسات والبرامج التي تدخل في نطاق حماية الطفل، ومنها وثيقة السياسة العامة بشأن التنمية المتكاملة للطفولة المبكرة، والوثيقة الإطارية لحماية الطفل، والبرنامج النموذجي بشأن الحماية المجتمعية للطفل.</w:t>
      </w:r>
      <w:r w:rsidR="009671E0">
        <w:rPr>
          <w:rFonts w:hint="cs"/>
          <w:rtl/>
          <w:lang w:val="en-GB" w:eastAsia="zh-TW"/>
        </w:rPr>
        <w:t xml:space="preserve"> </w:t>
      </w:r>
      <w:r w:rsidR="00182560">
        <w:rPr>
          <w:rtl/>
          <w:lang w:val="en-GB" w:eastAsia="zh-TW"/>
        </w:rPr>
        <w:t>وعلى الرغم من وجود هذا الإطار الذي يعزز حماية الأطفال، لا تزال هناك وضعيات مختلفة تتعرض فيها حقوقهم للانتهاك.</w:t>
      </w:r>
    </w:p>
    <w:p w:rsidR="00182560" w:rsidRPr="00C126A2" w:rsidRDefault="00B6758C" w:rsidP="00B22594">
      <w:pPr>
        <w:pStyle w:val="SingleTxtGA"/>
        <w:rPr>
          <w:rtl/>
          <w:lang w:val="en-GB" w:eastAsia="zh-TW"/>
        </w:rPr>
      </w:pPr>
      <w:r>
        <w:rPr>
          <w:rtl/>
          <w:lang w:val="en-GB" w:eastAsia="zh-TW"/>
        </w:rPr>
        <w:t>٧٤-</w:t>
      </w:r>
      <w:r>
        <w:rPr>
          <w:rtl/>
          <w:lang w:val="en-GB" w:eastAsia="zh-TW"/>
        </w:rPr>
        <w:tab/>
      </w:r>
      <w:r w:rsidR="00182560">
        <w:rPr>
          <w:rtl/>
          <w:lang w:val="en-GB" w:eastAsia="zh-TW"/>
        </w:rPr>
        <w:t>فقد بلغت نسبة الأطفال دون سن الخامسة الذين سجلت ولادتهم 64 في المائة في عام 2012، وبلغت هذه النسبة 60 في المائة في المناطق الريفية و92 في المائة في المناطق الحضرية.</w:t>
      </w:r>
      <w:r w:rsidR="009671E0">
        <w:rPr>
          <w:rFonts w:hint="cs"/>
          <w:rtl/>
          <w:lang w:val="en-GB" w:eastAsia="zh-TW"/>
        </w:rPr>
        <w:t xml:space="preserve"> </w:t>
      </w:r>
    </w:p>
    <w:p w:rsidR="00182560" w:rsidRPr="00C126A2" w:rsidRDefault="00B6758C" w:rsidP="00B22594">
      <w:pPr>
        <w:pStyle w:val="SingleTxtGA"/>
        <w:rPr>
          <w:rtl/>
          <w:lang w:val="en-GB" w:eastAsia="zh-TW"/>
        </w:rPr>
      </w:pPr>
      <w:r>
        <w:rPr>
          <w:rtl/>
          <w:lang w:val="en-GB" w:eastAsia="zh-TW"/>
        </w:rPr>
        <w:lastRenderedPageBreak/>
        <w:t>٧٥-</w:t>
      </w:r>
      <w:r>
        <w:rPr>
          <w:rtl/>
          <w:lang w:val="en-GB" w:eastAsia="zh-TW"/>
        </w:rPr>
        <w:tab/>
      </w:r>
      <w:r w:rsidR="00182560">
        <w:rPr>
          <w:rtl/>
          <w:lang w:val="en-GB" w:eastAsia="zh-TW"/>
        </w:rPr>
        <w:t>أما فيما يتعلق بعمل الأطفال، فإنه حقيقة واقعة في النيجر.</w:t>
      </w:r>
      <w:r w:rsidR="009671E0">
        <w:rPr>
          <w:rFonts w:hint="cs"/>
          <w:rtl/>
          <w:lang w:val="en-GB" w:eastAsia="zh-TW"/>
        </w:rPr>
        <w:t xml:space="preserve"> </w:t>
      </w:r>
      <w:r w:rsidR="00182560">
        <w:rPr>
          <w:rtl/>
          <w:lang w:val="en-GB" w:eastAsia="zh-TW"/>
        </w:rPr>
        <w:t>فقد بلغت نسبة الأطفال العاملين الذين تتراوح أعمارهم بين 5 سنوات و14 سنة 4</w:t>
      </w:r>
      <w:r w:rsidR="009671E0">
        <w:rPr>
          <w:rtl/>
          <w:lang w:val="en-GB" w:eastAsia="zh-TW"/>
        </w:rPr>
        <w:t>8 في المائة في عام 2012.</w:t>
      </w:r>
      <w:r w:rsidR="009671E0">
        <w:rPr>
          <w:rFonts w:hint="cs"/>
          <w:rtl/>
          <w:lang w:val="en-GB" w:eastAsia="zh-TW"/>
        </w:rPr>
        <w:t xml:space="preserve"> </w:t>
      </w:r>
      <w:r w:rsidR="009671E0">
        <w:rPr>
          <w:rtl/>
          <w:lang w:val="en-GB" w:eastAsia="zh-TW"/>
        </w:rPr>
        <w:t>وفي عام</w:t>
      </w:r>
      <w:r w:rsidR="009671E0">
        <w:rPr>
          <w:rFonts w:hint="cs"/>
          <w:rtl/>
          <w:lang w:val="en-GB" w:eastAsia="zh-TW"/>
        </w:rPr>
        <w:t> </w:t>
      </w:r>
      <w:r w:rsidR="00182560">
        <w:rPr>
          <w:rtl/>
          <w:lang w:val="en-GB" w:eastAsia="zh-TW"/>
        </w:rPr>
        <w:t>2000، كانت هذه النسبة تصل إلى 70 في المائة.</w:t>
      </w:r>
      <w:r w:rsidR="009671E0">
        <w:rPr>
          <w:rFonts w:hint="cs"/>
          <w:rtl/>
          <w:lang w:val="en-GB" w:eastAsia="zh-TW"/>
        </w:rPr>
        <w:t xml:space="preserve"> </w:t>
      </w:r>
      <w:r w:rsidR="00182560">
        <w:rPr>
          <w:rtl/>
          <w:lang w:val="en-GB" w:eastAsia="zh-TW"/>
        </w:rPr>
        <w:t>ويوجد تفاوت كبير بين المناطق الريفية (51 في المائة من الأطفال يعملون) والمناطق الحضرية (30 في المائة).</w:t>
      </w:r>
      <w:r w:rsidR="009671E0">
        <w:rPr>
          <w:rFonts w:hint="cs"/>
          <w:rtl/>
          <w:lang w:val="en-GB" w:eastAsia="zh-TW"/>
        </w:rPr>
        <w:t xml:space="preserve"> </w:t>
      </w:r>
      <w:r w:rsidR="00182560">
        <w:rPr>
          <w:rtl/>
          <w:lang w:val="en-GB" w:eastAsia="zh-TW"/>
        </w:rPr>
        <w:t>ويمارس الكثير من الأطفال أعمالاً خطيرة.</w:t>
      </w:r>
      <w:r w:rsidR="009671E0">
        <w:rPr>
          <w:rFonts w:hint="cs"/>
          <w:rtl/>
          <w:lang w:val="en-GB" w:eastAsia="zh-TW"/>
        </w:rPr>
        <w:t xml:space="preserve"> </w:t>
      </w:r>
      <w:r w:rsidR="00182560">
        <w:rPr>
          <w:rtl/>
          <w:lang w:val="en-GB" w:eastAsia="zh-TW"/>
        </w:rPr>
        <w:t>وهذه هي حال الأطفال العاملين في مواقع التنقيب عن الذهب في كومابانغو ومبانغا.</w:t>
      </w:r>
    </w:p>
    <w:p w:rsidR="00182560" w:rsidRPr="00C126A2" w:rsidRDefault="00B6758C" w:rsidP="00B22594">
      <w:pPr>
        <w:pStyle w:val="SingleTxtGA"/>
        <w:rPr>
          <w:rtl/>
          <w:lang w:val="en-GB" w:eastAsia="zh-TW"/>
        </w:rPr>
      </w:pPr>
      <w:r>
        <w:rPr>
          <w:rtl/>
          <w:lang w:val="en-GB" w:eastAsia="zh-TW"/>
        </w:rPr>
        <w:t>٧٦-</w:t>
      </w:r>
      <w:r>
        <w:rPr>
          <w:rtl/>
          <w:lang w:val="en-GB" w:eastAsia="zh-TW"/>
        </w:rPr>
        <w:tab/>
      </w:r>
      <w:r w:rsidR="00182560">
        <w:rPr>
          <w:rtl/>
          <w:lang w:val="en-GB" w:eastAsia="zh-TW"/>
        </w:rPr>
        <w:t>ولمواجهة هذا المشكل، أنشأت الحكومة وحدة لمكافحة عمل الأطفال ووضعت قائمة بالأعمال الخطيرة المحظورة على الأطفال.</w:t>
      </w:r>
      <w:r w:rsidR="009671E0">
        <w:rPr>
          <w:rFonts w:hint="cs"/>
          <w:rtl/>
          <w:lang w:val="en-GB" w:eastAsia="zh-TW"/>
        </w:rPr>
        <w:t xml:space="preserve"> </w:t>
      </w:r>
      <w:r w:rsidR="00182560">
        <w:rPr>
          <w:rtl/>
          <w:lang w:val="en-GB" w:eastAsia="zh-TW"/>
        </w:rPr>
        <w:t>وقد جرى أيضاً تنفيذ مشروع مشترك بين مكتب العمل الدولي والبرنامج الدولي للقضاء على تشغيل الأطفال يتعلق بمنع عمل الأطفال في مناجم الذهب الحرفية في غرب أفريقيا والقضاء عليه.</w:t>
      </w:r>
      <w:r w:rsidR="009671E0">
        <w:rPr>
          <w:rFonts w:hint="cs"/>
          <w:rtl/>
          <w:lang w:val="en-GB" w:eastAsia="zh-TW"/>
        </w:rPr>
        <w:t xml:space="preserve"> </w:t>
      </w:r>
      <w:r w:rsidR="00182560">
        <w:rPr>
          <w:rtl/>
          <w:lang w:val="en-GB" w:eastAsia="zh-TW"/>
        </w:rPr>
        <w:t>كما أن قانون العمل الصادر في عام 2012 يحظر عمل الأطفال في مادته 107.</w:t>
      </w:r>
    </w:p>
    <w:p w:rsidR="00182560" w:rsidRPr="00C126A2" w:rsidRDefault="00B6758C" w:rsidP="00B22594">
      <w:pPr>
        <w:pStyle w:val="SingleTxtGA"/>
        <w:rPr>
          <w:rtl/>
          <w:lang w:val="en-GB" w:eastAsia="zh-TW"/>
        </w:rPr>
      </w:pPr>
      <w:r>
        <w:rPr>
          <w:rtl/>
          <w:lang w:val="en-GB" w:eastAsia="zh-TW"/>
        </w:rPr>
        <w:t>٧٧-</w:t>
      </w:r>
      <w:r>
        <w:rPr>
          <w:rtl/>
          <w:lang w:val="en-GB" w:eastAsia="zh-TW"/>
        </w:rPr>
        <w:tab/>
      </w:r>
      <w:r w:rsidR="00182560">
        <w:rPr>
          <w:rtl/>
          <w:lang w:val="en-GB" w:eastAsia="zh-TW"/>
        </w:rPr>
        <w:t>أما فيما يخص أطفال الشوارع، فقد أحصت المديريات الجهوية التابعة لوزارة النهوض بالمرأة وحماية الطفل 042 11 طفلاً يعيشون في الشوارع في عام 2006.</w:t>
      </w:r>
      <w:r w:rsidR="00F13065">
        <w:rPr>
          <w:rFonts w:hint="cs"/>
          <w:rtl/>
          <w:lang w:val="en-GB" w:eastAsia="zh-TW"/>
        </w:rPr>
        <w:t xml:space="preserve"> </w:t>
      </w:r>
      <w:r w:rsidR="00182560">
        <w:rPr>
          <w:rtl/>
          <w:lang w:val="en-GB" w:eastAsia="zh-TW"/>
        </w:rPr>
        <w:t>وتشير الدراسة الاستقصائية الديمغرافية والصحية المتعددة المؤشرات التي أُجريت في عام 2006 إلى أن 31 في المائة من الأطفال منفصلون على الأقل عن أحد والديهم الطبيعيين، مقابل 17.4 في المائة في عام 2000.</w:t>
      </w:r>
      <w:r w:rsidR="00F13065">
        <w:rPr>
          <w:rFonts w:hint="cs"/>
          <w:rtl/>
          <w:lang w:val="en-GB" w:eastAsia="zh-TW"/>
        </w:rPr>
        <w:t xml:space="preserve"> </w:t>
      </w:r>
      <w:r w:rsidR="00182560">
        <w:rPr>
          <w:rtl/>
          <w:lang w:val="en-GB" w:eastAsia="zh-TW"/>
        </w:rPr>
        <w:t>أما الأطفال الذين تكفلهم الدولة، فإنهم يودعون في مركز رعاية الأطفال الذين يعانون من صعوبات أسرية وهو يوجد في نيامي.</w:t>
      </w:r>
      <w:r w:rsidR="009671E0">
        <w:rPr>
          <w:rFonts w:hint="cs"/>
          <w:rtl/>
          <w:lang w:val="en-GB" w:eastAsia="zh-TW"/>
        </w:rPr>
        <w:t xml:space="preserve"> </w:t>
      </w:r>
      <w:r w:rsidR="00182560">
        <w:rPr>
          <w:rtl/>
          <w:lang w:val="en-GB" w:eastAsia="zh-TW"/>
        </w:rPr>
        <w:t>وفي عام 2008، استقبل هذا المركز 38 طفلاً مقابل 17 طفلاً في عام 2000.</w:t>
      </w:r>
    </w:p>
    <w:p w:rsidR="00182560" w:rsidRPr="00C126A2" w:rsidRDefault="00B6758C" w:rsidP="00B22594">
      <w:pPr>
        <w:pStyle w:val="SingleTxtGA"/>
        <w:rPr>
          <w:rtl/>
          <w:lang w:val="en-GB" w:eastAsia="zh-TW"/>
        </w:rPr>
      </w:pPr>
      <w:r>
        <w:rPr>
          <w:rtl/>
          <w:lang w:val="en-GB" w:eastAsia="zh-TW"/>
        </w:rPr>
        <w:t>٧٨-</w:t>
      </w:r>
      <w:r>
        <w:rPr>
          <w:rtl/>
          <w:lang w:val="en-GB" w:eastAsia="zh-TW"/>
        </w:rPr>
        <w:tab/>
      </w:r>
      <w:r w:rsidR="00182560">
        <w:rPr>
          <w:rtl/>
          <w:lang w:val="en-GB" w:eastAsia="zh-TW"/>
        </w:rPr>
        <w:t>وفيما يتعلق بالأطفال المخالفين للقانون، بلغ عدد القُصّر المحتجزين في المؤسسات الإصلاحية الثماني والثلاثين الموجودة في النيجر، في عام 2012، 237 طفلاً، 90 في المائة منهم من الذكور.</w:t>
      </w:r>
    </w:p>
    <w:p w:rsidR="00182560" w:rsidRDefault="00B6758C" w:rsidP="00B22594">
      <w:pPr>
        <w:pStyle w:val="SingleTxtGA"/>
        <w:rPr>
          <w:rtl/>
          <w:lang w:val="en-GB" w:eastAsia="zh-TW"/>
        </w:rPr>
      </w:pPr>
      <w:r>
        <w:rPr>
          <w:rtl/>
          <w:lang w:val="en-GB" w:eastAsia="zh-TW"/>
        </w:rPr>
        <w:t>٧٩-</w:t>
      </w:r>
      <w:r>
        <w:rPr>
          <w:rtl/>
          <w:lang w:val="en-GB" w:eastAsia="zh-TW"/>
        </w:rPr>
        <w:tab/>
      </w:r>
      <w:r w:rsidR="00182560">
        <w:rPr>
          <w:rtl/>
          <w:lang w:val="en-GB" w:eastAsia="zh-TW"/>
        </w:rPr>
        <w:t>وفي النيجر، يتم تزويج الفتيات الصغيرات في سن مبكرة للغاية.</w:t>
      </w:r>
      <w:r w:rsidR="00AF4D1E">
        <w:rPr>
          <w:rFonts w:hint="cs"/>
          <w:rtl/>
          <w:lang w:val="en-GB" w:eastAsia="zh-TW"/>
        </w:rPr>
        <w:t xml:space="preserve"> </w:t>
      </w:r>
      <w:r w:rsidR="00182560">
        <w:rPr>
          <w:rtl/>
          <w:lang w:val="en-GB" w:eastAsia="zh-TW"/>
        </w:rPr>
        <w:t>وتشير الدراسة الاستقصائية الديمغرافية والصحية المتعددة المؤشرات إلى أن متوسط العمر عند الزواج الأول يتراوح بين 15.5 سنة بالنسبة للفتيات و23.1 سنة بالنسبة للفتيان.</w:t>
      </w:r>
      <w:r w:rsidR="00AF4D1E">
        <w:rPr>
          <w:rFonts w:hint="cs"/>
          <w:rtl/>
          <w:lang w:val="en-GB" w:eastAsia="zh-TW"/>
        </w:rPr>
        <w:t xml:space="preserve"> </w:t>
      </w:r>
      <w:r w:rsidR="00182560">
        <w:rPr>
          <w:rtl/>
          <w:lang w:val="en-GB" w:eastAsia="zh-TW"/>
        </w:rPr>
        <w:t>وتصل نسبة الفتيات ممن تتراوح أعمارهن بين 15و19 عاماً اللاتي يتزوجن قبل بلوغ سن 15 إلى حوالي الربع (24 في المائة) ونسبة النساء ممن يتزوجن قبل بلوغ سن 18 إلى أكثر من ثلاثة أرباع (77 في المائة). ويظل التقدم المحرز في هذا المجال بطيئاً نسبياً، إ</w:t>
      </w:r>
      <w:r w:rsidR="00AF4D1E">
        <w:rPr>
          <w:rtl/>
          <w:lang w:val="en-GB" w:eastAsia="zh-TW"/>
        </w:rPr>
        <w:t>ذ لم يسجل في الفترة ما بين عامي</w:t>
      </w:r>
      <w:r w:rsidR="00AF4D1E">
        <w:rPr>
          <w:rFonts w:hint="cs"/>
          <w:rtl/>
          <w:lang w:val="en-GB" w:eastAsia="zh-TW"/>
        </w:rPr>
        <w:t> </w:t>
      </w:r>
      <w:r w:rsidR="00182560">
        <w:rPr>
          <w:rtl/>
          <w:lang w:val="en-GB" w:eastAsia="zh-TW"/>
        </w:rPr>
        <w:t>2006</w:t>
      </w:r>
      <w:r w:rsidR="00C62502">
        <w:rPr>
          <w:rFonts w:hint="cs"/>
          <w:rtl/>
          <w:lang w:val="en-GB" w:eastAsia="zh-TW" w:bidi="ar-DZ"/>
        </w:rPr>
        <w:t xml:space="preserve"> </w:t>
      </w:r>
      <w:r w:rsidR="00182560">
        <w:rPr>
          <w:rtl/>
          <w:lang w:val="en-GB" w:eastAsia="zh-TW"/>
        </w:rPr>
        <w:t>و2012 سوى انخفاض طفيف بمقدار 4 نقاط مئوية في نسبة الفتيات المراهقات اللاتي يتزوجن قبل بلوغ سن 15 واستقرت نسبة النساء اللاتي يتزوجن قبل سن 1</w:t>
      </w:r>
      <w:r w:rsidR="003F2F55">
        <w:rPr>
          <w:rtl/>
          <w:lang w:val="en-GB" w:eastAsia="zh-TW"/>
        </w:rPr>
        <w:t>8 في حوالي</w:t>
      </w:r>
      <w:r w:rsidR="003F2F55">
        <w:rPr>
          <w:rFonts w:hint="cs"/>
          <w:rtl/>
          <w:lang w:val="en-GB" w:eastAsia="zh-TW"/>
        </w:rPr>
        <w:t> </w:t>
      </w:r>
      <w:r w:rsidR="00182560">
        <w:rPr>
          <w:rtl/>
          <w:lang w:val="en-GB" w:eastAsia="zh-TW"/>
        </w:rPr>
        <w:t>77 في المائة.</w:t>
      </w:r>
      <w:r w:rsidR="003F2F55">
        <w:rPr>
          <w:rFonts w:hint="cs"/>
          <w:rtl/>
          <w:lang w:val="en-GB" w:eastAsia="zh-TW"/>
        </w:rPr>
        <w:t xml:space="preserve"> </w:t>
      </w:r>
    </w:p>
    <w:p w:rsidR="00182560" w:rsidRPr="00C126A2" w:rsidRDefault="00B6758C" w:rsidP="00B22594">
      <w:pPr>
        <w:pStyle w:val="SingleTxtGA"/>
        <w:rPr>
          <w:rtl/>
          <w:lang w:val="en-GB" w:eastAsia="zh-TW"/>
        </w:rPr>
      </w:pPr>
      <w:r>
        <w:rPr>
          <w:rtl/>
          <w:lang w:val="en-GB" w:eastAsia="zh-TW"/>
        </w:rPr>
        <w:t>٨٠-</w:t>
      </w:r>
      <w:r>
        <w:rPr>
          <w:rtl/>
          <w:lang w:val="en-GB" w:eastAsia="zh-TW"/>
        </w:rPr>
        <w:tab/>
      </w:r>
      <w:r w:rsidR="00182560">
        <w:rPr>
          <w:rtl/>
          <w:lang w:val="en-GB" w:eastAsia="zh-TW"/>
        </w:rPr>
        <w:t>وفي عام 2012، بلغ معدل انتشار عمليات تشويه الأعضاء التناسلية الأنثوية/ختان الإناث على الصعيد الوطني 2 في المائة، أي نصف ما كان عليه في عام 1998 عندما كان يصل إلى 5.6 في المائة.</w:t>
      </w:r>
    </w:p>
    <w:p w:rsidR="00182560" w:rsidRPr="00C126A2" w:rsidRDefault="00182560" w:rsidP="009634C7">
      <w:pPr>
        <w:pStyle w:val="H4GA"/>
        <w:rPr>
          <w:rtl/>
          <w:lang w:val="en-GB"/>
        </w:rPr>
      </w:pPr>
      <w:r>
        <w:rPr>
          <w:lang w:val="en-GB"/>
        </w:rPr>
        <w:tab/>
      </w:r>
      <w:r>
        <w:rPr>
          <w:lang w:val="en-GB"/>
        </w:rPr>
        <w:tab/>
      </w:r>
      <w:r>
        <w:rPr>
          <w:rtl/>
          <w:lang w:val="en-GB"/>
        </w:rPr>
        <w:t>المرأة</w:t>
      </w:r>
    </w:p>
    <w:p w:rsidR="00182560" w:rsidRPr="00C126A2" w:rsidRDefault="00B6758C" w:rsidP="00B22594">
      <w:pPr>
        <w:pStyle w:val="SingleTxtGA"/>
        <w:rPr>
          <w:rtl/>
          <w:lang w:val="en-GB" w:eastAsia="zh-TW"/>
        </w:rPr>
      </w:pPr>
      <w:r>
        <w:rPr>
          <w:rtl/>
          <w:lang w:val="en-GB" w:eastAsia="zh-TW"/>
        </w:rPr>
        <w:t>٨١-</w:t>
      </w:r>
      <w:r>
        <w:rPr>
          <w:rtl/>
          <w:lang w:val="en-GB" w:eastAsia="zh-TW"/>
        </w:rPr>
        <w:tab/>
      </w:r>
      <w:r w:rsidR="00182560">
        <w:rPr>
          <w:rtl/>
          <w:lang w:val="en-GB" w:eastAsia="zh-TW"/>
        </w:rPr>
        <w:t>يعد تعزيز وحماية حقوق المرأة من المسائل التي تشغل بال السلطات العامة بشكل دائم.</w:t>
      </w:r>
      <w:r w:rsidR="00F845D7">
        <w:rPr>
          <w:rFonts w:hint="cs"/>
          <w:rtl/>
          <w:lang w:val="en-GB" w:eastAsia="zh-TW"/>
        </w:rPr>
        <w:t xml:space="preserve"> </w:t>
      </w:r>
      <w:r w:rsidR="00182560">
        <w:rPr>
          <w:rtl/>
          <w:lang w:val="en-GB" w:eastAsia="zh-TW"/>
        </w:rPr>
        <w:t>وقد أتاح تنقيح القانون الجنائي في عام 2003 مراعاة بعض أشكال العنف ضد المرأة.</w:t>
      </w:r>
      <w:r w:rsidR="00F845D7">
        <w:rPr>
          <w:rFonts w:hint="cs"/>
          <w:rtl/>
          <w:lang w:val="en-GB" w:eastAsia="zh-TW"/>
        </w:rPr>
        <w:t xml:space="preserve"> </w:t>
      </w:r>
      <w:r w:rsidR="00182560">
        <w:rPr>
          <w:rtl/>
          <w:lang w:val="en-GB" w:eastAsia="zh-TW"/>
        </w:rPr>
        <w:lastRenderedPageBreak/>
        <w:t>وهكذا، فإن التحرش الجنسي، وتشويه الأعضاء التناسلية الأنثوية، والرق، والقوادة، والتحريض على ممارسة الفجور، والاغتصاب جرائم يعاقب عليها القانون بشدة.</w:t>
      </w:r>
    </w:p>
    <w:p w:rsidR="00182560" w:rsidRPr="00FA549C" w:rsidRDefault="00B6758C" w:rsidP="00F845D7">
      <w:pPr>
        <w:pStyle w:val="SingleTxtGA"/>
        <w:rPr>
          <w:iCs/>
          <w:rtl/>
          <w:lang w:val="en-GB" w:eastAsia="zh-TW"/>
        </w:rPr>
      </w:pPr>
      <w:r>
        <w:rPr>
          <w:rtl/>
          <w:lang w:val="en-GB" w:eastAsia="zh-TW"/>
        </w:rPr>
        <w:t>٨٢-</w:t>
      </w:r>
      <w:r>
        <w:rPr>
          <w:rtl/>
          <w:lang w:val="en-GB" w:eastAsia="zh-TW"/>
        </w:rPr>
        <w:tab/>
      </w:r>
      <w:r w:rsidR="00182560">
        <w:rPr>
          <w:rtl/>
          <w:lang w:val="en-GB" w:eastAsia="zh-TW"/>
        </w:rPr>
        <w:t>وقد تجلت إرادة الحكومة في القضاء على التمييز الجنساني في اعتماد السياسة الوطنية للنهوض بالمرأة، في عام ١٩٩٦، ثم في وضع سياسة جنسانية وطنية وخطة عمل عشرية ملحقة بها (</w:t>
      </w:r>
      <w:r w:rsidR="00F845D7">
        <w:rPr>
          <w:rFonts w:hint="cs"/>
          <w:rtl/>
          <w:lang w:val="en-GB" w:eastAsia="zh-TW"/>
        </w:rPr>
        <w:t>2018-2009</w:t>
      </w:r>
      <w:r w:rsidR="00182560">
        <w:rPr>
          <w:rtl/>
          <w:lang w:val="en-GB" w:eastAsia="zh-TW"/>
        </w:rPr>
        <w:t>).</w:t>
      </w:r>
      <w:r w:rsidR="00F845D7">
        <w:rPr>
          <w:rFonts w:hint="cs"/>
          <w:rtl/>
          <w:lang w:val="en-GB" w:eastAsia="zh-TW"/>
        </w:rPr>
        <w:t xml:space="preserve"> </w:t>
      </w:r>
      <w:r w:rsidR="00182560">
        <w:rPr>
          <w:rtl/>
          <w:lang w:val="en-GB" w:eastAsia="zh-TW"/>
        </w:rPr>
        <w:t>وتتمثل الرؤية التي تقوم عليها السياسة الجنسانية الوطنية في العمل، مع جميع أصحاب المصلحة، على "بناء مجتمع دون تمييز تتاح فيه للرجال والنساء والفتيات والفتيان نفس الفرص للمشاركة في التنمية والانتفاع بثمار النمو" بحلول عام 2018.</w:t>
      </w:r>
    </w:p>
    <w:p w:rsidR="00182560" w:rsidRPr="00C126A2" w:rsidRDefault="00B6758C" w:rsidP="00B22594">
      <w:pPr>
        <w:pStyle w:val="SingleTxtGA"/>
        <w:rPr>
          <w:rtl/>
          <w:lang w:val="en-GB" w:eastAsia="zh-TW"/>
        </w:rPr>
      </w:pPr>
      <w:r>
        <w:rPr>
          <w:rtl/>
          <w:lang w:val="en-GB" w:eastAsia="zh-TW"/>
        </w:rPr>
        <w:t>٨٣-</w:t>
      </w:r>
      <w:r>
        <w:rPr>
          <w:rtl/>
          <w:lang w:val="en-GB" w:eastAsia="zh-TW"/>
        </w:rPr>
        <w:tab/>
      </w:r>
      <w:r w:rsidR="00182560">
        <w:rPr>
          <w:rtl/>
          <w:lang w:val="en-GB" w:eastAsia="zh-TW"/>
        </w:rPr>
        <w:t>ومن بين النصوص التشريعية الرئيسية التي تتعلق بتعزيز حقوق المرأة، يمكن الإشارة إلى ما يلي:</w:t>
      </w:r>
    </w:p>
    <w:p w:rsidR="00182560" w:rsidRPr="00DE6869" w:rsidRDefault="00182560" w:rsidP="009634C7">
      <w:pPr>
        <w:pStyle w:val="Bullet1GA"/>
        <w:bidi/>
        <w:rPr>
          <w:rtl/>
          <w:lang w:val="en-GB" w:eastAsia="zh-TW"/>
        </w:rPr>
      </w:pPr>
      <w:r>
        <w:rPr>
          <w:rtl/>
          <w:lang w:val="en-GB" w:eastAsia="zh-TW"/>
        </w:rPr>
        <w:t xml:space="preserve">القانون رقم </w:t>
      </w:r>
      <w:r w:rsidR="009634C7">
        <w:rPr>
          <w:rFonts w:hint="cs"/>
          <w:rtl/>
          <w:lang w:val="en-GB" w:eastAsia="zh-TW"/>
        </w:rPr>
        <w:t>2000-008</w:t>
      </w:r>
      <w:r>
        <w:rPr>
          <w:rtl/>
          <w:lang w:val="en-GB" w:eastAsia="zh-TW"/>
        </w:rPr>
        <w:t xml:space="preserve"> الصادر في 7 حزيران/يونيه 2000، والذي يضع نظاماً للحصص لفائدة أحد الجنسين في الوظائف التي تشغل بالانتخاب (10</w:t>
      </w:r>
      <w:r w:rsidR="00F845D7">
        <w:rPr>
          <w:rFonts w:hint="cs"/>
          <w:rtl/>
          <w:lang w:val="en-GB" w:eastAsia="zh-TW"/>
        </w:rPr>
        <w:t> </w:t>
      </w:r>
      <w:r>
        <w:rPr>
          <w:rtl/>
          <w:lang w:val="en-GB" w:eastAsia="zh-TW"/>
        </w:rPr>
        <w:t xml:space="preserve">في المائة) ووظائف إدارة الدولة والحكومة (25 في المائة)، والذي عُدل </w:t>
      </w:r>
      <w:r w:rsidRPr="00DE6869">
        <w:rPr>
          <w:spacing w:val="-6"/>
          <w:rtl/>
          <w:lang w:val="en-GB" w:eastAsia="zh-TW"/>
        </w:rPr>
        <w:t xml:space="preserve">بموجب القانون رقم </w:t>
      </w:r>
      <w:r w:rsidR="009634C7">
        <w:rPr>
          <w:rFonts w:hint="cs"/>
          <w:spacing w:val="-6"/>
          <w:rtl/>
          <w:lang w:val="en-GB" w:eastAsia="zh-TW"/>
        </w:rPr>
        <w:t>2014-64</w:t>
      </w:r>
      <w:r w:rsidRPr="00DE6869">
        <w:rPr>
          <w:spacing w:val="-6"/>
          <w:rtl/>
          <w:lang w:val="en-GB" w:eastAsia="zh-TW"/>
        </w:rPr>
        <w:t xml:space="preserve"> الصادر في 5 تشرين الثاني/نوفمبر 2014، والذي </w:t>
      </w:r>
      <w:r w:rsidRPr="00DE6869">
        <w:rPr>
          <w:rtl/>
          <w:lang w:val="en-GB" w:eastAsia="zh-TW"/>
        </w:rPr>
        <w:t>يرفع حصة المناصب التي تشغل بالانتخاب من 10 في المائة إلى 15 في المائة؛</w:t>
      </w:r>
    </w:p>
    <w:p w:rsidR="00182560" w:rsidRPr="00C126A2" w:rsidRDefault="00182560" w:rsidP="00DD4CB7">
      <w:pPr>
        <w:pStyle w:val="Bullet1GA"/>
        <w:bidi/>
        <w:rPr>
          <w:rtl/>
          <w:lang w:val="en-GB" w:eastAsia="zh-TW"/>
        </w:rPr>
      </w:pPr>
      <w:r>
        <w:rPr>
          <w:rtl/>
          <w:lang w:val="en-GB" w:eastAsia="zh-TW"/>
        </w:rPr>
        <w:t xml:space="preserve">القانون رقم </w:t>
      </w:r>
      <w:r w:rsidR="001E6DF1">
        <w:rPr>
          <w:rFonts w:hint="cs"/>
          <w:rtl/>
          <w:lang w:val="en-GB" w:eastAsia="zh-TW"/>
        </w:rPr>
        <w:t>2014-60</w:t>
      </w:r>
      <w:r>
        <w:rPr>
          <w:rtl/>
          <w:lang w:val="en-GB" w:eastAsia="zh-TW"/>
        </w:rPr>
        <w:t xml:space="preserve"> الصادر في 5 تشرين الثاني/نوفمبر 2014، والذي عدّل الأمر رقم </w:t>
      </w:r>
      <w:r w:rsidR="00DD4CB7">
        <w:rPr>
          <w:rFonts w:hint="cs"/>
          <w:rtl/>
          <w:lang w:val="en-GB" w:eastAsia="zh-TW"/>
        </w:rPr>
        <w:t>84-33</w:t>
      </w:r>
      <w:r>
        <w:rPr>
          <w:rtl/>
          <w:lang w:val="en-GB" w:eastAsia="zh-TW"/>
        </w:rPr>
        <w:t xml:space="preserve"> المؤرخ 23 آب/أغسطس 1984، بشأن الجنسية النيجرية والذي يقر للمرأة النيجرية الحق في نقل جنسيتها إلى زوجها الأجنبي.</w:t>
      </w:r>
    </w:p>
    <w:p w:rsidR="00182560" w:rsidRPr="00083A80" w:rsidRDefault="00B6758C" w:rsidP="00B22594">
      <w:pPr>
        <w:pStyle w:val="SingleTxtGA"/>
        <w:rPr>
          <w:rtl/>
          <w:lang w:val="en-GB" w:eastAsia="zh-TW"/>
        </w:rPr>
      </w:pPr>
      <w:r>
        <w:rPr>
          <w:rtl/>
          <w:lang w:val="en-GB" w:eastAsia="zh-TW"/>
        </w:rPr>
        <w:t>٨٤-</w:t>
      </w:r>
      <w:r>
        <w:rPr>
          <w:rtl/>
          <w:lang w:val="en-GB" w:eastAsia="zh-TW"/>
        </w:rPr>
        <w:tab/>
      </w:r>
      <w:r w:rsidR="00182560">
        <w:rPr>
          <w:rtl/>
          <w:lang w:val="en-GB" w:eastAsia="zh-TW"/>
        </w:rPr>
        <w:t>وقد شرع أيضاً في إعداد مدونة للأحوال الشخصية.</w:t>
      </w:r>
      <w:r w:rsidR="00F845D7">
        <w:rPr>
          <w:rFonts w:hint="cs"/>
          <w:rtl/>
          <w:lang w:val="en-GB" w:eastAsia="zh-TW"/>
        </w:rPr>
        <w:t xml:space="preserve"> </w:t>
      </w:r>
      <w:r w:rsidR="00182560">
        <w:rPr>
          <w:rtl/>
          <w:lang w:val="en-GB" w:eastAsia="zh-TW"/>
        </w:rPr>
        <w:t>ولا تزال المناقشات بشأن اعتماده جارية.</w:t>
      </w:r>
      <w:r w:rsidR="00F845D7">
        <w:rPr>
          <w:rFonts w:hint="cs"/>
          <w:rtl/>
          <w:lang w:val="en-GB" w:eastAsia="zh-TW"/>
        </w:rPr>
        <w:t xml:space="preserve"> </w:t>
      </w:r>
    </w:p>
    <w:p w:rsidR="00182560" w:rsidRPr="00083A80" w:rsidRDefault="00B6758C" w:rsidP="00B22594">
      <w:pPr>
        <w:pStyle w:val="SingleTxtGA"/>
        <w:rPr>
          <w:rtl/>
          <w:lang w:val="en-GB" w:eastAsia="zh-TW"/>
        </w:rPr>
      </w:pPr>
      <w:r>
        <w:rPr>
          <w:rtl/>
          <w:lang w:val="en-GB" w:eastAsia="zh-TW"/>
        </w:rPr>
        <w:t>٨٥-</w:t>
      </w:r>
      <w:r>
        <w:rPr>
          <w:rtl/>
          <w:lang w:val="en-GB" w:eastAsia="zh-TW"/>
        </w:rPr>
        <w:tab/>
      </w:r>
      <w:r w:rsidR="00182560">
        <w:rPr>
          <w:rtl/>
          <w:lang w:val="en-GB" w:eastAsia="zh-TW"/>
        </w:rPr>
        <w:t>وعلاوة على ذلك، اتخذ النيجر عدداً من التدابير الرامية إلى إضفاء الطابع المؤسسي على المنظور الجنساني.</w:t>
      </w:r>
      <w:r w:rsidR="00F845D7">
        <w:rPr>
          <w:rFonts w:hint="cs"/>
          <w:rtl/>
          <w:lang w:val="en-GB" w:eastAsia="zh-TW"/>
        </w:rPr>
        <w:t xml:space="preserve"> </w:t>
      </w:r>
      <w:r w:rsidR="00182560">
        <w:rPr>
          <w:rtl/>
          <w:lang w:val="en-GB" w:eastAsia="zh-TW"/>
        </w:rPr>
        <w:t>ويتعلق الأمر، أساساً، بإنشاء وحدات للشؤون الجنسانية في مختلف الوزارات القطاعية من خلال عملية انطلقت منذ عام 2007.</w:t>
      </w:r>
    </w:p>
    <w:p w:rsidR="00182560" w:rsidRPr="00083A80" w:rsidRDefault="00B6758C" w:rsidP="00F845D7">
      <w:pPr>
        <w:pStyle w:val="SingleTxtGA"/>
        <w:rPr>
          <w:rtl/>
          <w:lang w:val="en-GB" w:eastAsia="zh-TW"/>
        </w:rPr>
      </w:pPr>
      <w:r>
        <w:rPr>
          <w:rtl/>
          <w:lang w:val="en-GB" w:eastAsia="zh-TW"/>
        </w:rPr>
        <w:t>٨٦-</w:t>
      </w:r>
      <w:r>
        <w:rPr>
          <w:rtl/>
          <w:lang w:val="en-GB" w:eastAsia="zh-TW"/>
        </w:rPr>
        <w:tab/>
      </w:r>
      <w:r w:rsidR="00182560">
        <w:rPr>
          <w:rtl/>
          <w:lang w:val="en-GB" w:eastAsia="zh-TW"/>
        </w:rPr>
        <w:t>وعلى الرغم من وجود هذا النظام، يلاحظ استمرار العنف الممارس على المرأة والإساءات المتعلقة بالطلاق والزواج القسري.</w:t>
      </w:r>
      <w:r w:rsidR="006E40E2">
        <w:rPr>
          <w:rFonts w:hint="cs"/>
          <w:rtl/>
          <w:lang w:val="en-GB" w:eastAsia="zh-TW"/>
        </w:rPr>
        <w:t xml:space="preserve"> </w:t>
      </w:r>
      <w:r w:rsidR="00182560">
        <w:rPr>
          <w:rtl/>
          <w:lang w:val="en-GB" w:eastAsia="zh-TW"/>
        </w:rPr>
        <w:t>كما أن الأعراف السائدة تحرم النساء في بعض المجموعات الإثنية من حصصهن في الأرض عند تقسيم التركة.</w:t>
      </w:r>
    </w:p>
    <w:p w:rsidR="00182560" w:rsidRPr="00C126A2" w:rsidRDefault="00182560" w:rsidP="00A11F4A">
      <w:pPr>
        <w:pStyle w:val="H4GA"/>
        <w:rPr>
          <w:rtl/>
          <w:lang w:val="en-GB"/>
        </w:rPr>
      </w:pPr>
      <w:r>
        <w:rPr>
          <w:lang w:val="en-GB"/>
        </w:rPr>
        <w:tab/>
      </w:r>
      <w:r>
        <w:rPr>
          <w:lang w:val="en-GB"/>
        </w:rPr>
        <w:tab/>
      </w:r>
      <w:r>
        <w:rPr>
          <w:rtl/>
          <w:lang w:val="en-GB"/>
        </w:rPr>
        <w:t>الأشخاص ذوو الإعاقة</w:t>
      </w:r>
    </w:p>
    <w:p w:rsidR="00182560" w:rsidRPr="00C126A2" w:rsidRDefault="00B6758C" w:rsidP="00B22594">
      <w:pPr>
        <w:pStyle w:val="SingleTxtGA"/>
        <w:rPr>
          <w:rtl/>
          <w:lang w:val="en-GB" w:eastAsia="zh-TW"/>
        </w:rPr>
      </w:pPr>
      <w:r>
        <w:rPr>
          <w:rtl/>
          <w:lang w:val="en-GB" w:eastAsia="zh-TW"/>
        </w:rPr>
        <w:t>٨٧-</w:t>
      </w:r>
      <w:r>
        <w:rPr>
          <w:rtl/>
          <w:lang w:val="en-GB" w:eastAsia="zh-TW"/>
        </w:rPr>
        <w:tab/>
      </w:r>
      <w:r w:rsidR="00182560">
        <w:rPr>
          <w:rtl/>
          <w:lang w:val="en-GB" w:eastAsia="zh-TW"/>
        </w:rPr>
        <w:t>يكفل النيجر، باعتباره دولة طرفاً في اتفاقية حقوق الأشخاص ذوي الإعاقة، حقوق الأشخاص ذوي الإعاقة بموجب المادتين 22</w:t>
      </w:r>
      <w:r w:rsidR="00A11F4A">
        <w:rPr>
          <w:rFonts w:hint="cs"/>
          <w:rtl/>
          <w:lang w:val="en-GB" w:eastAsia="zh-TW"/>
        </w:rPr>
        <w:t xml:space="preserve"> </w:t>
      </w:r>
      <w:r w:rsidR="00182560">
        <w:rPr>
          <w:rtl/>
          <w:lang w:val="en-GB" w:eastAsia="zh-TW"/>
        </w:rPr>
        <w:t>و26 من الدستور اللتين تنصان على ما يلي:</w:t>
      </w:r>
    </w:p>
    <w:p w:rsidR="00182560" w:rsidRPr="00FA549C" w:rsidRDefault="00F845D7" w:rsidP="00F845D7">
      <w:pPr>
        <w:pStyle w:val="SingleTxtGA"/>
        <w:ind w:left="1928"/>
        <w:rPr>
          <w:iCs/>
          <w:rtl/>
          <w:lang w:val="en-GB" w:eastAsia="zh-TW"/>
        </w:rPr>
      </w:pPr>
      <w:r>
        <w:rPr>
          <w:rtl/>
          <w:lang w:val="en-GB" w:eastAsia="zh-TW"/>
        </w:rPr>
        <w:tab/>
      </w:r>
      <w:r w:rsidR="00182560">
        <w:rPr>
          <w:rtl/>
          <w:lang w:val="en-GB" w:eastAsia="zh-TW"/>
        </w:rPr>
        <w:t>المادة 22: تكفل الدولة القضاء على جميع أشكال التمييز ضد النساء والفتيات والأشخاص ذوي الإعاقة.</w:t>
      </w:r>
      <w:r w:rsidR="006E40E2">
        <w:rPr>
          <w:rFonts w:hint="cs"/>
          <w:rtl/>
          <w:lang w:val="en-GB" w:eastAsia="zh-TW"/>
        </w:rPr>
        <w:t xml:space="preserve"> </w:t>
      </w:r>
      <w:r w:rsidR="00182560">
        <w:rPr>
          <w:rtl/>
          <w:lang w:val="en-GB" w:eastAsia="zh-TW"/>
        </w:rPr>
        <w:t>وتضمن السياسات العامة المتبعة في جميع المجالات نموهم الكامل ومشاركتهم في التنمية الوطنية؛</w:t>
      </w:r>
    </w:p>
    <w:p w:rsidR="00182560" w:rsidRPr="00FA549C" w:rsidRDefault="00F845D7" w:rsidP="00F845D7">
      <w:pPr>
        <w:pStyle w:val="SingleTxtGA"/>
        <w:ind w:left="1928"/>
        <w:rPr>
          <w:iCs/>
          <w:rtl/>
          <w:lang w:val="en-GB" w:eastAsia="zh-TW"/>
        </w:rPr>
      </w:pPr>
      <w:r>
        <w:rPr>
          <w:rtl/>
          <w:lang w:val="en-GB" w:eastAsia="zh-TW"/>
        </w:rPr>
        <w:tab/>
      </w:r>
      <w:r w:rsidR="00182560">
        <w:rPr>
          <w:rtl/>
          <w:lang w:val="en-GB" w:eastAsia="zh-TW"/>
        </w:rPr>
        <w:t>المادة 26: تكفل الدولة تكافؤ الفرص للأشخاص ذوي الإعاقة من أجل النهوض بهم و/أو إعادة اندماجهم في المجتمع.</w:t>
      </w:r>
    </w:p>
    <w:p w:rsidR="00182560" w:rsidRPr="00C126A2" w:rsidRDefault="00B6758C" w:rsidP="003E454F">
      <w:pPr>
        <w:pStyle w:val="SingleTxtGA"/>
        <w:rPr>
          <w:rtl/>
          <w:lang w:val="en-GB" w:eastAsia="zh-TW"/>
        </w:rPr>
      </w:pPr>
      <w:r>
        <w:rPr>
          <w:rtl/>
          <w:lang w:val="en-GB" w:eastAsia="zh-TW"/>
        </w:rPr>
        <w:lastRenderedPageBreak/>
        <w:t>٨٨-</w:t>
      </w:r>
      <w:r>
        <w:rPr>
          <w:rtl/>
          <w:lang w:val="en-GB" w:eastAsia="zh-TW"/>
        </w:rPr>
        <w:tab/>
      </w:r>
      <w:r w:rsidR="00182560">
        <w:rPr>
          <w:rtl/>
          <w:lang w:val="en-GB" w:eastAsia="zh-TW"/>
        </w:rPr>
        <w:t xml:space="preserve">ويحدد الأمر رقم </w:t>
      </w:r>
      <w:r w:rsidR="003E454F">
        <w:rPr>
          <w:rFonts w:hint="cs"/>
          <w:rtl/>
          <w:lang w:val="en-GB" w:eastAsia="zh-TW"/>
        </w:rPr>
        <w:t>93-012</w:t>
      </w:r>
      <w:r w:rsidR="00182560">
        <w:rPr>
          <w:rtl/>
          <w:lang w:val="en-GB" w:eastAsia="zh-TW"/>
        </w:rPr>
        <w:t xml:space="preserve"> القواعد الدنيا المتعلقة بالحماية الاجتماعية للأشخاص ذوي الإعاقة.</w:t>
      </w:r>
      <w:r w:rsidR="006E40E2">
        <w:rPr>
          <w:rFonts w:hint="cs"/>
          <w:rtl/>
          <w:lang w:val="en-GB" w:eastAsia="zh-TW"/>
        </w:rPr>
        <w:t xml:space="preserve"> </w:t>
      </w:r>
      <w:r w:rsidR="00182560">
        <w:rPr>
          <w:rtl/>
          <w:lang w:val="en-GB" w:eastAsia="zh-TW"/>
        </w:rPr>
        <w:t>وتطبيقاً للأمر المذكور أعلاه، اعتمد مرسومان في عام 2010 يتعلق أحدهما بإنشاء اللجنة الوطنية للنهوض بالأشخاص ذوي الإعاقة.</w:t>
      </w:r>
      <w:r w:rsidR="006E40E2">
        <w:rPr>
          <w:rFonts w:hint="cs"/>
          <w:rtl/>
          <w:lang w:val="en-GB" w:eastAsia="zh-TW"/>
        </w:rPr>
        <w:t xml:space="preserve"> </w:t>
      </w:r>
      <w:r w:rsidR="00182560">
        <w:rPr>
          <w:rtl/>
          <w:lang w:val="en-GB" w:eastAsia="zh-TW"/>
        </w:rPr>
        <w:t xml:space="preserve">وبالإضافة إلى ذلك، تمنح المادة 9 من المرسوم رقم </w:t>
      </w:r>
      <w:r w:rsidR="00182560">
        <w:rPr>
          <w:lang w:val="en-GB" w:eastAsia="zh-TW"/>
        </w:rPr>
        <w:t>96/456/PRN/MSP</w:t>
      </w:r>
      <w:r w:rsidR="00182560">
        <w:rPr>
          <w:rtl/>
          <w:lang w:val="en-GB" w:eastAsia="zh-TW"/>
        </w:rPr>
        <w:t xml:space="preserve"> الأشخاص ذوي الإعاقة إعفاءً تاماً من نفقات الاستشارات الطبية والاستشفاء في المستشفيات الوطنية.</w:t>
      </w:r>
    </w:p>
    <w:p w:rsidR="00182560" w:rsidRPr="00083A80" w:rsidRDefault="00B6758C" w:rsidP="00B22594">
      <w:pPr>
        <w:pStyle w:val="SingleTxtGA"/>
        <w:rPr>
          <w:rtl/>
          <w:lang w:val="en-GB" w:eastAsia="zh-TW"/>
        </w:rPr>
      </w:pPr>
      <w:r>
        <w:rPr>
          <w:rtl/>
          <w:lang w:val="en-GB" w:eastAsia="zh-TW"/>
        </w:rPr>
        <w:t>٨٩-</w:t>
      </w:r>
      <w:r>
        <w:rPr>
          <w:rtl/>
          <w:lang w:val="en-GB" w:eastAsia="zh-TW"/>
        </w:rPr>
        <w:tab/>
      </w:r>
      <w:r w:rsidR="00182560">
        <w:rPr>
          <w:rtl/>
          <w:lang w:val="en-GB" w:eastAsia="zh-TW"/>
        </w:rPr>
        <w:t xml:space="preserve">وبموجب المادة 21 من الأمر السالف </w:t>
      </w:r>
      <w:r w:rsidR="00AF131F">
        <w:rPr>
          <w:rFonts w:hint="cs"/>
          <w:rtl/>
          <w:lang w:val="en-GB" w:eastAsia="zh-TW"/>
        </w:rPr>
        <w:t>ا</w:t>
      </w:r>
      <w:r w:rsidR="00182560">
        <w:rPr>
          <w:rtl/>
          <w:lang w:val="en-GB" w:eastAsia="zh-TW"/>
        </w:rPr>
        <w:t>لذكر، يتعين على كل مؤسسة عامة أو خاصة توظف ما لا يقل عن 20 أجيراً تخصيص نسبة 5 في المائة من مناصب العمل لديها للأشخاص ذوي الإعاقة.</w:t>
      </w:r>
      <w:r w:rsidR="006E40E2">
        <w:rPr>
          <w:rFonts w:hint="cs"/>
          <w:rtl/>
          <w:lang w:val="en-GB" w:eastAsia="zh-TW"/>
        </w:rPr>
        <w:t xml:space="preserve"> </w:t>
      </w:r>
      <w:r w:rsidR="00182560">
        <w:rPr>
          <w:rtl/>
          <w:lang w:val="en-GB" w:eastAsia="zh-TW"/>
        </w:rPr>
        <w:t>وقد أتاح تطبيق أحكام هذه المادة توظيف 300 من الخريجين من ذوي الإعاقة في الفترة ما بين عامي 2007</w:t>
      </w:r>
      <w:r w:rsidR="00AF131F">
        <w:rPr>
          <w:rFonts w:hint="cs"/>
          <w:rtl/>
          <w:lang w:val="en-GB" w:eastAsia="zh-TW"/>
        </w:rPr>
        <w:t xml:space="preserve"> </w:t>
      </w:r>
      <w:r w:rsidR="00182560">
        <w:rPr>
          <w:rtl/>
          <w:lang w:val="en-GB" w:eastAsia="zh-TW"/>
        </w:rPr>
        <w:t>و2014.</w:t>
      </w:r>
    </w:p>
    <w:p w:rsidR="00182560" w:rsidRPr="00083A80" w:rsidRDefault="00B6758C" w:rsidP="00B22594">
      <w:pPr>
        <w:pStyle w:val="SingleTxtGA"/>
        <w:rPr>
          <w:rtl/>
          <w:lang w:val="en-GB" w:eastAsia="zh-TW"/>
        </w:rPr>
      </w:pPr>
      <w:r>
        <w:rPr>
          <w:rtl/>
          <w:lang w:val="en-GB" w:eastAsia="zh-TW"/>
        </w:rPr>
        <w:t>٩٠-</w:t>
      </w:r>
      <w:r>
        <w:rPr>
          <w:rtl/>
          <w:lang w:val="en-GB" w:eastAsia="zh-TW"/>
        </w:rPr>
        <w:tab/>
      </w:r>
      <w:r w:rsidR="00182560">
        <w:rPr>
          <w:rtl/>
          <w:lang w:val="en-GB" w:eastAsia="zh-TW"/>
        </w:rPr>
        <w:t>وفي عام 2011، اعتمد النيجر سياسة وطنية للحماية الاجتماعية يركز محورها الرابع على اتخاذ إجراءات محددة لصالح الفئات الضعيفة، بمن فيهم الأشخاص ذوو الإعاقة وكبار السن.</w:t>
      </w:r>
    </w:p>
    <w:p w:rsidR="00182560" w:rsidRPr="00083A80" w:rsidRDefault="00B6758C" w:rsidP="00B22594">
      <w:pPr>
        <w:pStyle w:val="SingleTxtGA"/>
        <w:rPr>
          <w:rtl/>
          <w:lang w:val="en-GB" w:eastAsia="zh-TW"/>
        </w:rPr>
      </w:pPr>
      <w:r>
        <w:rPr>
          <w:rtl/>
          <w:lang w:val="en-GB" w:eastAsia="zh-TW"/>
        </w:rPr>
        <w:t>٩١-</w:t>
      </w:r>
      <w:r>
        <w:rPr>
          <w:rtl/>
          <w:lang w:val="en-GB" w:eastAsia="zh-TW"/>
        </w:rPr>
        <w:tab/>
      </w:r>
      <w:r w:rsidR="00182560">
        <w:rPr>
          <w:rtl/>
          <w:lang w:val="en-GB" w:eastAsia="zh-TW"/>
        </w:rPr>
        <w:t>وحسب ما ورد في التقرير العالمي حول الإعاقة الذي أصدرته منظمة الصحة العالمية في حزيران/يونيه 2011، يشكل الأشخاص ذوو الإعاقة نسبة 15 في المائة من مجموع عدد السكان؛</w:t>
      </w:r>
      <w:r w:rsidR="006E40E2">
        <w:rPr>
          <w:rFonts w:hint="cs"/>
          <w:rtl/>
          <w:lang w:val="en-GB" w:eastAsia="zh-TW"/>
        </w:rPr>
        <w:t xml:space="preserve"> </w:t>
      </w:r>
      <w:r w:rsidR="00182560">
        <w:rPr>
          <w:rtl/>
          <w:lang w:val="en-GB" w:eastAsia="zh-TW"/>
        </w:rPr>
        <w:t>وهناك نسبة كبيرة من الأطفال (33.5 في المائة) تعاني أكثر من إعاقة واحدة.</w:t>
      </w:r>
      <w:r w:rsidR="006E40E2">
        <w:rPr>
          <w:rFonts w:hint="cs"/>
          <w:rtl/>
          <w:lang w:val="en-GB" w:eastAsia="zh-TW"/>
        </w:rPr>
        <w:t xml:space="preserve"> </w:t>
      </w:r>
      <w:r w:rsidR="00182560">
        <w:rPr>
          <w:rtl/>
          <w:lang w:val="en-GB" w:eastAsia="zh-TW"/>
        </w:rPr>
        <w:t>ووفقا</w:t>
      </w:r>
      <w:r w:rsidR="00F845D7">
        <w:rPr>
          <w:rFonts w:hint="cs"/>
          <w:rtl/>
          <w:lang w:val="en-GB" w:eastAsia="zh-TW"/>
        </w:rPr>
        <w:t>ً</w:t>
      </w:r>
      <w:r w:rsidR="00182560">
        <w:rPr>
          <w:rtl/>
          <w:lang w:val="en-GB" w:eastAsia="zh-TW"/>
        </w:rPr>
        <w:t xml:space="preserve"> لنتائج التعداد العام للسكان والمساكن لعام 201</w:t>
      </w:r>
      <w:r w:rsidR="00F845D7">
        <w:rPr>
          <w:rtl/>
          <w:lang w:val="en-GB" w:eastAsia="zh-TW"/>
        </w:rPr>
        <w:t>2، يبلغ عدد الأشخاص ذوي الإعاقة</w:t>
      </w:r>
      <w:r w:rsidR="00F845D7">
        <w:rPr>
          <w:rFonts w:hint="cs"/>
          <w:rtl/>
          <w:lang w:val="en-GB" w:eastAsia="zh-TW"/>
        </w:rPr>
        <w:t> </w:t>
      </w:r>
      <w:r w:rsidR="00182560">
        <w:rPr>
          <w:rtl/>
          <w:lang w:val="en-GB" w:eastAsia="zh-TW"/>
        </w:rPr>
        <w:t>715</w:t>
      </w:r>
      <w:r w:rsidR="00F845D7">
        <w:rPr>
          <w:rFonts w:hint="cs"/>
          <w:rtl/>
          <w:lang w:val="en-GB" w:eastAsia="zh-TW"/>
        </w:rPr>
        <w:t> </w:t>
      </w:r>
      <w:r w:rsidR="00182560">
        <w:rPr>
          <w:rtl/>
          <w:lang w:val="en-GB" w:eastAsia="zh-TW"/>
        </w:rPr>
        <w:t>476، أي 4.2 في المائة من السكان، من بينهم 341</w:t>
      </w:r>
      <w:r w:rsidR="00F845D7">
        <w:rPr>
          <w:rFonts w:hint="cs"/>
          <w:rtl/>
          <w:lang w:val="en-GB" w:eastAsia="zh-TW"/>
        </w:rPr>
        <w:t> </w:t>
      </w:r>
      <w:r w:rsidR="00182560">
        <w:rPr>
          <w:rtl/>
          <w:lang w:val="en-GB" w:eastAsia="zh-TW"/>
        </w:rPr>
        <w:t>723 فرداً يعانون من إعاقات متعددة.</w:t>
      </w:r>
      <w:r w:rsidR="00F845D7">
        <w:rPr>
          <w:rFonts w:hint="cs"/>
          <w:rtl/>
          <w:lang w:val="en-GB" w:eastAsia="zh-TW"/>
        </w:rPr>
        <w:t xml:space="preserve"> </w:t>
      </w:r>
    </w:p>
    <w:p w:rsidR="00182560" w:rsidRPr="00083A80" w:rsidRDefault="00B6758C" w:rsidP="00B22594">
      <w:pPr>
        <w:pStyle w:val="SingleTxtGA"/>
        <w:rPr>
          <w:rtl/>
          <w:lang w:val="en-GB" w:eastAsia="zh-TW"/>
        </w:rPr>
      </w:pPr>
      <w:r>
        <w:rPr>
          <w:rtl/>
          <w:lang w:val="en-GB" w:eastAsia="zh-TW"/>
        </w:rPr>
        <w:t>٩٢-</w:t>
      </w:r>
      <w:r>
        <w:rPr>
          <w:rtl/>
          <w:lang w:val="en-GB" w:eastAsia="zh-TW"/>
        </w:rPr>
        <w:tab/>
      </w:r>
      <w:r w:rsidR="00182560">
        <w:rPr>
          <w:rtl/>
          <w:lang w:val="en-GB" w:eastAsia="zh-TW"/>
        </w:rPr>
        <w:t>ويمثل الوصم الذي يمارسه المجتمع تجاه الأشخاص ذوي الإعاقة أشد أنواع العنف المسلط عليهم.</w:t>
      </w:r>
    </w:p>
    <w:p w:rsidR="00182560" w:rsidRPr="00C126A2" w:rsidRDefault="00182560" w:rsidP="00AF131F">
      <w:pPr>
        <w:pStyle w:val="H4GA"/>
        <w:rPr>
          <w:rtl/>
          <w:lang w:val="en-GB"/>
        </w:rPr>
      </w:pPr>
      <w:r>
        <w:rPr>
          <w:lang w:val="en-GB"/>
        </w:rPr>
        <w:tab/>
      </w:r>
      <w:r>
        <w:rPr>
          <w:lang w:val="en-GB"/>
        </w:rPr>
        <w:tab/>
      </w:r>
      <w:r>
        <w:rPr>
          <w:rtl/>
          <w:lang w:val="en-GB"/>
        </w:rPr>
        <w:t>كبار السن</w:t>
      </w:r>
    </w:p>
    <w:p w:rsidR="00182560" w:rsidRPr="00C126A2" w:rsidRDefault="00B6758C" w:rsidP="00B22594">
      <w:pPr>
        <w:pStyle w:val="SingleTxtGA"/>
        <w:rPr>
          <w:rtl/>
          <w:lang w:val="en-GB" w:eastAsia="zh-TW"/>
        </w:rPr>
      </w:pPr>
      <w:r>
        <w:rPr>
          <w:rtl/>
          <w:lang w:val="en-GB" w:eastAsia="zh-TW"/>
        </w:rPr>
        <w:t>٩٣-</w:t>
      </w:r>
      <w:r>
        <w:rPr>
          <w:rtl/>
          <w:lang w:val="en-GB" w:eastAsia="zh-TW"/>
        </w:rPr>
        <w:tab/>
      </w:r>
      <w:r w:rsidR="00182560">
        <w:rPr>
          <w:rtl/>
          <w:lang w:val="en-GB" w:eastAsia="zh-TW"/>
        </w:rPr>
        <w:t>تولي دولة النيجر اهتماماً خاصاً لكبار السن.</w:t>
      </w:r>
      <w:r w:rsidR="006E40E2">
        <w:rPr>
          <w:rFonts w:hint="cs"/>
          <w:rtl/>
          <w:lang w:val="en-GB" w:eastAsia="zh-TW"/>
        </w:rPr>
        <w:t xml:space="preserve"> </w:t>
      </w:r>
      <w:r w:rsidR="00182560">
        <w:rPr>
          <w:rtl/>
          <w:lang w:val="en-GB" w:eastAsia="zh-TW"/>
        </w:rPr>
        <w:t>وفي هذا الصدد، تنص المادة 25 من الدستور على أن "الدولة تكفل رعاية كبار السن من خلال سياسة للحماية الاجتماعية.</w:t>
      </w:r>
      <w:r w:rsidR="00182560">
        <w:rPr>
          <w:lang w:val="en-GB" w:eastAsia="zh-TW"/>
        </w:rPr>
        <w:t xml:space="preserve"> </w:t>
      </w:r>
      <w:r w:rsidR="00182560">
        <w:rPr>
          <w:rtl/>
          <w:lang w:val="en-GB" w:eastAsia="zh-TW"/>
        </w:rPr>
        <w:t>ويحدد القانون شروط وإجراءات هذه الحماية".</w:t>
      </w:r>
      <w:r w:rsidR="006E40E2">
        <w:rPr>
          <w:rFonts w:hint="cs"/>
          <w:rtl/>
          <w:lang w:val="en-GB" w:eastAsia="zh-TW"/>
        </w:rPr>
        <w:t xml:space="preserve"> </w:t>
      </w:r>
      <w:r w:rsidR="00182560">
        <w:rPr>
          <w:rtl/>
          <w:lang w:val="en-GB" w:eastAsia="zh-TW"/>
        </w:rPr>
        <w:t>وبالإضافة إلى ذلك، أنشأت الحكومة داخل وزارة السكان والنهوض بالمرأة وحماية الطفل مديرية تتولى النهوض بكبار السن وهي مسؤولة عن وضع وضمان تنفيذ التشريعات واللوائح المتعلقة بحقوق المسنين.</w:t>
      </w:r>
      <w:r w:rsidR="006E40E2">
        <w:rPr>
          <w:rFonts w:hint="cs"/>
          <w:rtl/>
          <w:lang w:val="en-GB" w:eastAsia="zh-TW"/>
        </w:rPr>
        <w:t xml:space="preserve"> </w:t>
      </w:r>
      <w:r w:rsidR="00182560">
        <w:rPr>
          <w:rtl/>
          <w:lang w:val="en-GB" w:eastAsia="zh-TW"/>
        </w:rPr>
        <w:t>وتحقيقاً لهذه الغاية، ووفقاً لأحكام المادة 25 من الدستو</w:t>
      </w:r>
      <w:bookmarkStart w:id="40" w:name="_GoBack"/>
      <w:bookmarkEnd w:id="40"/>
      <w:r w:rsidR="00182560">
        <w:rPr>
          <w:rtl/>
          <w:lang w:val="en-GB" w:eastAsia="zh-TW"/>
        </w:rPr>
        <w:t xml:space="preserve">ر، يجري </w:t>
      </w:r>
      <w:r w:rsidR="007C3A46">
        <w:rPr>
          <w:rtl/>
          <w:lang w:val="en-GB" w:eastAsia="zh-TW"/>
        </w:rPr>
        <w:t>حالياً</w:t>
      </w:r>
      <w:r w:rsidR="00182560">
        <w:rPr>
          <w:rtl/>
          <w:lang w:val="en-GB" w:eastAsia="zh-TW"/>
        </w:rPr>
        <w:t xml:space="preserve"> إعداد مشروع قانون يتعلق بحماية كبار السن.</w:t>
      </w:r>
    </w:p>
    <w:p w:rsidR="00182560" w:rsidRPr="00C126A2" w:rsidRDefault="00B6758C" w:rsidP="00B22594">
      <w:pPr>
        <w:pStyle w:val="SingleTxtGA"/>
        <w:rPr>
          <w:rtl/>
          <w:lang w:val="en-GB" w:eastAsia="zh-TW"/>
        </w:rPr>
      </w:pPr>
      <w:r>
        <w:rPr>
          <w:rtl/>
          <w:lang w:val="en-GB" w:eastAsia="zh-TW"/>
        </w:rPr>
        <w:t>٩٤-</w:t>
      </w:r>
      <w:r>
        <w:rPr>
          <w:rtl/>
          <w:lang w:val="en-GB" w:eastAsia="zh-TW"/>
        </w:rPr>
        <w:tab/>
      </w:r>
      <w:r w:rsidR="00182560">
        <w:rPr>
          <w:rtl/>
          <w:lang w:val="en-GB" w:eastAsia="zh-TW"/>
        </w:rPr>
        <w:t>وبالفعل، فإن نسبة التغطية الطبية التي يحظى بها الموظفون المتقاعدون تبلغ 90 في المائة بالمقارنة مع 80 في المائة بالنسبة للموظفين العاملين.</w:t>
      </w:r>
    </w:p>
    <w:p w:rsidR="00182560" w:rsidRPr="00C126A2" w:rsidRDefault="00B6758C" w:rsidP="007C3A46">
      <w:pPr>
        <w:pStyle w:val="SingleTxtGA"/>
        <w:rPr>
          <w:rtl/>
          <w:lang w:val="en-GB" w:eastAsia="zh-TW" w:bidi="ar-DZ"/>
        </w:rPr>
      </w:pPr>
      <w:r>
        <w:rPr>
          <w:rtl/>
          <w:lang w:val="en-GB" w:eastAsia="zh-TW"/>
        </w:rPr>
        <w:t>٩٥-</w:t>
      </w:r>
      <w:r>
        <w:rPr>
          <w:rtl/>
          <w:lang w:val="en-GB" w:eastAsia="zh-TW"/>
        </w:rPr>
        <w:tab/>
      </w:r>
      <w:r w:rsidR="00182560">
        <w:rPr>
          <w:rtl/>
          <w:lang w:val="en-GB" w:eastAsia="zh-TW"/>
        </w:rPr>
        <w:t>وبالإضافة إلى ذلك، أنشئت في عام 2015 مجالس لكبار السن.</w:t>
      </w:r>
      <w:r w:rsidR="007C3A46">
        <w:rPr>
          <w:rFonts w:hint="cs"/>
          <w:rtl/>
          <w:lang w:val="en-GB" w:eastAsia="zh-TW"/>
        </w:rPr>
        <w:t xml:space="preserve"> </w:t>
      </w:r>
      <w:r w:rsidR="00182560">
        <w:rPr>
          <w:rtl/>
          <w:lang w:val="en-GB" w:eastAsia="zh-TW"/>
        </w:rPr>
        <w:t xml:space="preserve">وتجري </w:t>
      </w:r>
      <w:r w:rsidR="007C3A46">
        <w:rPr>
          <w:rtl/>
          <w:lang w:val="en-GB" w:eastAsia="zh-TW"/>
        </w:rPr>
        <w:t>حالياً</w:t>
      </w:r>
      <w:r w:rsidR="00182560">
        <w:rPr>
          <w:rtl/>
          <w:lang w:val="en-GB" w:eastAsia="zh-TW"/>
        </w:rPr>
        <w:t xml:space="preserve"> مناقشات بغية تعزيز نظام الرعاية الصحية المجانية للمسنين والفقراء، من خلال الصندوق الاجتماعي للصحة.</w:t>
      </w:r>
      <w:r w:rsidR="006E40E2">
        <w:rPr>
          <w:rFonts w:hint="cs"/>
          <w:rtl/>
          <w:lang w:val="en-GB" w:eastAsia="zh-TW"/>
        </w:rPr>
        <w:t xml:space="preserve"> </w:t>
      </w:r>
      <w:r w:rsidR="00182560">
        <w:rPr>
          <w:rtl/>
          <w:lang w:val="en-GB" w:eastAsia="zh-TW"/>
        </w:rPr>
        <w:t>كما تجري دراسة تدابير تتعلق بصرف معاش اجتماعي (معاش تقاعدي لكبار السن) غير قائم على دفع اشتراكات.</w:t>
      </w:r>
    </w:p>
    <w:p w:rsidR="00182560" w:rsidRPr="00517551" w:rsidRDefault="00182560" w:rsidP="00182560">
      <w:pPr>
        <w:spacing w:before="240"/>
        <w:ind w:left="1134" w:right="1134"/>
        <w:jc w:val="center"/>
        <w:rPr>
          <w:u w:val="single"/>
        </w:rPr>
      </w:pPr>
      <w:r>
        <w:rPr>
          <w:u w:val="single"/>
        </w:rPr>
        <w:tab/>
      </w:r>
      <w:r>
        <w:rPr>
          <w:u w:val="single"/>
        </w:rPr>
        <w:tab/>
      </w:r>
      <w:r>
        <w:rPr>
          <w:u w:val="single"/>
        </w:rPr>
        <w:tab/>
      </w:r>
    </w:p>
    <w:sectPr w:rsidR="00182560" w:rsidRPr="00517551" w:rsidSect="000369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46" w:rsidRPr="002901D9" w:rsidRDefault="005D4246" w:rsidP="002901D9">
      <w:pPr>
        <w:spacing w:after="60" w:line="240" w:lineRule="auto"/>
        <w:rPr>
          <w:i/>
          <w:iCs/>
        </w:rPr>
      </w:pPr>
      <w:r>
        <w:rPr>
          <w:rFonts w:hint="cs"/>
          <w:i/>
          <w:iCs/>
          <w:rtl/>
        </w:rPr>
        <w:t>الحواشي</w:t>
      </w:r>
    </w:p>
  </w:endnote>
  <w:endnote w:type="continuationSeparator" w:id="0">
    <w:p w:rsidR="005D4246" w:rsidRDefault="005D424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46" w:rsidRPr="00182560" w:rsidRDefault="005D4246" w:rsidP="00182560">
    <w:pPr>
      <w:pStyle w:val="Footer"/>
      <w:tabs>
        <w:tab w:val="right" w:pos="9598"/>
      </w:tabs>
      <w:rPr>
        <w:sz w:val="17"/>
      </w:rPr>
    </w:pPr>
    <w:r>
      <w:rPr>
        <w:sz w:val="17"/>
      </w:rPr>
      <w:t>GE.18-04453</w:t>
    </w:r>
    <w:r>
      <w:rPr>
        <w:sz w:val="17"/>
      </w:rPr>
      <w:tab/>
    </w:r>
    <w:r w:rsidRPr="00182560">
      <w:rPr>
        <w:b/>
        <w:sz w:val="18"/>
      </w:rPr>
      <w:fldChar w:fldCharType="begin"/>
    </w:r>
    <w:r w:rsidRPr="00182560">
      <w:rPr>
        <w:b/>
        <w:sz w:val="18"/>
      </w:rPr>
      <w:instrText xml:space="preserve"> PAGE  \* MERGEFORMAT </w:instrText>
    </w:r>
    <w:r w:rsidRPr="00182560">
      <w:rPr>
        <w:b/>
        <w:sz w:val="18"/>
      </w:rPr>
      <w:fldChar w:fldCharType="separate"/>
    </w:r>
    <w:r w:rsidR="00FC0B86">
      <w:rPr>
        <w:b/>
        <w:noProof/>
        <w:sz w:val="18"/>
      </w:rPr>
      <w:t>14</w:t>
    </w:r>
    <w:r w:rsidRPr="0018256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46" w:rsidRPr="00182560" w:rsidRDefault="005D4246" w:rsidP="006959B0">
    <w:pPr>
      <w:pStyle w:val="Footer"/>
      <w:tabs>
        <w:tab w:val="right" w:pos="9599"/>
      </w:tabs>
      <w:jc w:val="left"/>
      <w:rPr>
        <w:b/>
        <w:sz w:val="18"/>
        <w:lang w:val="en-US"/>
      </w:rPr>
    </w:pPr>
    <w:r w:rsidRPr="00182560">
      <w:rPr>
        <w:b/>
        <w:sz w:val="18"/>
        <w:lang w:val="en-US"/>
      </w:rPr>
      <w:fldChar w:fldCharType="begin"/>
    </w:r>
    <w:r w:rsidRPr="00182560">
      <w:rPr>
        <w:b/>
        <w:sz w:val="18"/>
        <w:lang w:val="en-US"/>
      </w:rPr>
      <w:instrText xml:space="preserve"> PAGE  \* MERGEFORMAT </w:instrText>
    </w:r>
    <w:r w:rsidRPr="00182560">
      <w:rPr>
        <w:b/>
        <w:sz w:val="18"/>
        <w:lang w:val="en-US"/>
      </w:rPr>
      <w:fldChar w:fldCharType="separate"/>
    </w:r>
    <w:r w:rsidR="00FC0B86">
      <w:rPr>
        <w:b/>
        <w:noProof/>
        <w:sz w:val="18"/>
        <w:lang w:val="en-US"/>
      </w:rPr>
      <w:t>29</w:t>
    </w:r>
    <w:r w:rsidRPr="00182560">
      <w:rPr>
        <w:b/>
        <w:sz w:val="18"/>
        <w:lang w:val="en-US"/>
      </w:rPr>
      <w:fldChar w:fldCharType="end"/>
    </w:r>
    <w:r>
      <w:rPr>
        <w:b/>
        <w:sz w:val="18"/>
        <w:lang w:val="en-US"/>
      </w:rPr>
      <w:tab/>
    </w:r>
    <w:r>
      <w:rPr>
        <w:sz w:val="17"/>
        <w:lang w:val="en-US"/>
      </w:rPr>
      <w:t>GE.18-04453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46" w:rsidRDefault="005D4246" w:rsidP="007C1295">
    <w:pPr>
      <w:pStyle w:val="Footer"/>
      <w:spacing w:before="360"/>
      <w:jc w:val="right"/>
      <w:rPr>
        <w:sz w:val="20"/>
        <w:szCs w:val="20"/>
      </w:rPr>
    </w:pPr>
    <w:r>
      <w:rPr>
        <w:sz w:val="20"/>
        <w:szCs w:val="20"/>
      </w:rPr>
      <w:t>GE.18-04453</w:t>
    </w:r>
    <w:r>
      <w:rPr>
        <w:noProof/>
        <w:lang w:val="en-US" w:eastAsia="zh-CN"/>
      </w:rPr>
      <w:drawing>
        <wp:anchor distT="0" distB="0" distL="114300" distR="114300" simplePos="0" relativeHeight="251665408"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D4246" w:rsidRPr="00036975" w:rsidRDefault="005D4246" w:rsidP="0003697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46" w:rsidRDefault="005D4246" w:rsidP="00CB28F9">
      <w:pPr>
        <w:pStyle w:val="Footer"/>
        <w:bidi/>
        <w:spacing w:after="80" w:line="200" w:lineRule="exact"/>
        <w:ind w:left="680"/>
      </w:pPr>
      <w:r>
        <w:rPr>
          <w:rtl/>
        </w:rPr>
        <w:t>__________</w:t>
      </w:r>
    </w:p>
  </w:footnote>
  <w:footnote w:type="continuationSeparator" w:id="0">
    <w:p w:rsidR="005D4246" w:rsidRDefault="005D4246" w:rsidP="00656392">
      <w:pPr>
        <w:spacing w:line="240" w:lineRule="auto"/>
      </w:pPr>
      <w:r>
        <w:continuationSeparator/>
      </w:r>
    </w:p>
  </w:footnote>
  <w:footnote w:id="1">
    <w:p w:rsidR="005D4246" w:rsidRPr="008A7FD7" w:rsidRDefault="005D4246" w:rsidP="008A7FD7">
      <w:pPr>
        <w:pStyle w:val="FootnoteText1"/>
        <w:rPr>
          <w:lang w:bidi="ar-DZ"/>
        </w:rPr>
      </w:pPr>
      <w:r>
        <w:rPr>
          <w:rtl/>
          <w:lang w:bidi="ar-DZ"/>
        </w:rPr>
        <w:t>*</w:t>
      </w:r>
      <w:r>
        <w:rPr>
          <w:rtl/>
          <w:lang w:bidi="ar-DZ"/>
        </w:rPr>
        <w:tab/>
      </w:r>
      <w:r w:rsidRPr="008A7FD7">
        <w:rPr>
          <w:rtl/>
          <w:lang w:bidi="ar-DZ"/>
        </w:rPr>
        <w:t>تصدر هذه الوثيقة من دون تحرير رسمي.</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46" w:rsidRPr="00182560" w:rsidRDefault="005D4246" w:rsidP="00182560">
    <w:pPr>
      <w:pStyle w:val="Header"/>
      <w:jc w:val="right"/>
    </w:pPr>
    <w:r w:rsidRPr="00182560">
      <w:t>HRI/CORE/NER/2018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46" w:rsidRPr="00182560" w:rsidRDefault="005D4246" w:rsidP="00182560">
    <w:pPr>
      <w:pStyle w:val="Header"/>
      <w:jc w:val="left"/>
    </w:pPr>
    <w:r w:rsidRPr="00182560">
      <w:t>HRI/CORE/NER/2018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33D6E2B0"/>
    <w:lvl w:ilvl="0" w:tplc="1338CC84">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F4EB2"/>
    <w:multiLevelType w:val="hybridMultilevel"/>
    <w:tmpl w:val="E2E298F2"/>
    <w:lvl w:ilvl="0" w:tplc="0A4ED614">
      <w:start w:val="1"/>
      <w:numFmt w:val="bullet"/>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40F2917"/>
    <w:multiLevelType w:val="hybridMultilevel"/>
    <w:tmpl w:val="100AB8C4"/>
    <w:lvl w:ilvl="0" w:tplc="0A4ED614">
      <w:start w:val="1"/>
      <w:numFmt w:val="bullet"/>
      <w:pStyle w:val="Bullet2G"/>
      <w:lvlText w:val="-"/>
      <w:lvlJc w:val="left"/>
      <w:pPr>
        <w:ind w:left="2818" w:hanging="360"/>
      </w:pPr>
      <w:rPr>
        <w:rFonts w:ascii="Times New Roman" w:hAnsi="Times New Roman" w:hint="default"/>
        <w:b w:val="0"/>
        <w:i w:val="0"/>
        <w:sz w:val="20"/>
      </w:rPr>
    </w:lvl>
    <w:lvl w:ilvl="1" w:tplc="08090003" w:tentative="1">
      <w:start w:val="1"/>
      <w:numFmt w:val="bullet"/>
      <w:lvlText w:val="o"/>
      <w:lvlJc w:val="left"/>
      <w:pPr>
        <w:ind w:left="3538" w:hanging="360"/>
      </w:pPr>
      <w:rPr>
        <w:rFonts w:ascii="Courier New" w:hAnsi="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6" w15:restartNumberingAfterBreak="0">
    <w:nsid w:val="454B2370"/>
    <w:multiLevelType w:val="hybridMultilevel"/>
    <w:tmpl w:val="3CB6788A"/>
    <w:lvl w:ilvl="0" w:tplc="BD005228">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D07B2"/>
    <w:multiLevelType w:val="hybridMultilevel"/>
    <w:tmpl w:val="14D45D5C"/>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D7C76C8"/>
    <w:multiLevelType w:val="multilevel"/>
    <w:tmpl w:val="814EEAF8"/>
    <w:lvl w:ilvl="0">
      <w:start w:val="1"/>
      <w:numFmt w:val="decimal"/>
      <w:lvlText w:val="%1."/>
      <w:lvlJc w:val="left"/>
      <w:pPr>
        <w:tabs>
          <w:tab w:val="num" w:pos="360"/>
        </w:tabs>
        <w:ind w:left="360" w:hanging="360"/>
      </w:pPr>
      <w:rPr>
        <w:rFonts w:cs="Times New Roman"/>
      </w:rPr>
    </w:lvl>
    <w:lvl w:ilvl="1">
      <w:start w:val="1"/>
      <w:numFmt w:val="decimal"/>
      <w:pStyle w:val="StyleTitre4ArialNarrow"/>
      <w:lvlText w:val="%1.%2."/>
      <w:lvlJc w:val="left"/>
      <w:pPr>
        <w:tabs>
          <w:tab w:val="num" w:pos="792"/>
        </w:tabs>
        <w:ind w:left="792" w:hanging="432"/>
      </w:pPr>
      <w:rPr>
        <w:rFonts w:cs="Times New Roman"/>
      </w:rPr>
    </w:lvl>
    <w:lvl w:ilvl="2">
      <w:start w:val="1"/>
      <w:numFmt w:val="decimal"/>
      <w:pStyle w:val="StyleTitre5ArialNarrow"/>
      <w:lvlText w:val="%1.%2.%3."/>
      <w:lvlJc w:val="left"/>
      <w:pPr>
        <w:tabs>
          <w:tab w:val="num" w:pos="1440"/>
        </w:tabs>
        <w:ind w:left="1224" w:hanging="504"/>
      </w:pPr>
      <w:rPr>
        <w:rFonts w:cs="Times New Roman"/>
      </w:rPr>
    </w:lvl>
    <w:lvl w:ilvl="3">
      <w:start w:val="1"/>
      <w:numFmt w:val="decimal"/>
      <w:pStyle w:val="StyleTitre4ArialNarrow"/>
      <w:lvlText w:val="%1.%2.%3.%4."/>
      <w:lvlJc w:val="left"/>
      <w:pPr>
        <w:tabs>
          <w:tab w:val="num" w:pos="1800"/>
        </w:tabs>
        <w:ind w:left="1728" w:hanging="648"/>
      </w:pPr>
      <w:rPr>
        <w:rFonts w:cs="Times New Roman"/>
      </w:rPr>
    </w:lvl>
    <w:lvl w:ilvl="4">
      <w:start w:val="1"/>
      <w:numFmt w:val="decimal"/>
      <w:pStyle w:val="StyleTitre5ArialNarrow"/>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5161FAE"/>
    <w:multiLevelType w:val="hybridMultilevel"/>
    <w:tmpl w:val="686EDE80"/>
    <w:lvl w:ilvl="0" w:tplc="599E62CA">
      <w:numFmt w:val="bullet"/>
      <w:lvlText w:val="•"/>
      <w:lvlJc w:val="left"/>
      <w:pPr>
        <w:ind w:left="2458" w:hanging="360"/>
      </w:pPr>
      <w:rPr>
        <w:rFonts w:ascii="Times New Roman" w:eastAsiaTheme="minorEastAsia" w:hAnsi="Times New Roman" w:hint="default"/>
      </w:rPr>
    </w:lvl>
    <w:lvl w:ilvl="1" w:tplc="08090003" w:tentative="1">
      <w:start w:val="1"/>
      <w:numFmt w:val="bullet"/>
      <w:lvlText w:val="o"/>
      <w:lvlJc w:val="left"/>
      <w:pPr>
        <w:ind w:left="3178" w:hanging="360"/>
      </w:pPr>
      <w:rPr>
        <w:rFonts w:ascii="Courier New" w:hAnsi="Courier New" w:hint="default"/>
      </w:rPr>
    </w:lvl>
    <w:lvl w:ilvl="2" w:tplc="08090005" w:tentative="1">
      <w:start w:val="1"/>
      <w:numFmt w:val="bullet"/>
      <w:lvlText w:val=""/>
      <w:lvlJc w:val="left"/>
      <w:pPr>
        <w:ind w:left="3898" w:hanging="360"/>
      </w:pPr>
      <w:rPr>
        <w:rFonts w:ascii="Wingdings" w:hAnsi="Wingdings" w:hint="default"/>
      </w:rPr>
    </w:lvl>
    <w:lvl w:ilvl="3" w:tplc="08090001" w:tentative="1">
      <w:start w:val="1"/>
      <w:numFmt w:val="bullet"/>
      <w:lvlText w:val=""/>
      <w:lvlJc w:val="left"/>
      <w:pPr>
        <w:ind w:left="4618" w:hanging="360"/>
      </w:pPr>
      <w:rPr>
        <w:rFonts w:ascii="Symbol" w:hAnsi="Symbol" w:hint="default"/>
      </w:rPr>
    </w:lvl>
    <w:lvl w:ilvl="4" w:tplc="08090003" w:tentative="1">
      <w:start w:val="1"/>
      <w:numFmt w:val="bullet"/>
      <w:lvlText w:val="o"/>
      <w:lvlJc w:val="left"/>
      <w:pPr>
        <w:ind w:left="5338" w:hanging="360"/>
      </w:pPr>
      <w:rPr>
        <w:rFonts w:ascii="Courier New" w:hAnsi="Courier New" w:hint="default"/>
      </w:rPr>
    </w:lvl>
    <w:lvl w:ilvl="5" w:tplc="08090005" w:tentative="1">
      <w:start w:val="1"/>
      <w:numFmt w:val="bullet"/>
      <w:lvlText w:val=""/>
      <w:lvlJc w:val="left"/>
      <w:pPr>
        <w:ind w:left="6058" w:hanging="360"/>
      </w:pPr>
      <w:rPr>
        <w:rFonts w:ascii="Wingdings" w:hAnsi="Wingdings" w:hint="default"/>
      </w:rPr>
    </w:lvl>
    <w:lvl w:ilvl="6" w:tplc="08090001" w:tentative="1">
      <w:start w:val="1"/>
      <w:numFmt w:val="bullet"/>
      <w:lvlText w:val=""/>
      <w:lvlJc w:val="left"/>
      <w:pPr>
        <w:ind w:left="6778" w:hanging="360"/>
      </w:pPr>
      <w:rPr>
        <w:rFonts w:ascii="Symbol" w:hAnsi="Symbol" w:hint="default"/>
      </w:rPr>
    </w:lvl>
    <w:lvl w:ilvl="7" w:tplc="08090003" w:tentative="1">
      <w:start w:val="1"/>
      <w:numFmt w:val="bullet"/>
      <w:lvlText w:val="o"/>
      <w:lvlJc w:val="left"/>
      <w:pPr>
        <w:ind w:left="7498" w:hanging="360"/>
      </w:pPr>
      <w:rPr>
        <w:rFonts w:ascii="Courier New" w:hAnsi="Courier New" w:hint="default"/>
      </w:rPr>
    </w:lvl>
    <w:lvl w:ilvl="8" w:tplc="08090005" w:tentative="1">
      <w:start w:val="1"/>
      <w:numFmt w:val="bullet"/>
      <w:lvlText w:val=""/>
      <w:lvlJc w:val="left"/>
      <w:pPr>
        <w:ind w:left="8218" w:hanging="360"/>
      </w:pPr>
      <w:rPr>
        <w:rFonts w:ascii="Wingdings" w:hAnsi="Wingdings" w:hint="default"/>
      </w:rPr>
    </w:lvl>
  </w:abstractNum>
  <w:abstractNum w:abstractNumId="1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3" w15:restartNumberingAfterBreak="0">
    <w:nsid w:val="7DE63DA1"/>
    <w:multiLevelType w:val="hybridMultilevel"/>
    <w:tmpl w:val="7F2890AA"/>
    <w:lvl w:ilvl="0" w:tplc="A1860B58">
      <w:start w:val="32"/>
      <w:numFmt w:val="decimal"/>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10"/>
  </w:num>
  <w:num w:numId="2">
    <w:abstractNumId w:val="7"/>
  </w:num>
  <w:num w:numId="3">
    <w:abstractNumId w:val="0"/>
  </w:num>
  <w:num w:numId="4">
    <w:abstractNumId w:val="6"/>
  </w:num>
  <w:num w:numId="5">
    <w:abstractNumId w:val="3"/>
  </w:num>
  <w:num w:numId="6">
    <w:abstractNumId w:val="2"/>
  </w:num>
  <w:num w:numId="7">
    <w:abstractNumId w:val="12"/>
  </w:num>
  <w:num w:numId="8">
    <w:abstractNumId w:val="0"/>
  </w:num>
  <w:num w:numId="9">
    <w:abstractNumId w:val="6"/>
  </w:num>
  <w:num w:numId="10">
    <w:abstractNumId w:val="2"/>
  </w:num>
  <w:num w:numId="11">
    <w:abstractNumId w:val="12"/>
  </w:num>
  <w:num w:numId="12">
    <w:abstractNumId w:val="8"/>
  </w:num>
  <w:num w:numId="13">
    <w:abstractNumId w:val="4"/>
  </w:num>
  <w:num w:numId="14">
    <w:abstractNumId w:val="1"/>
  </w:num>
  <w:num w:numId="15">
    <w:abstractNumId w:val="9"/>
  </w:num>
  <w:num w:numId="16">
    <w:abstractNumId w:val="13"/>
  </w:num>
  <w:num w:numId="17">
    <w:abstractNumId w:val="4"/>
    <w:lvlOverride w:ilvl="0">
      <w:startOverride w:val="1"/>
    </w:lvlOverride>
  </w:num>
  <w:num w:numId="18">
    <w:abstractNumId w:val="5"/>
    <w:lvlOverride w:ilvl="0">
      <w:lvl w:ilvl="0" w:tplc="0A4ED614">
        <w:start w:val="1"/>
        <w:numFmt w:val="bullet"/>
        <w:pStyle w:val="Bullet2G"/>
        <w:lvlText w:val="-"/>
        <w:lvlJc w:val="left"/>
        <w:pPr>
          <w:ind w:left="2818" w:hanging="360"/>
        </w:pPr>
        <w:rPr>
          <w:rFonts w:ascii="Times New Roman" w:hAnsi="Times New Roman" w:hint="default"/>
          <w:b w:val="0"/>
          <w:i w:val="0"/>
          <w:sz w:val="20"/>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46E2A"/>
    <w:rsid w:val="000076D5"/>
    <w:rsid w:val="00030610"/>
    <w:rsid w:val="00036975"/>
    <w:rsid w:val="00043663"/>
    <w:rsid w:val="000505CF"/>
    <w:rsid w:val="00075DF2"/>
    <w:rsid w:val="000A5D4E"/>
    <w:rsid w:val="000D701C"/>
    <w:rsid w:val="000E2A71"/>
    <w:rsid w:val="00111D59"/>
    <w:rsid w:val="00112819"/>
    <w:rsid w:val="00145E27"/>
    <w:rsid w:val="00155A2A"/>
    <w:rsid w:val="00160263"/>
    <w:rsid w:val="00160D40"/>
    <w:rsid w:val="00170E25"/>
    <w:rsid w:val="00181F96"/>
    <w:rsid w:val="00182560"/>
    <w:rsid w:val="001A1371"/>
    <w:rsid w:val="001B346A"/>
    <w:rsid w:val="001E1CAD"/>
    <w:rsid w:val="001E290D"/>
    <w:rsid w:val="001E6DF1"/>
    <w:rsid w:val="001F2369"/>
    <w:rsid w:val="00214463"/>
    <w:rsid w:val="002144FA"/>
    <w:rsid w:val="0023469A"/>
    <w:rsid w:val="00243C8A"/>
    <w:rsid w:val="002571E9"/>
    <w:rsid w:val="00267A0E"/>
    <w:rsid w:val="002901D9"/>
    <w:rsid w:val="002976C2"/>
    <w:rsid w:val="002A2675"/>
    <w:rsid w:val="002B4721"/>
    <w:rsid w:val="002E6800"/>
    <w:rsid w:val="002F1819"/>
    <w:rsid w:val="003260FF"/>
    <w:rsid w:val="00334F38"/>
    <w:rsid w:val="00343D95"/>
    <w:rsid w:val="00354CC2"/>
    <w:rsid w:val="00374341"/>
    <w:rsid w:val="00377A30"/>
    <w:rsid w:val="003C7B1B"/>
    <w:rsid w:val="003D1062"/>
    <w:rsid w:val="003E454F"/>
    <w:rsid w:val="003F2F55"/>
    <w:rsid w:val="00420D7B"/>
    <w:rsid w:val="00450B21"/>
    <w:rsid w:val="00453B63"/>
    <w:rsid w:val="00455780"/>
    <w:rsid w:val="004B0A1C"/>
    <w:rsid w:val="004D298E"/>
    <w:rsid w:val="004F7696"/>
    <w:rsid w:val="005328F2"/>
    <w:rsid w:val="00541FB2"/>
    <w:rsid w:val="0054472E"/>
    <w:rsid w:val="005662A9"/>
    <w:rsid w:val="00566900"/>
    <w:rsid w:val="005827D4"/>
    <w:rsid w:val="0059622A"/>
    <w:rsid w:val="005B3462"/>
    <w:rsid w:val="005C5878"/>
    <w:rsid w:val="005C7CEA"/>
    <w:rsid w:val="005D3C0B"/>
    <w:rsid w:val="005D4246"/>
    <w:rsid w:val="005D5339"/>
    <w:rsid w:val="005E1BC1"/>
    <w:rsid w:val="005E5217"/>
    <w:rsid w:val="005F0FA4"/>
    <w:rsid w:val="005F2654"/>
    <w:rsid w:val="005F30EE"/>
    <w:rsid w:val="0060473A"/>
    <w:rsid w:val="00642267"/>
    <w:rsid w:val="00656392"/>
    <w:rsid w:val="0068781D"/>
    <w:rsid w:val="006959B0"/>
    <w:rsid w:val="006B3E27"/>
    <w:rsid w:val="006B6507"/>
    <w:rsid w:val="006C104C"/>
    <w:rsid w:val="006E40E2"/>
    <w:rsid w:val="007058CE"/>
    <w:rsid w:val="00733704"/>
    <w:rsid w:val="00736A5D"/>
    <w:rsid w:val="00761276"/>
    <w:rsid w:val="00773822"/>
    <w:rsid w:val="0078071A"/>
    <w:rsid w:val="00787230"/>
    <w:rsid w:val="00793AD1"/>
    <w:rsid w:val="007C1295"/>
    <w:rsid w:val="007C22C8"/>
    <w:rsid w:val="007C3A46"/>
    <w:rsid w:val="008358CC"/>
    <w:rsid w:val="00852A9A"/>
    <w:rsid w:val="00855F40"/>
    <w:rsid w:val="008673B4"/>
    <w:rsid w:val="008A7FD7"/>
    <w:rsid w:val="008F49E1"/>
    <w:rsid w:val="0090370F"/>
    <w:rsid w:val="009155C9"/>
    <w:rsid w:val="00925C89"/>
    <w:rsid w:val="009269D2"/>
    <w:rsid w:val="00942135"/>
    <w:rsid w:val="00946E2A"/>
    <w:rsid w:val="009521B0"/>
    <w:rsid w:val="009634C7"/>
    <w:rsid w:val="009671E0"/>
    <w:rsid w:val="00982BF7"/>
    <w:rsid w:val="00994130"/>
    <w:rsid w:val="009A7E9F"/>
    <w:rsid w:val="009B1200"/>
    <w:rsid w:val="009E2D86"/>
    <w:rsid w:val="009E5018"/>
    <w:rsid w:val="00A11F4A"/>
    <w:rsid w:val="00A12B37"/>
    <w:rsid w:val="00A130A4"/>
    <w:rsid w:val="00A15F5A"/>
    <w:rsid w:val="00A41BC6"/>
    <w:rsid w:val="00A747B3"/>
    <w:rsid w:val="00AA29CE"/>
    <w:rsid w:val="00AB6758"/>
    <w:rsid w:val="00AE0FA9"/>
    <w:rsid w:val="00AF131F"/>
    <w:rsid w:val="00AF4D1E"/>
    <w:rsid w:val="00B12536"/>
    <w:rsid w:val="00B13763"/>
    <w:rsid w:val="00B22594"/>
    <w:rsid w:val="00B477A4"/>
    <w:rsid w:val="00B54045"/>
    <w:rsid w:val="00B634AD"/>
    <w:rsid w:val="00B6758C"/>
    <w:rsid w:val="00BA0A7D"/>
    <w:rsid w:val="00BC21E5"/>
    <w:rsid w:val="00BF091F"/>
    <w:rsid w:val="00C02372"/>
    <w:rsid w:val="00C3566B"/>
    <w:rsid w:val="00C438D7"/>
    <w:rsid w:val="00C62502"/>
    <w:rsid w:val="00C77524"/>
    <w:rsid w:val="00C81B50"/>
    <w:rsid w:val="00C83E6D"/>
    <w:rsid w:val="00CB28F9"/>
    <w:rsid w:val="00CB54F1"/>
    <w:rsid w:val="00CC43D4"/>
    <w:rsid w:val="00CD1801"/>
    <w:rsid w:val="00D01DFE"/>
    <w:rsid w:val="00D10EF1"/>
    <w:rsid w:val="00D42810"/>
    <w:rsid w:val="00D4764C"/>
    <w:rsid w:val="00D47BDC"/>
    <w:rsid w:val="00D51B5A"/>
    <w:rsid w:val="00D61D28"/>
    <w:rsid w:val="00D774B4"/>
    <w:rsid w:val="00D914A7"/>
    <w:rsid w:val="00D92150"/>
    <w:rsid w:val="00DD13C3"/>
    <w:rsid w:val="00DD190D"/>
    <w:rsid w:val="00DD4CB7"/>
    <w:rsid w:val="00DD596E"/>
    <w:rsid w:val="00DD621E"/>
    <w:rsid w:val="00DE6869"/>
    <w:rsid w:val="00DF0575"/>
    <w:rsid w:val="00E434F4"/>
    <w:rsid w:val="00E70E04"/>
    <w:rsid w:val="00E74C8B"/>
    <w:rsid w:val="00E76499"/>
    <w:rsid w:val="00E928C1"/>
    <w:rsid w:val="00EC05A7"/>
    <w:rsid w:val="00EC4B6B"/>
    <w:rsid w:val="00EE1761"/>
    <w:rsid w:val="00EE2FC3"/>
    <w:rsid w:val="00EE7968"/>
    <w:rsid w:val="00EF1EE5"/>
    <w:rsid w:val="00F00C2A"/>
    <w:rsid w:val="00F13065"/>
    <w:rsid w:val="00F24762"/>
    <w:rsid w:val="00F52374"/>
    <w:rsid w:val="00F53172"/>
    <w:rsid w:val="00F763B4"/>
    <w:rsid w:val="00F845D7"/>
    <w:rsid w:val="00F900C3"/>
    <w:rsid w:val="00FC0B86"/>
    <w:rsid w:val="00FD0B6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5C39A55-2D31-4F83-B9A0-5513A5A3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FOOTNOTES,fn,ALTS FOOTNOTE,Fodnotetekst Tegn,footnote text Char,Fodnotetekst Tegn Char,single space Char,footnote text Char Char Char,Fodnotetekst Tegn Char1,single space Char1,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single space Char2,FOOTNOTES Char,fn Char,ALTS FOOTNOTE Char,Fodnotetekst Tegn Char2,footnote text Char Char,Fodnotetekst Tegn Char Char,single space Char Char,footnote text Char Char Char Char,Fodnotetekst Tegn Char1 Char"/>
    <w:basedOn w:val="DefaultParagraphFont"/>
    <w:link w:val="FootnoteText"/>
    <w:uiPriority w:val="99"/>
    <w:rsid w:val="001A1371"/>
    <w:rPr>
      <w:sz w:val="20"/>
      <w:szCs w:val="20"/>
    </w:rPr>
  </w:style>
  <w:style w:type="character" w:styleId="FootnoteReference">
    <w:name w:val="footnote reference"/>
    <w:aliases w:val="4_GA,4_G,ftref,Car Car Char Car Char Car Car Char Car Char Char,Car Car Car Car Car Car Car Car Char Car Car Char Car Car Car Char Car Char Char Char,16 Point,Superscript 6 Point,SUPERS"/>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747B3"/>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Numbered List Paragraph,Bullets,References,ReferencesCxSpLast,List Paragraph (numbered (a)),WB List Paragraph,Liste 1,Paragraphe  revu"/>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182560"/>
    <w:pPr>
      <w:keepNext/>
      <w:keepLines/>
      <w:tabs>
        <w:tab w:val="right" w:pos="851"/>
      </w:tabs>
      <w:suppressAutoHyphens/>
      <w:bidi w:val="0"/>
      <w:spacing w:before="240" w:after="240" w:line="360" w:lineRule="exact"/>
      <w:ind w:left="1134" w:right="1134" w:hanging="1134"/>
      <w:jc w:val="left"/>
    </w:pPr>
    <w:rPr>
      <w:b/>
      <w:sz w:val="34"/>
      <w:lang w:val="fr-CH"/>
    </w:rPr>
  </w:style>
  <w:style w:type="paragraph" w:customStyle="1" w:styleId="SingleTxtG">
    <w:name w:val="_ Single Txt_G"/>
    <w:basedOn w:val="Normal"/>
    <w:link w:val="SingleTxtGChar"/>
    <w:qFormat/>
    <w:rsid w:val="00182560"/>
    <w:pPr>
      <w:suppressAutoHyphens/>
      <w:bidi w:val="0"/>
      <w:spacing w:after="120"/>
      <w:ind w:left="1134" w:right="1134"/>
      <w:jc w:val="both"/>
    </w:pPr>
    <w:rPr>
      <w:lang w:val="fr-CH"/>
    </w:rPr>
  </w:style>
  <w:style w:type="character" w:customStyle="1" w:styleId="SingleTxtGChar">
    <w:name w:val="_ Single Txt_G Char"/>
    <w:link w:val="SingleTxtG"/>
    <w:locked/>
    <w:rsid w:val="00182560"/>
    <w:rPr>
      <w:rFonts w:ascii="Times New Roman" w:hAnsi="Times New Roman" w:cs="Traditional Arabic"/>
      <w:sz w:val="20"/>
      <w:szCs w:val="30"/>
      <w:lang w:val="fr-CH"/>
    </w:rPr>
  </w:style>
  <w:style w:type="paragraph" w:customStyle="1" w:styleId="HChG">
    <w:name w:val="_ H _Ch_G"/>
    <w:basedOn w:val="Normal"/>
    <w:next w:val="Normal"/>
    <w:qFormat/>
    <w:rsid w:val="00182560"/>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qFormat/>
    <w:rsid w:val="00182560"/>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qFormat/>
    <w:rsid w:val="00182560"/>
    <w:pPr>
      <w:keepNext/>
      <w:keepLines/>
      <w:tabs>
        <w:tab w:val="right" w:pos="851"/>
      </w:tabs>
      <w:suppressAutoHyphens/>
      <w:bidi w:val="0"/>
      <w:spacing w:before="240" w:after="120" w:line="240" w:lineRule="exact"/>
      <w:ind w:left="1134" w:right="1134" w:hanging="1134"/>
      <w:jc w:val="left"/>
    </w:pPr>
    <w:rPr>
      <w:b/>
      <w:lang w:val="fr-CH"/>
    </w:rPr>
  </w:style>
  <w:style w:type="paragraph" w:customStyle="1" w:styleId="H4G">
    <w:name w:val="_ H_4_G"/>
    <w:basedOn w:val="Normal"/>
    <w:next w:val="Normal"/>
    <w:qFormat/>
    <w:rsid w:val="00182560"/>
    <w:pPr>
      <w:keepNext/>
      <w:keepLines/>
      <w:tabs>
        <w:tab w:val="right" w:pos="851"/>
      </w:tabs>
      <w:suppressAutoHyphens/>
      <w:bidi w:val="0"/>
      <w:spacing w:before="240" w:after="120" w:line="240" w:lineRule="exact"/>
      <w:ind w:left="1134" w:right="1134" w:hanging="1134"/>
      <w:jc w:val="left"/>
    </w:pPr>
    <w:rPr>
      <w:i/>
      <w:lang w:val="fr-CH"/>
    </w:rPr>
  </w:style>
  <w:style w:type="paragraph" w:customStyle="1" w:styleId="H56G">
    <w:name w:val="_ H_5/6_G"/>
    <w:basedOn w:val="Normal"/>
    <w:next w:val="Normal"/>
    <w:qFormat/>
    <w:rsid w:val="00182560"/>
    <w:pPr>
      <w:keepNext/>
      <w:keepLines/>
      <w:tabs>
        <w:tab w:val="right" w:pos="851"/>
      </w:tabs>
      <w:suppressAutoHyphens/>
      <w:bidi w:val="0"/>
      <w:spacing w:before="240" w:after="120" w:line="240" w:lineRule="exact"/>
      <w:ind w:left="1134" w:right="1134" w:hanging="1134"/>
      <w:jc w:val="left"/>
    </w:pPr>
    <w:rPr>
      <w:lang w:val="fr-CH"/>
    </w:rPr>
  </w:style>
  <w:style w:type="paragraph" w:customStyle="1" w:styleId="SLG">
    <w:name w:val="__S_L_G"/>
    <w:basedOn w:val="Normal"/>
    <w:next w:val="Normal"/>
    <w:rsid w:val="00182560"/>
    <w:pPr>
      <w:keepNext/>
      <w:keepLines/>
      <w:suppressAutoHyphens/>
      <w:bidi w:val="0"/>
      <w:spacing w:before="240" w:after="240" w:line="580" w:lineRule="exact"/>
      <w:ind w:left="1134" w:right="1134"/>
      <w:jc w:val="left"/>
    </w:pPr>
    <w:rPr>
      <w:b/>
      <w:sz w:val="56"/>
      <w:lang w:val="fr-CH"/>
    </w:rPr>
  </w:style>
  <w:style w:type="paragraph" w:customStyle="1" w:styleId="SMG">
    <w:name w:val="__S_M_G"/>
    <w:basedOn w:val="Normal"/>
    <w:next w:val="Normal"/>
    <w:rsid w:val="00182560"/>
    <w:pPr>
      <w:keepNext/>
      <w:keepLines/>
      <w:suppressAutoHyphens/>
      <w:bidi w:val="0"/>
      <w:spacing w:before="240" w:after="240" w:line="420" w:lineRule="exact"/>
      <w:ind w:left="1134" w:right="1134"/>
      <w:jc w:val="left"/>
    </w:pPr>
    <w:rPr>
      <w:b/>
      <w:sz w:val="40"/>
      <w:lang w:val="fr-CH"/>
    </w:rPr>
  </w:style>
  <w:style w:type="paragraph" w:customStyle="1" w:styleId="SSG">
    <w:name w:val="__S_S_G"/>
    <w:basedOn w:val="Normal"/>
    <w:next w:val="Normal"/>
    <w:rsid w:val="00182560"/>
    <w:pPr>
      <w:keepNext/>
      <w:keepLines/>
      <w:suppressAutoHyphens/>
      <w:bidi w:val="0"/>
      <w:spacing w:before="240" w:after="240" w:line="300" w:lineRule="exact"/>
      <w:ind w:left="1134" w:right="1134"/>
      <w:jc w:val="left"/>
    </w:pPr>
    <w:rPr>
      <w:b/>
      <w:sz w:val="28"/>
      <w:lang w:val="fr-CH"/>
    </w:rPr>
  </w:style>
  <w:style w:type="paragraph" w:customStyle="1" w:styleId="XLargeG">
    <w:name w:val="__XLarge_G"/>
    <w:basedOn w:val="Normal"/>
    <w:next w:val="Normal"/>
    <w:rsid w:val="00182560"/>
    <w:pPr>
      <w:keepNext/>
      <w:keepLines/>
      <w:suppressAutoHyphens/>
      <w:bidi w:val="0"/>
      <w:spacing w:before="240" w:after="240" w:line="420" w:lineRule="exact"/>
      <w:ind w:left="1134" w:right="1134"/>
      <w:jc w:val="left"/>
    </w:pPr>
    <w:rPr>
      <w:b/>
      <w:sz w:val="40"/>
      <w:lang w:val="fr-CH"/>
    </w:rPr>
  </w:style>
  <w:style w:type="paragraph" w:customStyle="1" w:styleId="Bullet1G">
    <w:name w:val="_Bullet 1_G"/>
    <w:basedOn w:val="Normal"/>
    <w:qFormat/>
    <w:rsid w:val="00182560"/>
    <w:pPr>
      <w:numPr>
        <w:numId w:val="12"/>
      </w:numPr>
      <w:suppressAutoHyphens/>
      <w:kinsoku w:val="0"/>
      <w:overflowPunct w:val="0"/>
      <w:autoSpaceDE w:val="0"/>
      <w:autoSpaceDN w:val="0"/>
      <w:bidi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182560"/>
    <w:pPr>
      <w:numPr>
        <w:numId w:val="18"/>
      </w:numPr>
      <w:suppressAutoHyphens/>
      <w:kinsoku w:val="0"/>
      <w:overflowPunct w:val="0"/>
      <w:autoSpaceDE w:val="0"/>
      <w:autoSpaceDN w:val="0"/>
      <w:bidi w:val="0"/>
      <w:adjustRightInd w:val="0"/>
      <w:snapToGrid w:val="0"/>
      <w:spacing w:after="120"/>
      <w:ind w:right="1134"/>
      <w:jc w:val="both"/>
    </w:pPr>
    <w:rPr>
      <w:rFonts w:eastAsiaTheme="minorEastAsia"/>
      <w:lang w:val="fr-CH" w:eastAsia="zh-CN"/>
    </w:rPr>
  </w:style>
  <w:style w:type="character" w:styleId="Hyperlink">
    <w:name w:val="Hyperlink"/>
    <w:basedOn w:val="DefaultParagraphFont"/>
    <w:uiPriority w:val="99"/>
    <w:rsid w:val="00182560"/>
    <w:rPr>
      <w:rFonts w:cs="Times New Roman"/>
      <w:color w:val="auto"/>
      <w:u w:val="none"/>
    </w:rPr>
  </w:style>
  <w:style w:type="character" w:styleId="FollowedHyperlink">
    <w:name w:val="FollowedHyperlink"/>
    <w:basedOn w:val="DefaultParagraphFont"/>
    <w:uiPriority w:val="99"/>
    <w:semiHidden/>
    <w:rsid w:val="00182560"/>
    <w:rPr>
      <w:rFonts w:cs="Times New Roman"/>
      <w:color w:val="auto"/>
      <w:u w:val="none"/>
    </w:rPr>
  </w:style>
  <w:style w:type="table" w:styleId="TableGrid1">
    <w:name w:val="Table Grid 1"/>
    <w:basedOn w:val="TableNormal"/>
    <w:uiPriority w:val="99"/>
    <w:semiHidden/>
    <w:rsid w:val="00182560"/>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arNoG">
    <w:name w:val="_ParNo_G"/>
    <w:basedOn w:val="SingleTxtG"/>
    <w:qFormat/>
    <w:rsid w:val="00182560"/>
    <w:pPr>
      <w:numPr>
        <w:numId w:val="14"/>
      </w:numPr>
      <w:tabs>
        <w:tab w:val="clear" w:pos="1701"/>
        <w:tab w:val="num" w:pos="2495"/>
      </w:tabs>
      <w:suppressAutoHyphens w:val="0"/>
      <w:spacing w:line="240" w:lineRule="auto"/>
      <w:ind w:left="2495" w:hanging="545"/>
    </w:pPr>
  </w:style>
  <w:style w:type="character" w:customStyle="1" w:styleId="ListParagraphChar">
    <w:name w:val="List Paragraph Char"/>
    <w:aliases w:val="Numbered List Paragraph Char,Bullets Char,References Char,ReferencesCxSpLast Char,List Paragraph (numbered (a)) Char,WB List Paragraph Char,Liste 1 Char,Paragraphe  revu Char"/>
    <w:basedOn w:val="DefaultParagraphFont"/>
    <w:link w:val="ListParagraph"/>
    <w:uiPriority w:val="34"/>
    <w:locked/>
    <w:rsid w:val="00182560"/>
    <w:rPr>
      <w:rFonts w:ascii="Times New Roman" w:hAnsi="Times New Roman" w:cs="Traditional Arabic"/>
      <w:sz w:val="20"/>
      <w:szCs w:val="30"/>
    </w:rPr>
  </w:style>
  <w:style w:type="character" w:customStyle="1" w:styleId="texto11">
    <w:name w:val="texto11"/>
    <w:basedOn w:val="DefaultParagraphFont"/>
    <w:rsid w:val="00182560"/>
    <w:rPr>
      <w:rFonts w:ascii="Arial" w:hAnsi="Arial" w:cs="Arial"/>
      <w:color w:val="000000"/>
      <w:sz w:val="23"/>
      <w:szCs w:val="23"/>
    </w:rPr>
  </w:style>
  <w:style w:type="paragraph" w:customStyle="1" w:styleId="Default">
    <w:name w:val="Default"/>
    <w:rsid w:val="00182560"/>
    <w:pPr>
      <w:autoSpaceDE w:val="0"/>
      <w:autoSpaceDN w:val="0"/>
      <w:adjustRightInd w:val="0"/>
      <w:spacing w:after="0" w:line="240" w:lineRule="auto"/>
      <w:jc w:val="both"/>
    </w:pPr>
    <w:rPr>
      <w:rFonts w:ascii="Arial" w:hAnsi="Arial" w:cs="Arial"/>
      <w:color w:val="000000"/>
      <w:sz w:val="24"/>
      <w:szCs w:val="24"/>
      <w:lang w:val="fr-FR"/>
    </w:rPr>
  </w:style>
  <w:style w:type="paragraph" w:styleId="CommentText">
    <w:name w:val="annotation text"/>
    <w:basedOn w:val="Normal"/>
    <w:link w:val="CommentTextChar"/>
    <w:uiPriority w:val="99"/>
    <w:unhideWhenUsed/>
    <w:rsid w:val="00182560"/>
    <w:pPr>
      <w:bidi w:val="0"/>
      <w:spacing w:line="240" w:lineRule="auto"/>
      <w:jc w:val="both"/>
    </w:pPr>
    <w:rPr>
      <w:rFonts w:asciiTheme="minorHAnsi" w:hAnsiTheme="minorHAnsi" w:cs="Arial"/>
      <w:lang w:val="fr-FR"/>
    </w:rPr>
  </w:style>
  <w:style w:type="character" w:customStyle="1" w:styleId="CommentTextChar">
    <w:name w:val="Comment Text Char"/>
    <w:basedOn w:val="DefaultParagraphFont"/>
    <w:link w:val="CommentText"/>
    <w:uiPriority w:val="99"/>
    <w:rsid w:val="00182560"/>
    <w:rPr>
      <w:rFonts w:cs="Arial"/>
      <w:sz w:val="20"/>
      <w:szCs w:val="30"/>
      <w:lang w:val="fr-FR"/>
    </w:rPr>
  </w:style>
  <w:style w:type="character" w:customStyle="1" w:styleId="CommentSubjectChar1">
    <w:name w:val="Comment Subject Char1"/>
    <w:basedOn w:val="CommentTextChar"/>
    <w:link w:val="CommentSubject"/>
    <w:uiPriority w:val="99"/>
    <w:semiHidden/>
    <w:locked/>
    <w:rsid w:val="00182560"/>
    <w:rPr>
      <w:rFonts w:cs="Arial"/>
      <w:b/>
      <w:bCs/>
      <w:sz w:val="20"/>
      <w:szCs w:val="30"/>
      <w:lang w:val="x-none"/>
    </w:rPr>
  </w:style>
  <w:style w:type="paragraph" w:styleId="CommentSubject">
    <w:name w:val="annotation subject"/>
    <w:basedOn w:val="CommentText"/>
    <w:next w:val="CommentText"/>
    <w:link w:val="CommentSubjectChar1"/>
    <w:uiPriority w:val="99"/>
    <w:semiHidden/>
    <w:unhideWhenUsed/>
    <w:rsid w:val="00182560"/>
    <w:rPr>
      <w:b/>
      <w:bCs/>
      <w:lang w:val="x-none"/>
    </w:rPr>
  </w:style>
  <w:style w:type="character" w:customStyle="1" w:styleId="CommentSubjectChar">
    <w:name w:val="Comment Subject Char"/>
    <w:basedOn w:val="CommentTextChar"/>
    <w:uiPriority w:val="99"/>
    <w:semiHidden/>
    <w:rsid w:val="00182560"/>
    <w:rPr>
      <w:rFonts w:cs="Arial"/>
      <w:b/>
      <w:bCs/>
      <w:sz w:val="20"/>
      <w:szCs w:val="30"/>
      <w:lang w:val="fr-FR"/>
    </w:rPr>
  </w:style>
  <w:style w:type="paragraph" w:customStyle="1" w:styleId="spip">
    <w:name w:val="spip"/>
    <w:basedOn w:val="Normal"/>
    <w:rsid w:val="00182560"/>
    <w:pPr>
      <w:bidi w:val="0"/>
      <w:spacing w:before="100" w:beforeAutospacing="1" w:after="100" w:afterAutospacing="1" w:line="240" w:lineRule="auto"/>
      <w:jc w:val="both"/>
    </w:pPr>
    <w:rPr>
      <w:sz w:val="24"/>
      <w:szCs w:val="24"/>
      <w:lang w:val="fr-FR" w:eastAsia="fr-FR"/>
    </w:rPr>
  </w:style>
  <w:style w:type="paragraph" w:customStyle="1" w:styleId="Pa4">
    <w:name w:val="Pa4"/>
    <w:basedOn w:val="Default"/>
    <w:next w:val="Default"/>
    <w:uiPriority w:val="99"/>
    <w:rsid w:val="00182560"/>
    <w:pPr>
      <w:spacing w:line="241" w:lineRule="atLeast"/>
    </w:pPr>
    <w:rPr>
      <w:rFonts w:ascii="Times" w:hAnsi="Times" w:cs="Times"/>
      <w:color w:val="auto"/>
    </w:rPr>
  </w:style>
  <w:style w:type="character" w:customStyle="1" w:styleId="A14">
    <w:name w:val="A14"/>
    <w:uiPriority w:val="99"/>
    <w:rsid w:val="00182560"/>
    <w:rPr>
      <w:color w:val="000000"/>
      <w:sz w:val="21"/>
    </w:rPr>
  </w:style>
  <w:style w:type="paragraph" w:styleId="TOC1">
    <w:name w:val="toc 1"/>
    <w:basedOn w:val="Normal"/>
    <w:next w:val="Normal"/>
    <w:autoRedefine/>
    <w:uiPriority w:val="39"/>
    <w:unhideWhenUsed/>
    <w:rsid w:val="00182560"/>
    <w:pPr>
      <w:tabs>
        <w:tab w:val="left" w:pos="660"/>
        <w:tab w:val="right" w:leader="dot" w:pos="9062"/>
      </w:tabs>
      <w:bidi w:val="0"/>
      <w:spacing w:before="120" w:line="240" w:lineRule="auto"/>
      <w:jc w:val="left"/>
    </w:pPr>
    <w:rPr>
      <w:b/>
      <w:bCs/>
      <w:iCs/>
      <w:noProof/>
      <w:sz w:val="36"/>
      <w:szCs w:val="36"/>
      <w:lang w:val="fr-FR"/>
    </w:rPr>
  </w:style>
  <w:style w:type="paragraph" w:styleId="TOC2">
    <w:name w:val="toc 2"/>
    <w:basedOn w:val="Normal"/>
    <w:next w:val="Normal"/>
    <w:autoRedefine/>
    <w:uiPriority w:val="39"/>
    <w:unhideWhenUsed/>
    <w:rsid w:val="00182560"/>
    <w:pPr>
      <w:bidi w:val="0"/>
      <w:spacing w:before="120" w:line="240" w:lineRule="auto"/>
      <w:ind w:left="220"/>
      <w:jc w:val="both"/>
    </w:pPr>
    <w:rPr>
      <w:rFonts w:asciiTheme="minorHAnsi" w:hAnsiTheme="minorHAnsi" w:cs="Arial"/>
      <w:b/>
      <w:bCs/>
      <w:sz w:val="22"/>
      <w:szCs w:val="22"/>
      <w:lang w:val="fr-FR"/>
    </w:rPr>
  </w:style>
  <w:style w:type="paragraph" w:styleId="TOC3">
    <w:name w:val="toc 3"/>
    <w:basedOn w:val="Normal"/>
    <w:next w:val="Normal"/>
    <w:autoRedefine/>
    <w:uiPriority w:val="39"/>
    <w:unhideWhenUsed/>
    <w:rsid w:val="00182560"/>
    <w:pPr>
      <w:bidi w:val="0"/>
      <w:spacing w:line="240" w:lineRule="auto"/>
      <w:ind w:left="440"/>
      <w:jc w:val="both"/>
    </w:pPr>
    <w:rPr>
      <w:rFonts w:asciiTheme="minorHAnsi" w:hAnsiTheme="minorHAnsi" w:cs="Arial"/>
      <w:lang w:val="fr-FR"/>
    </w:rPr>
  </w:style>
  <w:style w:type="paragraph" w:styleId="TOC4">
    <w:name w:val="toc 4"/>
    <w:basedOn w:val="Normal"/>
    <w:next w:val="Normal"/>
    <w:autoRedefine/>
    <w:uiPriority w:val="39"/>
    <w:unhideWhenUsed/>
    <w:rsid w:val="00182560"/>
    <w:pPr>
      <w:bidi w:val="0"/>
      <w:spacing w:line="240" w:lineRule="auto"/>
      <w:ind w:left="660"/>
      <w:jc w:val="both"/>
    </w:pPr>
    <w:rPr>
      <w:rFonts w:asciiTheme="minorHAnsi" w:hAnsiTheme="minorHAnsi" w:cs="Arial"/>
      <w:lang w:val="fr-FR"/>
    </w:rPr>
  </w:style>
  <w:style w:type="paragraph" w:styleId="TOC5">
    <w:name w:val="toc 5"/>
    <w:basedOn w:val="Normal"/>
    <w:next w:val="Normal"/>
    <w:autoRedefine/>
    <w:uiPriority w:val="39"/>
    <w:unhideWhenUsed/>
    <w:rsid w:val="00182560"/>
    <w:pPr>
      <w:bidi w:val="0"/>
      <w:spacing w:line="240" w:lineRule="auto"/>
      <w:ind w:left="880"/>
      <w:jc w:val="both"/>
    </w:pPr>
    <w:rPr>
      <w:rFonts w:asciiTheme="minorHAnsi" w:hAnsiTheme="minorHAnsi" w:cs="Arial"/>
      <w:lang w:val="fr-FR"/>
    </w:rPr>
  </w:style>
  <w:style w:type="paragraph" w:styleId="TOC6">
    <w:name w:val="toc 6"/>
    <w:basedOn w:val="Normal"/>
    <w:next w:val="Normal"/>
    <w:autoRedefine/>
    <w:uiPriority w:val="39"/>
    <w:unhideWhenUsed/>
    <w:rsid w:val="00182560"/>
    <w:pPr>
      <w:bidi w:val="0"/>
      <w:spacing w:line="240" w:lineRule="auto"/>
      <w:ind w:left="1100"/>
      <w:jc w:val="both"/>
    </w:pPr>
    <w:rPr>
      <w:rFonts w:asciiTheme="minorHAnsi" w:hAnsiTheme="minorHAnsi" w:cs="Arial"/>
      <w:lang w:val="fr-FR"/>
    </w:rPr>
  </w:style>
  <w:style w:type="paragraph" w:styleId="TOC7">
    <w:name w:val="toc 7"/>
    <w:basedOn w:val="Normal"/>
    <w:next w:val="Normal"/>
    <w:autoRedefine/>
    <w:uiPriority w:val="39"/>
    <w:unhideWhenUsed/>
    <w:rsid w:val="00182560"/>
    <w:pPr>
      <w:bidi w:val="0"/>
      <w:spacing w:line="240" w:lineRule="auto"/>
      <w:ind w:left="1320"/>
      <w:jc w:val="both"/>
    </w:pPr>
    <w:rPr>
      <w:rFonts w:asciiTheme="minorHAnsi" w:hAnsiTheme="minorHAnsi" w:cs="Arial"/>
      <w:lang w:val="fr-FR"/>
    </w:rPr>
  </w:style>
  <w:style w:type="paragraph" w:styleId="TOC8">
    <w:name w:val="toc 8"/>
    <w:basedOn w:val="Normal"/>
    <w:next w:val="Normal"/>
    <w:autoRedefine/>
    <w:uiPriority w:val="39"/>
    <w:unhideWhenUsed/>
    <w:rsid w:val="00182560"/>
    <w:pPr>
      <w:bidi w:val="0"/>
      <w:spacing w:line="240" w:lineRule="auto"/>
      <w:ind w:left="1540"/>
      <w:jc w:val="both"/>
    </w:pPr>
    <w:rPr>
      <w:rFonts w:asciiTheme="minorHAnsi" w:hAnsiTheme="minorHAnsi" w:cs="Arial"/>
      <w:lang w:val="fr-FR"/>
    </w:rPr>
  </w:style>
  <w:style w:type="paragraph" w:styleId="TOC9">
    <w:name w:val="toc 9"/>
    <w:basedOn w:val="Normal"/>
    <w:next w:val="Normal"/>
    <w:autoRedefine/>
    <w:uiPriority w:val="39"/>
    <w:unhideWhenUsed/>
    <w:rsid w:val="00182560"/>
    <w:pPr>
      <w:bidi w:val="0"/>
      <w:spacing w:line="240" w:lineRule="auto"/>
      <w:ind w:left="1760"/>
      <w:jc w:val="both"/>
    </w:pPr>
    <w:rPr>
      <w:rFonts w:asciiTheme="minorHAnsi" w:hAnsiTheme="minorHAnsi" w:cs="Arial"/>
      <w:lang w:val="fr-FR"/>
    </w:rPr>
  </w:style>
  <w:style w:type="paragraph" w:customStyle="1" w:styleId="Texte">
    <w:name w:val="Texte"/>
    <w:rsid w:val="00182560"/>
    <w:pPr>
      <w:autoSpaceDE w:val="0"/>
      <w:autoSpaceDN w:val="0"/>
      <w:adjustRightInd w:val="0"/>
      <w:spacing w:before="85" w:after="85" w:line="240" w:lineRule="auto"/>
      <w:ind w:firstLine="283"/>
      <w:jc w:val="both"/>
    </w:pPr>
    <w:rPr>
      <w:rFonts w:ascii="Times New Roman" w:hAnsi="Times New Roman" w:cs="Times New Roman"/>
      <w:color w:val="000000"/>
      <w:sz w:val="18"/>
      <w:szCs w:val="18"/>
      <w:lang w:val="fr-FR" w:eastAsia="fr-FR"/>
    </w:rPr>
  </w:style>
  <w:style w:type="paragraph" w:customStyle="1" w:styleId="EP">
    <w:name w:val="EP"/>
    <w:basedOn w:val="Normal"/>
    <w:link w:val="EPCar"/>
    <w:qFormat/>
    <w:rsid w:val="00182560"/>
    <w:pPr>
      <w:bidi w:val="0"/>
      <w:spacing w:before="360" w:after="120" w:line="276" w:lineRule="auto"/>
      <w:ind w:left="1985" w:hanging="1985"/>
      <w:jc w:val="both"/>
    </w:pPr>
    <w:rPr>
      <w:b/>
      <w:sz w:val="24"/>
      <w:szCs w:val="24"/>
      <w:lang w:val="fr-FR"/>
    </w:rPr>
  </w:style>
  <w:style w:type="character" w:customStyle="1" w:styleId="EPCar">
    <w:name w:val="EP Car"/>
    <w:basedOn w:val="DefaultParagraphFont"/>
    <w:link w:val="EP"/>
    <w:locked/>
    <w:rsid w:val="00182560"/>
    <w:rPr>
      <w:rFonts w:ascii="Times New Roman" w:hAnsi="Times New Roman" w:cs="Traditional Arabic"/>
      <w:b/>
      <w:sz w:val="24"/>
      <w:szCs w:val="24"/>
      <w:lang w:val="fr-FR"/>
    </w:rPr>
  </w:style>
  <w:style w:type="paragraph" w:customStyle="1" w:styleId="JM">
    <w:name w:val="JM"/>
    <w:basedOn w:val="Normal"/>
    <w:link w:val="JMCar"/>
    <w:qFormat/>
    <w:rsid w:val="00182560"/>
    <w:pPr>
      <w:tabs>
        <w:tab w:val="left" w:pos="1985"/>
      </w:tabs>
      <w:bidi w:val="0"/>
      <w:spacing w:before="360" w:after="120" w:line="276" w:lineRule="auto"/>
      <w:ind w:left="1985" w:hanging="1985"/>
      <w:jc w:val="both"/>
    </w:pPr>
    <w:rPr>
      <w:b/>
      <w:sz w:val="24"/>
      <w:szCs w:val="24"/>
      <w:lang w:val="fr-FR"/>
    </w:rPr>
  </w:style>
  <w:style w:type="character" w:customStyle="1" w:styleId="JMCar">
    <w:name w:val="JM Car"/>
    <w:basedOn w:val="DefaultParagraphFont"/>
    <w:link w:val="JM"/>
    <w:locked/>
    <w:rsid w:val="00182560"/>
    <w:rPr>
      <w:rFonts w:ascii="Times New Roman" w:hAnsi="Times New Roman" w:cs="Traditional Arabic"/>
      <w:b/>
      <w:sz w:val="24"/>
      <w:szCs w:val="24"/>
      <w:lang w:val="fr-FR"/>
    </w:rPr>
  </w:style>
  <w:style w:type="character" w:customStyle="1" w:styleId="field-content">
    <w:name w:val="field-content"/>
    <w:basedOn w:val="DefaultParagraphFont"/>
    <w:rsid w:val="00182560"/>
    <w:rPr>
      <w:rFonts w:cs="Times New Roman"/>
    </w:rPr>
  </w:style>
  <w:style w:type="character" w:customStyle="1" w:styleId="NoSpacingChar">
    <w:name w:val="No Spacing Char"/>
    <w:basedOn w:val="DefaultParagraphFont"/>
    <w:link w:val="NoSpacing"/>
    <w:uiPriority w:val="1"/>
    <w:locked/>
    <w:rsid w:val="00182560"/>
    <w:rPr>
      <w:rFonts w:cs="Times New Roman"/>
      <w:sz w:val="23"/>
      <w:szCs w:val="23"/>
    </w:rPr>
  </w:style>
  <w:style w:type="paragraph" w:styleId="NoSpacing">
    <w:name w:val="No Spacing"/>
    <w:basedOn w:val="Normal"/>
    <w:link w:val="NoSpacingChar"/>
    <w:uiPriority w:val="1"/>
    <w:qFormat/>
    <w:rsid w:val="00182560"/>
    <w:pPr>
      <w:bidi w:val="0"/>
      <w:spacing w:line="240" w:lineRule="auto"/>
      <w:jc w:val="left"/>
    </w:pPr>
    <w:rPr>
      <w:rFonts w:asciiTheme="minorHAnsi" w:hAnsiTheme="minorHAnsi" w:cs="Times New Roman"/>
      <w:sz w:val="23"/>
      <w:szCs w:val="23"/>
    </w:rPr>
  </w:style>
  <w:style w:type="paragraph" w:customStyle="1" w:styleId="StyleTitre1ArialNarrow">
    <w:name w:val="Style Titre 1 + Arial Narrow"/>
    <w:basedOn w:val="Normal"/>
    <w:rsid w:val="00182560"/>
    <w:pPr>
      <w:tabs>
        <w:tab w:val="num" w:pos="360"/>
      </w:tabs>
      <w:bidi w:val="0"/>
      <w:spacing w:line="240" w:lineRule="auto"/>
      <w:ind w:left="360" w:hanging="360"/>
      <w:jc w:val="left"/>
    </w:pPr>
    <w:rPr>
      <w:sz w:val="24"/>
      <w:szCs w:val="24"/>
      <w:lang w:val="fr-FR" w:eastAsia="fr-FR"/>
    </w:rPr>
  </w:style>
  <w:style w:type="paragraph" w:customStyle="1" w:styleId="StyleTitre2ArialNarrow">
    <w:name w:val="Style Titre 2 + Arial Narrow"/>
    <w:basedOn w:val="Normal"/>
    <w:rsid w:val="00182560"/>
    <w:pPr>
      <w:tabs>
        <w:tab w:val="num" w:pos="792"/>
      </w:tabs>
      <w:bidi w:val="0"/>
      <w:spacing w:line="240" w:lineRule="auto"/>
      <w:ind w:left="792" w:hanging="432"/>
      <w:jc w:val="left"/>
    </w:pPr>
    <w:rPr>
      <w:sz w:val="24"/>
      <w:szCs w:val="24"/>
      <w:lang w:val="fr-FR" w:eastAsia="fr-FR"/>
    </w:rPr>
  </w:style>
  <w:style w:type="paragraph" w:customStyle="1" w:styleId="StyleTitre3ArialNarrow">
    <w:name w:val="Style Titre 3 + Arial Narrow"/>
    <w:basedOn w:val="Normal"/>
    <w:rsid w:val="00182560"/>
    <w:pPr>
      <w:tabs>
        <w:tab w:val="num" w:pos="1440"/>
      </w:tabs>
      <w:bidi w:val="0"/>
      <w:spacing w:line="240" w:lineRule="auto"/>
      <w:ind w:left="1224" w:hanging="504"/>
      <w:jc w:val="left"/>
    </w:pPr>
    <w:rPr>
      <w:sz w:val="24"/>
      <w:szCs w:val="24"/>
      <w:lang w:val="fr-FR" w:eastAsia="fr-FR"/>
    </w:rPr>
  </w:style>
  <w:style w:type="paragraph" w:customStyle="1" w:styleId="StyleTitre4ArialNarrow">
    <w:name w:val="Style Titre 4 + Arial Narrow"/>
    <w:basedOn w:val="Normal"/>
    <w:rsid w:val="00182560"/>
    <w:pPr>
      <w:numPr>
        <w:ilvl w:val="3"/>
        <w:numId w:val="15"/>
      </w:numPr>
      <w:bidi w:val="0"/>
      <w:spacing w:line="240" w:lineRule="auto"/>
      <w:jc w:val="left"/>
    </w:pPr>
    <w:rPr>
      <w:sz w:val="24"/>
      <w:szCs w:val="24"/>
      <w:lang w:val="fr-FR" w:eastAsia="fr-FR"/>
    </w:rPr>
  </w:style>
  <w:style w:type="paragraph" w:customStyle="1" w:styleId="StyleTitre5ArialNarrow">
    <w:name w:val="Style Titre 5 + Arial Narrow"/>
    <w:basedOn w:val="Normal"/>
    <w:rsid w:val="00182560"/>
    <w:pPr>
      <w:numPr>
        <w:ilvl w:val="4"/>
        <w:numId w:val="15"/>
      </w:numPr>
      <w:bidi w:val="0"/>
      <w:spacing w:line="240" w:lineRule="auto"/>
      <w:jc w:val="left"/>
    </w:pPr>
    <w:rPr>
      <w:sz w:val="24"/>
      <w:szCs w:val="24"/>
      <w:lang w:val="fr-FR" w:eastAsia="fr-FR"/>
    </w:rPr>
  </w:style>
  <w:style w:type="character" w:customStyle="1" w:styleId="CDSMT2Car">
    <w:name w:val="CDSMT2 Car"/>
    <w:basedOn w:val="DefaultParagraphFont"/>
    <w:link w:val="CDSMT2"/>
    <w:locked/>
    <w:rsid w:val="00182560"/>
    <w:rPr>
      <w:rFonts w:ascii="Arial" w:hAnsi="Arial" w:cs="Times New Roman"/>
      <w:b/>
      <w:bCs/>
      <w:iCs/>
      <w:sz w:val="28"/>
      <w:szCs w:val="28"/>
    </w:rPr>
  </w:style>
  <w:style w:type="paragraph" w:customStyle="1" w:styleId="CDSMT2">
    <w:name w:val="CDSMT2"/>
    <w:basedOn w:val="Normal"/>
    <w:link w:val="CDSMT2Car"/>
    <w:qFormat/>
    <w:rsid w:val="00182560"/>
    <w:pPr>
      <w:keepNext/>
      <w:bidi w:val="0"/>
      <w:spacing w:before="360" w:after="160" w:line="240" w:lineRule="auto"/>
      <w:jc w:val="both"/>
      <w:outlineLvl w:val="1"/>
    </w:pPr>
    <w:rPr>
      <w:rFonts w:ascii="Arial" w:hAnsi="Arial" w:cs="Times New Roman"/>
      <w:b/>
      <w:bCs/>
      <w:iCs/>
      <w:sz w:val="28"/>
      <w:szCs w:val="28"/>
    </w:rPr>
  </w:style>
  <w:style w:type="character" w:customStyle="1" w:styleId="CDSMT3Car">
    <w:name w:val="CDSMT3 Car"/>
    <w:link w:val="CDSMT3"/>
    <w:locked/>
    <w:rsid w:val="00182560"/>
    <w:rPr>
      <w:rFonts w:ascii="Arial" w:hAnsi="Arial"/>
      <w:sz w:val="26"/>
    </w:rPr>
  </w:style>
  <w:style w:type="paragraph" w:customStyle="1" w:styleId="CDSMT3">
    <w:name w:val="CDSMT3"/>
    <w:basedOn w:val="Normal"/>
    <w:link w:val="CDSMT3Car"/>
    <w:qFormat/>
    <w:rsid w:val="00182560"/>
    <w:pPr>
      <w:bidi w:val="0"/>
      <w:spacing w:after="200" w:line="276" w:lineRule="auto"/>
      <w:jc w:val="left"/>
    </w:pPr>
    <w:rPr>
      <w:rFonts w:ascii="Arial" w:hAnsi="Arial" w:cstheme="minorBidi"/>
      <w:sz w:val="26"/>
      <w:szCs w:val="22"/>
    </w:rPr>
  </w:style>
  <w:style w:type="paragraph" w:styleId="BodyText2">
    <w:name w:val="Body Text 2"/>
    <w:basedOn w:val="Normal"/>
    <w:link w:val="BodyText2Char"/>
    <w:uiPriority w:val="99"/>
    <w:rsid w:val="00182560"/>
    <w:pPr>
      <w:keepNext/>
      <w:widowControl w:val="0"/>
      <w:bidi w:val="0"/>
      <w:spacing w:before="120" w:line="240" w:lineRule="auto"/>
      <w:ind w:left="567"/>
      <w:jc w:val="both"/>
      <w:outlineLvl w:val="1"/>
    </w:pPr>
    <w:rPr>
      <w:rFonts w:ascii="Comic Sans MS" w:hAnsi="Comic Sans MS"/>
      <w:iCs/>
      <w:lang w:val="fr-FR" w:eastAsia="fr-FR"/>
    </w:rPr>
  </w:style>
  <w:style w:type="character" w:customStyle="1" w:styleId="BodyText2Char">
    <w:name w:val="Body Text 2 Char"/>
    <w:basedOn w:val="DefaultParagraphFont"/>
    <w:link w:val="BodyText2"/>
    <w:uiPriority w:val="99"/>
    <w:rsid w:val="00182560"/>
    <w:rPr>
      <w:rFonts w:ascii="Comic Sans MS" w:hAnsi="Comic Sans MS" w:cs="Traditional Arabic"/>
      <w:iCs/>
      <w:sz w:val="20"/>
      <w:szCs w:val="30"/>
      <w:lang w:val="fr-FR" w:eastAsia="fr-FR"/>
    </w:rPr>
  </w:style>
  <w:style w:type="paragraph" w:styleId="BodyText">
    <w:name w:val="Body Text"/>
    <w:basedOn w:val="Normal"/>
    <w:link w:val="BodyTextChar"/>
    <w:uiPriority w:val="99"/>
    <w:unhideWhenUsed/>
    <w:rsid w:val="00182560"/>
    <w:pPr>
      <w:widowControl w:val="0"/>
      <w:bidi w:val="0"/>
      <w:spacing w:after="120" w:line="240" w:lineRule="auto"/>
      <w:jc w:val="left"/>
    </w:pPr>
    <w:rPr>
      <w:lang w:val="fr-FR" w:eastAsia="fr-FR"/>
    </w:rPr>
  </w:style>
  <w:style w:type="character" w:customStyle="1" w:styleId="BodyTextChar">
    <w:name w:val="Body Text Char"/>
    <w:basedOn w:val="DefaultParagraphFont"/>
    <w:link w:val="BodyText"/>
    <w:uiPriority w:val="99"/>
    <w:rsid w:val="00182560"/>
    <w:rPr>
      <w:rFonts w:ascii="Times New Roman" w:hAnsi="Times New Roman" w:cs="Traditional Arabic"/>
      <w:sz w:val="20"/>
      <w:szCs w:val="30"/>
      <w:lang w:val="fr-FR" w:eastAsia="fr-FR"/>
    </w:rPr>
  </w:style>
  <w:style w:type="paragraph" w:customStyle="1" w:styleId="Gras">
    <w:name w:val="Gras"/>
    <w:basedOn w:val="Normal"/>
    <w:next w:val="Normal"/>
    <w:rsid w:val="00182560"/>
    <w:pPr>
      <w:tabs>
        <w:tab w:val="left" w:pos="240"/>
      </w:tabs>
      <w:autoSpaceDE w:val="0"/>
      <w:autoSpaceDN w:val="0"/>
      <w:bidi w:val="0"/>
      <w:adjustRightInd w:val="0"/>
      <w:spacing w:before="57" w:after="57" w:line="240" w:lineRule="auto"/>
      <w:ind w:firstLine="283"/>
      <w:jc w:val="both"/>
    </w:pPr>
    <w:rPr>
      <w:b/>
      <w:bCs/>
      <w:sz w:val="18"/>
      <w:szCs w:val="18"/>
      <w:lang w:val="fr-FR" w:eastAsia="fr-FR"/>
    </w:rPr>
  </w:style>
  <w:style w:type="paragraph" w:styleId="BodyTextIndent2">
    <w:name w:val="Body Text Indent 2"/>
    <w:basedOn w:val="Normal"/>
    <w:link w:val="BodyTextIndent2Char"/>
    <w:uiPriority w:val="99"/>
    <w:unhideWhenUsed/>
    <w:rsid w:val="00182560"/>
    <w:pPr>
      <w:bidi w:val="0"/>
      <w:spacing w:after="120" w:line="480" w:lineRule="auto"/>
      <w:ind w:left="283"/>
      <w:jc w:val="left"/>
    </w:pPr>
    <w:rPr>
      <w:rFonts w:ascii="Calibri" w:hAnsi="Calibri"/>
      <w:sz w:val="22"/>
      <w:szCs w:val="22"/>
      <w:lang w:val="fr-FR" w:eastAsia="fr-FR"/>
    </w:rPr>
  </w:style>
  <w:style w:type="character" w:customStyle="1" w:styleId="BodyTextIndent2Char">
    <w:name w:val="Body Text Indent 2 Char"/>
    <w:basedOn w:val="DefaultParagraphFont"/>
    <w:link w:val="BodyTextIndent2"/>
    <w:uiPriority w:val="99"/>
    <w:rsid w:val="00182560"/>
    <w:rPr>
      <w:rFonts w:ascii="Calibri" w:hAnsi="Calibri" w:cs="Traditional Arabic"/>
      <w:lang w:val="fr-FR" w:eastAsia="fr-FR"/>
    </w:rPr>
  </w:style>
  <w:style w:type="paragraph" w:styleId="Caption">
    <w:name w:val="caption"/>
    <w:aliases w:val="Légende Car Car Car Car"/>
    <w:basedOn w:val="Normal"/>
    <w:next w:val="Normal"/>
    <w:link w:val="CaptionChar"/>
    <w:uiPriority w:val="35"/>
    <w:unhideWhenUsed/>
    <w:qFormat/>
    <w:rsid w:val="00182560"/>
    <w:pPr>
      <w:bidi w:val="0"/>
      <w:spacing w:after="200" w:line="276" w:lineRule="auto"/>
      <w:jc w:val="left"/>
    </w:pPr>
    <w:rPr>
      <w:rFonts w:cs="Arial"/>
      <w:b/>
      <w:bCs/>
      <w:sz w:val="24"/>
      <w:lang w:eastAsia="fr-FR"/>
    </w:rPr>
  </w:style>
  <w:style w:type="character" w:customStyle="1" w:styleId="CaptionChar">
    <w:name w:val="Caption Char"/>
    <w:aliases w:val="Légende Car Car Car Car Char"/>
    <w:link w:val="Caption"/>
    <w:uiPriority w:val="35"/>
    <w:locked/>
    <w:rsid w:val="00182560"/>
    <w:rPr>
      <w:rFonts w:ascii="Times New Roman" w:hAnsi="Times New Roman" w:cs="Arial"/>
      <w:b/>
      <w:bCs/>
      <w:sz w:val="24"/>
      <w:szCs w:val="30"/>
      <w:lang w:eastAsia="fr-FR"/>
    </w:rPr>
  </w:style>
  <w:style w:type="character" w:customStyle="1" w:styleId="BodyTextIndentChar1">
    <w:name w:val="Body Text Indent Char1"/>
    <w:basedOn w:val="DefaultParagraphFont"/>
    <w:link w:val="BodyTextIndent"/>
    <w:uiPriority w:val="99"/>
    <w:semiHidden/>
    <w:locked/>
    <w:rsid w:val="00182560"/>
    <w:rPr>
      <w:rFonts w:cs="Arial"/>
      <w:lang w:val="x-none"/>
    </w:rPr>
  </w:style>
  <w:style w:type="paragraph" w:styleId="BodyTextIndent">
    <w:name w:val="Body Text Indent"/>
    <w:basedOn w:val="Normal"/>
    <w:link w:val="BodyTextIndentChar1"/>
    <w:uiPriority w:val="99"/>
    <w:semiHidden/>
    <w:unhideWhenUsed/>
    <w:rsid w:val="00182560"/>
    <w:pPr>
      <w:bidi w:val="0"/>
      <w:spacing w:after="120" w:line="276" w:lineRule="auto"/>
      <w:ind w:left="283"/>
      <w:jc w:val="left"/>
    </w:pPr>
    <w:rPr>
      <w:rFonts w:asciiTheme="minorHAnsi" w:hAnsiTheme="minorHAnsi" w:cs="Arial"/>
      <w:sz w:val="22"/>
      <w:szCs w:val="22"/>
      <w:lang w:val="x-none"/>
    </w:rPr>
  </w:style>
  <w:style w:type="character" w:customStyle="1" w:styleId="BodyTextIndentChar">
    <w:name w:val="Body Text Indent Char"/>
    <w:basedOn w:val="DefaultParagraphFont"/>
    <w:uiPriority w:val="99"/>
    <w:semiHidden/>
    <w:rsid w:val="00182560"/>
    <w:rPr>
      <w:rFonts w:ascii="Times New Roman" w:hAnsi="Times New Roman" w:cs="Traditional Arabic"/>
      <w:sz w:val="20"/>
      <w:szCs w:val="30"/>
    </w:rPr>
  </w:style>
  <w:style w:type="paragraph" w:customStyle="1" w:styleId="yiv8647116903msolistparagraph">
    <w:name w:val="yiv8647116903msolistparagraph"/>
    <w:basedOn w:val="Normal"/>
    <w:rsid w:val="00182560"/>
    <w:pPr>
      <w:bidi w:val="0"/>
      <w:spacing w:before="100" w:beforeAutospacing="1" w:after="100" w:afterAutospacing="1" w:line="240" w:lineRule="auto"/>
      <w:jc w:val="left"/>
    </w:pPr>
    <w:rPr>
      <w:sz w:val="24"/>
      <w:szCs w:val="24"/>
      <w:lang w:val="fr-FR" w:eastAsia="fr-FR"/>
    </w:rPr>
  </w:style>
  <w:style w:type="paragraph" w:styleId="NormalWeb">
    <w:name w:val="Normal (Web)"/>
    <w:basedOn w:val="Normal"/>
    <w:uiPriority w:val="99"/>
    <w:unhideWhenUsed/>
    <w:rsid w:val="00182560"/>
    <w:pPr>
      <w:bidi w:val="0"/>
      <w:spacing w:before="100" w:beforeAutospacing="1" w:after="100" w:afterAutospacing="1" w:line="240" w:lineRule="auto"/>
      <w:jc w:val="left"/>
    </w:pPr>
    <w:rPr>
      <w:sz w:val="24"/>
      <w:szCs w:val="24"/>
      <w:lang w:val="fr-FR" w:eastAsia="fr-FR"/>
    </w:rPr>
  </w:style>
  <w:style w:type="table" w:customStyle="1" w:styleId="Listeclaire-Accent11">
    <w:name w:val="Liste claire - Accent 11"/>
    <w:basedOn w:val="TableNormal"/>
    <w:uiPriority w:val="61"/>
    <w:rsid w:val="00182560"/>
    <w:pPr>
      <w:spacing w:after="0" w:line="240" w:lineRule="auto"/>
      <w:jc w:val="both"/>
    </w:pPr>
    <w:rPr>
      <w:rFonts w:cs="Arial"/>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Arial"/>
        <w:b/>
        <w:bCs/>
        <w:color w:val="FFFFFF" w:themeColor="background1"/>
      </w:rPr>
      <w:tblPr/>
      <w:tcPr>
        <w:shd w:val="clear" w:color="auto" w:fill="4F81BD" w:themeFill="accent1"/>
      </w:tcPr>
    </w:tblStylePr>
    <w:tblStylePr w:type="lastRow">
      <w:pPr>
        <w:spacing w:before="0" w:after="0"/>
      </w:pPr>
      <w:rPr>
        <w:rFonts w:cs="Arial"/>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Arial"/>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oyens">
    <w:name w:val="moyens"/>
    <w:basedOn w:val="Normal"/>
    <w:link w:val="moyensCar"/>
    <w:qFormat/>
    <w:rsid w:val="00182560"/>
    <w:pPr>
      <w:bidi w:val="0"/>
      <w:spacing w:before="360" w:after="120" w:line="276" w:lineRule="auto"/>
      <w:ind w:left="1985" w:hanging="1985"/>
      <w:jc w:val="both"/>
    </w:pPr>
    <w:rPr>
      <w:b/>
      <w:sz w:val="24"/>
      <w:szCs w:val="24"/>
      <w:lang w:val="fr-FR"/>
    </w:rPr>
  </w:style>
  <w:style w:type="character" w:customStyle="1" w:styleId="moyensCar">
    <w:name w:val="moyens Car"/>
    <w:link w:val="moyens"/>
    <w:locked/>
    <w:rsid w:val="00182560"/>
    <w:rPr>
      <w:rFonts w:ascii="Times New Roman" w:hAnsi="Times New Roman" w:cs="Traditional Arabic"/>
      <w:b/>
      <w:sz w:val="24"/>
      <w:szCs w:val="24"/>
      <w:lang w:val="fr-FR"/>
    </w:rPr>
  </w:style>
  <w:style w:type="paragraph" w:styleId="PlainText">
    <w:name w:val="Plain Text"/>
    <w:basedOn w:val="Normal"/>
    <w:link w:val="PlainTextChar"/>
    <w:uiPriority w:val="99"/>
    <w:rsid w:val="00182560"/>
    <w:pPr>
      <w:bidi w:val="0"/>
      <w:spacing w:line="240" w:lineRule="auto"/>
      <w:jc w:val="left"/>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182560"/>
    <w:rPr>
      <w:rFonts w:ascii="Courier New" w:hAnsi="Courier New" w:cs="Courier New"/>
      <w:sz w:val="20"/>
      <w:szCs w:val="30"/>
      <w:lang w:val="fr-FR" w:eastAsia="fr-FR"/>
    </w:rPr>
  </w:style>
  <w:style w:type="paragraph" w:customStyle="1" w:styleId="Style">
    <w:name w:val="Style"/>
    <w:rsid w:val="00182560"/>
    <w:pPr>
      <w:widowControl w:val="0"/>
      <w:autoSpaceDE w:val="0"/>
      <w:autoSpaceDN w:val="0"/>
      <w:adjustRightInd w:val="0"/>
      <w:spacing w:after="0" w:line="240" w:lineRule="auto"/>
    </w:pPr>
    <w:rPr>
      <w:rFonts w:ascii="Times New Roman" w:hAnsi="Times New Roman" w:cs="Times New Roman"/>
      <w:sz w:val="24"/>
      <w:szCs w:val="24"/>
      <w:lang w:val="fr-FR" w:eastAsia="fr-FR"/>
    </w:rPr>
  </w:style>
  <w:style w:type="table" w:customStyle="1" w:styleId="TableGrid10">
    <w:name w:val="Table Grid1"/>
    <w:basedOn w:val="TableNormal"/>
    <w:next w:val="TableGrid"/>
    <w:uiPriority w:val="59"/>
    <w:rsid w:val="00182560"/>
    <w:pPr>
      <w:spacing w:after="0" w:line="240" w:lineRule="auto"/>
      <w:jc w:val="both"/>
    </w:pPr>
    <w:rPr>
      <w:rFonts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6281-1EB3-4FC1-AE92-4B7A78FE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29</Pages>
  <Words>8587</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HRI/CORE/NER/2018</vt:lpstr>
    </vt:vector>
  </TitlesOfParts>
  <Company>DCM</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HRI/CORE/NER/2018</dc:title>
  <dc:subject>GE.1804453A</dc:subject>
  <dc:creator>IHRZ - EXT</dc:creator>
  <cp:keywords>ODS No.1807525</cp:keywords>
  <dc:description>Distr.: General_x000d_
22 March 2018_x000d_
Original: French</dc:description>
  <cp:lastModifiedBy>Ibrahim Balan</cp:lastModifiedBy>
  <cp:revision>2</cp:revision>
  <cp:lastPrinted>2018-05-24T10:41:00Z</cp:lastPrinted>
  <dcterms:created xsi:type="dcterms:W3CDTF">2018-05-25T14:24:00Z</dcterms:created>
  <dcterms:modified xsi:type="dcterms:W3CDTF">2018-05-25T14:24:00Z</dcterms:modified>
</cp:coreProperties>
</file>