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53F5273" w14:textId="77777777" w:rsidTr="003A3D90">
        <w:trPr>
          <w:trHeight w:hRule="exact" w:val="851"/>
        </w:trPr>
        <w:tc>
          <w:tcPr>
            <w:tcW w:w="142" w:type="dxa"/>
            <w:tcBorders>
              <w:bottom w:val="single" w:sz="4" w:space="0" w:color="auto"/>
            </w:tcBorders>
          </w:tcPr>
          <w:p w14:paraId="11B6446B" w14:textId="77777777" w:rsidR="002D5AAC" w:rsidRDefault="002D5AAC" w:rsidP="00252DBA">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86B846E" w14:textId="77777777" w:rsidR="002D5AAC" w:rsidRPr="00BD33EE" w:rsidRDefault="00DF71B9" w:rsidP="003A3D90">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FC43558" w14:textId="78C2915C" w:rsidR="002D5AAC" w:rsidRDefault="00252DBA" w:rsidP="00252DBA">
            <w:pPr>
              <w:jc w:val="right"/>
            </w:pPr>
            <w:r w:rsidRPr="00252DBA">
              <w:rPr>
                <w:sz w:val="40"/>
              </w:rPr>
              <w:t>HRI</w:t>
            </w:r>
            <w:r>
              <w:t>/CORE/KWT/2019</w:t>
            </w:r>
          </w:p>
        </w:tc>
      </w:tr>
      <w:tr w:rsidR="002D5AAC" w:rsidRPr="00BA1181" w14:paraId="00DBCA8A" w14:textId="77777777" w:rsidTr="003A3D90">
        <w:trPr>
          <w:trHeight w:hRule="exact" w:val="2835"/>
        </w:trPr>
        <w:tc>
          <w:tcPr>
            <w:tcW w:w="1280" w:type="dxa"/>
            <w:gridSpan w:val="2"/>
            <w:tcBorders>
              <w:top w:val="single" w:sz="4" w:space="0" w:color="auto"/>
              <w:bottom w:val="single" w:sz="12" w:space="0" w:color="auto"/>
            </w:tcBorders>
          </w:tcPr>
          <w:p w14:paraId="794AEBC0" w14:textId="77777777" w:rsidR="002D5AAC" w:rsidRDefault="007B5263" w:rsidP="003A3D90">
            <w:pPr>
              <w:spacing w:before="120"/>
              <w:jc w:val="center"/>
            </w:pPr>
            <w:r>
              <w:rPr>
                <w:noProof/>
                <w:lang w:val="fr-CH" w:eastAsia="fr-CH"/>
              </w:rPr>
              <w:drawing>
                <wp:inline distT="0" distB="0" distL="0" distR="0" wp14:anchorId="0FFF5920" wp14:editId="520AE333">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A432D1F" w14:textId="77777777" w:rsidR="002D5AAC" w:rsidRPr="00943923" w:rsidRDefault="007B5263" w:rsidP="003A3D90">
            <w:pPr>
              <w:spacing w:before="120" w:line="460" w:lineRule="exact"/>
              <w:rPr>
                <w:b/>
                <w:sz w:val="34"/>
                <w:szCs w:val="34"/>
              </w:rPr>
            </w:pPr>
            <w:r w:rsidRPr="005709C6">
              <w:rPr>
                <w:b/>
                <w:spacing w:val="-4"/>
                <w:sz w:val="40"/>
                <w:szCs w:val="40"/>
              </w:rPr>
              <w:t>Международные договоры</w:t>
            </w:r>
            <w:r w:rsidRPr="005709C6">
              <w:rPr>
                <w:b/>
                <w:spacing w:val="-4"/>
                <w:sz w:val="40"/>
                <w:szCs w:val="40"/>
              </w:rPr>
              <w:br/>
              <w:t>по правам человека</w:t>
            </w:r>
          </w:p>
        </w:tc>
        <w:tc>
          <w:tcPr>
            <w:tcW w:w="2819" w:type="dxa"/>
            <w:tcBorders>
              <w:top w:val="single" w:sz="4" w:space="0" w:color="auto"/>
              <w:bottom w:val="single" w:sz="12" w:space="0" w:color="auto"/>
            </w:tcBorders>
          </w:tcPr>
          <w:p w14:paraId="33648143" w14:textId="77777777" w:rsidR="002D5AAC" w:rsidRPr="00216E8E" w:rsidRDefault="00252DBA" w:rsidP="003A3D90">
            <w:pPr>
              <w:spacing w:before="240"/>
              <w:rPr>
                <w:lang w:val="en-US"/>
              </w:rPr>
            </w:pPr>
            <w:r w:rsidRPr="00216E8E">
              <w:rPr>
                <w:lang w:val="en-US"/>
              </w:rPr>
              <w:t>Distr.: General</w:t>
            </w:r>
          </w:p>
          <w:p w14:paraId="6C9A99E1" w14:textId="77777777" w:rsidR="00252DBA" w:rsidRPr="00216E8E" w:rsidRDefault="00252DBA" w:rsidP="00252DBA">
            <w:pPr>
              <w:spacing w:line="240" w:lineRule="exact"/>
              <w:rPr>
                <w:lang w:val="en-US"/>
              </w:rPr>
            </w:pPr>
            <w:r w:rsidRPr="00216E8E">
              <w:rPr>
                <w:lang w:val="en-US"/>
              </w:rPr>
              <w:t>8 September 2021</w:t>
            </w:r>
          </w:p>
          <w:p w14:paraId="016CB760" w14:textId="77777777" w:rsidR="00252DBA" w:rsidRPr="00216E8E" w:rsidRDefault="00252DBA" w:rsidP="00252DBA">
            <w:pPr>
              <w:spacing w:line="240" w:lineRule="exact"/>
              <w:rPr>
                <w:lang w:val="en-US"/>
              </w:rPr>
            </w:pPr>
            <w:r w:rsidRPr="00216E8E">
              <w:rPr>
                <w:lang w:val="en-US"/>
              </w:rPr>
              <w:t>Russian</w:t>
            </w:r>
          </w:p>
          <w:p w14:paraId="0E26C838" w14:textId="62198D79" w:rsidR="00252DBA" w:rsidRPr="00216E8E" w:rsidRDefault="00252DBA" w:rsidP="00252DBA">
            <w:pPr>
              <w:spacing w:line="240" w:lineRule="exact"/>
              <w:rPr>
                <w:lang w:val="en-US"/>
              </w:rPr>
            </w:pPr>
            <w:r w:rsidRPr="00216E8E">
              <w:rPr>
                <w:lang w:val="en-US"/>
              </w:rPr>
              <w:t>Original: Arabic</w:t>
            </w:r>
          </w:p>
        </w:tc>
      </w:tr>
    </w:tbl>
    <w:p w14:paraId="12872C97" w14:textId="77777777" w:rsidR="00252DBA" w:rsidRPr="0012183E" w:rsidRDefault="00252DBA" w:rsidP="00252DBA">
      <w:pPr>
        <w:pStyle w:val="HMG"/>
      </w:pPr>
      <w:r w:rsidRPr="0012183E">
        <w:rPr>
          <w:lang w:val="en-US"/>
        </w:rPr>
        <w:tab/>
      </w:r>
      <w:r w:rsidRPr="0012183E">
        <w:rPr>
          <w:lang w:val="en-US"/>
        </w:rPr>
        <w:tab/>
      </w:r>
      <w:r w:rsidRPr="0012183E">
        <w:t>Общий базовый документ, являющийся составной частью докладов государств-участников</w:t>
      </w:r>
    </w:p>
    <w:p w14:paraId="66C658A5" w14:textId="77777777" w:rsidR="00252DBA" w:rsidRPr="0012183E" w:rsidRDefault="00252DBA" w:rsidP="00252DBA">
      <w:pPr>
        <w:pStyle w:val="HMG"/>
      </w:pPr>
      <w:r w:rsidRPr="0012183E">
        <w:tab/>
      </w:r>
      <w:r w:rsidRPr="0012183E">
        <w:tab/>
        <w:t>Кувейт</w:t>
      </w:r>
      <w:r w:rsidRPr="00252DBA">
        <w:rPr>
          <w:b w:val="0"/>
          <w:bCs/>
          <w:sz w:val="20"/>
        </w:rPr>
        <w:footnoteReference w:customMarkFollows="1" w:id="1"/>
        <w:t>*</w:t>
      </w:r>
    </w:p>
    <w:p w14:paraId="6243B032" w14:textId="77777777" w:rsidR="00252DBA" w:rsidRPr="0012183E" w:rsidRDefault="00252DBA" w:rsidP="00252DBA">
      <w:pPr>
        <w:pStyle w:val="SingleTxtG"/>
        <w:jc w:val="right"/>
      </w:pPr>
      <w:r w:rsidRPr="0012183E">
        <w:t>[Дата получения: 20 декабря 2019 года]</w:t>
      </w:r>
    </w:p>
    <w:p w14:paraId="0AF5BA79" w14:textId="329CFCF2" w:rsidR="00252DBA" w:rsidRDefault="00252DBA">
      <w:pPr>
        <w:suppressAutoHyphens w:val="0"/>
        <w:spacing w:line="240" w:lineRule="auto"/>
        <w:rPr>
          <w:rFonts w:eastAsia="Times New Roman" w:cs="Times New Roman"/>
          <w:szCs w:val="20"/>
        </w:rPr>
      </w:pPr>
      <w:r>
        <w:br w:type="page"/>
      </w:r>
    </w:p>
    <w:p w14:paraId="008B8255" w14:textId="77777777" w:rsidR="00252DBA" w:rsidRPr="00252DBA" w:rsidRDefault="00252DBA" w:rsidP="00252DBA">
      <w:pPr>
        <w:pStyle w:val="HChG"/>
      </w:pPr>
      <w:r w:rsidRPr="00252DBA">
        <w:lastRenderedPageBreak/>
        <w:tab/>
        <w:t>A.</w:t>
      </w:r>
      <w:r w:rsidRPr="00252DBA">
        <w:tab/>
        <w:t>Общая информация о Кувейте</w:t>
      </w:r>
      <w:bookmarkStart w:id="0" w:name="_Toc83644955"/>
      <w:bookmarkEnd w:id="0"/>
    </w:p>
    <w:p w14:paraId="031395FA" w14:textId="77777777" w:rsidR="00252DBA" w:rsidRPr="00252DBA" w:rsidRDefault="00252DBA" w:rsidP="00252DBA">
      <w:pPr>
        <w:pStyle w:val="H1G"/>
      </w:pPr>
      <w:r w:rsidRPr="00252DBA">
        <w:tab/>
      </w:r>
      <w:r w:rsidRPr="00252DBA">
        <w:tab/>
        <w:t>Новые перспективы Кувейта на период до 2035 года</w:t>
      </w:r>
      <w:bookmarkStart w:id="1" w:name="_Toc83644956"/>
      <w:bookmarkEnd w:id="1"/>
    </w:p>
    <w:p w14:paraId="216D59E9" w14:textId="77777777" w:rsidR="00252DBA" w:rsidRPr="0012183E" w:rsidRDefault="00252DBA" w:rsidP="00252DBA">
      <w:pPr>
        <w:pStyle w:val="SingleTxtG"/>
      </w:pPr>
      <w:r w:rsidRPr="0012183E">
        <w:t>1.</w:t>
      </w:r>
      <w:r w:rsidRPr="0012183E">
        <w:tab/>
        <w:t>Цели заключаются в том, чтобы превратить Кувейт в финансовый и торговый центр, который будет привлекать инвестиции и в котором роль движущей силы экономической деятельности будет играть частный сектор; содействовать развитию духа конкуренции и повышению эффективности производства при институциональной поддержке государства; укреплять глубоко укоренившиеся ценности, сохранять социальную идентичность и добиваться сбалансированного развития человеческого потенциала; а также построить надлежащую инфраструктуру, ввести в действие передовое законодательство и создать благоприятную для бизнеса среду.</w:t>
      </w:r>
    </w:p>
    <w:p w14:paraId="7B1F068F" w14:textId="77777777" w:rsidR="00252DBA" w:rsidRPr="00252DBA" w:rsidRDefault="00252DBA" w:rsidP="00252DBA">
      <w:pPr>
        <w:pStyle w:val="H1G"/>
      </w:pPr>
      <w:r w:rsidRPr="00252DBA">
        <w:tab/>
      </w:r>
      <w:r w:rsidRPr="00252DBA">
        <w:tab/>
        <w:t>Демографические, экономические, социальные и культурные характеристики</w:t>
      </w:r>
      <w:bookmarkStart w:id="2" w:name="_Toc83644957"/>
      <w:bookmarkEnd w:id="2"/>
    </w:p>
    <w:p w14:paraId="704B955E" w14:textId="77777777" w:rsidR="00252DBA" w:rsidRPr="00252DBA" w:rsidRDefault="00252DBA" w:rsidP="00252DBA">
      <w:pPr>
        <w:pStyle w:val="H23G"/>
      </w:pPr>
      <w:r w:rsidRPr="00252DBA">
        <w:tab/>
      </w:r>
      <w:r w:rsidRPr="00252DBA">
        <w:tab/>
        <w:t>Географическое положение и территория</w:t>
      </w:r>
      <w:bookmarkStart w:id="3" w:name="_Toc83644958"/>
      <w:bookmarkEnd w:id="3"/>
    </w:p>
    <w:p w14:paraId="1EAE31A9" w14:textId="77777777" w:rsidR="00252DBA" w:rsidRPr="0012183E" w:rsidRDefault="00252DBA" w:rsidP="00252DBA">
      <w:pPr>
        <w:pStyle w:val="SingleTxtG"/>
      </w:pPr>
      <w:r w:rsidRPr="0012183E">
        <w:t>2.</w:t>
      </w:r>
      <w:r w:rsidRPr="0012183E">
        <w:tab/>
        <w:t>Государство Кувейт расположено в северо-западном углу Аравийского залива между 28°30' и 30°06' северной широты и 46°30' и 48°30' восточной долготы. На севере и северо-западе оно граничит с Ираком, на юге и юго-западе — с Королевством Саудовская Аравия. Кувейт также омывается водами Аравийского залива. Его расположение на северо-востоке Аравийского полуострова, а также его роль природного коридора долгое время способствовали укреплению его торгового статуса. Площадь Кувейта составляет 17 818 квадратных километров.</w:t>
      </w:r>
    </w:p>
    <w:p w14:paraId="1BB3D346" w14:textId="77777777" w:rsidR="00252DBA" w:rsidRPr="0012183E" w:rsidRDefault="00252DBA" w:rsidP="00252DBA">
      <w:pPr>
        <w:pStyle w:val="H23G"/>
      </w:pPr>
      <w:r w:rsidRPr="0012183E">
        <w:tab/>
      </w:r>
      <w:r w:rsidRPr="0012183E">
        <w:tab/>
      </w:r>
      <w:r w:rsidRPr="0012183E">
        <w:rPr>
          <w:bCs/>
        </w:rPr>
        <w:t>Климат</w:t>
      </w:r>
      <w:bookmarkStart w:id="4" w:name="_Toc83644959"/>
      <w:bookmarkEnd w:id="4"/>
    </w:p>
    <w:p w14:paraId="5CBCE4B7" w14:textId="77777777" w:rsidR="00252DBA" w:rsidRPr="0012183E" w:rsidRDefault="00252DBA" w:rsidP="00252DBA">
      <w:pPr>
        <w:pStyle w:val="SingleTxtG"/>
      </w:pPr>
      <w:r w:rsidRPr="0012183E">
        <w:t>3.</w:t>
      </w:r>
      <w:r w:rsidRPr="0012183E">
        <w:tab/>
        <w:t>Ввиду того, что географически Кувейт расположен в пустынном регионе, в стране преобладает континентальный климат, характеризующийся продолжительным, жарким и сухим летом и короткой умеренной зимой с нерегулярно выпадающими дождевыми осадками.</w:t>
      </w:r>
    </w:p>
    <w:p w14:paraId="559F3AD6" w14:textId="77777777" w:rsidR="00252DBA" w:rsidRPr="0012183E" w:rsidRDefault="00252DBA" w:rsidP="00252DBA">
      <w:pPr>
        <w:pStyle w:val="H23G"/>
      </w:pPr>
      <w:r w:rsidRPr="0012183E">
        <w:tab/>
      </w:r>
      <w:r w:rsidRPr="0012183E">
        <w:tab/>
        <w:t>Население</w:t>
      </w:r>
      <w:bookmarkStart w:id="5" w:name="_Toc83644960"/>
      <w:bookmarkEnd w:id="5"/>
    </w:p>
    <w:p w14:paraId="58A11555" w14:textId="0DA6CCA0" w:rsidR="00252DBA" w:rsidRPr="0012183E" w:rsidRDefault="00252DBA" w:rsidP="00252DBA">
      <w:pPr>
        <w:pStyle w:val="SingleTxtG"/>
        <w:spacing w:after="240"/>
      </w:pPr>
      <w:r w:rsidRPr="0012183E">
        <w:t>4.</w:t>
      </w:r>
      <w:r w:rsidRPr="0012183E">
        <w:tab/>
        <w:t>В 2019 году население Кувейта, согласно оценкам, составляло 4</w:t>
      </w:r>
      <w:r>
        <w:rPr>
          <w:lang w:val="en-US"/>
        </w:rPr>
        <w:t> </w:t>
      </w:r>
      <w:r w:rsidRPr="0012183E">
        <w:t>420</w:t>
      </w:r>
      <w:r>
        <w:rPr>
          <w:lang w:val="en-US"/>
        </w:rPr>
        <w:t> </w:t>
      </w:r>
      <w:r w:rsidRPr="0012183E">
        <w:t>110</w:t>
      </w:r>
      <w:r>
        <w:rPr>
          <w:lang w:val="en-US"/>
        </w:rPr>
        <w:t> </w:t>
      </w:r>
      <w:r w:rsidRPr="0012183E">
        <w:t xml:space="preserve">человек, при этом на граждан Кувейта приходилось около 30 </w:t>
      </w:r>
      <w:r>
        <w:t>процентов</w:t>
      </w:r>
      <w:r w:rsidRPr="00252DBA">
        <w:t xml:space="preserve"> </w:t>
      </w:r>
      <w:r w:rsidRPr="0012183E">
        <w:t xml:space="preserve">в населения, а на неграждан — около 70 </w:t>
      </w:r>
      <w:r>
        <w:t>процентов</w:t>
      </w:r>
      <w:r w:rsidRPr="0012183E">
        <w:t>.</w:t>
      </w:r>
    </w:p>
    <w:p w14:paraId="36BC45CE" w14:textId="77777777" w:rsidR="00252DBA" w:rsidRPr="0012183E" w:rsidRDefault="00252DBA" w:rsidP="00252DBA">
      <w:pPr>
        <w:pStyle w:val="SingleTxtG"/>
        <w:spacing w:after="240"/>
      </w:pPr>
      <w:r w:rsidRPr="0012183E">
        <w:rPr>
          <w:rFonts w:ascii="Traditional Arabic" w:hAnsi="Traditional Arabic" w:cs="Traditional Arabic"/>
          <w:noProof/>
          <w:w w:val="103"/>
          <w:kern w:val="14"/>
          <w:lang w:eastAsia="en-GB"/>
        </w:rPr>
        <w:drawing>
          <wp:inline distT="0" distB="0" distL="0" distR="0" wp14:anchorId="710D4600" wp14:editId="2DE23C8D">
            <wp:extent cx="4848225" cy="2339975"/>
            <wp:effectExtent l="0" t="0" r="9525" b="3175"/>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9B6687" w14:textId="77777777" w:rsidR="00252DBA" w:rsidRPr="0012183E" w:rsidRDefault="00252DBA" w:rsidP="00252DBA">
      <w:pPr>
        <w:pStyle w:val="H23G"/>
      </w:pPr>
      <w:r w:rsidRPr="0012183E">
        <w:lastRenderedPageBreak/>
        <w:tab/>
      </w:r>
      <w:r w:rsidRPr="0012183E">
        <w:tab/>
      </w:r>
      <w:r w:rsidRPr="0012183E">
        <w:tab/>
      </w:r>
      <w:r w:rsidRPr="0012183E">
        <w:rPr>
          <w:bCs/>
        </w:rPr>
        <w:t>Религия</w:t>
      </w:r>
      <w:bookmarkStart w:id="6" w:name="_Toc83644961"/>
      <w:bookmarkEnd w:id="6"/>
    </w:p>
    <w:p w14:paraId="66B93C5B" w14:textId="77777777" w:rsidR="00252DBA" w:rsidRPr="0012183E" w:rsidRDefault="00252DBA" w:rsidP="00252DBA">
      <w:pPr>
        <w:pStyle w:val="SingleTxtG"/>
      </w:pPr>
      <w:r w:rsidRPr="0012183E">
        <w:t>5.</w:t>
      </w:r>
      <w:r w:rsidRPr="0012183E">
        <w:tab/>
        <w:t>В статье 2 Конституции говорится, что государственной религией является ислам, а основным источником законодательства — шариат. Статья 35 Конституции гласит, что свобода веры является абсолютной и что государство защищает свободу исповедовать религию в соответствии с установившимися обычаями и без ущерба для общественного порядка и общественной морали.</w:t>
      </w:r>
    </w:p>
    <w:p w14:paraId="6B4D5DCD" w14:textId="77777777" w:rsidR="00252DBA" w:rsidRPr="0012183E" w:rsidRDefault="00252DBA" w:rsidP="00252DBA">
      <w:pPr>
        <w:ind w:left="1134"/>
      </w:pPr>
      <w:r w:rsidRPr="0012183E">
        <w:rPr>
          <w:rFonts w:ascii="Traditional Arabic" w:hAnsi="Traditional Arabic" w:cs="Traditional Arabic"/>
          <w:noProof/>
          <w:w w:val="103"/>
          <w:kern w:val="14"/>
          <w:lang w:eastAsia="en-GB"/>
        </w:rPr>
        <w:drawing>
          <wp:inline distT="0" distB="0" distL="0" distR="0" wp14:anchorId="24C28B44" wp14:editId="469ED4CF">
            <wp:extent cx="4680000" cy="2486025"/>
            <wp:effectExtent l="0" t="0" r="6350" b="9525"/>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63A089" w14:textId="39F848AD" w:rsidR="00252DBA" w:rsidRPr="0012183E" w:rsidRDefault="00252DBA" w:rsidP="00252DBA">
      <w:pPr>
        <w:pStyle w:val="H23G"/>
      </w:pPr>
      <w:r>
        <w:tab/>
      </w:r>
      <w:r>
        <w:tab/>
      </w:r>
      <w:r w:rsidRPr="0012183E">
        <w:rPr>
          <w:bCs/>
        </w:rPr>
        <w:t>Образование</w:t>
      </w:r>
      <w:bookmarkStart w:id="7" w:name="_Toc83644962"/>
      <w:bookmarkEnd w:id="7"/>
    </w:p>
    <w:p w14:paraId="1A127E50" w14:textId="6166B2CE" w:rsidR="00252DBA" w:rsidRPr="0012183E" w:rsidRDefault="00252DBA" w:rsidP="00252DBA">
      <w:pPr>
        <w:pStyle w:val="SingleTxtG"/>
      </w:pPr>
      <w:r w:rsidRPr="0012183E">
        <w:t>6.</w:t>
      </w:r>
      <w:r w:rsidRPr="0012183E">
        <w:tab/>
        <w:t>Реальное богатство наций</w:t>
      </w:r>
      <w:r w:rsidR="00BE325A">
        <w:t xml:space="preserve"> —</w:t>
      </w:r>
      <w:r w:rsidRPr="0012183E">
        <w:t xml:space="preserve"> человеческий капитал, являющийся источником креативности и инноваций, способствующих повышению конкурентоспособности. Поэтому в соответствии с исходным базовым посылом планов развития Кувейта инвестиции в человеческий капитал признаются необходимой предпосылкой к достижению Целей в области устойчивого развития. Решающее значение для создания инновационного человеческого капитала, способного увеличить потенциал роста кувейтской экономики, имеет образование.</w:t>
      </w:r>
    </w:p>
    <w:p w14:paraId="52849509" w14:textId="1E82E868" w:rsidR="00252DBA" w:rsidRPr="0012183E" w:rsidRDefault="00252DBA" w:rsidP="00252DBA">
      <w:pPr>
        <w:pStyle w:val="SingleTxtG"/>
      </w:pPr>
      <w:r w:rsidRPr="0012183E">
        <w:t>7.</w:t>
      </w:r>
      <w:r w:rsidRPr="0012183E">
        <w:tab/>
        <w:t>Кувейт уделяет праву на образование особое внимание. В статье 13 Конституции говорится, что образование служит одной из основных предпосылок к прогрессивному развитию общества</w:t>
      </w:r>
      <w:r w:rsidRPr="00252DBA">
        <w:t>,</w:t>
      </w:r>
      <w:r w:rsidRPr="0012183E">
        <w:t xml:space="preserve"> и гарантируется и поощряется государством. Образование является бесплатным на всех уровнях, от детского сада до университета, и обязательным на начальном и среднем уровнях. Расходы на государственное образование увеличиваются. В 2016/17 году на соответствующие цели было выделено более 1,7 млрд кувейтских динаров, что составило около 10 </w:t>
      </w:r>
      <w:r>
        <w:t>процентов</w:t>
      </w:r>
      <w:r w:rsidRPr="0012183E">
        <w:t xml:space="preserve"> от общего объема государственных расходов.</w:t>
      </w:r>
    </w:p>
    <w:p w14:paraId="4356492B" w14:textId="77777777" w:rsidR="00252DBA" w:rsidRPr="0012183E" w:rsidRDefault="00252DBA" w:rsidP="00252DBA">
      <w:pPr>
        <w:pStyle w:val="SingleTxtG"/>
      </w:pPr>
      <w:r w:rsidRPr="0012183E">
        <w:t>8.</w:t>
      </w:r>
      <w:r w:rsidRPr="0012183E">
        <w:tab/>
        <w:t>В результате принятых мер по приведению числа школ во всех мухафазах Кувейта в соответствие с численностью населения коэффициент зачисления в начальные и средние школы равен 92 процентам. Государство добилось успехов в своих усилиях по искоренению неграмотности, уровень которой в 2017/18 году составил всего 2,9 процента. Полный спектр образовательных услуг предоставляется инвалидам. Некоторые из них интегрированы в обычные учебные заведения, в то время как другие посещают специальные школы.</w:t>
      </w:r>
    </w:p>
    <w:p w14:paraId="5A21028B" w14:textId="1409474A" w:rsidR="00252DBA" w:rsidRPr="0012183E" w:rsidRDefault="00252DBA" w:rsidP="000774F7">
      <w:pPr>
        <w:pStyle w:val="H23G"/>
        <w:rPr>
          <w:bCs/>
        </w:rPr>
      </w:pPr>
      <w:r w:rsidRPr="000774F7">
        <w:rPr>
          <w:b w:val="0"/>
          <w:bCs/>
        </w:rPr>
        <w:tab/>
      </w:r>
      <w:r w:rsidR="000774F7" w:rsidRPr="000774F7">
        <w:rPr>
          <w:b w:val="0"/>
          <w:bCs/>
        </w:rPr>
        <w:tab/>
      </w:r>
      <w:r w:rsidR="000774F7" w:rsidRPr="000774F7">
        <w:rPr>
          <w:b w:val="0"/>
          <w:bCs/>
        </w:rPr>
        <w:tab/>
      </w:r>
      <w:r w:rsidRPr="000774F7">
        <w:rPr>
          <w:b w:val="0"/>
          <w:bCs/>
        </w:rPr>
        <w:t xml:space="preserve">Таблица 1 </w:t>
      </w:r>
      <w:r w:rsidR="000774F7" w:rsidRPr="000774F7">
        <w:rPr>
          <w:b w:val="0"/>
          <w:bCs/>
        </w:rPr>
        <w:br/>
      </w:r>
      <w:r w:rsidRPr="0012183E">
        <w:rPr>
          <w:bCs/>
        </w:rPr>
        <w:t>Количество школ и колледжей в 2017/18 году</w:t>
      </w:r>
      <w:bookmarkStart w:id="8" w:name="_Toc83644963"/>
      <w:bookmarkEnd w:id="8"/>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61"/>
        <w:gridCol w:w="945"/>
        <w:gridCol w:w="945"/>
        <w:gridCol w:w="945"/>
        <w:gridCol w:w="1274"/>
      </w:tblGrid>
      <w:tr w:rsidR="00252DBA" w:rsidRPr="000774F7" w14:paraId="4C0F68F0" w14:textId="77777777" w:rsidTr="00686002">
        <w:trPr>
          <w:trHeight w:val="410"/>
          <w:tblHeader/>
        </w:trPr>
        <w:tc>
          <w:tcPr>
            <w:tcW w:w="3261" w:type="dxa"/>
            <w:tcBorders>
              <w:top w:val="single" w:sz="4" w:space="0" w:color="auto"/>
              <w:bottom w:val="single" w:sz="12" w:space="0" w:color="auto"/>
            </w:tcBorders>
            <w:shd w:val="clear" w:color="auto" w:fill="auto"/>
            <w:tcMar>
              <w:left w:w="28" w:type="dxa"/>
              <w:right w:w="28" w:type="dxa"/>
            </w:tcMar>
            <w:vAlign w:val="bottom"/>
          </w:tcPr>
          <w:p w14:paraId="3F6B69AF" w14:textId="77777777" w:rsidR="00252DBA" w:rsidRPr="000774F7" w:rsidRDefault="00252DBA" w:rsidP="000774F7">
            <w:pPr>
              <w:pStyle w:val="SingleTxtG"/>
              <w:tabs>
                <w:tab w:val="clear" w:pos="1701"/>
                <w:tab w:val="clear" w:pos="2268"/>
              </w:tabs>
              <w:spacing w:before="80" w:after="80" w:line="200" w:lineRule="exact"/>
              <w:ind w:left="0" w:right="0"/>
              <w:jc w:val="left"/>
              <w:rPr>
                <w:i/>
                <w:sz w:val="16"/>
                <w:szCs w:val="16"/>
              </w:rPr>
            </w:pPr>
            <w:r w:rsidRPr="000774F7">
              <w:rPr>
                <w:i/>
                <w:iCs/>
                <w:sz w:val="16"/>
                <w:szCs w:val="16"/>
              </w:rPr>
              <w:t>Данные</w:t>
            </w:r>
          </w:p>
        </w:tc>
        <w:tc>
          <w:tcPr>
            <w:tcW w:w="945" w:type="dxa"/>
            <w:tcBorders>
              <w:top w:val="single" w:sz="4" w:space="0" w:color="auto"/>
              <w:bottom w:val="single" w:sz="12" w:space="0" w:color="auto"/>
            </w:tcBorders>
            <w:shd w:val="clear" w:color="auto" w:fill="auto"/>
            <w:tcMar>
              <w:left w:w="28" w:type="dxa"/>
              <w:right w:w="28" w:type="dxa"/>
            </w:tcMar>
            <w:vAlign w:val="bottom"/>
          </w:tcPr>
          <w:p w14:paraId="16C23A97" w14:textId="77777777" w:rsidR="00252DBA" w:rsidRPr="000774F7" w:rsidRDefault="00252DBA" w:rsidP="000774F7">
            <w:pPr>
              <w:pStyle w:val="SingleTxtG"/>
              <w:tabs>
                <w:tab w:val="clear" w:pos="1701"/>
                <w:tab w:val="clear" w:pos="2268"/>
              </w:tabs>
              <w:spacing w:before="80" w:after="80" w:line="200" w:lineRule="exact"/>
              <w:ind w:left="0" w:right="0"/>
              <w:jc w:val="right"/>
              <w:rPr>
                <w:i/>
                <w:sz w:val="16"/>
                <w:szCs w:val="16"/>
              </w:rPr>
            </w:pPr>
            <w:r w:rsidRPr="000774F7">
              <w:rPr>
                <w:i/>
                <w:iCs/>
                <w:sz w:val="16"/>
                <w:szCs w:val="16"/>
              </w:rPr>
              <w:t>Школы</w:t>
            </w:r>
          </w:p>
        </w:tc>
        <w:tc>
          <w:tcPr>
            <w:tcW w:w="945" w:type="dxa"/>
            <w:tcBorders>
              <w:top w:val="single" w:sz="4" w:space="0" w:color="auto"/>
              <w:bottom w:val="single" w:sz="12" w:space="0" w:color="auto"/>
            </w:tcBorders>
            <w:shd w:val="clear" w:color="auto" w:fill="auto"/>
            <w:tcMar>
              <w:left w:w="28" w:type="dxa"/>
              <w:right w:w="28" w:type="dxa"/>
            </w:tcMar>
            <w:vAlign w:val="bottom"/>
          </w:tcPr>
          <w:p w14:paraId="344E686E" w14:textId="77777777" w:rsidR="00252DBA" w:rsidRPr="000774F7" w:rsidRDefault="00252DBA" w:rsidP="000774F7">
            <w:pPr>
              <w:pStyle w:val="SingleTxtG"/>
              <w:tabs>
                <w:tab w:val="clear" w:pos="1701"/>
                <w:tab w:val="clear" w:pos="2268"/>
              </w:tabs>
              <w:spacing w:before="80" w:after="80" w:line="200" w:lineRule="exact"/>
              <w:ind w:left="0" w:right="0"/>
              <w:jc w:val="right"/>
              <w:rPr>
                <w:i/>
                <w:sz w:val="16"/>
                <w:szCs w:val="16"/>
              </w:rPr>
            </w:pPr>
            <w:r w:rsidRPr="000774F7">
              <w:rPr>
                <w:i/>
                <w:iCs/>
                <w:sz w:val="16"/>
                <w:szCs w:val="16"/>
              </w:rPr>
              <w:t>Классы</w:t>
            </w:r>
          </w:p>
        </w:tc>
        <w:tc>
          <w:tcPr>
            <w:tcW w:w="945" w:type="dxa"/>
            <w:tcBorders>
              <w:top w:val="single" w:sz="4" w:space="0" w:color="auto"/>
              <w:bottom w:val="single" w:sz="12" w:space="0" w:color="auto"/>
            </w:tcBorders>
            <w:shd w:val="clear" w:color="auto" w:fill="auto"/>
            <w:tcMar>
              <w:left w:w="28" w:type="dxa"/>
              <w:right w:w="28" w:type="dxa"/>
            </w:tcMar>
            <w:vAlign w:val="bottom"/>
          </w:tcPr>
          <w:p w14:paraId="3F0918EE" w14:textId="77777777" w:rsidR="00252DBA" w:rsidRPr="000774F7" w:rsidRDefault="00252DBA" w:rsidP="000774F7">
            <w:pPr>
              <w:pStyle w:val="SingleTxtG"/>
              <w:tabs>
                <w:tab w:val="clear" w:pos="1701"/>
                <w:tab w:val="clear" w:pos="2268"/>
              </w:tabs>
              <w:spacing w:before="80" w:after="80" w:line="200" w:lineRule="exact"/>
              <w:ind w:left="0" w:right="0"/>
              <w:jc w:val="right"/>
              <w:rPr>
                <w:i/>
                <w:sz w:val="16"/>
                <w:szCs w:val="16"/>
              </w:rPr>
            </w:pPr>
            <w:r w:rsidRPr="000774F7">
              <w:rPr>
                <w:i/>
                <w:iCs/>
                <w:sz w:val="16"/>
                <w:szCs w:val="16"/>
              </w:rPr>
              <w:t>Учащиеся</w:t>
            </w:r>
          </w:p>
        </w:tc>
        <w:tc>
          <w:tcPr>
            <w:tcW w:w="1274" w:type="dxa"/>
            <w:tcBorders>
              <w:top w:val="single" w:sz="4" w:space="0" w:color="auto"/>
              <w:bottom w:val="single" w:sz="12" w:space="0" w:color="auto"/>
            </w:tcBorders>
            <w:shd w:val="clear" w:color="auto" w:fill="auto"/>
            <w:tcMar>
              <w:left w:w="28" w:type="dxa"/>
              <w:right w:w="28" w:type="dxa"/>
            </w:tcMar>
            <w:vAlign w:val="bottom"/>
          </w:tcPr>
          <w:p w14:paraId="5B0E3B8D" w14:textId="77777777" w:rsidR="00252DBA" w:rsidRPr="000774F7" w:rsidRDefault="00252DBA" w:rsidP="000774F7">
            <w:pPr>
              <w:pStyle w:val="SingleTxtG"/>
              <w:tabs>
                <w:tab w:val="clear" w:pos="1701"/>
                <w:tab w:val="clear" w:pos="2268"/>
              </w:tabs>
              <w:spacing w:before="80" w:after="80" w:line="200" w:lineRule="exact"/>
              <w:ind w:left="0" w:right="0"/>
              <w:jc w:val="right"/>
              <w:rPr>
                <w:i/>
                <w:sz w:val="16"/>
                <w:szCs w:val="16"/>
              </w:rPr>
            </w:pPr>
            <w:r w:rsidRPr="000774F7">
              <w:rPr>
                <w:i/>
                <w:iCs/>
                <w:sz w:val="16"/>
                <w:szCs w:val="16"/>
              </w:rPr>
              <w:t>Преподаватели</w:t>
            </w:r>
          </w:p>
        </w:tc>
      </w:tr>
      <w:tr w:rsidR="00252DBA" w:rsidRPr="0012183E" w14:paraId="31E08B62" w14:textId="77777777" w:rsidTr="00686002">
        <w:tc>
          <w:tcPr>
            <w:tcW w:w="3261" w:type="dxa"/>
            <w:tcBorders>
              <w:top w:val="single" w:sz="12" w:space="0" w:color="auto"/>
              <w:bottom w:val="nil"/>
            </w:tcBorders>
            <w:shd w:val="clear" w:color="auto" w:fill="auto"/>
            <w:tcMar>
              <w:left w:w="28" w:type="dxa"/>
              <w:right w:w="28" w:type="dxa"/>
            </w:tcMar>
          </w:tcPr>
          <w:p w14:paraId="06399B6E" w14:textId="77777777" w:rsidR="00252DBA" w:rsidRPr="0012183E" w:rsidRDefault="00252DBA" w:rsidP="00FC752D">
            <w:pPr>
              <w:pStyle w:val="SingleTxtG"/>
              <w:tabs>
                <w:tab w:val="clear" w:pos="1701"/>
                <w:tab w:val="clear" w:pos="2268"/>
              </w:tabs>
              <w:spacing w:before="40"/>
              <w:ind w:left="0" w:right="0"/>
              <w:jc w:val="left"/>
            </w:pPr>
            <w:r w:rsidRPr="0012183E">
              <w:t>Общие данные по государственному и религиозному образованию</w:t>
            </w:r>
          </w:p>
        </w:tc>
        <w:tc>
          <w:tcPr>
            <w:tcW w:w="945" w:type="dxa"/>
            <w:tcBorders>
              <w:top w:val="single" w:sz="12" w:space="0" w:color="auto"/>
              <w:bottom w:val="nil"/>
            </w:tcBorders>
            <w:shd w:val="clear" w:color="auto" w:fill="auto"/>
            <w:tcMar>
              <w:left w:w="28" w:type="dxa"/>
              <w:right w:w="28" w:type="dxa"/>
            </w:tcMar>
            <w:vAlign w:val="bottom"/>
          </w:tcPr>
          <w:p w14:paraId="6B0C6F13" w14:textId="77777777" w:rsidR="00252DBA" w:rsidRPr="0012183E" w:rsidRDefault="00252DBA" w:rsidP="00FC752D">
            <w:pPr>
              <w:pStyle w:val="SingleTxtG"/>
              <w:tabs>
                <w:tab w:val="clear" w:pos="1701"/>
                <w:tab w:val="clear" w:pos="2268"/>
              </w:tabs>
              <w:spacing w:before="40"/>
              <w:ind w:left="0" w:right="0"/>
              <w:jc w:val="right"/>
            </w:pPr>
            <w:r w:rsidRPr="0012183E">
              <w:t>829</w:t>
            </w:r>
          </w:p>
        </w:tc>
        <w:tc>
          <w:tcPr>
            <w:tcW w:w="945" w:type="dxa"/>
            <w:tcBorders>
              <w:top w:val="single" w:sz="12" w:space="0" w:color="auto"/>
              <w:bottom w:val="nil"/>
            </w:tcBorders>
            <w:shd w:val="clear" w:color="auto" w:fill="auto"/>
            <w:tcMar>
              <w:left w:w="28" w:type="dxa"/>
              <w:right w:w="28" w:type="dxa"/>
            </w:tcMar>
            <w:vAlign w:val="bottom"/>
          </w:tcPr>
          <w:p w14:paraId="570E1ADF" w14:textId="77777777" w:rsidR="00252DBA" w:rsidRPr="0012183E" w:rsidRDefault="00252DBA" w:rsidP="00FC752D">
            <w:pPr>
              <w:pStyle w:val="SingleTxtG"/>
              <w:tabs>
                <w:tab w:val="clear" w:pos="1701"/>
                <w:tab w:val="clear" w:pos="2268"/>
              </w:tabs>
              <w:spacing w:before="40"/>
              <w:ind w:left="0" w:right="0"/>
              <w:jc w:val="right"/>
            </w:pPr>
            <w:r w:rsidRPr="0012183E">
              <w:t>16 216</w:t>
            </w:r>
          </w:p>
        </w:tc>
        <w:tc>
          <w:tcPr>
            <w:tcW w:w="945" w:type="dxa"/>
            <w:tcBorders>
              <w:top w:val="single" w:sz="12" w:space="0" w:color="auto"/>
              <w:bottom w:val="nil"/>
            </w:tcBorders>
            <w:shd w:val="clear" w:color="auto" w:fill="auto"/>
            <w:tcMar>
              <w:left w:w="28" w:type="dxa"/>
              <w:right w:w="28" w:type="dxa"/>
            </w:tcMar>
            <w:vAlign w:val="bottom"/>
          </w:tcPr>
          <w:p w14:paraId="5329B74D" w14:textId="77777777" w:rsidR="00252DBA" w:rsidRPr="0012183E" w:rsidRDefault="00252DBA" w:rsidP="00FC752D">
            <w:pPr>
              <w:pStyle w:val="SingleTxtG"/>
              <w:tabs>
                <w:tab w:val="clear" w:pos="1701"/>
                <w:tab w:val="clear" w:pos="2268"/>
              </w:tabs>
              <w:spacing w:before="40"/>
              <w:ind w:left="0" w:right="0"/>
              <w:jc w:val="right"/>
            </w:pPr>
            <w:r w:rsidRPr="0012183E">
              <w:t>393 090</w:t>
            </w:r>
          </w:p>
        </w:tc>
        <w:tc>
          <w:tcPr>
            <w:tcW w:w="1274" w:type="dxa"/>
            <w:tcBorders>
              <w:top w:val="single" w:sz="12" w:space="0" w:color="auto"/>
              <w:bottom w:val="nil"/>
            </w:tcBorders>
            <w:shd w:val="clear" w:color="auto" w:fill="auto"/>
            <w:tcMar>
              <w:left w:w="28" w:type="dxa"/>
              <w:right w:w="28" w:type="dxa"/>
            </w:tcMar>
            <w:vAlign w:val="bottom"/>
          </w:tcPr>
          <w:p w14:paraId="0269DA18" w14:textId="77777777" w:rsidR="00252DBA" w:rsidRPr="0012183E" w:rsidRDefault="00252DBA" w:rsidP="00FC752D">
            <w:pPr>
              <w:pStyle w:val="SingleTxtG"/>
              <w:tabs>
                <w:tab w:val="clear" w:pos="1701"/>
                <w:tab w:val="clear" w:pos="2268"/>
              </w:tabs>
              <w:spacing w:before="40"/>
              <w:ind w:left="0" w:right="0"/>
              <w:jc w:val="right"/>
            </w:pPr>
            <w:r w:rsidRPr="0012183E">
              <w:t>69 563</w:t>
            </w:r>
          </w:p>
        </w:tc>
      </w:tr>
      <w:tr w:rsidR="00252DBA" w:rsidRPr="0012183E" w14:paraId="6A685C98" w14:textId="77777777" w:rsidTr="00686002">
        <w:tc>
          <w:tcPr>
            <w:tcW w:w="3261" w:type="dxa"/>
            <w:tcBorders>
              <w:top w:val="nil"/>
              <w:bottom w:val="nil"/>
            </w:tcBorders>
            <w:shd w:val="clear" w:color="auto" w:fill="auto"/>
            <w:tcMar>
              <w:left w:w="28" w:type="dxa"/>
              <w:right w:w="28" w:type="dxa"/>
            </w:tcMar>
          </w:tcPr>
          <w:p w14:paraId="0E4FFF15" w14:textId="77777777" w:rsidR="00252DBA" w:rsidRPr="0012183E" w:rsidRDefault="00252DBA" w:rsidP="00FC752D">
            <w:pPr>
              <w:pStyle w:val="SingleTxtG"/>
              <w:tabs>
                <w:tab w:val="clear" w:pos="1701"/>
                <w:tab w:val="clear" w:pos="2268"/>
              </w:tabs>
              <w:spacing w:before="40"/>
              <w:ind w:left="0" w:right="0"/>
              <w:jc w:val="left"/>
            </w:pPr>
            <w:r w:rsidRPr="0012183E">
              <w:t>Частные школы</w:t>
            </w:r>
          </w:p>
        </w:tc>
        <w:tc>
          <w:tcPr>
            <w:tcW w:w="945" w:type="dxa"/>
            <w:tcBorders>
              <w:top w:val="nil"/>
              <w:bottom w:val="nil"/>
            </w:tcBorders>
            <w:shd w:val="clear" w:color="auto" w:fill="auto"/>
            <w:tcMar>
              <w:left w:w="28" w:type="dxa"/>
              <w:right w:w="28" w:type="dxa"/>
            </w:tcMar>
            <w:vAlign w:val="bottom"/>
          </w:tcPr>
          <w:p w14:paraId="2DF96FE5" w14:textId="77777777" w:rsidR="00252DBA" w:rsidRPr="0012183E" w:rsidRDefault="00252DBA" w:rsidP="00FC752D">
            <w:pPr>
              <w:pStyle w:val="SingleTxtG"/>
              <w:tabs>
                <w:tab w:val="clear" w:pos="1701"/>
                <w:tab w:val="clear" w:pos="2268"/>
              </w:tabs>
              <w:spacing w:before="40"/>
              <w:ind w:left="0" w:right="0"/>
              <w:jc w:val="right"/>
            </w:pPr>
            <w:r w:rsidRPr="0012183E">
              <w:t>16</w:t>
            </w:r>
          </w:p>
        </w:tc>
        <w:tc>
          <w:tcPr>
            <w:tcW w:w="945" w:type="dxa"/>
            <w:tcBorders>
              <w:top w:val="nil"/>
              <w:bottom w:val="nil"/>
            </w:tcBorders>
            <w:shd w:val="clear" w:color="auto" w:fill="auto"/>
            <w:tcMar>
              <w:left w:w="28" w:type="dxa"/>
              <w:right w:w="28" w:type="dxa"/>
            </w:tcMar>
            <w:vAlign w:val="bottom"/>
          </w:tcPr>
          <w:p w14:paraId="55465E8F" w14:textId="77777777" w:rsidR="00252DBA" w:rsidRPr="0012183E" w:rsidRDefault="00252DBA" w:rsidP="00FC752D">
            <w:pPr>
              <w:pStyle w:val="SingleTxtG"/>
              <w:tabs>
                <w:tab w:val="clear" w:pos="1701"/>
                <w:tab w:val="clear" w:pos="2268"/>
              </w:tabs>
              <w:spacing w:before="40"/>
              <w:ind w:left="0" w:right="0"/>
              <w:jc w:val="right"/>
            </w:pPr>
            <w:r w:rsidRPr="0012183E">
              <w:t>240</w:t>
            </w:r>
          </w:p>
        </w:tc>
        <w:tc>
          <w:tcPr>
            <w:tcW w:w="945" w:type="dxa"/>
            <w:tcBorders>
              <w:top w:val="nil"/>
              <w:bottom w:val="nil"/>
            </w:tcBorders>
            <w:shd w:val="clear" w:color="auto" w:fill="auto"/>
            <w:tcMar>
              <w:left w:w="28" w:type="dxa"/>
              <w:right w:w="28" w:type="dxa"/>
            </w:tcMar>
            <w:vAlign w:val="bottom"/>
          </w:tcPr>
          <w:p w14:paraId="07A680E6" w14:textId="77777777" w:rsidR="00252DBA" w:rsidRPr="0012183E" w:rsidRDefault="00252DBA" w:rsidP="00FC752D">
            <w:pPr>
              <w:pStyle w:val="SingleTxtG"/>
              <w:tabs>
                <w:tab w:val="clear" w:pos="1701"/>
                <w:tab w:val="clear" w:pos="2268"/>
              </w:tabs>
              <w:spacing w:before="40"/>
              <w:ind w:left="0" w:right="0"/>
              <w:jc w:val="right"/>
            </w:pPr>
            <w:r w:rsidRPr="0012183E">
              <w:t>1 745</w:t>
            </w:r>
          </w:p>
        </w:tc>
        <w:tc>
          <w:tcPr>
            <w:tcW w:w="1274" w:type="dxa"/>
            <w:tcBorders>
              <w:top w:val="nil"/>
              <w:bottom w:val="nil"/>
            </w:tcBorders>
            <w:shd w:val="clear" w:color="auto" w:fill="auto"/>
            <w:tcMar>
              <w:left w:w="28" w:type="dxa"/>
              <w:right w:w="28" w:type="dxa"/>
            </w:tcMar>
            <w:vAlign w:val="bottom"/>
          </w:tcPr>
          <w:p w14:paraId="19ABAF14" w14:textId="77777777" w:rsidR="00252DBA" w:rsidRPr="0012183E" w:rsidRDefault="00252DBA" w:rsidP="00FC752D">
            <w:pPr>
              <w:pStyle w:val="SingleTxtG"/>
              <w:tabs>
                <w:tab w:val="clear" w:pos="1701"/>
                <w:tab w:val="clear" w:pos="2268"/>
              </w:tabs>
              <w:spacing w:before="40"/>
              <w:ind w:left="0" w:right="0"/>
              <w:jc w:val="right"/>
            </w:pPr>
            <w:r w:rsidRPr="0012183E">
              <w:t>1 210</w:t>
            </w:r>
          </w:p>
        </w:tc>
      </w:tr>
      <w:tr w:rsidR="00252DBA" w:rsidRPr="0012183E" w14:paraId="7E6190CC" w14:textId="77777777" w:rsidTr="00686002">
        <w:tc>
          <w:tcPr>
            <w:tcW w:w="3261" w:type="dxa"/>
            <w:tcBorders>
              <w:top w:val="nil"/>
            </w:tcBorders>
            <w:shd w:val="clear" w:color="auto" w:fill="auto"/>
            <w:tcMar>
              <w:left w:w="28" w:type="dxa"/>
              <w:right w:w="28" w:type="dxa"/>
            </w:tcMar>
          </w:tcPr>
          <w:p w14:paraId="40B51440" w14:textId="77777777" w:rsidR="00252DBA" w:rsidRPr="0012183E" w:rsidRDefault="00252DBA" w:rsidP="00FC752D">
            <w:pPr>
              <w:pStyle w:val="SingleTxtG"/>
              <w:tabs>
                <w:tab w:val="clear" w:pos="1701"/>
                <w:tab w:val="clear" w:pos="2268"/>
              </w:tabs>
              <w:spacing w:before="40"/>
              <w:ind w:left="0" w:right="0"/>
              <w:jc w:val="left"/>
            </w:pPr>
            <w:r w:rsidRPr="0012183E">
              <w:lastRenderedPageBreak/>
              <w:t>Общие данные по частному образованию</w:t>
            </w:r>
          </w:p>
        </w:tc>
        <w:tc>
          <w:tcPr>
            <w:tcW w:w="945" w:type="dxa"/>
            <w:tcBorders>
              <w:top w:val="nil"/>
            </w:tcBorders>
            <w:shd w:val="clear" w:color="auto" w:fill="auto"/>
            <w:tcMar>
              <w:left w:w="28" w:type="dxa"/>
              <w:right w:w="28" w:type="dxa"/>
            </w:tcMar>
            <w:vAlign w:val="bottom"/>
          </w:tcPr>
          <w:p w14:paraId="7DD6BDB4" w14:textId="77777777" w:rsidR="00252DBA" w:rsidRPr="0012183E" w:rsidRDefault="00252DBA" w:rsidP="00FC752D">
            <w:pPr>
              <w:pStyle w:val="SingleTxtG"/>
              <w:tabs>
                <w:tab w:val="clear" w:pos="1701"/>
                <w:tab w:val="clear" w:pos="2268"/>
              </w:tabs>
              <w:spacing w:before="40"/>
              <w:ind w:left="0" w:right="0"/>
              <w:jc w:val="right"/>
            </w:pPr>
            <w:r w:rsidRPr="0012183E">
              <w:t>537</w:t>
            </w:r>
          </w:p>
        </w:tc>
        <w:tc>
          <w:tcPr>
            <w:tcW w:w="945" w:type="dxa"/>
            <w:tcBorders>
              <w:top w:val="nil"/>
            </w:tcBorders>
            <w:shd w:val="clear" w:color="auto" w:fill="auto"/>
            <w:tcMar>
              <w:left w:w="28" w:type="dxa"/>
              <w:right w:w="28" w:type="dxa"/>
            </w:tcMar>
            <w:vAlign w:val="bottom"/>
          </w:tcPr>
          <w:p w14:paraId="32389628" w14:textId="77777777" w:rsidR="00252DBA" w:rsidRPr="0012183E" w:rsidRDefault="00252DBA" w:rsidP="00FC752D">
            <w:pPr>
              <w:pStyle w:val="SingleTxtG"/>
              <w:tabs>
                <w:tab w:val="clear" w:pos="1701"/>
                <w:tab w:val="clear" w:pos="2268"/>
              </w:tabs>
              <w:spacing w:before="40"/>
              <w:ind w:left="0" w:right="0"/>
              <w:jc w:val="right"/>
            </w:pPr>
            <w:r w:rsidRPr="0012183E">
              <w:t>8 753</w:t>
            </w:r>
          </w:p>
        </w:tc>
        <w:tc>
          <w:tcPr>
            <w:tcW w:w="945" w:type="dxa"/>
            <w:tcBorders>
              <w:top w:val="nil"/>
            </w:tcBorders>
            <w:shd w:val="clear" w:color="auto" w:fill="auto"/>
            <w:tcMar>
              <w:left w:w="28" w:type="dxa"/>
              <w:right w:w="28" w:type="dxa"/>
            </w:tcMar>
            <w:vAlign w:val="bottom"/>
          </w:tcPr>
          <w:p w14:paraId="3FE5486F" w14:textId="77777777" w:rsidR="00252DBA" w:rsidRPr="0012183E" w:rsidRDefault="00252DBA" w:rsidP="00FC752D">
            <w:pPr>
              <w:pStyle w:val="SingleTxtG"/>
              <w:tabs>
                <w:tab w:val="clear" w:pos="1701"/>
                <w:tab w:val="clear" w:pos="2268"/>
              </w:tabs>
              <w:spacing w:before="40"/>
              <w:ind w:left="0" w:right="0"/>
              <w:jc w:val="right"/>
            </w:pPr>
            <w:r w:rsidRPr="0012183E">
              <w:t>264 680</w:t>
            </w:r>
          </w:p>
        </w:tc>
        <w:tc>
          <w:tcPr>
            <w:tcW w:w="1274" w:type="dxa"/>
            <w:tcBorders>
              <w:top w:val="nil"/>
            </w:tcBorders>
            <w:shd w:val="clear" w:color="auto" w:fill="auto"/>
            <w:tcMar>
              <w:left w:w="28" w:type="dxa"/>
              <w:right w:w="28" w:type="dxa"/>
            </w:tcMar>
            <w:vAlign w:val="bottom"/>
          </w:tcPr>
          <w:p w14:paraId="5A18A43D" w14:textId="77777777" w:rsidR="00252DBA" w:rsidRPr="0012183E" w:rsidRDefault="00252DBA" w:rsidP="00FC752D">
            <w:pPr>
              <w:pStyle w:val="SingleTxtG"/>
              <w:tabs>
                <w:tab w:val="clear" w:pos="1701"/>
                <w:tab w:val="clear" w:pos="2268"/>
              </w:tabs>
              <w:spacing w:before="40"/>
              <w:ind w:left="0" w:right="0"/>
              <w:jc w:val="right"/>
            </w:pPr>
            <w:r w:rsidRPr="0012183E">
              <w:t>16 222</w:t>
            </w:r>
          </w:p>
        </w:tc>
      </w:tr>
    </w:tbl>
    <w:p w14:paraId="7FFCDDBD" w14:textId="77777777" w:rsidR="00252DBA" w:rsidRPr="0012183E" w:rsidRDefault="00252DBA" w:rsidP="00252DBA">
      <w:pPr>
        <w:pStyle w:val="H23G"/>
      </w:pPr>
      <w:r w:rsidRPr="0012183E">
        <w:tab/>
      </w:r>
      <w:r w:rsidRPr="0012183E">
        <w:tab/>
      </w:r>
      <w:r w:rsidRPr="0012183E">
        <w:rPr>
          <w:bCs/>
        </w:rPr>
        <w:t>Здравоохранение</w:t>
      </w:r>
      <w:bookmarkStart w:id="9" w:name="_Toc83644964"/>
      <w:bookmarkEnd w:id="9"/>
    </w:p>
    <w:p w14:paraId="22D390C6" w14:textId="77777777" w:rsidR="00252DBA" w:rsidRPr="0012183E" w:rsidRDefault="00252DBA" w:rsidP="00252DBA">
      <w:pPr>
        <w:pStyle w:val="SingleTxtG"/>
      </w:pPr>
      <w:r w:rsidRPr="0012183E">
        <w:t>9.</w:t>
      </w:r>
      <w:r w:rsidRPr="0012183E">
        <w:tab/>
        <w:t>Государство привержено обеспечению медицинского обслуживания на всех уровнях в качестве одного из прав человека в соответствии со статьями 10, 11 и 15 Конституции. Медицинские услуги предоставляются на справедливой и равной основе всем, включая граждан, проживающих в стране иностранцев, пожилых людей, детей, лиц с особыми потребностями, женщин, молодежь и трудящихся.</w:t>
      </w:r>
    </w:p>
    <w:p w14:paraId="2965D22D" w14:textId="0E8C44A3" w:rsidR="00252DBA" w:rsidRPr="0012183E" w:rsidRDefault="00252DBA" w:rsidP="00252DBA">
      <w:pPr>
        <w:pStyle w:val="SingleTxtG"/>
      </w:pPr>
      <w:r w:rsidRPr="0012183E">
        <w:t>10.</w:t>
      </w:r>
      <w:r w:rsidRPr="0012183E">
        <w:tab/>
        <w:t>Вследствие этого расходы на оказание медицинских услуг в стране увеличились. Бюджетные ассигнования в 2016/17 году составили около 1,8 млрд кувейтских динаров (что эквивалентно примерно 8,8 процента государственных расходов за этот период). Согласно проекту бюджета на 2016/17 год, средние расходы на здравоохранение составили 336 кувейтских динаров на человека. Следует отметить, что доля государственных расходов, выделяемых на медицинское обслуживание, в период с 2012/13 по 2016/17 год возросла примерно с 7,8 до 8,8 процента.</w:t>
      </w:r>
    </w:p>
    <w:p w14:paraId="423CBE72" w14:textId="6EA06050" w:rsidR="00252DBA" w:rsidRPr="0012183E" w:rsidRDefault="00252DBA" w:rsidP="00252DBA">
      <w:pPr>
        <w:pStyle w:val="SingleTxtG"/>
      </w:pPr>
      <w:r w:rsidRPr="0012183E">
        <w:t>11.</w:t>
      </w:r>
      <w:r w:rsidRPr="0012183E">
        <w:tab/>
        <w:t>Государственные больницы равномерно распределены между медико</w:t>
      </w:r>
      <w:r w:rsidR="004A346E">
        <w:noBreakHyphen/>
      </w:r>
      <w:r w:rsidRPr="0012183E">
        <w:t>санитарными округами. В каждом округе есть больница общего профиля, а</w:t>
      </w:r>
      <w:r w:rsidR="004A346E">
        <w:t> </w:t>
      </w:r>
      <w:r w:rsidRPr="0012183E">
        <w:t>также специализированные больницы. В 2018 году в стране насчитывалась 21</w:t>
      </w:r>
      <w:r w:rsidR="004A346E">
        <w:t> </w:t>
      </w:r>
      <w:r w:rsidRPr="0012183E">
        <w:t>больница, в том числе 7 больниц общего профиля и 14 специализированных больниц, а также 99</w:t>
      </w:r>
      <w:r w:rsidR="000774F7">
        <w:t> </w:t>
      </w:r>
      <w:r w:rsidRPr="0012183E">
        <w:t>центров первичной медико-санитарной помощи.</w:t>
      </w:r>
    </w:p>
    <w:p w14:paraId="2F62FACD" w14:textId="77777777" w:rsidR="00252DBA" w:rsidRPr="0012183E" w:rsidRDefault="00252DBA" w:rsidP="00252DBA">
      <w:pPr>
        <w:pStyle w:val="SingleTxtG"/>
      </w:pPr>
      <w:r w:rsidRPr="0012183E">
        <w:t>12.</w:t>
      </w:r>
      <w:r w:rsidRPr="0012183E">
        <w:tab/>
        <w:t>Государство приняло закон о создании компаний медицинского страхования (система социального обеспечения), которые предоставляют целый ряд медицинских услуг лицам, не являющимся гражданами Кувейта, и, в частности, предоставляют доступ в ряд больниц</w:t>
      </w:r>
      <w:r w:rsidRPr="006F79DE">
        <w:t xml:space="preserve"> </w:t>
      </w:r>
      <w:r w:rsidRPr="0012183E">
        <w:t>системы медицинского страхования. Существует также план страхования, известный как «</w:t>
      </w:r>
      <w:proofErr w:type="spellStart"/>
      <w:r w:rsidRPr="0012183E">
        <w:t>Афиа</w:t>
      </w:r>
      <w:proofErr w:type="spellEnd"/>
      <w:r w:rsidRPr="0012183E">
        <w:t>», которым руководит медицинская страховая компания, действующая в интересах вышедших на пенсию граждан Кувейта мужского и женского пола, которым предоставляются лечебные услуги.</w:t>
      </w:r>
    </w:p>
    <w:p w14:paraId="033C46B8" w14:textId="77777777" w:rsidR="00252DBA" w:rsidRPr="0012183E" w:rsidRDefault="00252DBA" w:rsidP="00252DBA">
      <w:pPr>
        <w:pStyle w:val="H23G"/>
      </w:pPr>
      <w:r w:rsidRPr="0012183E">
        <w:tab/>
      </w:r>
      <w:r w:rsidRPr="0012183E">
        <w:tab/>
      </w:r>
      <w:r w:rsidRPr="0012183E">
        <w:rPr>
          <w:bCs/>
        </w:rPr>
        <w:t>Занятость</w:t>
      </w:r>
      <w:bookmarkStart w:id="10" w:name="_Toc83644965"/>
      <w:bookmarkEnd w:id="10"/>
    </w:p>
    <w:p w14:paraId="3A71B5D2" w14:textId="5FCBC19D" w:rsidR="00252DBA" w:rsidRPr="0012183E" w:rsidRDefault="00252DBA" w:rsidP="00252DBA">
      <w:pPr>
        <w:pStyle w:val="SingleTxtG"/>
        <w:spacing w:after="240"/>
      </w:pPr>
      <w:r w:rsidRPr="0012183E">
        <w:t>13.</w:t>
      </w:r>
      <w:r w:rsidRPr="0012183E">
        <w:tab/>
        <w:t xml:space="preserve">Стабильный рост экономики Кувейта привел к появлению множества разнообразных возможностей для занятости и, соответственно, к увеличению спроса на рабочую силу </w:t>
      </w:r>
      <w:r w:rsidR="000774F7">
        <w:t>—</w:t>
      </w:r>
      <w:r w:rsidRPr="0012183E">
        <w:t xml:space="preserve"> как среди кувейтских граждан, так и среди иностранцев </w:t>
      </w:r>
      <w:r w:rsidR="000774F7">
        <w:t>—</w:t>
      </w:r>
      <w:r w:rsidRPr="0012183E">
        <w:t xml:space="preserve"> в ответ на потребности рынка труда в различных областях.</w:t>
      </w:r>
    </w:p>
    <w:p w14:paraId="3758FCE1" w14:textId="77777777" w:rsidR="00252DBA" w:rsidRPr="0012183E" w:rsidRDefault="00252DBA" w:rsidP="00252DBA">
      <w:pPr>
        <w:ind w:left="567"/>
      </w:pPr>
      <w:r w:rsidRPr="0012183E">
        <w:rPr>
          <w:rFonts w:eastAsiaTheme="minorEastAsia"/>
          <w:noProof/>
          <w:w w:val="103"/>
          <w:kern w:val="14"/>
          <w:lang w:eastAsia="en-GB"/>
        </w:rPr>
        <w:drawing>
          <wp:inline distT="0" distB="0" distL="0" distR="0" wp14:anchorId="0D832BE4" wp14:editId="0F2593DC">
            <wp:extent cx="5325110" cy="2640965"/>
            <wp:effectExtent l="0" t="0" r="8890" b="6985"/>
            <wp:docPr id="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F75388" w14:textId="6CCBFAEF" w:rsidR="00252DBA" w:rsidRPr="0012183E" w:rsidRDefault="000774F7" w:rsidP="000774F7">
      <w:pPr>
        <w:pStyle w:val="H23G"/>
      </w:pPr>
      <w:r>
        <w:lastRenderedPageBreak/>
        <w:tab/>
      </w:r>
      <w:r>
        <w:tab/>
      </w:r>
      <w:r w:rsidR="00252DBA" w:rsidRPr="0012183E">
        <w:t>Национальные поступления и расходы</w:t>
      </w:r>
      <w:bookmarkStart w:id="11" w:name="_Toc83644966"/>
      <w:bookmarkEnd w:id="11"/>
    </w:p>
    <w:p w14:paraId="774C652A" w14:textId="2D376371" w:rsidR="00252DBA" w:rsidRPr="0012183E" w:rsidRDefault="00252DBA" w:rsidP="00252DBA">
      <w:pPr>
        <w:pStyle w:val="SingleTxtG"/>
      </w:pPr>
      <w:r w:rsidRPr="0012183E">
        <w:t>14.</w:t>
      </w:r>
      <w:r w:rsidRPr="0012183E">
        <w:tab/>
        <w:t xml:space="preserve">Текущий план развития разработан по семи ключевым темам, одна из которых связана </w:t>
      </w:r>
      <w:r>
        <w:t xml:space="preserve">прежде всего </w:t>
      </w:r>
      <w:r w:rsidRPr="0012183E">
        <w:t xml:space="preserve">с созданием диверсифицированной и устойчивой экономики, основанной на диверсификации производственного потенциала, поощрении деятельности частного сектора и малых и средних предприятий с целью достижения экономического роста в областях, не относящихся к нефтяному сектору, и обеспечения положительных темпов роста, способствующих повышению и поддержанию уровня жизни. План также направлен на дальнейшее развитие нефтяного сектора, увеличение его производственного потенциала и расширение цепочки добавленной стоимости смежных отраслей, особенно нефтехимической. В результате применения такого подхода уровень жизни граждан Кувейта остается высоким, о чем свидетельствует тот факт, что валовой внутренний продукт (ВВП) на душу населения в 2017 году составил более 26 </w:t>
      </w:r>
      <w:r w:rsidR="000A2FA6">
        <w:t>000</w:t>
      </w:r>
      <w:r w:rsidRPr="0012183E">
        <w:t xml:space="preserve"> долларов США.</w:t>
      </w:r>
    </w:p>
    <w:p w14:paraId="48D1F784" w14:textId="77777777" w:rsidR="00252DBA" w:rsidRPr="0012183E" w:rsidRDefault="00252DBA" w:rsidP="00252DBA">
      <w:pPr>
        <w:pStyle w:val="SingleTxtG"/>
      </w:pPr>
      <w:r w:rsidRPr="0012183E">
        <w:t>15.</w:t>
      </w:r>
      <w:r w:rsidRPr="0012183E">
        <w:tab/>
        <w:t>План развития на период 2015/16–2019/20 годов направлен на повышение реальных темпов роста ВВП до 5,9 процента после реализации предусмотренных планом проектов. Этот целевой показатель позволит увеличить реальный доход на душу населения при том предположении, что годовые темпы прироста численности населения Кувейта составят 2,6 процента.</w:t>
      </w:r>
    </w:p>
    <w:p w14:paraId="45FC769C" w14:textId="0169E985" w:rsidR="00252DBA" w:rsidRPr="0012183E" w:rsidRDefault="00252DBA" w:rsidP="000A2FA6">
      <w:pPr>
        <w:pStyle w:val="H23G"/>
      </w:pPr>
      <w:r w:rsidRPr="0012183E">
        <w:tab/>
      </w:r>
      <w:r w:rsidRPr="0012183E">
        <w:tab/>
        <w:t>Национальные счета, основные показатели (млн кувейтских динаров)</w:t>
      </w:r>
      <w:bookmarkStart w:id="12" w:name="_Toc83644967"/>
      <w:bookmarkEnd w:id="12"/>
    </w:p>
    <w:tbl>
      <w:tblPr>
        <w:tblStyle w:val="ac"/>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240"/>
        <w:gridCol w:w="1240"/>
        <w:gridCol w:w="1240"/>
        <w:gridCol w:w="1240"/>
      </w:tblGrid>
      <w:tr w:rsidR="00252DBA" w:rsidRPr="000A2FA6" w14:paraId="6155D22C" w14:textId="77777777" w:rsidTr="000A2FA6">
        <w:trPr>
          <w:tblHeader/>
        </w:trPr>
        <w:tc>
          <w:tcPr>
            <w:tcW w:w="2410" w:type="dxa"/>
            <w:tcBorders>
              <w:top w:val="single" w:sz="4" w:space="0" w:color="auto"/>
              <w:bottom w:val="single" w:sz="12" w:space="0" w:color="auto"/>
            </w:tcBorders>
            <w:shd w:val="clear" w:color="auto" w:fill="auto"/>
            <w:tcMar>
              <w:left w:w="28" w:type="dxa"/>
              <w:right w:w="28" w:type="dxa"/>
            </w:tcMar>
            <w:vAlign w:val="bottom"/>
          </w:tcPr>
          <w:p w14:paraId="015F166B" w14:textId="77777777" w:rsidR="00252DBA" w:rsidRPr="000A2FA6" w:rsidRDefault="00252DBA" w:rsidP="000A2FA6">
            <w:pPr>
              <w:spacing w:before="80" w:after="80" w:line="200" w:lineRule="exact"/>
              <w:rPr>
                <w:i/>
                <w:sz w:val="16"/>
                <w:szCs w:val="16"/>
              </w:rPr>
            </w:pPr>
            <w:r w:rsidRPr="000A2FA6">
              <w:rPr>
                <w:i/>
                <w:iCs/>
                <w:sz w:val="16"/>
                <w:szCs w:val="16"/>
              </w:rPr>
              <w:t>(В текущих ценах)</w:t>
            </w:r>
          </w:p>
        </w:tc>
        <w:tc>
          <w:tcPr>
            <w:tcW w:w="1240" w:type="dxa"/>
            <w:tcBorders>
              <w:top w:val="single" w:sz="4" w:space="0" w:color="auto"/>
              <w:bottom w:val="single" w:sz="12" w:space="0" w:color="auto"/>
            </w:tcBorders>
            <w:shd w:val="clear" w:color="auto" w:fill="auto"/>
            <w:tcMar>
              <w:left w:w="28" w:type="dxa"/>
              <w:right w:w="28" w:type="dxa"/>
            </w:tcMar>
            <w:vAlign w:val="bottom"/>
          </w:tcPr>
          <w:p w14:paraId="37EBAEE2" w14:textId="571BACD2" w:rsidR="00252DBA" w:rsidRPr="000A2FA6" w:rsidRDefault="00252DBA" w:rsidP="000A2FA6">
            <w:pPr>
              <w:spacing w:before="80" w:after="80" w:line="200" w:lineRule="exact"/>
              <w:jc w:val="right"/>
              <w:rPr>
                <w:i/>
                <w:sz w:val="16"/>
                <w:szCs w:val="16"/>
              </w:rPr>
            </w:pPr>
            <w:r w:rsidRPr="000A2FA6">
              <w:rPr>
                <w:i/>
                <w:iCs/>
                <w:sz w:val="16"/>
                <w:szCs w:val="16"/>
              </w:rPr>
              <w:t>2014</w:t>
            </w:r>
            <w:r w:rsidR="000A2FA6">
              <w:rPr>
                <w:i/>
                <w:iCs/>
                <w:sz w:val="16"/>
                <w:szCs w:val="16"/>
              </w:rPr>
              <w:t xml:space="preserve"> год</w:t>
            </w:r>
          </w:p>
        </w:tc>
        <w:tc>
          <w:tcPr>
            <w:tcW w:w="1240" w:type="dxa"/>
            <w:tcBorders>
              <w:top w:val="single" w:sz="4" w:space="0" w:color="auto"/>
              <w:bottom w:val="single" w:sz="12" w:space="0" w:color="auto"/>
            </w:tcBorders>
            <w:shd w:val="clear" w:color="auto" w:fill="auto"/>
            <w:tcMar>
              <w:left w:w="28" w:type="dxa"/>
              <w:right w:w="28" w:type="dxa"/>
            </w:tcMar>
            <w:vAlign w:val="bottom"/>
          </w:tcPr>
          <w:p w14:paraId="67A0EDCA" w14:textId="58934851" w:rsidR="00252DBA" w:rsidRPr="000A2FA6" w:rsidRDefault="00252DBA" w:rsidP="000A2FA6">
            <w:pPr>
              <w:spacing w:before="80" w:after="80" w:line="200" w:lineRule="exact"/>
              <w:jc w:val="right"/>
              <w:rPr>
                <w:i/>
                <w:sz w:val="16"/>
                <w:szCs w:val="16"/>
              </w:rPr>
            </w:pPr>
            <w:r w:rsidRPr="000A2FA6">
              <w:rPr>
                <w:i/>
                <w:iCs/>
                <w:sz w:val="16"/>
                <w:szCs w:val="16"/>
              </w:rPr>
              <w:t>2015</w:t>
            </w:r>
            <w:r w:rsidR="000A2FA6">
              <w:rPr>
                <w:i/>
                <w:iCs/>
                <w:sz w:val="16"/>
                <w:szCs w:val="16"/>
              </w:rPr>
              <w:t xml:space="preserve"> год</w:t>
            </w:r>
          </w:p>
        </w:tc>
        <w:tc>
          <w:tcPr>
            <w:tcW w:w="1240" w:type="dxa"/>
            <w:tcBorders>
              <w:top w:val="single" w:sz="4" w:space="0" w:color="auto"/>
              <w:bottom w:val="single" w:sz="12" w:space="0" w:color="auto"/>
            </w:tcBorders>
            <w:shd w:val="clear" w:color="auto" w:fill="auto"/>
            <w:tcMar>
              <w:left w:w="28" w:type="dxa"/>
              <w:right w:w="28" w:type="dxa"/>
            </w:tcMar>
            <w:vAlign w:val="bottom"/>
          </w:tcPr>
          <w:p w14:paraId="23CF53F3" w14:textId="4268A415" w:rsidR="00252DBA" w:rsidRPr="000A2FA6" w:rsidRDefault="00252DBA" w:rsidP="000A2FA6">
            <w:pPr>
              <w:spacing w:before="80" w:after="80" w:line="200" w:lineRule="exact"/>
              <w:jc w:val="right"/>
              <w:rPr>
                <w:i/>
                <w:sz w:val="16"/>
                <w:szCs w:val="16"/>
              </w:rPr>
            </w:pPr>
            <w:r w:rsidRPr="000A2FA6">
              <w:rPr>
                <w:i/>
                <w:iCs/>
                <w:sz w:val="16"/>
                <w:szCs w:val="16"/>
              </w:rPr>
              <w:t>2016</w:t>
            </w:r>
            <w:r w:rsidR="000A2FA6">
              <w:rPr>
                <w:i/>
                <w:iCs/>
                <w:sz w:val="16"/>
                <w:szCs w:val="16"/>
              </w:rPr>
              <w:t xml:space="preserve"> год</w:t>
            </w:r>
          </w:p>
        </w:tc>
        <w:tc>
          <w:tcPr>
            <w:tcW w:w="1240" w:type="dxa"/>
            <w:tcBorders>
              <w:top w:val="single" w:sz="4" w:space="0" w:color="auto"/>
              <w:bottom w:val="single" w:sz="12" w:space="0" w:color="auto"/>
            </w:tcBorders>
            <w:shd w:val="clear" w:color="auto" w:fill="auto"/>
            <w:tcMar>
              <w:left w:w="28" w:type="dxa"/>
              <w:right w:w="28" w:type="dxa"/>
            </w:tcMar>
            <w:vAlign w:val="bottom"/>
          </w:tcPr>
          <w:p w14:paraId="63D44487" w14:textId="53B47BC3" w:rsidR="00252DBA" w:rsidRPr="000A2FA6" w:rsidRDefault="00252DBA" w:rsidP="000A2FA6">
            <w:pPr>
              <w:spacing w:before="80" w:after="80" w:line="200" w:lineRule="exact"/>
              <w:jc w:val="right"/>
              <w:rPr>
                <w:i/>
                <w:sz w:val="16"/>
                <w:szCs w:val="16"/>
              </w:rPr>
            </w:pPr>
            <w:r w:rsidRPr="000A2FA6">
              <w:rPr>
                <w:i/>
                <w:iCs/>
                <w:sz w:val="16"/>
                <w:szCs w:val="16"/>
              </w:rPr>
              <w:t>2017</w:t>
            </w:r>
            <w:r w:rsidR="000A2FA6">
              <w:rPr>
                <w:i/>
                <w:iCs/>
                <w:sz w:val="16"/>
                <w:szCs w:val="16"/>
              </w:rPr>
              <w:t xml:space="preserve"> год</w:t>
            </w:r>
          </w:p>
        </w:tc>
      </w:tr>
      <w:tr w:rsidR="00252DBA" w:rsidRPr="0012183E" w14:paraId="73E25977" w14:textId="77777777" w:rsidTr="000A2FA6">
        <w:tc>
          <w:tcPr>
            <w:tcW w:w="2410" w:type="dxa"/>
            <w:tcBorders>
              <w:top w:val="single" w:sz="12" w:space="0" w:color="auto"/>
            </w:tcBorders>
            <w:shd w:val="clear" w:color="auto" w:fill="auto"/>
            <w:tcMar>
              <w:left w:w="28" w:type="dxa"/>
              <w:right w:w="28" w:type="dxa"/>
            </w:tcMar>
          </w:tcPr>
          <w:p w14:paraId="346CC7BD" w14:textId="77777777" w:rsidR="00252DBA" w:rsidRPr="0012183E" w:rsidRDefault="00252DBA" w:rsidP="00FC752D">
            <w:pPr>
              <w:spacing w:before="40" w:after="120"/>
            </w:pPr>
            <w:r w:rsidRPr="0012183E">
              <w:t>Совокупный валовой внутренний продукт</w:t>
            </w:r>
          </w:p>
        </w:tc>
        <w:tc>
          <w:tcPr>
            <w:tcW w:w="1240" w:type="dxa"/>
            <w:tcBorders>
              <w:top w:val="single" w:sz="12" w:space="0" w:color="auto"/>
            </w:tcBorders>
            <w:shd w:val="clear" w:color="auto" w:fill="auto"/>
            <w:tcMar>
              <w:left w:w="28" w:type="dxa"/>
              <w:right w:w="28" w:type="dxa"/>
            </w:tcMar>
            <w:vAlign w:val="bottom"/>
          </w:tcPr>
          <w:p w14:paraId="4C376AC3" w14:textId="77777777" w:rsidR="00252DBA" w:rsidRPr="0012183E" w:rsidRDefault="00252DBA" w:rsidP="00FC752D">
            <w:pPr>
              <w:spacing w:before="40" w:after="120"/>
              <w:jc w:val="right"/>
            </w:pPr>
            <w:r w:rsidRPr="0012183E">
              <w:t>46 285,00</w:t>
            </w:r>
          </w:p>
        </w:tc>
        <w:tc>
          <w:tcPr>
            <w:tcW w:w="1240" w:type="dxa"/>
            <w:tcBorders>
              <w:top w:val="single" w:sz="12" w:space="0" w:color="auto"/>
            </w:tcBorders>
            <w:shd w:val="clear" w:color="auto" w:fill="auto"/>
            <w:tcMar>
              <w:left w:w="28" w:type="dxa"/>
              <w:right w:w="28" w:type="dxa"/>
            </w:tcMar>
            <w:vAlign w:val="bottom"/>
          </w:tcPr>
          <w:p w14:paraId="05079129" w14:textId="77777777" w:rsidR="00252DBA" w:rsidRPr="0012183E" w:rsidRDefault="00252DBA" w:rsidP="00FC752D">
            <w:pPr>
              <w:spacing w:before="40" w:after="120"/>
              <w:jc w:val="right"/>
            </w:pPr>
            <w:r w:rsidRPr="0012183E">
              <w:t>34 473,30</w:t>
            </w:r>
          </w:p>
        </w:tc>
        <w:tc>
          <w:tcPr>
            <w:tcW w:w="1240" w:type="dxa"/>
            <w:tcBorders>
              <w:top w:val="single" w:sz="12" w:space="0" w:color="auto"/>
            </w:tcBorders>
            <w:shd w:val="clear" w:color="auto" w:fill="auto"/>
            <w:tcMar>
              <w:left w:w="28" w:type="dxa"/>
              <w:right w:w="28" w:type="dxa"/>
            </w:tcMar>
            <w:vAlign w:val="bottom"/>
          </w:tcPr>
          <w:p w14:paraId="0E588EF7" w14:textId="77777777" w:rsidR="00252DBA" w:rsidRPr="0012183E" w:rsidRDefault="00252DBA" w:rsidP="00FC752D">
            <w:pPr>
              <w:spacing w:before="40" w:after="120"/>
              <w:jc w:val="right"/>
            </w:pPr>
            <w:r w:rsidRPr="0012183E">
              <w:t>33 055,80</w:t>
            </w:r>
          </w:p>
        </w:tc>
        <w:tc>
          <w:tcPr>
            <w:tcW w:w="1240" w:type="dxa"/>
            <w:tcBorders>
              <w:top w:val="single" w:sz="12" w:space="0" w:color="auto"/>
            </w:tcBorders>
            <w:shd w:val="clear" w:color="auto" w:fill="auto"/>
            <w:tcMar>
              <w:left w:w="28" w:type="dxa"/>
              <w:right w:w="28" w:type="dxa"/>
            </w:tcMar>
            <w:vAlign w:val="bottom"/>
          </w:tcPr>
          <w:p w14:paraId="76714EA0" w14:textId="77777777" w:rsidR="00252DBA" w:rsidRPr="0012183E" w:rsidRDefault="00252DBA" w:rsidP="00FC752D">
            <w:pPr>
              <w:spacing w:before="40" w:after="120"/>
              <w:jc w:val="right"/>
            </w:pPr>
            <w:r w:rsidRPr="0012183E">
              <w:t>36 260,70</w:t>
            </w:r>
          </w:p>
        </w:tc>
      </w:tr>
      <w:tr w:rsidR="00252DBA" w:rsidRPr="0012183E" w14:paraId="00BFCDB9" w14:textId="77777777" w:rsidTr="000A2FA6">
        <w:tc>
          <w:tcPr>
            <w:tcW w:w="2410" w:type="dxa"/>
            <w:shd w:val="clear" w:color="auto" w:fill="auto"/>
            <w:tcMar>
              <w:left w:w="28" w:type="dxa"/>
              <w:right w:w="28" w:type="dxa"/>
            </w:tcMar>
          </w:tcPr>
          <w:p w14:paraId="4D8F287C" w14:textId="77777777" w:rsidR="00252DBA" w:rsidRPr="0012183E" w:rsidRDefault="00252DBA" w:rsidP="00FC752D">
            <w:pPr>
              <w:spacing w:before="40" w:after="120"/>
              <w:rPr>
                <w:rFonts w:eastAsiaTheme="minorEastAsia"/>
              </w:rPr>
            </w:pPr>
            <w:r w:rsidRPr="0012183E">
              <w:t>Совокупный валовой национальный продукт</w:t>
            </w:r>
          </w:p>
        </w:tc>
        <w:tc>
          <w:tcPr>
            <w:tcW w:w="1240" w:type="dxa"/>
            <w:shd w:val="clear" w:color="auto" w:fill="auto"/>
            <w:tcMar>
              <w:left w:w="28" w:type="dxa"/>
              <w:right w:w="28" w:type="dxa"/>
            </w:tcMar>
            <w:vAlign w:val="bottom"/>
          </w:tcPr>
          <w:p w14:paraId="0810F970" w14:textId="77777777" w:rsidR="00252DBA" w:rsidRPr="0012183E" w:rsidRDefault="00252DBA" w:rsidP="00FC752D">
            <w:pPr>
              <w:spacing w:before="40" w:after="120"/>
              <w:jc w:val="right"/>
            </w:pPr>
            <w:r w:rsidRPr="0012183E">
              <w:t>50 736,30</w:t>
            </w:r>
          </w:p>
        </w:tc>
        <w:tc>
          <w:tcPr>
            <w:tcW w:w="1240" w:type="dxa"/>
            <w:shd w:val="clear" w:color="auto" w:fill="auto"/>
            <w:tcMar>
              <w:left w:w="28" w:type="dxa"/>
              <w:right w:w="28" w:type="dxa"/>
            </w:tcMar>
            <w:vAlign w:val="bottom"/>
          </w:tcPr>
          <w:p w14:paraId="0E3DEFBE" w14:textId="77777777" w:rsidR="00252DBA" w:rsidRPr="0012183E" w:rsidRDefault="00252DBA" w:rsidP="00FC752D">
            <w:pPr>
              <w:spacing w:before="40" w:after="120"/>
              <w:jc w:val="right"/>
            </w:pPr>
            <w:r w:rsidRPr="0012183E">
              <w:t>38 292,20</w:t>
            </w:r>
          </w:p>
        </w:tc>
        <w:tc>
          <w:tcPr>
            <w:tcW w:w="1240" w:type="dxa"/>
            <w:shd w:val="clear" w:color="auto" w:fill="auto"/>
            <w:tcMar>
              <w:left w:w="28" w:type="dxa"/>
              <w:right w:w="28" w:type="dxa"/>
            </w:tcMar>
            <w:vAlign w:val="bottom"/>
          </w:tcPr>
          <w:p w14:paraId="79230C62" w14:textId="77777777" w:rsidR="00252DBA" w:rsidRPr="0012183E" w:rsidRDefault="00252DBA" w:rsidP="00FC752D">
            <w:pPr>
              <w:spacing w:before="40" w:after="120"/>
              <w:jc w:val="right"/>
            </w:pPr>
            <w:r w:rsidRPr="0012183E">
              <w:t>36 916,50</w:t>
            </w:r>
          </w:p>
        </w:tc>
        <w:tc>
          <w:tcPr>
            <w:tcW w:w="1240" w:type="dxa"/>
            <w:shd w:val="clear" w:color="auto" w:fill="auto"/>
            <w:tcMar>
              <w:left w:w="28" w:type="dxa"/>
              <w:right w:w="28" w:type="dxa"/>
            </w:tcMar>
            <w:vAlign w:val="bottom"/>
          </w:tcPr>
          <w:p w14:paraId="509F0CED" w14:textId="77777777" w:rsidR="00252DBA" w:rsidRPr="0012183E" w:rsidRDefault="00252DBA" w:rsidP="00FC752D">
            <w:pPr>
              <w:spacing w:before="40" w:after="120"/>
              <w:jc w:val="right"/>
            </w:pPr>
            <w:r w:rsidRPr="0012183E">
              <w:t>42 018,00</w:t>
            </w:r>
          </w:p>
        </w:tc>
      </w:tr>
      <w:tr w:rsidR="00252DBA" w:rsidRPr="0012183E" w14:paraId="4551488F" w14:textId="77777777" w:rsidTr="000A2FA6">
        <w:tc>
          <w:tcPr>
            <w:tcW w:w="2410" w:type="dxa"/>
            <w:shd w:val="clear" w:color="auto" w:fill="auto"/>
            <w:tcMar>
              <w:left w:w="28" w:type="dxa"/>
              <w:right w:w="28" w:type="dxa"/>
            </w:tcMar>
          </w:tcPr>
          <w:p w14:paraId="5943DBB7" w14:textId="77777777" w:rsidR="00252DBA" w:rsidRPr="0012183E" w:rsidRDefault="00252DBA" w:rsidP="00FC752D">
            <w:pPr>
              <w:spacing w:before="40" w:after="120"/>
              <w:rPr>
                <w:rFonts w:eastAsiaTheme="minorEastAsia"/>
              </w:rPr>
            </w:pPr>
            <w:r w:rsidRPr="0012183E">
              <w:t>Национальный располагаемый доход</w:t>
            </w:r>
          </w:p>
        </w:tc>
        <w:tc>
          <w:tcPr>
            <w:tcW w:w="1240" w:type="dxa"/>
            <w:shd w:val="clear" w:color="auto" w:fill="auto"/>
            <w:tcMar>
              <w:left w:w="28" w:type="dxa"/>
              <w:right w:w="28" w:type="dxa"/>
            </w:tcMar>
            <w:vAlign w:val="bottom"/>
          </w:tcPr>
          <w:p w14:paraId="1B50ED73" w14:textId="77777777" w:rsidR="00252DBA" w:rsidRPr="0012183E" w:rsidRDefault="00252DBA" w:rsidP="00FC752D">
            <w:pPr>
              <w:spacing w:before="40" w:after="120"/>
              <w:jc w:val="right"/>
            </w:pPr>
            <w:r w:rsidRPr="0012183E">
              <w:t>41 982,20</w:t>
            </w:r>
          </w:p>
        </w:tc>
        <w:tc>
          <w:tcPr>
            <w:tcW w:w="1240" w:type="dxa"/>
            <w:shd w:val="clear" w:color="auto" w:fill="auto"/>
            <w:tcMar>
              <w:left w:w="28" w:type="dxa"/>
              <w:right w:w="28" w:type="dxa"/>
            </w:tcMar>
            <w:vAlign w:val="bottom"/>
          </w:tcPr>
          <w:p w14:paraId="0AB21E49" w14:textId="77777777" w:rsidR="00252DBA" w:rsidRPr="0012183E" w:rsidRDefault="00252DBA" w:rsidP="00FC752D">
            <w:pPr>
              <w:spacing w:before="40" w:after="120"/>
              <w:jc w:val="right"/>
            </w:pPr>
            <w:r w:rsidRPr="0012183E">
              <w:t>30 415,60</w:t>
            </w:r>
          </w:p>
        </w:tc>
        <w:tc>
          <w:tcPr>
            <w:tcW w:w="1240" w:type="dxa"/>
            <w:shd w:val="clear" w:color="auto" w:fill="auto"/>
            <w:tcMar>
              <w:left w:w="28" w:type="dxa"/>
              <w:right w:w="28" w:type="dxa"/>
            </w:tcMar>
            <w:vAlign w:val="bottom"/>
          </w:tcPr>
          <w:p w14:paraId="6E409143" w14:textId="77777777" w:rsidR="00252DBA" w:rsidRPr="0012183E" w:rsidRDefault="00252DBA" w:rsidP="00FC752D">
            <w:pPr>
              <w:spacing w:before="40" w:after="120"/>
              <w:jc w:val="right"/>
            </w:pPr>
            <w:r w:rsidRPr="0012183E">
              <w:t>31 678,40</w:t>
            </w:r>
          </w:p>
        </w:tc>
        <w:tc>
          <w:tcPr>
            <w:tcW w:w="1240" w:type="dxa"/>
            <w:shd w:val="clear" w:color="auto" w:fill="auto"/>
            <w:tcMar>
              <w:left w:w="28" w:type="dxa"/>
              <w:right w:w="28" w:type="dxa"/>
            </w:tcMar>
            <w:vAlign w:val="bottom"/>
          </w:tcPr>
          <w:p w14:paraId="3E11A0C4" w14:textId="77777777" w:rsidR="00252DBA" w:rsidRPr="0012183E" w:rsidRDefault="00252DBA" w:rsidP="00FC752D">
            <w:pPr>
              <w:spacing w:before="40" w:after="120"/>
              <w:jc w:val="right"/>
            </w:pPr>
            <w:r w:rsidRPr="0012183E">
              <w:t>37 569,20</w:t>
            </w:r>
          </w:p>
        </w:tc>
      </w:tr>
    </w:tbl>
    <w:p w14:paraId="5A59691E" w14:textId="77777777" w:rsidR="00252DBA" w:rsidRPr="0012183E" w:rsidRDefault="00252DBA" w:rsidP="00252DBA">
      <w:pPr>
        <w:pStyle w:val="H23G"/>
      </w:pPr>
      <w:r w:rsidRPr="0012183E">
        <w:tab/>
      </w:r>
      <w:r w:rsidRPr="0012183E">
        <w:tab/>
      </w:r>
      <w:r w:rsidRPr="0012183E">
        <w:rPr>
          <w:bCs/>
        </w:rPr>
        <w:t>Жилье</w:t>
      </w:r>
      <w:bookmarkStart w:id="13" w:name="_Toc83644968"/>
      <w:bookmarkEnd w:id="13"/>
    </w:p>
    <w:p w14:paraId="33229591" w14:textId="77777777" w:rsidR="00252DBA" w:rsidRPr="0012183E" w:rsidRDefault="00252DBA" w:rsidP="00252DBA">
      <w:pPr>
        <w:pStyle w:val="SingleTxtG"/>
      </w:pPr>
      <w:r w:rsidRPr="0012183E">
        <w:t>16.</w:t>
      </w:r>
      <w:r w:rsidRPr="0012183E">
        <w:tab/>
        <w:t>Кувейт проявляет особый интерес к жилью с учетом признания важности права на него и влияния жилья на семейную жизнь населения страны. Правительство утвердило планы развития, основанные на его политике по обеспечению кувейтских семей надлежащим жильем. С 1954 года Кувейт предпринимает шаги к созданию жилищных единиц различных типов, в частности за счет выделения гражданам государственных домов и квартир или выдачи им специальных сертификатов на основе конкретных механизмов и правил, гарантирующих справедливость при предоставлении доступа к жилью. С той же целью Кувейтский кредитный банк предоставляет жилищные ссуды.</w:t>
      </w:r>
    </w:p>
    <w:p w14:paraId="50D0A435" w14:textId="77777777" w:rsidR="00252DBA" w:rsidRPr="0012183E" w:rsidRDefault="00252DBA" w:rsidP="00252DBA">
      <w:pPr>
        <w:pStyle w:val="SingleTxtG"/>
      </w:pPr>
      <w:r w:rsidRPr="0012183E">
        <w:t>17.</w:t>
      </w:r>
      <w:r w:rsidRPr="0012183E">
        <w:tab/>
        <w:t>В соответствии с Законом № 47 1993 года в целях обеспечения бенефициаров различными</w:t>
      </w:r>
      <w:r>
        <w:t xml:space="preserve"> </w:t>
      </w:r>
      <w:r w:rsidRPr="0012183E">
        <w:t>вариантами жилья было создано Государственное управление жилищного</w:t>
      </w:r>
      <w:r>
        <w:t xml:space="preserve"> </w:t>
      </w:r>
      <w:r w:rsidRPr="0012183E">
        <w:t>обеспечения. Управление является исполнительным органом, реализующим жилищную политику правительства, а его цели неотъемлемым образом интегрированы в социально-экономический механизм государства.</w:t>
      </w:r>
    </w:p>
    <w:p w14:paraId="6F38587F" w14:textId="77777777" w:rsidR="00252DBA" w:rsidRPr="0012183E" w:rsidRDefault="00252DBA" w:rsidP="000A2FA6">
      <w:pPr>
        <w:pStyle w:val="H23G"/>
      </w:pPr>
      <w:r w:rsidRPr="0012183E">
        <w:tab/>
      </w:r>
      <w:r w:rsidRPr="0012183E">
        <w:tab/>
        <w:t>Охрана окружающей среды</w:t>
      </w:r>
      <w:bookmarkStart w:id="14" w:name="_Toc83644969"/>
      <w:bookmarkEnd w:id="14"/>
    </w:p>
    <w:p w14:paraId="5FA7F8C5" w14:textId="77777777" w:rsidR="00252DBA" w:rsidRPr="0012183E" w:rsidRDefault="00252DBA" w:rsidP="00252DBA">
      <w:pPr>
        <w:pStyle w:val="SingleTxtG"/>
      </w:pPr>
      <w:r w:rsidRPr="0012183E">
        <w:t>18.</w:t>
      </w:r>
      <w:r w:rsidRPr="0012183E">
        <w:tab/>
        <w:t>Окружающая среда служит основой для всестороннего развития, а охрана окружающей среды является одной из ключевых целей на мировом и национальном уровне. Многие организации, работающие в Кувейте в области здравоохранения, промышленности, науки, техники и в других сферах, начали уделять первоочередное внимание экологическим исследованиям и данным.</w:t>
      </w:r>
    </w:p>
    <w:p w14:paraId="49FF887D" w14:textId="3668506B" w:rsidR="00252DBA" w:rsidRPr="0012183E" w:rsidRDefault="00252DBA" w:rsidP="00252DBA">
      <w:pPr>
        <w:pStyle w:val="SingleTxtG"/>
      </w:pPr>
      <w:r w:rsidRPr="0012183E">
        <w:t>19.</w:t>
      </w:r>
      <w:r w:rsidRPr="0012183E">
        <w:tab/>
        <w:t>В соответствии с Законом № 21 1995 года с поправками, внесенными Законом</w:t>
      </w:r>
      <w:r w:rsidR="000A2FA6">
        <w:t> </w:t>
      </w:r>
      <w:r w:rsidRPr="0012183E">
        <w:t>№</w:t>
      </w:r>
      <w:r w:rsidR="000A2FA6">
        <w:t> </w:t>
      </w:r>
      <w:r w:rsidRPr="0012183E">
        <w:t>16 1996 года, было создано</w:t>
      </w:r>
      <w:r>
        <w:t xml:space="preserve"> </w:t>
      </w:r>
      <w:r w:rsidRPr="0012183E">
        <w:t xml:space="preserve">Государственное управление окружающей среды. В число его приоритетных целей входят разработка и осуществление политики </w:t>
      </w:r>
      <w:r w:rsidRPr="0012183E">
        <w:lastRenderedPageBreak/>
        <w:t>Кувейта в области охраны окружающей среды, а также разработка и мониторинг осуществления комплексного плана действий, охватывающего все краткосрочные и долгосрочные аспекты</w:t>
      </w:r>
      <w:r>
        <w:t xml:space="preserve"> ее</w:t>
      </w:r>
      <w:r w:rsidRPr="0012183E">
        <w:t xml:space="preserve"> охраны, и всеобъемлющего плана, конкретно определяющего меры, необходимые для решения проблемы экологических бедствий.</w:t>
      </w:r>
    </w:p>
    <w:p w14:paraId="6B2404F7" w14:textId="77777777" w:rsidR="00252DBA" w:rsidRPr="0012183E" w:rsidRDefault="00252DBA" w:rsidP="00252DBA">
      <w:pPr>
        <w:pStyle w:val="H23G"/>
      </w:pPr>
      <w:r w:rsidRPr="0012183E">
        <w:tab/>
      </w:r>
      <w:r w:rsidRPr="0012183E">
        <w:tab/>
      </w:r>
      <w:r w:rsidRPr="0012183E">
        <w:rPr>
          <w:bCs/>
        </w:rPr>
        <w:t>Конституционная, политическая и правовая структура государства</w:t>
      </w:r>
      <w:bookmarkStart w:id="15" w:name="_Toc83644970"/>
      <w:bookmarkEnd w:id="15"/>
    </w:p>
    <w:p w14:paraId="5FDF649A" w14:textId="77777777" w:rsidR="00252DBA" w:rsidRPr="0012183E" w:rsidRDefault="00252DBA" w:rsidP="00252DBA">
      <w:pPr>
        <w:pStyle w:val="SingleTxtG"/>
      </w:pPr>
      <w:r w:rsidRPr="0012183E">
        <w:t>20.</w:t>
      </w:r>
      <w:r w:rsidRPr="0012183E">
        <w:tab/>
        <w:t>Кувейт является независимым</w:t>
      </w:r>
      <w:r>
        <w:t xml:space="preserve"> </w:t>
      </w:r>
      <w:r w:rsidRPr="0012183E">
        <w:t>и полностью суверенным арабским государством. Его религией является ислам, а официальным языком — арабский, при этом в стране действует демократическая система правления. Как указано в пояснительной записке к Конституции, эта демократическая система представляет собой нечто среднее между парламентской и президентской системами и воплощает в себе истинно демократические принципы. Соответственно, система правления в Кувейте основывается на конституционном принципе разделения властей и сотрудничества между ними.</w:t>
      </w:r>
    </w:p>
    <w:p w14:paraId="18233EF1" w14:textId="77777777" w:rsidR="00252DBA" w:rsidRPr="0012183E" w:rsidRDefault="00252DBA" w:rsidP="00252DBA">
      <w:pPr>
        <w:pStyle w:val="SingleTxtG"/>
      </w:pPr>
      <w:r w:rsidRPr="0012183E">
        <w:t>21.</w:t>
      </w:r>
      <w:r w:rsidRPr="0012183E">
        <w:tab/>
        <w:t>Этим властям полностью посвящена одна из частей кувейтской Конституции, которая разделена на пять глав. В начале первой главы провозглашается, что в силу Конституции законодательная власть возлагается на эмира и Национальное собрание. Исполнительная власть возлагается на эмира, Совет министров и министров в их соответствующем качестве, а судебная власть — на суды, которые осуществляют свои полномочия от имени эмира и в пределах, установленных Конституцией.</w:t>
      </w:r>
    </w:p>
    <w:p w14:paraId="1B32529C" w14:textId="77777777" w:rsidR="00252DBA" w:rsidRPr="0012183E" w:rsidRDefault="00252DBA" w:rsidP="00252DBA">
      <w:pPr>
        <w:pStyle w:val="SingleTxtG"/>
      </w:pPr>
      <w:r w:rsidRPr="0012183E">
        <w:t>22.</w:t>
      </w:r>
      <w:r w:rsidRPr="0012183E">
        <w:tab/>
        <w:t>Во второй главе определяются полномочия главы государства, который:</w:t>
      </w:r>
    </w:p>
    <w:p w14:paraId="7497E0D8" w14:textId="77777777" w:rsidR="00252DBA" w:rsidRPr="0012183E" w:rsidRDefault="00252DBA" w:rsidP="00252DBA">
      <w:pPr>
        <w:pStyle w:val="SingleTxtG"/>
      </w:pPr>
      <w:r w:rsidRPr="0012183E">
        <w:tab/>
        <w:t>a) осуществляет свои полномочия через посредство министров, а также назначает премьер-министра и может освободить его от должности;</w:t>
      </w:r>
    </w:p>
    <w:p w14:paraId="0199A4D3" w14:textId="77777777" w:rsidR="00252DBA" w:rsidRPr="0012183E" w:rsidRDefault="00252DBA" w:rsidP="00252DBA">
      <w:pPr>
        <w:pStyle w:val="SingleTxtG"/>
      </w:pPr>
      <w:r w:rsidRPr="0012183E">
        <w:tab/>
        <w:t>b)</w:t>
      </w:r>
      <w:r w:rsidRPr="0012183E">
        <w:tab/>
        <w:t>является главнокомандующим вооруженными силами;</w:t>
      </w:r>
    </w:p>
    <w:p w14:paraId="7E54EAEC" w14:textId="77777777" w:rsidR="00252DBA" w:rsidRPr="0012183E" w:rsidRDefault="00252DBA" w:rsidP="00252DBA">
      <w:pPr>
        <w:pStyle w:val="SingleTxtG"/>
      </w:pPr>
      <w:r w:rsidRPr="0012183E">
        <w:tab/>
        <w:t>c)</w:t>
      </w:r>
      <w:r w:rsidRPr="0012183E">
        <w:tab/>
        <w:t>принимает подзаконные акты для обеспечения исполнения законов, а также подзаконные акты, необходимые для организации государственных служб и ведомств государства;</w:t>
      </w:r>
    </w:p>
    <w:p w14:paraId="1AC54963" w14:textId="77777777" w:rsidR="00252DBA" w:rsidRPr="0012183E" w:rsidRDefault="00252DBA" w:rsidP="00252DBA">
      <w:pPr>
        <w:pStyle w:val="SingleTxtG"/>
      </w:pPr>
      <w:r w:rsidRPr="0012183E">
        <w:tab/>
        <w:t>d)</w:t>
      </w:r>
      <w:r w:rsidRPr="0012183E">
        <w:tab/>
        <w:t>назначает гражданских и военных должностных лиц государства и политических представителей в других государствах.</w:t>
      </w:r>
    </w:p>
    <w:p w14:paraId="1D9D1E54" w14:textId="77777777" w:rsidR="00252DBA" w:rsidRPr="0012183E" w:rsidRDefault="00252DBA" w:rsidP="00252DBA">
      <w:pPr>
        <w:pStyle w:val="SingleTxtG"/>
      </w:pPr>
      <w:r w:rsidRPr="0012183E">
        <w:t>23.</w:t>
      </w:r>
      <w:r w:rsidRPr="0012183E">
        <w:tab/>
        <w:t>В дополнение к вышеперечисленным полномочиям эмир также обладает нижеследующими полномочиями.</w:t>
      </w:r>
    </w:p>
    <w:p w14:paraId="2FA13B4F" w14:textId="77777777" w:rsidR="00252DBA" w:rsidRPr="0012183E" w:rsidRDefault="00252DBA" w:rsidP="00252DBA">
      <w:pPr>
        <w:pStyle w:val="SingleTxtG"/>
      </w:pPr>
      <w:r w:rsidRPr="0012183E">
        <w:tab/>
        <w:t>a)</w:t>
      </w:r>
      <w:r w:rsidRPr="0012183E">
        <w:tab/>
      </w:r>
      <w:r w:rsidRPr="0012183E">
        <w:rPr>
          <w:b/>
          <w:bCs/>
        </w:rPr>
        <w:t>Законодательная власть.</w:t>
      </w:r>
      <w:r w:rsidRPr="0012183E">
        <w:t xml:space="preserve"> Согласно статье 79 Конституции законодательную власть осуществляют эмир и Национальное собрание, которое состоит из 50 членов, избираемых прямым, тайным и всеобщим голосованием на четырехлетний срок. В соответствии с Конституцией Национальное собрание уполномочено принимать законодательные акты. Положения, касающиеся законодательной власти, изложены в третьей главе Конституции.</w:t>
      </w:r>
    </w:p>
    <w:p w14:paraId="576D016A" w14:textId="77777777" w:rsidR="00252DBA" w:rsidRPr="0012183E" w:rsidRDefault="00252DBA" w:rsidP="00252DBA">
      <w:pPr>
        <w:pStyle w:val="SingleTxtG"/>
      </w:pPr>
      <w:r w:rsidRPr="0012183E">
        <w:tab/>
        <w:t>b)</w:t>
      </w:r>
      <w:r w:rsidRPr="0012183E">
        <w:tab/>
      </w:r>
      <w:r w:rsidRPr="0012183E">
        <w:rPr>
          <w:b/>
          <w:bCs/>
        </w:rPr>
        <w:t>Исполнительная власть.</w:t>
      </w:r>
      <w:r w:rsidRPr="0012183E">
        <w:t xml:space="preserve"> Исполнительную власть осуществляют эмир и Совет министров. Совет руководит государственными ведомствами, разрабатывает общую политику правительства, следит за ее осуществлением и контролирует бесперебойность работы государственных административных органов. Каждый министр курирует дела своего министерства, осуществляет общую политику правительства, разрабатывает министерские распоряжения и контролирует их выполнение.</w:t>
      </w:r>
    </w:p>
    <w:p w14:paraId="0BDC36CC" w14:textId="77777777" w:rsidR="00252DBA" w:rsidRPr="0012183E" w:rsidRDefault="00252DBA" w:rsidP="00252DBA">
      <w:pPr>
        <w:pStyle w:val="SingleTxtG"/>
      </w:pPr>
      <w:r w:rsidRPr="0012183E">
        <w:tab/>
        <w:t>c)</w:t>
      </w:r>
      <w:r w:rsidRPr="0012183E">
        <w:tab/>
      </w:r>
      <w:r w:rsidRPr="0012183E">
        <w:rPr>
          <w:b/>
          <w:bCs/>
        </w:rPr>
        <w:t>Судебная власть.</w:t>
      </w:r>
      <w:r w:rsidRPr="0012183E">
        <w:t xml:space="preserve"> Судебная власть возлагается на суды, которые осуществляют свои полномочия от имени эмира. Независимость судебной власти гарантируется Конституцией и законом на основе принципа, согласно которому уважение к судебной власти, честность и беспристрастность судей являются основой государственного правления и гарантией прав и свобод. В процессе отправления правосудия судьи не подчиняются никакой власти, а закон гарантирует независимость судебных органов и предусматривает гарантии и специальные положения для судей. Конституция гарантирует независимость судебной системы.</w:t>
      </w:r>
    </w:p>
    <w:p w14:paraId="1A2EEA2E" w14:textId="77777777" w:rsidR="00252DBA" w:rsidRPr="0012183E" w:rsidRDefault="00252DBA" w:rsidP="000A2FA6">
      <w:pPr>
        <w:pStyle w:val="H1G"/>
      </w:pPr>
      <w:r w:rsidRPr="0012183E">
        <w:lastRenderedPageBreak/>
        <w:tab/>
        <w:t>B.</w:t>
      </w:r>
      <w:r w:rsidRPr="0012183E">
        <w:tab/>
        <w:t>Общие рамки защиты и поощрения прав человека</w:t>
      </w:r>
      <w:bookmarkStart w:id="16" w:name="_Toc83644971"/>
      <w:bookmarkEnd w:id="16"/>
    </w:p>
    <w:p w14:paraId="14DAB7C9" w14:textId="77777777" w:rsidR="00252DBA" w:rsidRPr="0012183E" w:rsidRDefault="00252DBA" w:rsidP="00252DBA">
      <w:pPr>
        <w:pStyle w:val="SingleTxtG"/>
      </w:pPr>
      <w:r w:rsidRPr="0012183E">
        <w:t>24.</w:t>
      </w:r>
      <w:r w:rsidRPr="0012183E">
        <w:tab/>
        <w:t>Кувейт присоединился к нижеперечисленным международным договорам по правам человека.</w:t>
      </w:r>
    </w:p>
    <w:tbl>
      <w:tblPr>
        <w:tblStyle w:val="ac"/>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661"/>
      </w:tblGrid>
      <w:tr w:rsidR="00252DBA" w:rsidRPr="000A2FA6" w14:paraId="73377EA1" w14:textId="77777777" w:rsidTr="00FC752D">
        <w:trPr>
          <w:tblHeader/>
        </w:trPr>
        <w:tc>
          <w:tcPr>
            <w:tcW w:w="709" w:type="dxa"/>
            <w:tcBorders>
              <w:top w:val="single" w:sz="4" w:space="0" w:color="auto"/>
              <w:bottom w:val="single" w:sz="12" w:space="0" w:color="auto"/>
            </w:tcBorders>
            <w:shd w:val="clear" w:color="auto" w:fill="auto"/>
            <w:tcMar>
              <w:left w:w="28" w:type="dxa"/>
              <w:right w:w="28" w:type="dxa"/>
            </w:tcMar>
            <w:vAlign w:val="bottom"/>
          </w:tcPr>
          <w:p w14:paraId="25C96207" w14:textId="7775B5C3" w:rsidR="00252DBA" w:rsidRPr="000A2FA6" w:rsidRDefault="000A2FA6" w:rsidP="000A2FA6">
            <w:pPr>
              <w:pStyle w:val="SingleTxtG"/>
              <w:tabs>
                <w:tab w:val="clear" w:pos="1701"/>
                <w:tab w:val="clear" w:pos="2268"/>
              </w:tabs>
              <w:spacing w:before="80" w:after="80" w:line="200" w:lineRule="exact"/>
              <w:ind w:left="0" w:right="0"/>
              <w:jc w:val="left"/>
              <w:rPr>
                <w:i/>
                <w:sz w:val="16"/>
                <w:szCs w:val="16"/>
              </w:rPr>
            </w:pPr>
            <w:r>
              <w:rPr>
                <w:i/>
                <w:iCs/>
                <w:sz w:val="16"/>
                <w:szCs w:val="16"/>
              </w:rPr>
              <w:t>№</w:t>
            </w:r>
          </w:p>
        </w:tc>
        <w:tc>
          <w:tcPr>
            <w:tcW w:w="6661" w:type="dxa"/>
            <w:tcBorders>
              <w:top w:val="single" w:sz="4" w:space="0" w:color="auto"/>
              <w:bottom w:val="single" w:sz="12" w:space="0" w:color="auto"/>
            </w:tcBorders>
            <w:shd w:val="clear" w:color="auto" w:fill="auto"/>
            <w:tcMar>
              <w:left w:w="28" w:type="dxa"/>
              <w:right w:w="28" w:type="dxa"/>
            </w:tcMar>
            <w:vAlign w:val="bottom"/>
          </w:tcPr>
          <w:p w14:paraId="39C26F60" w14:textId="77777777" w:rsidR="00252DBA" w:rsidRPr="000A2FA6" w:rsidRDefault="00252DBA" w:rsidP="000A2FA6">
            <w:pPr>
              <w:pStyle w:val="SingleTxtG"/>
              <w:tabs>
                <w:tab w:val="clear" w:pos="1701"/>
                <w:tab w:val="clear" w:pos="2268"/>
              </w:tabs>
              <w:spacing w:before="80" w:after="80" w:line="200" w:lineRule="exact"/>
              <w:ind w:left="0" w:right="0"/>
              <w:jc w:val="left"/>
              <w:rPr>
                <w:i/>
                <w:sz w:val="16"/>
                <w:szCs w:val="16"/>
              </w:rPr>
            </w:pPr>
            <w:r w:rsidRPr="000A2FA6">
              <w:rPr>
                <w:i/>
                <w:iCs/>
                <w:sz w:val="16"/>
                <w:szCs w:val="16"/>
              </w:rPr>
              <w:t>Название договора</w:t>
            </w:r>
          </w:p>
        </w:tc>
      </w:tr>
      <w:tr w:rsidR="00252DBA" w:rsidRPr="0012183E" w14:paraId="166D53B0" w14:textId="77777777" w:rsidTr="00FC752D">
        <w:tc>
          <w:tcPr>
            <w:tcW w:w="709" w:type="dxa"/>
            <w:tcBorders>
              <w:top w:val="single" w:sz="12" w:space="0" w:color="auto"/>
              <w:bottom w:val="nil"/>
            </w:tcBorders>
            <w:shd w:val="clear" w:color="auto" w:fill="auto"/>
            <w:tcMar>
              <w:left w:w="28" w:type="dxa"/>
              <w:right w:w="28" w:type="dxa"/>
            </w:tcMar>
          </w:tcPr>
          <w:p w14:paraId="3301CEA4" w14:textId="77777777" w:rsidR="00252DBA" w:rsidRPr="0012183E" w:rsidRDefault="00252DBA" w:rsidP="000A2FA6">
            <w:pPr>
              <w:pStyle w:val="SingleTxtG"/>
              <w:tabs>
                <w:tab w:val="clear" w:pos="1701"/>
                <w:tab w:val="clear" w:pos="2268"/>
              </w:tabs>
              <w:spacing w:before="40" w:line="220" w:lineRule="exact"/>
              <w:ind w:left="0" w:right="0"/>
              <w:jc w:val="left"/>
            </w:pPr>
            <w:r w:rsidRPr="0012183E">
              <w:t>1.</w:t>
            </w:r>
          </w:p>
        </w:tc>
        <w:tc>
          <w:tcPr>
            <w:tcW w:w="6661" w:type="dxa"/>
            <w:tcBorders>
              <w:top w:val="single" w:sz="12" w:space="0" w:color="auto"/>
              <w:bottom w:val="nil"/>
            </w:tcBorders>
            <w:shd w:val="clear" w:color="auto" w:fill="auto"/>
            <w:tcMar>
              <w:left w:w="28" w:type="dxa"/>
              <w:right w:w="28" w:type="dxa"/>
            </w:tcMar>
          </w:tcPr>
          <w:p w14:paraId="67612FA2" w14:textId="77777777" w:rsidR="00252DBA" w:rsidRPr="0012183E" w:rsidRDefault="00252DBA" w:rsidP="000A2FA6">
            <w:pPr>
              <w:pStyle w:val="SingleTxtG"/>
              <w:tabs>
                <w:tab w:val="clear" w:pos="1701"/>
                <w:tab w:val="clear" w:pos="2268"/>
              </w:tabs>
              <w:spacing w:before="40" w:line="220" w:lineRule="exact"/>
              <w:ind w:left="0" w:right="0"/>
              <w:jc w:val="left"/>
            </w:pPr>
            <w:r w:rsidRPr="0012183E">
              <w:t>Конвенция о рабстве 1926 года</w:t>
            </w:r>
          </w:p>
        </w:tc>
      </w:tr>
      <w:tr w:rsidR="00252DBA" w:rsidRPr="004B0920" w14:paraId="7DDE4CA3" w14:textId="77777777" w:rsidTr="00FC752D">
        <w:tc>
          <w:tcPr>
            <w:tcW w:w="709" w:type="dxa"/>
            <w:tcBorders>
              <w:top w:val="nil"/>
              <w:bottom w:val="nil"/>
            </w:tcBorders>
            <w:shd w:val="clear" w:color="auto" w:fill="auto"/>
            <w:tcMar>
              <w:left w:w="28" w:type="dxa"/>
              <w:right w:w="28" w:type="dxa"/>
            </w:tcMar>
          </w:tcPr>
          <w:p w14:paraId="7B3047BF" w14:textId="77777777" w:rsidR="00252DBA" w:rsidRPr="0012183E" w:rsidRDefault="00252DBA" w:rsidP="000A2FA6">
            <w:pPr>
              <w:pStyle w:val="SingleTxtG"/>
              <w:tabs>
                <w:tab w:val="clear" w:pos="1701"/>
                <w:tab w:val="clear" w:pos="2268"/>
              </w:tabs>
              <w:spacing w:before="40" w:line="220" w:lineRule="exact"/>
              <w:ind w:left="0" w:right="0"/>
              <w:jc w:val="left"/>
            </w:pPr>
            <w:r w:rsidRPr="0012183E">
              <w:t>2.</w:t>
            </w:r>
          </w:p>
        </w:tc>
        <w:tc>
          <w:tcPr>
            <w:tcW w:w="6661" w:type="dxa"/>
            <w:tcBorders>
              <w:top w:val="nil"/>
              <w:bottom w:val="nil"/>
            </w:tcBorders>
            <w:shd w:val="clear" w:color="auto" w:fill="auto"/>
            <w:tcMar>
              <w:left w:w="28" w:type="dxa"/>
              <w:right w:w="28" w:type="dxa"/>
            </w:tcMar>
          </w:tcPr>
          <w:p w14:paraId="063D6F2A" w14:textId="77777777" w:rsidR="00252DBA" w:rsidRPr="0012183E" w:rsidRDefault="00252DBA" w:rsidP="00FC752D">
            <w:pPr>
              <w:pStyle w:val="SingleTxtG"/>
              <w:tabs>
                <w:tab w:val="clear" w:pos="1701"/>
                <w:tab w:val="clear" w:pos="2268"/>
              </w:tabs>
              <w:spacing w:before="40" w:line="220" w:lineRule="exact"/>
              <w:ind w:left="0" w:right="0"/>
              <w:jc w:val="left"/>
            </w:pPr>
            <w:r w:rsidRPr="0012183E">
              <w:t>Протокол о внесении изменений в Конвенцию о рабстве 1926 года</w:t>
            </w:r>
          </w:p>
        </w:tc>
      </w:tr>
      <w:tr w:rsidR="00252DBA" w:rsidRPr="004B0920" w14:paraId="4914263A" w14:textId="77777777" w:rsidTr="00FC752D">
        <w:tc>
          <w:tcPr>
            <w:tcW w:w="709" w:type="dxa"/>
            <w:tcBorders>
              <w:top w:val="nil"/>
              <w:bottom w:val="nil"/>
            </w:tcBorders>
            <w:shd w:val="clear" w:color="auto" w:fill="auto"/>
            <w:tcMar>
              <w:left w:w="28" w:type="dxa"/>
              <w:right w:w="28" w:type="dxa"/>
            </w:tcMar>
          </w:tcPr>
          <w:p w14:paraId="542EF3C3" w14:textId="77777777" w:rsidR="00252DBA" w:rsidRPr="0012183E" w:rsidRDefault="00252DBA" w:rsidP="000A2FA6">
            <w:pPr>
              <w:pStyle w:val="SingleTxtG"/>
              <w:tabs>
                <w:tab w:val="clear" w:pos="1701"/>
                <w:tab w:val="clear" w:pos="2268"/>
              </w:tabs>
              <w:spacing w:before="40" w:line="220" w:lineRule="exact"/>
              <w:ind w:left="0" w:right="0"/>
              <w:jc w:val="left"/>
            </w:pPr>
            <w:r w:rsidRPr="0012183E">
              <w:t>3.</w:t>
            </w:r>
          </w:p>
        </w:tc>
        <w:tc>
          <w:tcPr>
            <w:tcW w:w="6661" w:type="dxa"/>
            <w:tcBorders>
              <w:top w:val="nil"/>
              <w:bottom w:val="nil"/>
            </w:tcBorders>
            <w:shd w:val="clear" w:color="auto" w:fill="auto"/>
            <w:tcMar>
              <w:left w:w="28" w:type="dxa"/>
              <w:right w:w="28" w:type="dxa"/>
            </w:tcMar>
          </w:tcPr>
          <w:p w14:paraId="284A6512" w14:textId="77777777" w:rsidR="00252DBA" w:rsidRPr="0012183E" w:rsidRDefault="00252DBA" w:rsidP="000A2FA6">
            <w:pPr>
              <w:pStyle w:val="SingleTxtG"/>
              <w:tabs>
                <w:tab w:val="clear" w:pos="1701"/>
                <w:tab w:val="clear" w:pos="2268"/>
              </w:tabs>
              <w:spacing w:before="40" w:line="220" w:lineRule="exact"/>
              <w:ind w:left="0" w:right="0"/>
              <w:jc w:val="left"/>
            </w:pPr>
            <w:r w:rsidRPr="0012183E">
              <w:t xml:space="preserve">Дополнительная Конвенция об упразднении рабства, работорговли и </w:t>
            </w:r>
            <w:proofErr w:type="gramStart"/>
            <w:r w:rsidRPr="0012183E">
              <w:t>институтов</w:t>
            </w:r>
            <w:proofErr w:type="gramEnd"/>
            <w:r w:rsidRPr="0012183E">
              <w:t xml:space="preserve"> и обычаев, сходных с рабством</w:t>
            </w:r>
          </w:p>
        </w:tc>
      </w:tr>
      <w:tr w:rsidR="00252DBA" w:rsidRPr="004B0920" w14:paraId="3B5C67D7" w14:textId="77777777" w:rsidTr="00FC752D">
        <w:tc>
          <w:tcPr>
            <w:tcW w:w="709" w:type="dxa"/>
            <w:tcBorders>
              <w:top w:val="nil"/>
              <w:bottom w:val="nil"/>
            </w:tcBorders>
            <w:shd w:val="clear" w:color="auto" w:fill="auto"/>
            <w:tcMar>
              <w:left w:w="28" w:type="dxa"/>
              <w:right w:w="28" w:type="dxa"/>
            </w:tcMar>
          </w:tcPr>
          <w:p w14:paraId="250B4BE0" w14:textId="77777777" w:rsidR="00252DBA" w:rsidRPr="0012183E" w:rsidRDefault="00252DBA" w:rsidP="000A2FA6">
            <w:pPr>
              <w:pStyle w:val="SingleTxtG"/>
              <w:tabs>
                <w:tab w:val="clear" w:pos="1701"/>
                <w:tab w:val="clear" w:pos="2268"/>
              </w:tabs>
              <w:spacing w:before="40" w:line="220" w:lineRule="exact"/>
              <w:ind w:left="0" w:right="0"/>
              <w:jc w:val="left"/>
            </w:pPr>
            <w:r w:rsidRPr="0012183E">
              <w:t>4.</w:t>
            </w:r>
          </w:p>
        </w:tc>
        <w:tc>
          <w:tcPr>
            <w:tcW w:w="6661" w:type="dxa"/>
            <w:tcBorders>
              <w:top w:val="nil"/>
              <w:bottom w:val="nil"/>
            </w:tcBorders>
            <w:shd w:val="clear" w:color="auto" w:fill="auto"/>
            <w:tcMar>
              <w:left w:w="28" w:type="dxa"/>
              <w:right w:w="28" w:type="dxa"/>
            </w:tcMar>
          </w:tcPr>
          <w:p w14:paraId="3D6A8AD2" w14:textId="77777777" w:rsidR="00252DBA" w:rsidRPr="0012183E" w:rsidRDefault="00252DBA" w:rsidP="000A2FA6">
            <w:pPr>
              <w:pStyle w:val="SingleTxtG"/>
              <w:tabs>
                <w:tab w:val="clear" w:pos="1701"/>
                <w:tab w:val="clear" w:pos="2268"/>
              </w:tabs>
              <w:spacing w:before="40" w:line="220" w:lineRule="exact"/>
              <w:ind w:left="0" w:right="0"/>
              <w:jc w:val="left"/>
            </w:pPr>
            <w:r w:rsidRPr="0012183E">
              <w:t>Международная конвенция о ликвидации всех форм расовой дискриминации</w:t>
            </w:r>
          </w:p>
        </w:tc>
      </w:tr>
      <w:tr w:rsidR="00252DBA" w:rsidRPr="004B0920" w14:paraId="6004E6FD" w14:textId="77777777" w:rsidTr="00FC752D">
        <w:tc>
          <w:tcPr>
            <w:tcW w:w="709" w:type="dxa"/>
            <w:tcBorders>
              <w:top w:val="nil"/>
              <w:bottom w:val="nil"/>
            </w:tcBorders>
            <w:shd w:val="clear" w:color="auto" w:fill="auto"/>
            <w:tcMar>
              <w:left w:w="28" w:type="dxa"/>
              <w:right w:w="28" w:type="dxa"/>
            </w:tcMar>
          </w:tcPr>
          <w:p w14:paraId="63087CDE" w14:textId="77777777" w:rsidR="00252DBA" w:rsidRPr="0012183E" w:rsidRDefault="00252DBA" w:rsidP="000A2FA6">
            <w:pPr>
              <w:pStyle w:val="SingleTxtG"/>
              <w:tabs>
                <w:tab w:val="clear" w:pos="1701"/>
                <w:tab w:val="clear" w:pos="2268"/>
              </w:tabs>
              <w:spacing w:before="40" w:line="220" w:lineRule="exact"/>
              <w:ind w:left="0" w:right="0"/>
              <w:jc w:val="left"/>
            </w:pPr>
            <w:r w:rsidRPr="0012183E">
              <w:t>5.</w:t>
            </w:r>
          </w:p>
        </w:tc>
        <w:tc>
          <w:tcPr>
            <w:tcW w:w="6661" w:type="dxa"/>
            <w:tcBorders>
              <w:top w:val="nil"/>
              <w:bottom w:val="nil"/>
            </w:tcBorders>
            <w:shd w:val="clear" w:color="auto" w:fill="auto"/>
            <w:tcMar>
              <w:left w:w="28" w:type="dxa"/>
              <w:right w:w="28" w:type="dxa"/>
            </w:tcMar>
          </w:tcPr>
          <w:p w14:paraId="57AB41B7" w14:textId="77777777" w:rsidR="00252DBA" w:rsidRPr="0012183E" w:rsidRDefault="00252DBA" w:rsidP="000A2FA6">
            <w:pPr>
              <w:pStyle w:val="SingleTxtG"/>
              <w:tabs>
                <w:tab w:val="clear" w:pos="1701"/>
                <w:tab w:val="clear" w:pos="2268"/>
              </w:tabs>
              <w:spacing w:before="40" w:line="220" w:lineRule="exact"/>
              <w:ind w:left="0" w:right="0"/>
              <w:jc w:val="left"/>
            </w:pPr>
            <w:r w:rsidRPr="0012183E">
              <w:t>Конвенция о борьбе с торговлей людьми и с эксплуатацией проституции третьими лицами</w:t>
            </w:r>
          </w:p>
        </w:tc>
      </w:tr>
      <w:tr w:rsidR="00252DBA" w:rsidRPr="004B0920" w14:paraId="5E0F1623" w14:textId="77777777" w:rsidTr="00FC752D">
        <w:tc>
          <w:tcPr>
            <w:tcW w:w="709" w:type="dxa"/>
            <w:tcBorders>
              <w:top w:val="nil"/>
              <w:bottom w:val="nil"/>
            </w:tcBorders>
            <w:shd w:val="clear" w:color="auto" w:fill="auto"/>
            <w:tcMar>
              <w:left w:w="28" w:type="dxa"/>
              <w:right w:w="28" w:type="dxa"/>
            </w:tcMar>
          </w:tcPr>
          <w:p w14:paraId="371E6C20" w14:textId="77777777" w:rsidR="00252DBA" w:rsidRPr="0012183E" w:rsidRDefault="00252DBA" w:rsidP="000A2FA6">
            <w:pPr>
              <w:pStyle w:val="SingleTxtG"/>
              <w:tabs>
                <w:tab w:val="clear" w:pos="1701"/>
                <w:tab w:val="clear" w:pos="2268"/>
              </w:tabs>
              <w:spacing w:before="40" w:line="220" w:lineRule="exact"/>
              <w:ind w:left="0" w:right="0"/>
              <w:jc w:val="left"/>
            </w:pPr>
            <w:r w:rsidRPr="0012183E">
              <w:t>6.</w:t>
            </w:r>
          </w:p>
        </w:tc>
        <w:tc>
          <w:tcPr>
            <w:tcW w:w="6661" w:type="dxa"/>
            <w:tcBorders>
              <w:top w:val="nil"/>
              <w:bottom w:val="nil"/>
            </w:tcBorders>
            <w:shd w:val="clear" w:color="auto" w:fill="auto"/>
            <w:tcMar>
              <w:left w:w="28" w:type="dxa"/>
              <w:right w:w="28" w:type="dxa"/>
            </w:tcMar>
          </w:tcPr>
          <w:p w14:paraId="2526D6E7" w14:textId="77777777" w:rsidR="00252DBA" w:rsidRPr="0012183E" w:rsidRDefault="00252DBA" w:rsidP="000A2FA6">
            <w:pPr>
              <w:pStyle w:val="SingleTxtG"/>
              <w:tabs>
                <w:tab w:val="clear" w:pos="1701"/>
                <w:tab w:val="clear" w:pos="2268"/>
              </w:tabs>
              <w:spacing w:before="40" w:line="220" w:lineRule="exact"/>
              <w:ind w:left="0" w:right="0"/>
              <w:jc w:val="left"/>
            </w:pPr>
            <w:r w:rsidRPr="0012183E">
              <w:t>Международная конвенция о пресечении преступления апартеида и наказании за него</w:t>
            </w:r>
          </w:p>
        </w:tc>
      </w:tr>
      <w:tr w:rsidR="00252DBA" w:rsidRPr="004B0920" w14:paraId="0592A2D3" w14:textId="77777777" w:rsidTr="00FC752D">
        <w:tc>
          <w:tcPr>
            <w:tcW w:w="709" w:type="dxa"/>
            <w:tcBorders>
              <w:top w:val="nil"/>
              <w:bottom w:val="nil"/>
            </w:tcBorders>
            <w:shd w:val="clear" w:color="auto" w:fill="auto"/>
            <w:tcMar>
              <w:left w:w="28" w:type="dxa"/>
              <w:right w:w="28" w:type="dxa"/>
            </w:tcMar>
          </w:tcPr>
          <w:p w14:paraId="03D11BBA" w14:textId="77777777" w:rsidR="00252DBA" w:rsidRPr="0012183E" w:rsidRDefault="00252DBA" w:rsidP="000A2FA6">
            <w:pPr>
              <w:pStyle w:val="SingleTxtG"/>
              <w:tabs>
                <w:tab w:val="clear" w:pos="1701"/>
                <w:tab w:val="clear" w:pos="2268"/>
              </w:tabs>
              <w:spacing w:before="40" w:line="220" w:lineRule="exact"/>
              <w:ind w:left="0" w:right="0"/>
              <w:jc w:val="left"/>
            </w:pPr>
            <w:r w:rsidRPr="0012183E">
              <w:t>7.</w:t>
            </w:r>
          </w:p>
        </w:tc>
        <w:tc>
          <w:tcPr>
            <w:tcW w:w="6661" w:type="dxa"/>
            <w:tcBorders>
              <w:top w:val="nil"/>
              <w:bottom w:val="nil"/>
            </w:tcBorders>
            <w:shd w:val="clear" w:color="auto" w:fill="auto"/>
            <w:tcMar>
              <w:left w:w="28" w:type="dxa"/>
              <w:right w:w="28" w:type="dxa"/>
            </w:tcMar>
          </w:tcPr>
          <w:p w14:paraId="08216E57" w14:textId="77777777" w:rsidR="00252DBA" w:rsidRPr="0012183E" w:rsidRDefault="00252DBA" w:rsidP="000A2FA6">
            <w:pPr>
              <w:pStyle w:val="SingleTxtG"/>
              <w:tabs>
                <w:tab w:val="clear" w:pos="1701"/>
                <w:tab w:val="clear" w:pos="2268"/>
              </w:tabs>
              <w:spacing w:before="40" w:line="220" w:lineRule="exact"/>
              <w:ind w:left="0" w:right="0"/>
              <w:jc w:val="left"/>
            </w:pPr>
            <w:r w:rsidRPr="0012183E">
              <w:t>Конвенция о правах ребенка и факультативные протоколы к ней</w:t>
            </w:r>
          </w:p>
        </w:tc>
      </w:tr>
      <w:tr w:rsidR="00252DBA" w:rsidRPr="004B0920" w14:paraId="58922702" w14:textId="77777777" w:rsidTr="00FC752D">
        <w:tc>
          <w:tcPr>
            <w:tcW w:w="709" w:type="dxa"/>
            <w:tcBorders>
              <w:top w:val="nil"/>
              <w:bottom w:val="nil"/>
            </w:tcBorders>
            <w:shd w:val="clear" w:color="auto" w:fill="auto"/>
            <w:tcMar>
              <w:left w:w="28" w:type="dxa"/>
              <w:right w:w="28" w:type="dxa"/>
            </w:tcMar>
          </w:tcPr>
          <w:p w14:paraId="657D3A5D" w14:textId="77777777" w:rsidR="00252DBA" w:rsidRPr="0012183E" w:rsidRDefault="00252DBA" w:rsidP="000A2FA6">
            <w:pPr>
              <w:pStyle w:val="SingleTxtG"/>
              <w:tabs>
                <w:tab w:val="clear" w:pos="1701"/>
                <w:tab w:val="clear" w:pos="2268"/>
              </w:tabs>
              <w:spacing w:before="40" w:line="220" w:lineRule="exact"/>
              <w:ind w:left="0" w:right="0"/>
              <w:jc w:val="left"/>
            </w:pPr>
            <w:r w:rsidRPr="0012183E">
              <w:t>8.</w:t>
            </w:r>
          </w:p>
        </w:tc>
        <w:tc>
          <w:tcPr>
            <w:tcW w:w="6661" w:type="dxa"/>
            <w:tcBorders>
              <w:top w:val="nil"/>
              <w:bottom w:val="nil"/>
            </w:tcBorders>
            <w:shd w:val="clear" w:color="auto" w:fill="auto"/>
            <w:tcMar>
              <w:left w:w="28" w:type="dxa"/>
              <w:right w:w="28" w:type="dxa"/>
            </w:tcMar>
          </w:tcPr>
          <w:p w14:paraId="1034E717" w14:textId="77777777" w:rsidR="00252DBA" w:rsidRPr="0012183E" w:rsidRDefault="00252DBA" w:rsidP="000A2FA6">
            <w:pPr>
              <w:pStyle w:val="SingleTxtG"/>
              <w:tabs>
                <w:tab w:val="clear" w:pos="1701"/>
                <w:tab w:val="clear" w:pos="2268"/>
              </w:tabs>
              <w:spacing w:before="40" w:line="220" w:lineRule="exact"/>
              <w:ind w:left="0" w:right="0"/>
              <w:jc w:val="left"/>
            </w:pPr>
            <w:r w:rsidRPr="0012183E">
              <w:t>Конвенция о ликвидации всех форм дискриминации в отношении женщин</w:t>
            </w:r>
          </w:p>
        </w:tc>
      </w:tr>
      <w:tr w:rsidR="00252DBA" w:rsidRPr="004B0920" w14:paraId="59F9B3DA" w14:textId="77777777" w:rsidTr="00FC752D">
        <w:tc>
          <w:tcPr>
            <w:tcW w:w="709" w:type="dxa"/>
            <w:tcBorders>
              <w:top w:val="nil"/>
              <w:bottom w:val="nil"/>
            </w:tcBorders>
            <w:shd w:val="clear" w:color="auto" w:fill="auto"/>
            <w:tcMar>
              <w:left w:w="28" w:type="dxa"/>
              <w:right w:w="28" w:type="dxa"/>
            </w:tcMar>
          </w:tcPr>
          <w:p w14:paraId="79EF66C4" w14:textId="77777777" w:rsidR="00252DBA" w:rsidRPr="0012183E" w:rsidRDefault="00252DBA" w:rsidP="000A2FA6">
            <w:pPr>
              <w:pStyle w:val="SingleTxtG"/>
              <w:tabs>
                <w:tab w:val="clear" w:pos="1701"/>
                <w:tab w:val="clear" w:pos="2268"/>
              </w:tabs>
              <w:spacing w:before="40" w:line="220" w:lineRule="exact"/>
              <w:ind w:left="0" w:right="0"/>
              <w:jc w:val="left"/>
            </w:pPr>
            <w:r w:rsidRPr="0012183E">
              <w:t>9.</w:t>
            </w:r>
          </w:p>
        </w:tc>
        <w:tc>
          <w:tcPr>
            <w:tcW w:w="6661" w:type="dxa"/>
            <w:tcBorders>
              <w:top w:val="nil"/>
              <w:bottom w:val="nil"/>
            </w:tcBorders>
            <w:shd w:val="clear" w:color="auto" w:fill="auto"/>
            <w:tcMar>
              <w:left w:w="28" w:type="dxa"/>
              <w:right w:w="28" w:type="dxa"/>
            </w:tcMar>
          </w:tcPr>
          <w:p w14:paraId="704674BF" w14:textId="77777777" w:rsidR="00252DBA" w:rsidRPr="0012183E" w:rsidRDefault="00252DBA" w:rsidP="000A2FA6">
            <w:pPr>
              <w:pStyle w:val="SingleTxtG"/>
              <w:tabs>
                <w:tab w:val="clear" w:pos="1701"/>
                <w:tab w:val="clear" w:pos="2268"/>
              </w:tabs>
              <w:spacing w:before="40" w:line="220" w:lineRule="exact"/>
              <w:ind w:left="0" w:right="0"/>
              <w:jc w:val="left"/>
            </w:pPr>
            <w:r w:rsidRPr="0012183E">
              <w:t>Конвенция о неприменимости срока давности к военным преступлениям и преступлениям против человечества</w:t>
            </w:r>
          </w:p>
        </w:tc>
      </w:tr>
      <w:tr w:rsidR="00252DBA" w:rsidRPr="004B0920" w14:paraId="3BFDA4DC" w14:textId="77777777" w:rsidTr="00FC752D">
        <w:tc>
          <w:tcPr>
            <w:tcW w:w="709" w:type="dxa"/>
            <w:tcBorders>
              <w:top w:val="nil"/>
              <w:bottom w:val="nil"/>
            </w:tcBorders>
            <w:shd w:val="clear" w:color="auto" w:fill="auto"/>
            <w:tcMar>
              <w:left w:w="28" w:type="dxa"/>
              <w:right w:w="28" w:type="dxa"/>
            </w:tcMar>
          </w:tcPr>
          <w:p w14:paraId="5B75A4C2" w14:textId="77777777" w:rsidR="00252DBA" w:rsidRPr="0012183E" w:rsidRDefault="00252DBA" w:rsidP="000A2FA6">
            <w:pPr>
              <w:pStyle w:val="SingleTxtG"/>
              <w:tabs>
                <w:tab w:val="clear" w:pos="1701"/>
                <w:tab w:val="clear" w:pos="2268"/>
              </w:tabs>
              <w:spacing w:before="40" w:line="220" w:lineRule="exact"/>
              <w:ind w:left="0" w:right="0"/>
              <w:jc w:val="left"/>
            </w:pPr>
            <w:r w:rsidRPr="0012183E">
              <w:t>10.</w:t>
            </w:r>
          </w:p>
        </w:tc>
        <w:tc>
          <w:tcPr>
            <w:tcW w:w="6661" w:type="dxa"/>
            <w:tcBorders>
              <w:top w:val="nil"/>
              <w:bottom w:val="nil"/>
            </w:tcBorders>
            <w:shd w:val="clear" w:color="auto" w:fill="auto"/>
            <w:tcMar>
              <w:left w:w="28" w:type="dxa"/>
              <w:right w:w="28" w:type="dxa"/>
            </w:tcMar>
          </w:tcPr>
          <w:p w14:paraId="4B3E9C43" w14:textId="77777777" w:rsidR="00252DBA" w:rsidRPr="0012183E" w:rsidRDefault="00252DBA" w:rsidP="000A2FA6">
            <w:pPr>
              <w:pStyle w:val="SingleTxtG"/>
              <w:tabs>
                <w:tab w:val="clear" w:pos="1701"/>
                <w:tab w:val="clear" w:pos="2268"/>
              </w:tabs>
              <w:spacing w:before="40" w:line="220" w:lineRule="exact"/>
              <w:ind w:left="0" w:right="0"/>
              <w:jc w:val="left"/>
            </w:pPr>
            <w:r w:rsidRPr="0012183E">
              <w:t>Конвенция о предупреждении преступления геноцида и наказании за него</w:t>
            </w:r>
          </w:p>
        </w:tc>
      </w:tr>
      <w:tr w:rsidR="00252DBA" w:rsidRPr="004B0920" w14:paraId="26F57477" w14:textId="77777777" w:rsidTr="00FC752D">
        <w:tc>
          <w:tcPr>
            <w:tcW w:w="709" w:type="dxa"/>
            <w:tcBorders>
              <w:top w:val="nil"/>
              <w:bottom w:val="nil"/>
            </w:tcBorders>
            <w:shd w:val="clear" w:color="auto" w:fill="auto"/>
            <w:tcMar>
              <w:left w:w="28" w:type="dxa"/>
              <w:right w:w="28" w:type="dxa"/>
            </w:tcMar>
          </w:tcPr>
          <w:p w14:paraId="0CAA62B1" w14:textId="77777777" w:rsidR="00252DBA" w:rsidRPr="0012183E" w:rsidRDefault="00252DBA" w:rsidP="000A2FA6">
            <w:pPr>
              <w:pStyle w:val="SingleTxtG"/>
              <w:tabs>
                <w:tab w:val="clear" w:pos="1701"/>
                <w:tab w:val="clear" w:pos="2268"/>
              </w:tabs>
              <w:spacing w:before="40" w:line="220" w:lineRule="exact"/>
              <w:ind w:left="0" w:right="0"/>
              <w:jc w:val="left"/>
            </w:pPr>
            <w:r w:rsidRPr="0012183E">
              <w:t>11.</w:t>
            </w:r>
          </w:p>
        </w:tc>
        <w:tc>
          <w:tcPr>
            <w:tcW w:w="6661" w:type="dxa"/>
            <w:tcBorders>
              <w:top w:val="nil"/>
              <w:bottom w:val="nil"/>
            </w:tcBorders>
            <w:shd w:val="clear" w:color="auto" w:fill="auto"/>
            <w:tcMar>
              <w:left w:w="28" w:type="dxa"/>
              <w:right w:w="28" w:type="dxa"/>
            </w:tcMar>
          </w:tcPr>
          <w:p w14:paraId="7F98E0CF" w14:textId="77777777" w:rsidR="00252DBA" w:rsidRPr="0012183E" w:rsidRDefault="00252DBA" w:rsidP="000A2FA6">
            <w:pPr>
              <w:pStyle w:val="SingleTxtG"/>
              <w:tabs>
                <w:tab w:val="clear" w:pos="1701"/>
                <w:tab w:val="clear" w:pos="2268"/>
              </w:tabs>
              <w:spacing w:before="40" w:line="220" w:lineRule="exact"/>
              <w:ind w:left="0" w:right="0"/>
              <w:jc w:val="left"/>
            </w:pPr>
            <w:r w:rsidRPr="0012183E">
              <w:t>Конвенция против пыток и других жестоких, бесчеловечных или унижающих достоинство видов обращения и наказания</w:t>
            </w:r>
          </w:p>
        </w:tc>
      </w:tr>
      <w:tr w:rsidR="00252DBA" w:rsidRPr="004B0920" w14:paraId="4F00A75E" w14:textId="77777777" w:rsidTr="00FC752D">
        <w:tc>
          <w:tcPr>
            <w:tcW w:w="709" w:type="dxa"/>
            <w:tcBorders>
              <w:top w:val="nil"/>
              <w:bottom w:val="nil"/>
            </w:tcBorders>
            <w:shd w:val="clear" w:color="auto" w:fill="auto"/>
            <w:tcMar>
              <w:left w:w="28" w:type="dxa"/>
              <w:right w:w="28" w:type="dxa"/>
            </w:tcMar>
          </w:tcPr>
          <w:p w14:paraId="3181B819" w14:textId="77777777" w:rsidR="00252DBA" w:rsidRPr="0012183E" w:rsidRDefault="00252DBA" w:rsidP="000A2FA6">
            <w:pPr>
              <w:pStyle w:val="SingleTxtG"/>
              <w:tabs>
                <w:tab w:val="clear" w:pos="1701"/>
                <w:tab w:val="clear" w:pos="2268"/>
              </w:tabs>
              <w:spacing w:before="40" w:line="220" w:lineRule="exact"/>
              <w:ind w:left="0" w:right="0"/>
              <w:jc w:val="left"/>
            </w:pPr>
            <w:r w:rsidRPr="0012183E">
              <w:t>12.</w:t>
            </w:r>
          </w:p>
        </w:tc>
        <w:tc>
          <w:tcPr>
            <w:tcW w:w="6661" w:type="dxa"/>
            <w:tcBorders>
              <w:top w:val="nil"/>
              <w:bottom w:val="nil"/>
            </w:tcBorders>
            <w:shd w:val="clear" w:color="auto" w:fill="auto"/>
            <w:tcMar>
              <w:left w:w="28" w:type="dxa"/>
              <w:right w:w="28" w:type="dxa"/>
            </w:tcMar>
          </w:tcPr>
          <w:p w14:paraId="588059C4" w14:textId="77777777" w:rsidR="00252DBA" w:rsidRPr="0012183E" w:rsidRDefault="00252DBA" w:rsidP="000A2FA6">
            <w:pPr>
              <w:pStyle w:val="SingleTxtG"/>
              <w:tabs>
                <w:tab w:val="clear" w:pos="1701"/>
                <w:tab w:val="clear" w:pos="2268"/>
              </w:tabs>
              <w:spacing w:before="40" w:line="220" w:lineRule="exact"/>
              <w:ind w:left="0" w:right="0"/>
              <w:jc w:val="left"/>
            </w:pPr>
            <w:r w:rsidRPr="0012183E">
              <w:t>Международный пакт о гражданских и политических правах</w:t>
            </w:r>
          </w:p>
        </w:tc>
      </w:tr>
      <w:tr w:rsidR="00252DBA" w:rsidRPr="004B0920" w14:paraId="41FB7E5A" w14:textId="77777777" w:rsidTr="00FC752D">
        <w:tc>
          <w:tcPr>
            <w:tcW w:w="709" w:type="dxa"/>
            <w:tcBorders>
              <w:top w:val="nil"/>
              <w:bottom w:val="nil"/>
            </w:tcBorders>
            <w:shd w:val="clear" w:color="auto" w:fill="auto"/>
            <w:tcMar>
              <w:left w:w="28" w:type="dxa"/>
              <w:right w:w="28" w:type="dxa"/>
            </w:tcMar>
          </w:tcPr>
          <w:p w14:paraId="6721A1F4" w14:textId="77777777" w:rsidR="00252DBA" w:rsidRPr="0012183E" w:rsidRDefault="00252DBA" w:rsidP="000A2FA6">
            <w:pPr>
              <w:pStyle w:val="SingleTxtG"/>
              <w:tabs>
                <w:tab w:val="clear" w:pos="1701"/>
                <w:tab w:val="clear" w:pos="2268"/>
              </w:tabs>
              <w:spacing w:before="40" w:line="220" w:lineRule="exact"/>
              <w:ind w:left="0" w:right="0"/>
              <w:jc w:val="left"/>
            </w:pPr>
            <w:r w:rsidRPr="0012183E">
              <w:t>13.</w:t>
            </w:r>
          </w:p>
        </w:tc>
        <w:tc>
          <w:tcPr>
            <w:tcW w:w="6661" w:type="dxa"/>
            <w:tcBorders>
              <w:top w:val="nil"/>
              <w:bottom w:val="nil"/>
            </w:tcBorders>
            <w:shd w:val="clear" w:color="auto" w:fill="auto"/>
            <w:tcMar>
              <w:left w:w="28" w:type="dxa"/>
              <w:right w:w="28" w:type="dxa"/>
            </w:tcMar>
          </w:tcPr>
          <w:p w14:paraId="104F018F" w14:textId="77777777" w:rsidR="00252DBA" w:rsidRPr="0012183E" w:rsidRDefault="00252DBA" w:rsidP="000A2FA6">
            <w:pPr>
              <w:pStyle w:val="SingleTxtG"/>
              <w:tabs>
                <w:tab w:val="clear" w:pos="1701"/>
                <w:tab w:val="clear" w:pos="2268"/>
              </w:tabs>
              <w:spacing w:before="40" w:line="220" w:lineRule="exact"/>
              <w:ind w:left="0" w:right="0"/>
              <w:jc w:val="left"/>
            </w:pPr>
            <w:r w:rsidRPr="0012183E">
              <w:t>Международный пакт об экономических, социальных и культурных правах</w:t>
            </w:r>
          </w:p>
        </w:tc>
      </w:tr>
      <w:tr w:rsidR="00252DBA" w:rsidRPr="004B0920" w14:paraId="67668B86" w14:textId="77777777" w:rsidTr="00FC752D">
        <w:tc>
          <w:tcPr>
            <w:tcW w:w="709" w:type="dxa"/>
            <w:tcBorders>
              <w:top w:val="nil"/>
              <w:bottom w:val="nil"/>
            </w:tcBorders>
            <w:shd w:val="clear" w:color="auto" w:fill="auto"/>
            <w:tcMar>
              <w:left w:w="28" w:type="dxa"/>
              <w:right w:w="28" w:type="dxa"/>
            </w:tcMar>
          </w:tcPr>
          <w:p w14:paraId="682B0D66" w14:textId="77777777" w:rsidR="00252DBA" w:rsidRPr="0012183E" w:rsidRDefault="00252DBA" w:rsidP="000A2FA6">
            <w:pPr>
              <w:pStyle w:val="SingleTxtG"/>
              <w:tabs>
                <w:tab w:val="clear" w:pos="1701"/>
                <w:tab w:val="clear" w:pos="2268"/>
              </w:tabs>
              <w:spacing w:before="40" w:line="220" w:lineRule="exact"/>
              <w:ind w:left="0" w:right="0"/>
              <w:jc w:val="left"/>
            </w:pPr>
            <w:r w:rsidRPr="0012183E">
              <w:t>14.</w:t>
            </w:r>
          </w:p>
        </w:tc>
        <w:tc>
          <w:tcPr>
            <w:tcW w:w="6661" w:type="dxa"/>
            <w:tcBorders>
              <w:top w:val="nil"/>
              <w:bottom w:val="nil"/>
            </w:tcBorders>
            <w:shd w:val="clear" w:color="auto" w:fill="auto"/>
            <w:tcMar>
              <w:left w:w="28" w:type="dxa"/>
              <w:right w:w="28" w:type="dxa"/>
            </w:tcMar>
          </w:tcPr>
          <w:p w14:paraId="56ADDF90" w14:textId="77777777" w:rsidR="00252DBA" w:rsidRPr="0012183E" w:rsidRDefault="00252DBA" w:rsidP="000A2FA6">
            <w:pPr>
              <w:pStyle w:val="SingleTxtG"/>
              <w:tabs>
                <w:tab w:val="clear" w:pos="1701"/>
                <w:tab w:val="clear" w:pos="2268"/>
              </w:tabs>
              <w:spacing w:before="40" w:line="220" w:lineRule="exact"/>
              <w:ind w:left="0" w:right="0"/>
              <w:jc w:val="left"/>
            </w:pPr>
            <w:r w:rsidRPr="0012183E">
              <w:t>Международная конвенция против апартеида в спорте</w:t>
            </w:r>
          </w:p>
        </w:tc>
      </w:tr>
      <w:tr w:rsidR="00252DBA" w:rsidRPr="004B0920" w14:paraId="03A730BD" w14:textId="77777777" w:rsidTr="00FC752D">
        <w:tc>
          <w:tcPr>
            <w:tcW w:w="709" w:type="dxa"/>
            <w:tcBorders>
              <w:top w:val="nil"/>
              <w:bottom w:val="nil"/>
            </w:tcBorders>
            <w:shd w:val="clear" w:color="auto" w:fill="auto"/>
            <w:tcMar>
              <w:left w:w="28" w:type="dxa"/>
              <w:right w:w="28" w:type="dxa"/>
            </w:tcMar>
          </w:tcPr>
          <w:p w14:paraId="64038951" w14:textId="77777777" w:rsidR="00252DBA" w:rsidRPr="0012183E" w:rsidRDefault="00252DBA" w:rsidP="000A2FA6">
            <w:pPr>
              <w:pStyle w:val="SingleTxtG"/>
              <w:tabs>
                <w:tab w:val="clear" w:pos="1701"/>
                <w:tab w:val="clear" w:pos="2268"/>
              </w:tabs>
              <w:spacing w:before="40" w:line="220" w:lineRule="exact"/>
              <w:ind w:left="0" w:right="0"/>
              <w:jc w:val="left"/>
            </w:pPr>
            <w:r w:rsidRPr="0012183E">
              <w:t>15.</w:t>
            </w:r>
          </w:p>
        </w:tc>
        <w:tc>
          <w:tcPr>
            <w:tcW w:w="6661" w:type="dxa"/>
            <w:tcBorders>
              <w:top w:val="nil"/>
              <w:bottom w:val="nil"/>
            </w:tcBorders>
            <w:shd w:val="clear" w:color="auto" w:fill="auto"/>
            <w:tcMar>
              <w:left w:w="28" w:type="dxa"/>
              <w:right w:w="28" w:type="dxa"/>
            </w:tcMar>
          </w:tcPr>
          <w:p w14:paraId="76B7C901" w14:textId="77777777" w:rsidR="00252DBA" w:rsidRPr="0012183E" w:rsidRDefault="00252DBA" w:rsidP="000A2FA6">
            <w:pPr>
              <w:pStyle w:val="SingleTxtG"/>
              <w:tabs>
                <w:tab w:val="clear" w:pos="1701"/>
                <w:tab w:val="clear" w:pos="2268"/>
              </w:tabs>
              <w:spacing w:before="40" w:line="220" w:lineRule="exact"/>
              <w:ind w:left="0" w:right="0"/>
              <w:jc w:val="left"/>
            </w:pPr>
            <w:r w:rsidRPr="0012183E">
              <w:t>Факультативный протокол к Конвенции о правах ребенка, касающийся участия детей в вооруженных конфликтах</w:t>
            </w:r>
          </w:p>
        </w:tc>
      </w:tr>
      <w:tr w:rsidR="00252DBA" w:rsidRPr="004B0920" w14:paraId="1A8EFB6D" w14:textId="77777777" w:rsidTr="00FC752D">
        <w:tc>
          <w:tcPr>
            <w:tcW w:w="709" w:type="dxa"/>
            <w:tcBorders>
              <w:top w:val="nil"/>
              <w:bottom w:val="nil"/>
            </w:tcBorders>
            <w:shd w:val="clear" w:color="auto" w:fill="auto"/>
            <w:tcMar>
              <w:left w:w="28" w:type="dxa"/>
              <w:right w:w="28" w:type="dxa"/>
            </w:tcMar>
          </w:tcPr>
          <w:p w14:paraId="4005826D" w14:textId="77777777" w:rsidR="00252DBA" w:rsidRPr="0012183E" w:rsidRDefault="00252DBA" w:rsidP="000A2FA6">
            <w:pPr>
              <w:pStyle w:val="SingleTxtG"/>
              <w:tabs>
                <w:tab w:val="clear" w:pos="1701"/>
                <w:tab w:val="clear" w:pos="2268"/>
              </w:tabs>
              <w:spacing w:before="40" w:line="220" w:lineRule="exact"/>
              <w:ind w:left="0" w:right="0"/>
              <w:jc w:val="left"/>
            </w:pPr>
            <w:r w:rsidRPr="0012183E">
              <w:t>16.</w:t>
            </w:r>
          </w:p>
        </w:tc>
        <w:tc>
          <w:tcPr>
            <w:tcW w:w="6661" w:type="dxa"/>
            <w:tcBorders>
              <w:top w:val="nil"/>
              <w:bottom w:val="nil"/>
            </w:tcBorders>
            <w:shd w:val="clear" w:color="auto" w:fill="auto"/>
            <w:tcMar>
              <w:left w:w="28" w:type="dxa"/>
              <w:right w:w="28" w:type="dxa"/>
            </w:tcMar>
          </w:tcPr>
          <w:p w14:paraId="2E69592E" w14:textId="77777777" w:rsidR="00252DBA" w:rsidRPr="0012183E" w:rsidRDefault="00252DBA" w:rsidP="000A2FA6">
            <w:pPr>
              <w:pStyle w:val="SingleTxtG"/>
              <w:tabs>
                <w:tab w:val="clear" w:pos="1701"/>
                <w:tab w:val="clear" w:pos="2268"/>
              </w:tabs>
              <w:spacing w:before="40" w:line="220" w:lineRule="exact"/>
              <w:ind w:left="0" w:right="0"/>
              <w:jc w:val="left"/>
            </w:pPr>
            <w:r w:rsidRPr="0012183E">
              <w:t>Факультативный протокол к Конвенции о правах ребенка, касающийся торговли детьми, детской проституции и детской порнографии</w:t>
            </w:r>
          </w:p>
        </w:tc>
      </w:tr>
      <w:tr w:rsidR="00252DBA" w:rsidRPr="004B0920" w14:paraId="3578E424" w14:textId="77777777" w:rsidTr="00FC752D">
        <w:tc>
          <w:tcPr>
            <w:tcW w:w="709" w:type="dxa"/>
            <w:tcBorders>
              <w:top w:val="nil"/>
              <w:bottom w:val="nil"/>
            </w:tcBorders>
            <w:shd w:val="clear" w:color="auto" w:fill="auto"/>
            <w:tcMar>
              <w:left w:w="28" w:type="dxa"/>
              <w:right w:w="28" w:type="dxa"/>
            </w:tcMar>
          </w:tcPr>
          <w:p w14:paraId="7A504389" w14:textId="77777777" w:rsidR="00252DBA" w:rsidRPr="0012183E" w:rsidRDefault="00252DBA" w:rsidP="000A2FA6">
            <w:pPr>
              <w:pStyle w:val="SingleTxtG"/>
              <w:tabs>
                <w:tab w:val="clear" w:pos="1701"/>
                <w:tab w:val="clear" w:pos="2268"/>
              </w:tabs>
              <w:spacing w:before="40" w:line="220" w:lineRule="exact"/>
              <w:ind w:left="0" w:right="0"/>
              <w:jc w:val="left"/>
            </w:pPr>
            <w:r w:rsidRPr="0012183E">
              <w:t>17.</w:t>
            </w:r>
          </w:p>
        </w:tc>
        <w:tc>
          <w:tcPr>
            <w:tcW w:w="6661" w:type="dxa"/>
            <w:tcBorders>
              <w:top w:val="nil"/>
              <w:bottom w:val="nil"/>
            </w:tcBorders>
            <w:shd w:val="clear" w:color="auto" w:fill="auto"/>
            <w:tcMar>
              <w:left w:w="28" w:type="dxa"/>
              <w:right w:w="28" w:type="dxa"/>
            </w:tcMar>
          </w:tcPr>
          <w:p w14:paraId="743BCEC9" w14:textId="77777777" w:rsidR="00252DBA" w:rsidRPr="0012183E" w:rsidRDefault="00252DBA" w:rsidP="000A2FA6">
            <w:pPr>
              <w:pStyle w:val="SingleTxtG"/>
              <w:tabs>
                <w:tab w:val="clear" w:pos="1701"/>
                <w:tab w:val="clear" w:pos="2268"/>
              </w:tabs>
              <w:spacing w:before="40" w:line="220" w:lineRule="exact"/>
              <w:ind w:left="0" w:right="0"/>
              <w:jc w:val="left"/>
            </w:pPr>
            <w:r w:rsidRPr="0012183E">
              <w:t>Конвенция Международной организации труда (МОТ) о минимальном возрасте (№ 138) 1973 года</w:t>
            </w:r>
          </w:p>
        </w:tc>
      </w:tr>
      <w:tr w:rsidR="00252DBA" w:rsidRPr="004B0920" w14:paraId="29688986" w14:textId="77777777" w:rsidTr="00FC752D">
        <w:tc>
          <w:tcPr>
            <w:tcW w:w="709" w:type="dxa"/>
            <w:tcBorders>
              <w:top w:val="nil"/>
              <w:bottom w:val="nil"/>
            </w:tcBorders>
            <w:shd w:val="clear" w:color="auto" w:fill="auto"/>
            <w:tcMar>
              <w:left w:w="28" w:type="dxa"/>
              <w:right w:w="28" w:type="dxa"/>
            </w:tcMar>
          </w:tcPr>
          <w:p w14:paraId="79D4FAF0" w14:textId="77777777" w:rsidR="00252DBA" w:rsidRPr="0012183E" w:rsidRDefault="00252DBA" w:rsidP="000A2FA6">
            <w:pPr>
              <w:pStyle w:val="SingleTxtG"/>
              <w:tabs>
                <w:tab w:val="clear" w:pos="1701"/>
                <w:tab w:val="clear" w:pos="2268"/>
              </w:tabs>
              <w:spacing w:before="40" w:line="220" w:lineRule="exact"/>
              <w:ind w:left="0" w:right="0"/>
              <w:jc w:val="left"/>
            </w:pPr>
            <w:r w:rsidRPr="0012183E">
              <w:t>18.</w:t>
            </w:r>
          </w:p>
        </w:tc>
        <w:tc>
          <w:tcPr>
            <w:tcW w:w="6661" w:type="dxa"/>
            <w:tcBorders>
              <w:top w:val="nil"/>
              <w:bottom w:val="nil"/>
            </w:tcBorders>
            <w:shd w:val="clear" w:color="auto" w:fill="auto"/>
            <w:tcMar>
              <w:left w:w="28" w:type="dxa"/>
              <w:right w:w="28" w:type="dxa"/>
            </w:tcMar>
          </w:tcPr>
          <w:p w14:paraId="7AABBC6D" w14:textId="77777777" w:rsidR="00252DBA" w:rsidRPr="0012183E" w:rsidRDefault="00252DBA" w:rsidP="000A2FA6">
            <w:pPr>
              <w:pStyle w:val="SingleTxtG"/>
              <w:tabs>
                <w:tab w:val="clear" w:pos="1701"/>
                <w:tab w:val="clear" w:pos="2268"/>
              </w:tabs>
              <w:spacing w:before="40" w:line="220" w:lineRule="exact"/>
              <w:ind w:left="0" w:right="0"/>
              <w:jc w:val="left"/>
            </w:pPr>
            <w:r w:rsidRPr="0012183E">
              <w:t>Конвенция МОТ о запрещении и немедленных мерах по искоренению наихудших форм детского труда (№ 182) 1999 года</w:t>
            </w:r>
          </w:p>
        </w:tc>
      </w:tr>
      <w:tr w:rsidR="00252DBA" w:rsidRPr="004B0920" w14:paraId="1D4874CD" w14:textId="77777777" w:rsidTr="00FC752D">
        <w:tc>
          <w:tcPr>
            <w:tcW w:w="709" w:type="dxa"/>
            <w:tcBorders>
              <w:top w:val="nil"/>
              <w:bottom w:val="nil"/>
            </w:tcBorders>
            <w:shd w:val="clear" w:color="auto" w:fill="auto"/>
            <w:tcMar>
              <w:left w:w="28" w:type="dxa"/>
              <w:right w:w="28" w:type="dxa"/>
            </w:tcMar>
          </w:tcPr>
          <w:p w14:paraId="2A70B11F" w14:textId="77777777" w:rsidR="00252DBA" w:rsidRPr="0012183E" w:rsidRDefault="00252DBA" w:rsidP="000A2FA6">
            <w:pPr>
              <w:pStyle w:val="SingleTxtG"/>
              <w:tabs>
                <w:tab w:val="clear" w:pos="1701"/>
                <w:tab w:val="clear" w:pos="2268"/>
              </w:tabs>
              <w:spacing w:before="40" w:line="220" w:lineRule="exact"/>
              <w:ind w:left="0" w:right="0"/>
              <w:jc w:val="left"/>
            </w:pPr>
            <w:r w:rsidRPr="0012183E">
              <w:t>19.</w:t>
            </w:r>
          </w:p>
        </w:tc>
        <w:tc>
          <w:tcPr>
            <w:tcW w:w="6661" w:type="dxa"/>
            <w:tcBorders>
              <w:top w:val="nil"/>
              <w:bottom w:val="nil"/>
            </w:tcBorders>
            <w:shd w:val="clear" w:color="auto" w:fill="auto"/>
            <w:tcMar>
              <w:left w:w="28" w:type="dxa"/>
              <w:right w:w="28" w:type="dxa"/>
            </w:tcMar>
          </w:tcPr>
          <w:p w14:paraId="4047CB21" w14:textId="731987DA" w:rsidR="00252DBA" w:rsidRPr="0012183E" w:rsidRDefault="00252DBA" w:rsidP="000A2FA6">
            <w:pPr>
              <w:pStyle w:val="SingleTxtG"/>
              <w:tabs>
                <w:tab w:val="clear" w:pos="1701"/>
                <w:tab w:val="clear" w:pos="2268"/>
              </w:tabs>
              <w:spacing w:before="40" w:line="220" w:lineRule="exact"/>
              <w:ind w:left="0" w:right="0"/>
              <w:jc w:val="left"/>
            </w:pPr>
            <w:r w:rsidRPr="0012183E">
              <w:t xml:space="preserve">Арабская хартия прав человека </w:t>
            </w:r>
            <w:r w:rsidR="00FC752D">
              <w:t xml:space="preserve">— </w:t>
            </w:r>
            <w:r w:rsidRPr="0012183E">
              <w:t>во исполнение Закона № 84</w:t>
            </w:r>
            <w:r w:rsidR="004A346E">
              <w:t xml:space="preserve"> </w:t>
            </w:r>
            <w:r w:rsidRPr="0012183E">
              <w:t>2013 года</w:t>
            </w:r>
          </w:p>
        </w:tc>
      </w:tr>
      <w:tr w:rsidR="00252DBA" w:rsidRPr="004B0920" w14:paraId="28257634" w14:textId="77777777" w:rsidTr="00FC752D">
        <w:tc>
          <w:tcPr>
            <w:tcW w:w="709" w:type="dxa"/>
            <w:tcBorders>
              <w:top w:val="nil"/>
              <w:bottom w:val="nil"/>
            </w:tcBorders>
            <w:shd w:val="clear" w:color="auto" w:fill="auto"/>
            <w:tcMar>
              <w:left w:w="28" w:type="dxa"/>
              <w:right w:w="28" w:type="dxa"/>
            </w:tcMar>
          </w:tcPr>
          <w:p w14:paraId="7FB59EB5" w14:textId="77777777" w:rsidR="00252DBA" w:rsidRPr="0012183E" w:rsidRDefault="00252DBA" w:rsidP="000A2FA6">
            <w:pPr>
              <w:pStyle w:val="SingleTxtG"/>
              <w:tabs>
                <w:tab w:val="clear" w:pos="1701"/>
                <w:tab w:val="clear" w:pos="2268"/>
              </w:tabs>
              <w:spacing w:before="40" w:line="220" w:lineRule="exact"/>
              <w:ind w:left="0" w:right="0"/>
              <w:jc w:val="left"/>
            </w:pPr>
            <w:r w:rsidRPr="0012183E">
              <w:t>20.</w:t>
            </w:r>
          </w:p>
        </w:tc>
        <w:tc>
          <w:tcPr>
            <w:tcW w:w="6661" w:type="dxa"/>
            <w:tcBorders>
              <w:top w:val="nil"/>
              <w:bottom w:val="nil"/>
            </w:tcBorders>
            <w:shd w:val="clear" w:color="auto" w:fill="auto"/>
            <w:tcMar>
              <w:left w:w="28" w:type="dxa"/>
              <w:right w:w="28" w:type="dxa"/>
            </w:tcMar>
          </w:tcPr>
          <w:p w14:paraId="75967578" w14:textId="72EC39F7" w:rsidR="00252DBA" w:rsidRPr="0012183E" w:rsidRDefault="00252DBA" w:rsidP="000A2FA6">
            <w:pPr>
              <w:pStyle w:val="SingleTxtG"/>
              <w:tabs>
                <w:tab w:val="clear" w:pos="1701"/>
                <w:tab w:val="clear" w:pos="2268"/>
              </w:tabs>
              <w:spacing w:before="40" w:line="220" w:lineRule="exact"/>
              <w:ind w:left="0" w:right="0"/>
              <w:jc w:val="left"/>
            </w:pPr>
            <w:r w:rsidRPr="0012183E">
              <w:t xml:space="preserve">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w:t>
            </w:r>
            <w:r w:rsidR="00FC752D">
              <w:t>—</w:t>
            </w:r>
            <w:r w:rsidRPr="0012183E">
              <w:t xml:space="preserve"> во исполнение Закона № 5 2006 года, принятого 27 марта 2006 года</w:t>
            </w:r>
          </w:p>
        </w:tc>
      </w:tr>
      <w:tr w:rsidR="00252DBA" w:rsidRPr="004B0920" w14:paraId="2096E3A2" w14:textId="77777777" w:rsidTr="00FC752D">
        <w:tc>
          <w:tcPr>
            <w:tcW w:w="709" w:type="dxa"/>
            <w:tcBorders>
              <w:top w:val="nil"/>
            </w:tcBorders>
            <w:shd w:val="clear" w:color="auto" w:fill="auto"/>
            <w:tcMar>
              <w:left w:w="28" w:type="dxa"/>
              <w:right w:w="28" w:type="dxa"/>
            </w:tcMar>
          </w:tcPr>
          <w:p w14:paraId="40347B3D" w14:textId="77777777" w:rsidR="00252DBA" w:rsidRPr="0012183E" w:rsidRDefault="00252DBA" w:rsidP="000A2FA6">
            <w:pPr>
              <w:pStyle w:val="SingleTxtG"/>
              <w:tabs>
                <w:tab w:val="clear" w:pos="1701"/>
                <w:tab w:val="clear" w:pos="2268"/>
              </w:tabs>
              <w:spacing w:before="40" w:line="220" w:lineRule="exact"/>
              <w:ind w:left="0" w:right="0"/>
              <w:jc w:val="left"/>
            </w:pPr>
            <w:r w:rsidRPr="0012183E">
              <w:t>21.</w:t>
            </w:r>
          </w:p>
        </w:tc>
        <w:tc>
          <w:tcPr>
            <w:tcW w:w="6661" w:type="dxa"/>
            <w:tcBorders>
              <w:top w:val="nil"/>
            </w:tcBorders>
            <w:shd w:val="clear" w:color="auto" w:fill="auto"/>
            <w:tcMar>
              <w:left w:w="28" w:type="dxa"/>
              <w:right w:w="28" w:type="dxa"/>
            </w:tcMar>
          </w:tcPr>
          <w:p w14:paraId="38689E8A" w14:textId="785F5393" w:rsidR="00252DBA" w:rsidRPr="0012183E" w:rsidRDefault="00252DBA" w:rsidP="000A2FA6">
            <w:pPr>
              <w:pStyle w:val="SingleTxtG"/>
              <w:tabs>
                <w:tab w:val="clear" w:pos="1701"/>
                <w:tab w:val="clear" w:pos="2268"/>
              </w:tabs>
              <w:spacing w:before="40" w:line="220" w:lineRule="exact"/>
              <w:ind w:left="0" w:right="0"/>
              <w:jc w:val="left"/>
            </w:pPr>
            <w:r w:rsidRPr="0012183E">
              <w:t>Конвенция о правах инвалидов</w:t>
            </w:r>
            <w:r w:rsidR="004652E6">
              <w:t xml:space="preserve"> </w:t>
            </w:r>
            <w:r w:rsidR="00FC752D">
              <w:t>—</w:t>
            </w:r>
            <w:r w:rsidRPr="0012183E">
              <w:t xml:space="preserve"> во исполнение Закона № 35 2013 года</w:t>
            </w:r>
          </w:p>
        </w:tc>
      </w:tr>
    </w:tbl>
    <w:p w14:paraId="57A78CFA" w14:textId="77777777" w:rsidR="00252DBA" w:rsidRPr="0012183E" w:rsidRDefault="00252DBA" w:rsidP="00FC752D">
      <w:pPr>
        <w:pStyle w:val="H23G"/>
      </w:pPr>
      <w:r w:rsidRPr="0012183E">
        <w:tab/>
      </w:r>
      <w:r w:rsidRPr="0012183E">
        <w:tab/>
        <w:t>Принципы, закрепленные в Конституции Кувейта</w:t>
      </w:r>
      <w:bookmarkStart w:id="17" w:name="_Toc83644972"/>
      <w:bookmarkEnd w:id="17"/>
    </w:p>
    <w:p w14:paraId="51D82577" w14:textId="77777777" w:rsidR="00252DBA" w:rsidRPr="0012183E" w:rsidRDefault="00252DBA" w:rsidP="00252DBA">
      <w:pPr>
        <w:pStyle w:val="SingleTxtG"/>
      </w:pPr>
      <w:r w:rsidRPr="0012183E">
        <w:t>25.</w:t>
      </w:r>
      <w:r w:rsidRPr="0012183E">
        <w:tab/>
        <w:t xml:space="preserve">Конституция Кувейта может рассматриваться как политическая и юридическая основа для общих правил, регулирующих права человека в Кувейте. Ряд законов были введены в действие до принятия Конституции с целью обеспечения гарантий </w:t>
      </w:r>
      <w:r w:rsidRPr="0012183E">
        <w:lastRenderedPageBreak/>
        <w:t>правосудия лицам, находящимся в Кувейте. К этим законам относятся Уголовный кодекс и Уголовно-процессуальный кодекс, которые были приняты в 1960 году.</w:t>
      </w:r>
    </w:p>
    <w:p w14:paraId="6C222D7B" w14:textId="79BEE55C" w:rsidR="00252DBA" w:rsidRPr="0012183E" w:rsidRDefault="00252DBA" w:rsidP="00252DBA">
      <w:pPr>
        <w:pStyle w:val="SingleTxtG"/>
      </w:pPr>
      <w:r w:rsidRPr="0012183E">
        <w:t>26.</w:t>
      </w:r>
      <w:r w:rsidRPr="0012183E">
        <w:tab/>
        <w:t xml:space="preserve">Статья 70 Конституции гласит: «Эмир заключает договоры путем издания постановлений и незамедлительно передает их в Национальное собрание, прилагая соответствующую резолюцию. Договор приобретает силу закона после его подписания, ратификации и публикации в </w:t>
      </w:r>
      <w:r w:rsidR="004652E6">
        <w:t>"</w:t>
      </w:r>
      <w:r w:rsidRPr="0012183E">
        <w:t>Официальном вестнике"».</w:t>
      </w:r>
    </w:p>
    <w:p w14:paraId="7637AD0F" w14:textId="77777777" w:rsidR="00252DBA" w:rsidRPr="0012183E" w:rsidRDefault="00252DBA" w:rsidP="00252DBA">
      <w:pPr>
        <w:pStyle w:val="SingleTxtG"/>
      </w:pPr>
      <w:r w:rsidRPr="0012183E">
        <w:t>27.</w:t>
      </w:r>
      <w:r w:rsidRPr="0012183E">
        <w:tab/>
        <w:t xml:space="preserve">С учетом важности прав человека в большинстве конституционных положений закреплены </w:t>
      </w:r>
      <w:proofErr w:type="spellStart"/>
      <w:r w:rsidRPr="0012183E">
        <w:t>международно</w:t>
      </w:r>
      <w:proofErr w:type="spellEnd"/>
      <w:r w:rsidRPr="0012183E">
        <w:t xml:space="preserve"> признанные принципы в этой области, изложенные в международных договорах. Защите этих прав и свобод и обеспечению их эффективного осуществления далее способствовало учреждение Конституционного суда на основании Закона № 14 1973 года. Права и свободы занимают в Конституции Кувейта заметное место: конкретные положения на их счет содержатся в большинстве ее статей. К ним относятся:</w:t>
      </w:r>
    </w:p>
    <w:p w14:paraId="50F70F82" w14:textId="77777777" w:rsidR="00252DBA" w:rsidRPr="0012183E" w:rsidRDefault="00252DBA" w:rsidP="00252DBA">
      <w:pPr>
        <w:pStyle w:val="Bullet1G"/>
        <w:numPr>
          <w:ilvl w:val="0"/>
          <w:numId w:val="0"/>
        </w:numPr>
        <w:tabs>
          <w:tab w:val="left" w:pos="1701"/>
        </w:tabs>
        <w:ind w:left="1701" w:hanging="170"/>
      </w:pPr>
      <w:r w:rsidRPr="0012183E">
        <w:t>•</w:t>
      </w:r>
      <w:r w:rsidRPr="0012183E">
        <w:tab/>
        <w:t>статья 6, которая гласит, что народ является источником всей государственной власти и суверенитета;</w:t>
      </w:r>
    </w:p>
    <w:p w14:paraId="311AE032" w14:textId="77777777" w:rsidR="00252DBA" w:rsidRPr="0012183E" w:rsidRDefault="00252DBA" w:rsidP="00252DBA">
      <w:pPr>
        <w:pStyle w:val="Bullet1G"/>
        <w:numPr>
          <w:ilvl w:val="0"/>
          <w:numId w:val="0"/>
        </w:numPr>
        <w:tabs>
          <w:tab w:val="left" w:pos="1701"/>
        </w:tabs>
        <w:ind w:left="1701" w:hanging="170"/>
      </w:pPr>
      <w:r w:rsidRPr="0012183E">
        <w:t>•</w:t>
      </w:r>
      <w:r w:rsidRPr="0012183E">
        <w:tab/>
        <w:t>статья 7, в которой говорится о справедливости, равенстве и свободе;</w:t>
      </w:r>
    </w:p>
    <w:p w14:paraId="6F179C34" w14:textId="77777777" w:rsidR="00252DBA" w:rsidRPr="0012183E" w:rsidRDefault="00252DBA" w:rsidP="00252DBA">
      <w:pPr>
        <w:pStyle w:val="Bullet1G"/>
        <w:numPr>
          <w:ilvl w:val="0"/>
          <w:numId w:val="0"/>
        </w:numPr>
        <w:tabs>
          <w:tab w:val="left" w:pos="1701"/>
        </w:tabs>
        <w:ind w:left="1701" w:hanging="170"/>
      </w:pPr>
      <w:r w:rsidRPr="0012183E">
        <w:t>•</w:t>
      </w:r>
      <w:r w:rsidRPr="0012183E">
        <w:tab/>
        <w:t xml:space="preserve">статьи 9 и 10, в которых гарантируется защита семьи, материнства, детства и молодежи; </w:t>
      </w:r>
    </w:p>
    <w:p w14:paraId="77D06003" w14:textId="77777777" w:rsidR="00252DBA" w:rsidRPr="0012183E" w:rsidRDefault="00252DBA" w:rsidP="00252DBA">
      <w:pPr>
        <w:pStyle w:val="Bullet1G"/>
        <w:numPr>
          <w:ilvl w:val="0"/>
          <w:numId w:val="0"/>
        </w:numPr>
        <w:tabs>
          <w:tab w:val="left" w:pos="1701"/>
        </w:tabs>
        <w:ind w:left="1701" w:hanging="170"/>
      </w:pPr>
      <w:r w:rsidRPr="0012183E">
        <w:t>•</w:t>
      </w:r>
      <w:r w:rsidRPr="0012183E">
        <w:tab/>
        <w:t>статья 11, которая предусматривает, что всем престарелым, больным и нетрудоспособным гражданам должны предоставляться уход и социальное обеспечение;</w:t>
      </w:r>
    </w:p>
    <w:p w14:paraId="10004D4D" w14:textId="77777777" w:rsidR="00252DBA" w:rsidRPr="0012183E" w:rsidRDefault="00252DBA" w:rsidP="00252DBA">
      <w:pPr>
        <w:pStyle w:val="Bullet1G"/>
        <w:numPr>
          <w:ilvl w:val="0"/>
          <w:numId w:val="0"/>
        </w:numPr>
        <w:tabs>
          <w:tab w:val="left" w:pos="1701"/>
        </w:tabs>
        <w:ind w:left="1701" w:hanging="170"/>
      </w:pPr>
      <w:r w:rsidRPr="0012183E">
        <w:t>•</w:t>
      </w:r>
      <w:r w:rsidRPr="0012183E">
        <w:tab/>
        <w:t>статья 13, в которой гарантируется бесплатное государственное образование;</w:t>
      </w:r>
    </w:p>
    <w:p w14:paraId="76A24056" w14:textId="77777777" w:rsidR="00252DBA" w:rsidRPr="0012183E" w:rsidRDefault="00252DBA" w:rsidP="00252DBA">
      <w:pPr>
        <w:pStyle w:val="Bullet1G"/>
        <w:numPr>
          <w:ilvl w:val="0"/>
          <w:numId w:val="0"/>
        </w:numPr>
        <w:tabs>
          <w:tab w:val="left" w:pos="1701"/>
        </w:tabs>
        <w:ind w:left="1701" w:hanging="170"/>
      </w:pPr>
      <w:r w:rsidRPr="0012183E">
        <w:t>•</w:t>
      </w:r>
      <w:r w:rsidRPr="0012183E">
        <w:tab/>
        <w:t xml:space="preserve">статья 14, которая способствует развитию науки и искусства и стимулирует научные исследования; </w:t>
      </w:r>
    </w:p>
    <w:p w14:paraId="498B1A61" w14:textId="77777777" w:rsidR="00252DBA" w:rsidRPr="0012183E" w:rsidRDefault="00252DBA" w:rsidP="00252DBA">
      <w:pPr>
        <w:pStyle w:val="Bullet1G"/>
        <w:numPr>
          <w:ilvl w:val="0"/>
          <w:numId w:val="0"/>
        </w:numPr>
        <w:tabs>
          <w:tab w:val="left" w:pos="1701"/>
        </w:tabs>
        <w:ind w:left="1701" w:hanging="170"/>
      </w:pPr>
      <w:r w:rsidRPr="0012183E">
        <w:t>•</w:t>
      </w:r>
      <w:r w:rsidRPr="0012183E">
        <w:tab/>
        <w:t>статья 15, в которой гарантируется право на медицинскую помощь;</w:t>
      </w:r>
    </w:p>
    <w:p w14:paraId="787FCDE2" w14:textId="77777777" w:rsidR="00252DBA" w:rsidRPr="0012183E" w:rsidRDefault="00252DBA" w:rsidP="00252DBA">
      <w:pPr>
        <w:pStyle w:val="Bullet1G"/>
        <w:numPr>
          <w:ilvl w:val="0"/>
          <w:numId w:val="0"/>
        </w:numPr>
        <w:tabs>
          <w:tab w:val="left" w:pos="1701"/>
        </w:tabs>
        <w:ind w:left="1701" w:hanging="170"/>
      </w:pPr>
      <w:r w:rsidRPr="0012183E">
        <w:t>•</w:t>
      </w:r>
      <w:r w:rsidRPr="0012183E">
        <w:tab/>
      </w:r>
      <w:r w:rsidRPr="0012183E">
        <w:tab/>
        <w:t>статьи 16 и 17, касающиеся права собственности на имущество и защиты и неприкосновенности государственной собственности;</w:t>
      </w:r>
    </w:p>
    <w:p w14:paraId="5A0A3E5A" w14:textId="77777777" w:rsidR="00252DBA" w:rsidRPr="0012183E" w:rsidRDefault="00252DBA" w:rsidP="00252DBA">
      <w:pPr>
        <w:pStyle w:val="Bullet1G"/>
        <w:numPr>
          <w:ilvl w:val="0"/>
          <w:numId w:val="0"/>
        </w:numPr>
        <w:tabs>
          <w:tab w:val="left" w:pos="1701"/>
        </w:tabs>
        <w:ind w:left="1701" w:hanging="170"/>
      </w:pPr>
      <w:r w:rsidRPr="0012183E">
        <w:t>•</w:t>
      </w:r>
      <w:r w:rsidRPr="0012183E">
        <w:tab/>
        <w:t>статья 18, касающаяся гарантирования частной собственности и принципа, согласно которому никто не может быть лишен своей собственности, за исключением случаев, когда это делается в общественных интересах, на условиях, установленных законом, и при условии предоставления справедливой компенсации;</w:t>
      </w:r>
    </w:p>
    <w:p w14:paraId="5606E839" w14:textId="77777777" w:rsidR="00252DBA" w:rsidRPr="0012183E" w:rsidRDefault="00252DBA" w:rsidP="00252DBA">
      <w:pPr>
        <w:pStyle w:val="Bullet1G"/>
        <w:numPr>
          <w:ilvl w:val="0"/>
          <w:numId w:val="0"/>
        </w:numPr>
        <w:tabs>
          <w:tab w:val="left" w:pos="1701"/>
        </w:tabs>
        <w:ind w:left="1701" w:hanging="170"/>
      </w:pPr>
      <w:r w:rsidRPr="0012183E">
        <w:t>•</w:t>
      </w:r>
      <w:r w:rsidRPr="0012183E">
        <w:tab/>
        <w:t>статья 26, касающаяся поступления на государственную службу.</w:t>
      </w:r>
    </w:p>
    <w:p w14:paraId="6207B144" w14:textId="77777777" w:rsidR="00252DBA" w:rsidRPr="0012183E" w:rsidRDefault="00252DBA" w:rsidP="00252DBA">
      <w:pPr>
        <w:pStyle w:val="H23G"/>
      </w:pPr>
      <w:r w:rsidRPr="0012183E">
        <w:tab/>
      </w:r>
      <w:r w:rsidRPr="0012183E">
        <w:tab/>
      </w:r>
      <w:r w:rsidRPr="0012183E">
        <w:rPr>
          <w:bCs/>
        </w:rPr>
        <w:t>Принципы прав человека, закрепленные в главе III Конституции</w:t>
      </w:r>
      <w:bookmarkStart w:id="18" w:name="_Toc83644973"/>
      <w:bookmarkEnd w:id="18"/>
    </w:p>
    <w:p w14:paraId="5C286062" w14:textId="77777777" w:rsidR="00252DBA" w:rsidRPr="0012183E" w:rsidRDefault="00252DBA" w:rsidP="00252DBA">
      <w:pPr>
        <w:pStyle w:val="SingleTxtG"/>
      </w:pPr>
      <w:r w:rsidRPr="0012183E">
        <w:t>28.</w:t>
      </w:r>
      <w:r w:rsidRPr="0012183E">
        <w:tab/>
        <w:t>В этой главе перечисляется ряд общих прав и обязанностей, а также содержится ряд принципов, закрепленных в международных договорах по правам человека, которые приведены ниже:</w:t>
      </w:r>
    </w:p>
    <w:p w14:paraId="140671E9" w14:textId="77777777" w:rsidR="00252DBA" w:rsidRPr="0012183E" w:rsidRDefault="00252DBA" w:rsidP="00252DBA">
      <w:pPr>
        <w:pStyle w:val="Bullet1G"/>
        <w:numPr>
          <w:ilvl w:val="0"/>
          <w:numId w:val="0"/>
        </w:numPr>
        <w:tabs>
          <w:tab w:val="left" w:pos="1701"/>
        </w:tabs>
        <w:ind w:left="1701" w:hanging="170"/>
      </w:pPr>
      <w:r w:rsidRPr="0012183E">
        <w:t>•</w:t>
      </w:r>
      <w:r w:rsidRPr="0012183E">
        <w:tab/>
        <w:t>никто не может быть незаконно лишен гражданства (ст. 27);</w:t>
      </w:r>
    </w:p>
    <w:p w14:paraId="564CB71C" w14:textId="77777777" w:rsidR="00252DBA" w:rsidRPr="0012183E" w:rsidRDefault="00252DBA" w:rsidP="00252DBA">
      <w:pPr>
        <w:pStyle w:val="Bullet1G"/>
        <w:numPr>
          <w:ilvl w:val="0"/>
          <w:numId w:val="0"/>
        </w:numPr>
        <w:tabs>
          <w:tab w:val="left" w:pos="1701"/>
        </w:tabs>
        <w:ind w:left="1701" w:hanging="170"/>
      </w:pPr>
      <w:r w:rsidRPr="0012183E">
        <w:t>•</w:t>
      </w:r>
      <w:r w:rsidRPr="0012183E">
        <w:tab/>
        <w:t>ни один гражданин Кувейта не может быть выслан из страны (ст. 28);</w:t>
      </w:r>
    </w:p>
    <w:p w14:paraId="5819813E" w14:textId="77777777" w:rsidR="00252DBA" w:rsidRPr="0012183E" w:rsidRDefault="00252DBA" w:rsidP="00252DBA">
      <w:pPr>
        <w:pStyle w:val="Bullet1G"/>
        <w:numPr>
          <w:ilvl w:val="0"/>
          <w:numId w:val="0"/>
        </w:numPr>
        <w:tabs>
          <w:tab w:val="left" w:pos="1701"/>
        </w:tabs>
        <w:ind w:left="1701" w:hanging="170"/>
      </w:pPr>
      <w:r w:rsidRPr="0012183E">
        <w:t>•</w:t>
      </w:r>
      <w:r w:rsidRPr="0012183E">
        <w:tab/>
        <w:t>равенство и недискриминация по признакам пола, происхождения, языка или религии: все граждане равны перед законом в отношении общих прав и обязанностей (ст. 29);</w:t>
      </w:r>
    </w:p>
    <w:p w14:paraId="657FF9B8" w14:textId="22C91E37" w:rsidR="00252DBA" w:rsidRPr="0012183E" w:rsidRDefault="00252DBA" w:rsidP="00252DBA">
      <w:pPr>
        <w:pStyle w:val="Bullet1G"/>
        <w:numPr>
          <w:ilvl w:val="0"/>
          <w:numId w:val="0"/>
        </w:numPr>
        <w:tabs>
          <w:tab w:val="left" w:pos="1701"/>
        </w:tabs>
        <w:ind w:left="1701" w:hanging="170"/>
      </w:pPr>
      <w:r w:rsidRPr="0012183E">
        <w:t>•</w:t>
      </w:r>
      <w:r w:rsidRPr="0012183E">
        <w:tab/>
        <w:t>признание таких прав и свобод, как свобода личности (ст. 30), свобода убеждений (ст. 35), свобода мнений и научных исследований (ст. 36), свобода прессы, печати и публикаций (ст. 37), свобода частной и домашней жизни (ст.</w:t>
      </w:r>
      <w:r w:rsidR="00FC752D">
        <w:t> </w:t>
      </w:r>
      <w:r w:rsidRPr="0012183E">
        <w:t>38), свобода общения по почте, телеграфу и телефону и свобода создавать ассоциации и профсоюзы (ст. 43) и свобода собраний (ст. 44);</w:t>
      </w:r>
    </w:p>
    <w:p w14:paraId="799BEBA5" w14:textId="77777777" w:rsidR="00252DBA" w:rsidRPr="0012183E" w:rsidRDefault="00252DBA" w:rsidP="00252DBA">
      <w:pPr>
        <w:pStyle w:val="Bullet1G"/>
        <w:numPr>
          <w:ilvl w:val="0"/>
          <w:numId w:val="0"/>
        </w:numPr>
        <w:tabs>
          <w:tab w:val="left" w:pos="1701"/>
        </w:tabs>
        <w:ind w:left="1701" w:hanging="170"/>
      </w:pPr>
      <w:r w:rsidRPr="0012183E">
        <w:t>•</w:t>
      </w:r>
      <w:r w:rsidRPr="0012183E">
        <w:tab/>
        <w:t xml:space="preserve">принцип, согласно которому никто не может быть незаконно арестован или заключен под стражу, подвергнут истязаниям, быть объектом запрета покидать </w:t>
      </w:r>
      <w:r w:rsidRPr="0012183E">
        <w:lastRenderedPageBreak/>
        <w:t>место жительства, ограничен в свободе, выборе места проживания или возможности передвигаться, а также подвергнут пыткам или унижающему достоинство обращению (ст. 31);</w:t>
      </w:r>
    </w:p>
    <w:p w14:paraId="6DAC170B" w14:textId="77777777" w:rsidR="00252DBA" w:rsidRPr="00F60299" w:rsidRDefault="00252DBA" w:rsidP="00252DBA">
      <w:pPr>
        <w:pStyle w:val="Bullet1G"/>
        <w:numPr>
          <w:ilvl w:val="0"/>
          <w:numId w:val="0"/>
        </w:numPr>
        <w:tabs>
          <w:tab w:val="left" w:pos="1701"/>
        </w:tabs>
        <w:ind w:left="1701" w:hanging="170"/>
        <w:rPr>
          <w:lang w:val="en-US"/>
        </w:rPr>
      </w:pPr>
      <w:r w:rsidRPr="00F60299">
        <w:rPr>
          <w:lang w:val="en-US"/>
        </w:rPr>
        <w:t>•</w:t>
      </w:r>
      <w:r w:rsidRPr="00F60299">
        <w:rPr>
          <w:lang w:val="en-US"/>
        </w:rPr>
        <w:tab/>
      </w:r>
      <w:r w:rsidRPr="0012183E">
        <w:t>принцип</w:t>
      </w:r>
      <w:r w:rsidRPr="00F60299">
        <w:rPr>
          <w:lang w:val="en-US"/>
        </w:rPr>
        <w:t xml:space="preserve"> </w:t>
      </w:r>
      <w:proofErr w:type="spellStart"/>
      <w:r w:rsidRPr="00F60299">
        <w:rPr>
          <w:lang w:val="en-US"/>
        </w:rPr>
        <w:t>nulla</w:t>
      </w:r>
      <w:proofErr w:type="spellEnd"/>
      <w:r w:rsidRPr="00F60299">
        <w:rPr>
          <w:lang w:val="en-US"/>
        </w:rPr>
        <w:t xml:space="preserve"> </w:t>
      </w:r>
      <w:proofErr w:type="spellStart"/>
      <w:r w:rsidRPr="00F60299">
        <w:rPr>
          <w:lang w:val="en-US"/>
        </w:rPr>
        <w:t>poena</w:t>
      </w:r>
      <w:proofErr w:type="spellEnd"/>
      <w:r w:rsidRPr="00F60299">
        <w:rPr>
          <w:lang w:val="en-US"/>
        </w:rPr>
        <w:t xml:space="preserve"> sine </w:t>
      </w:r>
      <w:proofErr w:type="spellStart"/>
      <w:r w:rsidRPr="00F60299">
        <w:rPr>
          <w:lang w:val="en-US"/>
        </w:rPr>
        <w:t>lege</w:t>
      </w:r>
      <w:proofErr w:type="spellEnd"/>
      <w:r w:rsidRPr="00F60299">
        <w:rPr>
          <w:lang w:val="en-US"/>
        </w:rPr>
        <w:t xml:space="preserve"> (</w:t>
      </w:r>
      <w:proofErr w:type="spellStart"/>
      <w:r w:rsidRPr="0012183E">
        <w:t>ст</w:t>
      </w:r>
      <w:proofErr w:type="spellEnd"/>
      <w:r w:rsidRPr="00F60299">
        <w:rPr>
          <w:lang w:val="en-US"/>
        </w:rPr>
        <w:t>. 32</w:t>
      </w:r>
      <w:proofErr w:type="gramStart"/>
      <w:r w:rsidRPr="00F60299">
        <w:rPr>
          <w:lang w:val="en-US"/>
        </w:rPr>
        <w:t>);</w:t>
      </w:r>
      <w:proofErr w:type="gramEnd"/>
    </w:p>
    <w:p w14:paraId="7DFCF5CE" w14:textId="77777777" w:rsidR="00252DBA" w:rsidRPr="0012183E" w:rsidRDefault="00252DBA" w:rsidP="00252DBA">
      <w:pPr>
        <w:pStyle w:val="Bullet1G"/>
        <w:numPr>
          <w:ilvl w:val="0"/>
          <w:numId w:val="0"/>
        </w:numPr>
        <w:tabs>
          <w:tab w:val="left" w:pos="1701"/>
        </w:tabs>
        <w:ind w:left="1701" w:hanging="170"/>
      </w:pPr>
      <w:r w:rsidRPr="0012183E">
        <w:t>•</w:t>
      </w:r>
      <w:r w:rsidRPr="0012183E">
        <w:tab/>
        <w:t>принцип, согласно которому обвиняемый считается невиновным до тех пор, пока он не будет признан виновным в ходе законного судебного разбирательства при обеспечении полных гарантий права на защиту (ст. 34);</w:t>
      </w:r>
    </w:p>
    <w:p w14:paraId="6C6EE6EE" w14:textId="77777777" w:rsidR="00252DBA" w:rsidRPr="0012183E" w:rsidRDefault="00252DBA" w:rsidP="00252DBA">
      <w:pPr>
        <w:pStyle w:val="Bullet1G"/>
        <w:numPr>
          <w:ilvl w:val="0"/>
          <w:numId w:val="0"/>
        </w:numPr>
        <w:tabs>
          <w:tab w:val="left" w:pos="1701"/>
        </w:tabs>
        <w:ind w:left="1701" w:hanging="170"/>
      </w:pPr>
      <w:r w:rsidRPr="0012183E">
        <w:t>•</w:t>
      </w:r>
      <w:r w:rsidRPr="0012183E">
        <w:tab/>
        <w:t>право на бесплатное образование на всех этапах и обязательность образования на начальном этапе (ст. 40);</w:t>
      </w:r>
    </w:p>
    <w:p w14:paraId="759E257B" w14:textId="77777777" w:rsidR="00252DBA" w:rsidRPr="0012183E" w:rsidRDefault="00252DBA" w:rsidP="00252DBA">
      <w:pPr>
        <w:pStyle w:val="Bullet1G"/>
        <w:numPr>
          <w:ilvl w:val="0"/>
          <w:numId w:val="0"/>
        </w:numPr>
        <w:tabs>
          <w:tab w:val="left" w:pos="1701"/>
        </w:tabs>
        <w:ind w:left="1701" w:hanging="170"/>
      </w:pPr>
      <w:r w:rsidRPr="0012183E">
        <w:t>•</w:t>
      </w:r>
      <w:r w:rsidRPr="0012183E">
        <w:tab/>
        <w:t>право на труд (ст. 41);</w:t>
      </w:r>
    </w:p>
    <w:p w14:paraId="4F10C49D" w14:textId="77777777" w:rsidR="00252DBA" w:rsidRPr="0012183E" w:rsidRDefault="00252DBA" w:rsidP="00252DBA">
      <w:pPr>
        <w:pStyle w:val="Bullet1G"/>
        <w:numPr>
          <w:ilvl w:val="0"/>
          <w:numId w:val="0"/>
        </w:numPr>
        <w:tabs>
          <w:tab w:val="left" w:pos="1701"/>
        </w:tabs>
        <w:ind w:left="1701" w:hanging="170"/>
      </w:pPr>
      <w:r w:rsidRPr="0012183E">
        <w:t>•</w:t>
      </w:r>
      <w:r w:rsidRPr="0012183E">
        <w:tab/>
        <w:t xml:space="preserve">принцип </w:t>
      </w:r>
      <w:proofErr w:type="spellStart"/>
      <w:r w:rsidRPr="0012183E">
        <w:t>невыдворения</w:t>
      </w:r>
      <w:proofErr w:type="spellEnd"/>
      <w:r w:rsidRPr="0012183E">
        <w:t xml:space="preserve"> для политических беженцев (ст. 46);</w:t>
      </w:r>
    </w:p>
    <w:p w14:paraId="51538849" w14:textId="77777777" w:rsidR="00252DBA" w:rsidRPr="0012183E" w:rsidRDefault="00252DBA" w:rsidP="00252DBA">
      <w:pPr>
        <w:pStyle w:val="Bullet1G"/>
        <w:numPr>
          <w:ilvl w:val="0"/>
          <w:numId w:val="0"/>
        </w:numPr>
        <w:tabs>
          <w:tab w:val="left" w:pos="1701"/>
        </w:tabs>
        <w:ind w:left="1701" w:hanging="170"/>
      </w:pPr>
      <w:r w:rsidRPr="0012183E">
        <w:t>•</w:t>
      </w:r>
      <w:r w:rsidRPr="0012183E">
        <w:tab/>
        <w:t>освобождение лиц с низкими доходами от налогообложения (ст. 48).</w:t>
      </w:r>
    </w:p>
    <w:p w14:paraId="0CA03CC7" w14:textId="77777777" w:rsidR="00252DBA" w:rsidRPr="0012183E" w:rsidRDefault="00252DBA" w:rsidP="00252DBA">
      <w:pPr>
        <w:pStyle w:val="H23G"/>
      </w:pPr>
      <w:r w:rsidRPr="0012183E">
        <w:tab/>
      </w:r>
      <w:r w:rsidRPr="0012183E">
        <w:tab/>
      </w:r>
      <w:r w:rsidRPr="0012183E">
        <w:rPr>
          <w:bCs/>
        </w:rPr>
        <w:t>Принципы, закрепленные в главе IV Конституции</w:t>
      </w:r>
      <w:bookmarkStart w:id="19" w:name="_Toc83644974"/>
      <w:bookmarkEnd w:id="19"/>
    </w:p>
    <w:p w14:paraId="7A48531D" w14:textId="77777777" w:rsidR="00252DBA" w:rsidRPr="0012183E" w:rsidRDefault="00252DBA" w:rsidP="00252DBA">
      <w:pPr>
        <w:pStyle w:val="SingleTxtG"/>
      </w:pPr>
      <w:r w:rsidRPr="0012183E">
        <w:t>29.</w:t>
      </w:r>
      <w:r w:rsidRPr="0012183E">
        <w:tab/>
        <w:t>В частях 1, 2, 3, 4 и 5 этой главы изложены основные принципы, лежащие в основе системы правления в Кувейте, и подробно описаны три ветви государственной власти, их обязанности и функции. Статья 50 содержит отсылку к принципу разделения властей. Основополагающим принципам, регулирующим работу судебной системы, посвящена часть 5, где говорится, что основой системы правления и гарантией прав и обязанностей является беспристрастность судебной власти. В ней провозглашаются следующие принципы:</w:t>
      </w:r>
    </w:p>
    <w:p w14:paraId="43A981E9" w14:textId="77777777" w:rsidR="00252DBA" w:rsidRPr="0012183E" w:rsidRDefault="00252DBA" w:rsidP="00252DBA">
      <w:pPr>
        <w:pStyle w:val="Bullet1G"/>
        <w:numPr>
          <w:ilvl w:val="0"/>
          <w:numId w:val="0"/>
        </w:numPr>
        <w:tabs>
          <w:tab w:val="left" w:pos="1701"/>
        </w:tabs>
        <w:ind w:left="1701" w:hanging="170"/>
      </w:pPr>
      <w:r w:rsidRPr="0012183E">
        <w:t>•</w:t>
      </w:r>
      <w:r w:rsidRPr="0012183E">
        <w:tab/>
        <w:t>принцип независимости судебной системы и иммунитета судей (ст. 163);</w:t>
      </w:r>
    </w:p>
    <w:p w14:paraId="58E9A395" w14:textId="77777777" w:rsidR="00252DBA" w:rsidRPr="0012183E" w:rsidRDefault="00252DBA" w:rsidP="00252DBA">
      <w:pPr>
        <w:pStyle w:val="Bullet1G"/>
        <w:numPr>
          <w:ilvl w:val="0"/>
          <w:numId w:val="0"/>
        </w:numPr>
        <w:tabs>
          <w:tab w:val="left" w:pos="1701"/>
        </w:tabs>
        <w:ind w:left="1701" w:hanging="170"/>
      </w:pPr>
      <w:r w:rsidRPr="0012183E">
        <w:t>•</w:t>
      </w:r>
      <w:r w:rsidRPr="0012183E">
        <w:tab/>
        <w:t>принцип права на обращение в суд (статья 164).</w:t>
      </w:r>
    </w:p>
    <w:p w14:paraId="1635601A" w14:textId="2207A5D2" w:rsidR="00252DBA" w:rsidRPr="0012183E" w:rsidRDefault="00252DBA" w:rsidP="00252DBA">
      <w:pPr>
        <w:pStyle w:val="SingleTxtG"/>
      </w:pPr>
      <w:r w:rsidRPr="0012183E">
        <w:t>30.</w:t>
      </w:r>
      <w:r w:rsidR="00CB1626">
        <w:tab/>
      </w:r>
      <w:r w:rsidRPr="0012183E">
        <w:t>Законом № 14 1973 года был учрежден Конституционный суд, который несет исключительную ответственность за толкование Конституции и разрешение споров о конституционности законов, постановлений и подзаконных актов. Решения Суда являются обязательными для всех сторон и судов. В 2014 году был принят Закон</w:t>
      </w:r>
      <w:r w:rsidR="00CB1626">
        <w:t> </w:t>
      </w:r>
      <w:r w:rsidRPr="0012183E">
        <w:t>№</w:t>
      </w:r>
      <w:r w:rsidR="00CB1626">
        <w:t> </w:t>
      </w:r>
      <w:r w:rsidRPr="0012183E">
        <w:t>109 2014 года о расширении права на подачу апелляции в Суд. Этот закон предоставляет соответствующим лицам право оспаривать конституционность законов и подзаконных актов непосредственно в Суде.</w:t>
      </w:r>
    </w:p>
    <w:p w14:paraId="18B4782D" w14:textId="77777777" w:rsidR="00252DBA" w:rsidRPr="0012183E" w:rsidRDefault="00252DBA" w:rsidP="00252DBA">
      <w:pPr>
        <w:pStyle w:val="H23G"/>
      </w:pPr>
      <w:r w:rsidRPr="0012183E">
        <w:tab/>
      </w:r>
      <w:r w:rsidRPr="0012183E">
        <w:tab/>
      </w:r>
      <w:r w:rsidRPr="0012183E">
        <w:tab/>
      </w:r>
      <w:r w:rsidRPr="0012183E">
        <w:rPr>
          <w:bCs/>
        </w:rPr>
        <w:t>Организации гражданского общества в Государстве Кувейт</w:t>
      </w:r>
      <w:bookmarkStart w:id="20" w:name="_Toc83644975"/>
      <w:bookmarkEnd w:id="20"/>
    </w:p>
    <w:p w14:paraId="5E7308B3" w14:textId="77777777" w:rsidR="00252DBA" w:rsidRPr="0012183E" w:rsidRDefault="00252DBA" w:rsidP="00252DBA">
      <w:pPr>
        <w:pStyle w:val="SingleTxtG"/>
      </w:pPr>
      <w:r w:rsidRPr="0012183E">
        <w:t>31.</w:t>
      </w:r>
      <w:r w:rsidRPr="0012183E">
        <w:tab/>
        <w:t>Кувейт придает большое значение организациям гражданского общества и их роли в развитии общества. Организации гражданского общества в Кувейте делятся на различные категории. Некоторые из них являются профессиональными и благотворительными организациями, другие занимаются специализированной деятельностью, например в области здравоохранения, в социальной и экономической сферах.</w:t>
      </w:r>
    </w:p>
    <w:p w14:paraId="7E219743" w14:textId="77777777" w:rsidR="00252DBA" w:rsidRPr="0012183E" w:rsidRDefault="00252DBA" w:rsidP="004652E6">
      <w:pPr>
        <w:pStyle w:val="SingleTxtG"/>
      </w:pPr>
      <w:r w:rsidRPr="0012183E">
        <w:t>32.</w:t>
      </w:r>
      <w:r w:rsidRPr="0012183E">
        <w:tab/>
        <w:t>Кувейт оказывает поддержку некоторым организациям гражданского общества, созданным до 1985 года. Объем финансовой поддержки варьируется от 12 000 до 120 000 кувейтских динаров в месяц, в зависимости от вида деятельности организации. Также оказывается поддержка в проведении конференций в стране и за рубежом. Большинство организаций, созданных после 1985 года, поддержки не получают.</w:t>
      </w:r>
    </w:p>
    <w:p w14:paraId="69B4D62E" w14:textId="77777777" w:rsidR="00252DBA" w:rsidRPr="0012183E" w:rsidRDefault="00252DBA" w:rsidP="004652E6">
      <w:pPr>
        <w:pStyle w:val="SingleTxtG"/>
      </w:pPr>
      <w:r w:rsidRPr="0012183E">
        <w:t>33.</w:t>
      </w:r>
      <w:r w:rsidRPr="0012183E">
        <w:tab/>
        <w:t>Кувейт также принял ряд законов, способствующих поощрению прав человека, которые перечисляются ниже:</w:t>
      </w:r>
    </w:p>
    <w:p w14:paraId="598991D4" w14:textId="77777777" w:rsidR="00252DBA" w:rsidRPr="0012183E" w:rsidRDefault="00252DBA" w:rsidP="00252DBA">
      <w:pPr>
        <w:pStyle w:val="Bullet1G"/>
        <w:numPr>
          <w:ilvl w:val="0"/>
          <w:numId w:val="0"/>
        </w:numPr>
        <w:tabs>
          <w:tab w:val="left" w:pos="1701"/>
        </w:tabs>
        <w:ind w:left="1701" w:hanging="170"/>
      </w:pPr>
      <w:r w:rsidRPr="0012183E">
        <w:t>•</w:t>
      </w:r>
      <w:r w:rsidRPr="0012183E">
        <w:tab/>
        <w:t>Закон № 35 2013 года о присоединении к Факультативному протоколу к Конвенции о правах инвалидов;</w:t>
      </w:r>
    </w:p>
    <w:p w14:paraId="0DAC5A2B" w14:textId="77777777" w:rsidR="00252DBA" w:rsidRPr="0012183E" w:rsidRDefault="00252DBA" w:rsidP="00252DBA">
      <w:pPr>
        <w:pStyle w:val="Bullet1G"/>
        <w:numPr>
          <w:ilvl w:val="0"/>
          <w:numId w:val="0"/>
        </w:numPr>
        <w:tabs>
          <w:tab w:val="left" w:pos="1701"/>
        </w:tabs>
        <w:ind w:left="1701" w:hanging="170"/>
      </w:pPr>
      <w:r w:rsidRPr="0012183E">
        <w:t>•</w:t>
      </w:r>
      <w:r w:rsidRPr="0012183E">
        <w:tab/>
        <w:t>Закон № 84 2013 года об Арабской хартии прав человека;</w:t>
      </w:r>
    </w:p>
    <w:p w14:paraId="280BE988" w14:textId="77777777" w:rsidR="00252DBA" w:rsidRPr="0012183E" w:rsidRDefault="00252DBA" w:rsidP="00252DBA">
      <w:pPr>
        <w:pStyle w:val="Bullet1G"/>
        <w:numPr>
          <w:ilvl w:val="0"/>
          <w:numId w:val="0"/>
        </w:numPr>
        <w:tabs>
          <w:tab w:val="left" w:pos="1701"/>
        </w:tabs>
        <w:ind w:left="1701" w:hanging="170"/>
      </w:pPr>
      <w:r w:rsidRPr="0012183E">
        <w:t>•</w:t>
      </w:r>
      <w:r w:rsidRPr="0012183E">
        <w:tab/>
        <w:t>Закон № 91 2013 года о борьбе с торговлей людьми и незаконным ввозом мигрантов;</w:t>
      </w:r>
    </w:p>
    <w:p w14:paraId="6C0ACBF0" w14:textId="77777777" w:rsidR="00252DBA" w:rsidRPr="0012183E" w:rsidRDefault="00252DBA" w:rsidP="00252DBA">
      <w:pPr>
        <w:pStyle w:val="Bullet1G"/>
        <w:numPr>
          <w:ilvl w:val="0"/>
          <w:numId w:val="0"/>
        </w:numPr>
        <w:tabs>
          <w:tab w:val="left" w:pos="1701"/>
        </w:tabs>
        <w:ind w:left="1701" w:hanging="170"/>
      </w:pPr>
      <w:r w:rsidRPr="0012183E">
        <w:t>•</w:t>
      </w:r>
      <w:r w:rsidRPr="0012183E">
        <w:tab/>
        <w:t>Закон № 21 2015 года о правах ребенка;</w:t>
      </w:r>
    </w:p>
    <w:p w14:paraId="753EA59A" w14:textId="77777777" w:rsidR="00252DBA" w:rsidRPr="0012183E" w:rsidRDefault="00252DBA" w:rsidP="00252DBA">
      <w:pPr>
        <w:pStyle w:val="Bullet1G"/>
        <w:numPr>
          <w:ilvl w:val="0"/>
          <w:numId w:val="0"/>
        </w:numPr>
        <w:tabs>
          <w:tab w:val="left" w:pos="1701"/>
        </w:tabs>
        <w:ind w:left="1701" w:hanging="170"/>
      </w:pPr>
      <w:r w:rsidRPr="0012183E">
        <w:lastRenderedPageBreak/>
        <w:t>•</w:t>
      </w:r>
      <w:r w:rsidRPr="0012183E">
        <w:tab/>
        <w:t>Закон № 111 2015 года о введении в действие Закона о несовершеннолетних;</w:t>
      </w:r>
    </w:p>
    <w:p w14:paraId="7F64090A" w14:textId="77777777" w:rsidR="00252DBA" w:rsidRPr="0012183E" w:rsidRDefault="00252DBA" w:rsidP="00252DBA">
      <w:pPr>
        <w:pStyle w:val="Bullet1G"/>
        <w:numPr>
          <w:ilvl w:val="0"/>
          <w:numId w:val="0"/>
        </w:numPr>
        <w:tabs>
          <w:tab w:val="left" w:pos="1701"/>
        </w:tabs>
        <w:ind w:left="1701" w:hanging="170"/>
      </w:pPr>
      <w:r w:rsidRPr="0012183E">
        <w:t>•</w:t>
      </w:r>
      <w:r w:rsidRPr="0012183E">
        <w:tab/>
        <w:t xml:space="preserve">Закон № 12 2015 года о введении в действие Закона о судах по семейным делам; </w:t>
      </w:r>
    </w:p>
    <w:p w14:paraId="3BBBCDD4" w14:textId="77777777" w:rsidR="00252DBA" w:rsidRPr="0012183E" w:rsidRDefault="00252DBA" w:rsidP="00252DBA">
      <w:pPr>
        <w:pStyle w:val="Bullet1G"/>
        <w:numPr>
          <w:ilvl w:val="0"/>
          <w:numId w:val="0"/>
        </w:numPr>
        <w:tabs>
          <w:tab w:val="left" w:pos="1701"/>
        </w:tabs>
        <w:ind w:left="1701" w:hanging="170"/>
      </w:pPr>
      <w:r w:rsidRPr="0012183E">
        <w:t>•</w:t>
      </w:r>
      <w:r w:rsidRPr="0012183E">
        <w:tab/>
        <w:t>Закон № 67 2015 года о Национальном управлении по правам человека;</w:t>
      </w:r>
    </w:p>
    <w:p w14:paraId="2ED407F9" w14:textId="77777777" w:rsidR="00252DBA" w:rsidRPr="0012183E" w:rsidRDefault="00252DBA" w:rsidP="00252DBA">
      <w:pPr>
        <w:pStyle w:val="Bullet1G"/>
        <w:numPr>
          <w:ilvl w:val="0"/>
          <w:numId w:val="0"/>
        </w:numPr>
        <w:tabs>
          <w:tab w:val="left" w:pos="1701"/>
        </w:tabs>
        <w:ind w:left="1701" w:hanging="170"/>
      </w:pPr>
      <w:r w:rsidRPr="0012183E">
        <w:t>•</w:t>
      </w:r>
      <w:r w:rsidRPr="0012183E">
        <w:tab/>
        <w:t>Закон № 68 2015 года о занятости в качестве домашней прислуги.</w:t>
      </w:r>
    </w:p>
    <w:p w14:paraId="174299A6" w14:textId="77777777" w:rsidR="00252DBA" w:rsidRPr="0012183E" w:rsidRDefault="00252DBA" w:rsidP="00252DBA">
      <w:pPr>
        <w:pStyle w:val="Bullet1G"/>
        <w:numPr>
          <w:ilvl w:val="0"/>
          <w:numId w:val="0"/>
        </w:numPr>
        <w:spacing w:before="240" w:after="0"/>
        <w:ind w:left="1701"/>
        <w:jc w:val="center"/>
        <w:rPr>
          <w:u w:val="single"/>
        </w:rPr>
      </w:pPr>
      <w:r w:rsidRPr="0012183E">
        <w:rPr>
          <w:u w:val="single"/>
        </w:rPr>
        <w:tab/>
      </w:r>
      <w:r w:rsidRPr="0012183E">
        <w:rPr>
          <w:u w:val="single"/>
        </w:rPr>
        <w:tab/>
      </w:r>
      <w:r w:rsidRPr="0012183E">
        <w:rPr>
          <w:u w:val="single"/>
        </w:rPr>
        <w:tab/>
      </w:r>
      <w:r w:rsidRPr="0012183E">
        <w:rPr>
          <w:u w:val="single"/>
        </w:rPr>
        <w:tab/>
      </w:r>
    </w:p>
    <w:sectPr w:rsidR="00252DBA" w:rsidRPr="0012183E" w:rsidSect="00252D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EA9F" w14:textId="77777777" w:rsidR="0071449F" w:rsidRPr="00A312BC" w:rsidRDefault="0071449F" w:rsidP="00A312BC"/>
  </w:endnote>
  <w:endnote w:type="continuationSeparator" w:id="0">
    <w:p w14:paraId="53EDF3F6" w14:textId="77777777" w:rsidR="0071449F" w:rsidRPr="00A312BC" w:rsidRDefault="0071449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E62D2" w14:textId="6684C289" w:rsidR="00252DBA" w:rsidRPr="00252DBA" w:rsidRDefault="00252DBA">
    <w:pPr>
      <w:pStyle w:val="a8"/>
    </w:pPr>
    <w:r w:rsidRPr="00252DBA">
      <w:rPr>
        <w:b/>
        <w:sz w:val="18"/>
      </w:rPr>
      <w:fldChar w:fldCharType="begin"/>
    </w:r>
    <w:r w:rsidRPr="00252DBA">
      <w:rPr>
        <w:b/>
        <w:sz w:val="18"/>
      </w:rPr>
      <w:instrText xml:space="preserve"> PAGE  \* MERGEFORMAT </w:instrText>
    </w:r>
    <w:r w:rsidRPr="00252DBA">
      <w:rPr>
        <w:b/>
        <w:sz w:val="18"/>
      </w:rPr>
      <w:fldChar w:fldCharType="separate"/>
    </w:r>
    <w:r w:rsidRPr="00252DBA">
      <w:rPr>
        <w:b/>
        <w:noProof/>
        <w:sz w:val="18"/>
      </w:rPr>
      <w:t>2</w:t>
    </w:r>
    <w:r w:rsidRPr="00252DBA">
      <w:rPr>
        <w:b/>
        <w:sz w:val="18"/>
      </w:rPr>
      <w:fldChar w:fldCharType="end"/>
    </w:r>
    <w:r>
      <w:rPr>
        <w:b/>
        <w:sz w:val="18"/>
      </w:rPr>
      <w:tab/>
    </w:r>
    <w:r>
      <w:t>GE.21-12555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8873" w14:textId="04508A55" w:rsidR="00252DBA" w:rsidRPr="00252DBA" w:rsidRDefault="00252DBA" w:rsidP="00252DBA">
    <w:pPr>
      <w:pStyle w:val="a8"/>
      <w:tabs>
        <w:tab w:val="clear" w:pos="9639"/>
        <w:tab w:val="right" w:pos="9638"/>
      </w:tabs>
      <w:rPr>
        <w:b/>
        <w:sz w:val="18"/>
      </w:rPr>
    </w:pPr>
    <w:r>
      <w:t>GE.21-12555</w:t>
    </w:r>
    <w:r>
      <w:tab/>
    </w:r>
    <w:r w:rsidRPr="00252DBA">
      <w:rPr>
        <w:b/>
        <w:sz w:val="18"/>
      </w:rPr>
      <w:fldChar w:fldCharType="begin"/>
    </w:r>
    <w:r w:rsidRPr="00252DBA">
      <w:rPr>
        <w:b/>
        <w:sz w:val="18"/>
      </w:rPr>
      <w:instrText xml:space="preserve"> PAGE  \* MERGEFORMAT </w:instrText>
    </w:r>
    <w:r w:rsidRPr="00252DBA">
      <w:rPr>
        <w:b/>
        <w:sz w:val="18"/>
      </w:rPr>
      <w:fldChar w:fldCharType="separate"/>
    </w:r>
    <w:r w:rsidRPr="00252DBA">
      <w:rPr>
        <w:b/>
        <w:noProof/>
        <w:sz w:val="18"/>
      </w:rPr>
      <w:t>3</w:t>
    </w:r>
    <w:r w:rsidRPr="00252D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B40E8" w14:textId="636E0127" w:rsidR="00042B72" w:rsidRPr="00252DBA" w:rsidRDefault="00252DBA" w:rsidP="00252DB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47353D9" wp14:editId="4A662AC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12555  (</w:t>
    </w:r>
    <w:proofErr w:type="gramEnd"/>
    <w:r>
      <w:t>R)</w:t>
    </w:r>
    <w:r>
      <w:rPr>
        <w:noProof/>
      </w:rPr>
      <w:drawing>
        <wp:anchor distT="0" distB="0" distL="114300" distR="114300" simplePos="0" relativeHeight="251659264" behindDoc="0" locked="0" layoutInCell="1" allowOverlap="1" wp14:anchorId="6061025A" wp14:editId="2020375E">
          <wp:simplePos x="0" y="0"/>
          <wp:positionH relativeFrom="margin">
            <wp:posOffset>5489575</wp:posOffset>
          </wp:positionH>
          <wp:positionV relativeFrom="margin">
            <wp:posOffset>8855710</wp:posOffset>
          </wp:positionV>
          <wp:extent cx="561975" cy="561975"/>
          <wp:effectExtent l="0" t="0" r="952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231121  2</w:t>
    </w:r>
    <w:r w:rsidR="00BA1181">
      <w:rPr>
        <w:lang w:val="en-US"/>
      </w:rPr>
      <w:t>5</w:t>
    </w:r>
    <w:r>
      <w:rPr>
        <w:lang w:val="en-US"/>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AF110" w14:textId="77777777" w:rsidR="0071449F" w:rsidRPr="001075E9" w:rsidRDefault="0071449F" w:rsidP="001075E9">
      <w:pPr>
        <w:tabs>
          <w:tab w:val="right" w:pos="2155"/>
        </w:tabs>
        <w:spacing w:after="80" w:line="240" w:lineRule="auto"/>
        <w:ind w:left="680"/>
        <w:rPr>
          <w:u w:val="single"/>
        </w:rPr>
      </w:pPr>
      <w:r>
        <w:rPr>
          <w:u w:val="single"/>
        </w:rPr>
        <w:tab/>
      </w:r>
    </w:p>
  </w:footnote>
  <w:footnote w:type="continuationSeparator" w:id="0">
    <w:p w14:paraId="48156108" w14:textId="77777777" w:rsidR="0071449F" w:rsidRDefault="0071449F" w:rsidP="00407B78">
      <w:pPr>
        <w:tabs>
          <w:tab w:val="right" w:pos="2155"/>
        </w:tabs>
        <w:spacing w:after="80"/>
        <w:ind w:left="680"/>
        <w:rPr>
          <w:u w:val="single"/>
        </w:rPr>
      </w:pPr>
      <w:r>
        <w:rPr>
          <w:u w:val="single"/>
        </w:rPr>
        <w:tab/>
      </w:r>
    </w:p>
  </w:footnote>
  <w:footnote w:id="1">
    <w:p w14:paraId="59CB4A79" w14:textId="77777777" w:rsidR="00252DBA" w:rsidRPr="00701C6B" w:rsidRDefault="00252DBA" w:rsidP="00252DBA">
      <w:pPr>
        <w:pStyle w:val="ad"/>
      </w:pPr>
      <w:r>
        <w:tab/>
      </w:r>
      <w:r w:rsidRPr="00252DBA">
        <w:rPr>
          <w:sz w:val="20"/>
        </w:rPr>
        <w:t>*</w:t>
      </w:r>
      <w:r>
        <w:tab/>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617CE" w14:textId="4E4491AF" w:rsidR="00252DBA" w:rsidRPr="00252DBA" w:rsidRDefault="00005CAC">
    <w:pPr>
      <w:pStyle w:val="a5"/>
    </w:pPr>
    <w:r>
      <w:fldChar w:fldCharType="begin"/>
    </w:r>
    <w:r>
      <w:instrText xml:space="preserve"> TITLE  \* MERGEFORMAT </w:instrText>
    </w:r>
    <w:r>
      <w:fldChar w:fldCharType="separate"/>
    </w:r>
    <w:r>
      <w:t>HRI/CORE/KWT/2019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AC32" w14:textId="086DBAE4" w:rsidR="00252DBA" w:rsidRPr="00252DBA" w:rsidRDefault="00005CAC" w:rsidP="00252DBA">
    <w:pPr>
      <w:pStyle w:val="a5"/>
      <w:jc w:val="right"/>
    </w:pPr>
    <w:r>
      <w:fldChar w:fldCharType="begin"/>
    </w:r>
    <w:r>
      <w:instrText xml:space="preserve"> TITLE  \* MERGEFORMAT </w:instrText>
    </w:r>
    <w:r>
      <w:fldChar w:fldCharType="separate"/>
    </w:r>
    <w:r>
      <w:t>HRI/CORE/KWT/2019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D4A8" w14:textId="77777777" w:rsidR="00252DBA" w:rsidRDefault="00252DBA" w:rsidP="00252DB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5"/>
  </w:num>
  <w:num w:numId="18">
    <w:abstractNumId w:val="16"/>
  </w:num>
  <w:num w:numId="19">
    <w:abstractNumId w:val="17"/>
  </w:num>
  <w:num w:numId="20">
    <w:abstractNumId w:val="15"/>
  </w:num>
  <w:num w:numId="21">
    <w:abstractNumId w:val="16"/>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9F"/>
    <w:rsid w:val="00005CAC"/>
    <w:rsid w:val="00033EE1"/>
    <w:rsid w:val="000340C2"/>
    <w:rsid w:val="00042B72"/>
    <w:rsid w:val="0005105F"/>
    <w:rsid w:val="000558BD"/>
    <w:rsid w:val="000774F7"/>
    <w:rsid w:val="00081D9E"/>
    <w:rsid w:val="000A2FA6"/>
    <w:rsid w:val="000B57E7"/>
    <w:rsid w:val="000B6373"/>
    <w:rsid w:val="000F09DF"/>
    <w:rsid w:val="000F61B2"/>
    <w:rsid w:val="001075E9"/>
    <w:rsid w:val="00180183"/>
    <w:rsid w:val="0018024D"/>
    <w:rsid w:val="00181061"/>
    <w:rsid w:val="0018649F"/>
    <w:rsid w:val="00196389"/>
    <w:rsid w:val="001B3EF6"/>
    <w:rsid w:val="001C7A89"/>
    <w:rsid w:val="001F653F"/>
    <w:rsid w:val="0020092A"/>
    <w:rsid w:val="00205D9D"/>
    <w:rsid w:val="002115B8"/>
    <w:rsid w:val="00216E8E"/>
    <w:rsid w:val="00231B15"/>
    <w:rsid w:val="00252DBA"/>
    <w:rsid w:val="00291476"/>
    <w:rsid w:val="002A2EFC"/>
    <w:rsid w:val="002B1258"/>
    <w:rsid w:val="002B5BE8"/>
    <w:rsid w:val="002C0E18"/>
    <w:rsid w:val="002C6A31"/>
    <w:rsid w:val="002D5AAC"/>
    <w:rsid w:val="002E5067"/>
    <w:rsid w:val="002F405F"/>
    <w:rsid w:val="002F7EEC"/>
    <w:rsid w:val="00301299"/>
    <w:rsid w:val="00307FB6"/>
    <w:rsid w:val="00317339"/>
    <w:rsid w:val="00322004"/>
    <w:rsid w:val="003402C2"/>
    <w:rsid w:val="00373BCE"/>
    <w:rsid w:val="00381C24"/>
    <w:rsid w:val="003958D0"/>
    <w:rsid w:val="003A3D90"/>
    <w:rsid w:val="003B00E5"/>
    <w:rsid w:val="00407B78"/>
    <w:rsid w:val="00424203"/>
    <w:rsid w:val="00443DC7"/>
    <w:rsid w:val="00452493"/>
    <w:rsid w:val="00454E07"/>
    <w:rsid w:val="004652E6"/>
    <w:rsid w:val="00471B10"/>
    <w:rsid w:val="00472C5C"/>
    <w:rsid w:val="004A346E"/>
    <w:rsid w:val="004D541E"/>
    <w:rsid w:val="0050108D"/>
    <w:rsid w:val="00513081"/>
    <w:rsid w:val="00517901"/>
    <w:rsid w:val="00526683"/>
    <w:rsid w:val="00565172"/>
    <w:rsid w:val="005709E0"/>
    <w:rsid w:val="00572E19"/>
    <w:rsid w:val="00575FA7"/>
    <w:rsid w:val="005961C8"/>
    <w:rsid w:val="005D7914"/>
    <w:rsid w:val="005E2B41"/>
    <w:rsid w:val="005F0B42"/>
    <w:rsid w:val="00647E5B"/>
    <w:rsid w:val="00681A10"/>
    <w:rsid w:val="00686002"/>
    <w:rsid w:val="006A1ED8"/>
    <w:rsid w:val="006C2031"/>
    <w:rsid w:val="006D461A"/>
    <w:rsid w:val="006F35EE"/>
    <w:rsid w:val="007021FF"/>
    <w:rsid w:val="00712895"/>
    <w:rsid w:val="0071449F"/>
    <w:rsid w:val="00757357"/>
    <w:rsid w:val="007B5263"/>
    <w:rsid w:val="00825F8D"/>
    <w:rsid w:val="00830E31"/>
    <w:rsid w:val="00834B71"/>
    <w:rsid w:val="0086445C"/>
    <w:rsid w:val="00894693"/>
    <w:rsid w:val="008A08D7"/>
    <w:rsid w:val="008B6909"/>
    <w:rsid w:val="00906890"/>
    <w:rsid w:val="00911BE4"/>
    <w:rsid w:val="00943923"/>
    <w:rsid w:val="00946182"/>
    <w:rsid w:val="00951972"/>
    <w:rsid w:val="009608F3"/>
    <w:rsid w:val="009729BC"/>
    <w:rsid w:val="009A24AC"/>
    <w:rsid w:val="00A312BC"/>
    <w:rsid w:val="00A658A6"/>
    <w:rsid w:val="00A84021"/>
    <w:rsid w:val="00A84D35"/>
    <w:rsid w:val="00A917B3"/>
    <w:rsid w:val="00AB4B51"/>
    <w:rsid w:val="00AD5305"/>
    <w:rsid w:val="00B04D33"/>
    <w:rsid w:val="00B10CC7"/>
    <w:rsid w:val="00B539E7"/>
    <w:rsid w:val="00B62458"/>
    <w:rsid w:val="00BA1181"/>
    <w:rsid w:val="00BC18B2"/>
    <w:rsid w:val="00BD33EE"/>
    <w:rsid w:val="00BE325A"/>
    <w:rsid w:val="00C106D6"/>
    <w:rsid w:val="00C11629"/>
    <w:rsid w:val="00C60F0C"/>
    <w:rsid w:val="00C77D3E"/>
    <w:rsid w:val="00C805C9"/>
    <w:rsid w:val="00C92939"/>
    <w:rsid w:val="00CA1679"/>
    <w:rsid w:val="00CB151C"/>
    <w:rsid w:val="00CB1626"/>
    <w:rsid w:val="00CE1BD8"/>
    <w:rsid w:val="00CE5A1A"/>
    <w:rsid w:val="00CE6069"/>
    <w:rsid w:val="00CF55F6"/>
    <w:rsid w:val="00D06C56"/>
    <w:rsid w:val="00D33D63"/>
    <w:rsid w:val="00D90028"/>
    <w:rsid w:val="00D90138"/>
    <w:rsid w:val="00DC7155"/>
    <w:rsid w:val="00DF71B9"/>
    <w:rsid w:val="00E73F76"/>
    <w:rsid w:val="00EA2C9F"/>
    <w:rsid w:val="00ED0BDA"/>
    <w:rsid w:val="00ED4505"/>
    <w:rsid w:val="00EF1360"/>
    <w:rsid w:val="00EF3220"/>
    <w:rsid w:val="00F60299"/>
    <w:rsid w:val="00F81780"/>
    <w:rsid w:val="00F94155"/>
    <w:rsid w:val="00F9783F"/>
    <w:rsid w:val="00FB24B3"/>
    <w:rsid w:val="00FC752D"/>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8743FD"/>
  <w15:docId w15:val="{8706F85F-DBC2-4252-951A-79C3609A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125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946182"/>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CE6069"/>
    <w:pPr>
      <w:keepNext/>
      <w:outlineLvl w:val="1"/>
    </w:pPr>
    <w:rPr>
      <w:rFonts w:cs="Arial"/>
      <w:bCs/>
      <w:iCs/>
      <w:szCs w:val="28"/>
    </w:rPr>
  </w:style>
  <w:style w:type="paragraph" w:styleId="3">
    <w:name w:val="heading 3"/>
    <w:basedOn w:val="a"/>
    <w:next w:val="a"/>
    <w:semiHidden/>
    <w:rsid w:val="00CE6069"/>
    <w:pPr>
      <w:keepNext/>
      <w:spacing w:before="240" w:after="60"/>
      <w:outlineLvl w:val="2"/>
    </w:pPr>
    <w:rPr>
      <w:rFonts w:ascii="Arial" w:hAnsi="Arial" w:cs="Arial"/>
      <w:b/>
      <w:bCs/>
      <w:sz w:val="26"/>
      <w:szCs w:val="26"/>
    </w:rPr>
  </w:style>
  <w:style w:type="paragraph" w:styleId="4">
    <w:name w:val="heading 4"/>
    <w:basedOn w:val="a"/>
    <w:next w:val="a"/>
    <w:semiHidden/>
    <w:rsid w:val="00CE6069"/>
    <w:pPr>
      <w:keepNext/>
      <w:spacing w:before="240" w:after="60"/>
      <w:outlineLvl w:val="3"/>
    </w:pPr>
    <w:rPr>
      <w:b/>
      <w:bCs/>
      <w:sz w:val="28"/>
      <w:szCs w:val="28"/>
    </w:rPr>
  </w:style>
  <w:style w:type="paragraph" w:styleId="5">
    <w:name w:val="heading 5"/>
    <w:basedOn w:val="a"/>
    <w:next w:val="a"/>
    <w:semiHidden/>
    <w:rsid w:val="00CE6069"/>
    <w:pPr>
      <w:spacing w:before="240" w:after="60"/>
      <w:outlineLvl w:val="4"/>
    </w:pPr>
    <w:rPr>
      <w:b/>
      <w:bCs/>
      <w:i/>
      <w:iCs/>
      <w:sz w:val="26"/>
      <w:szCs w:val="26"/>
    </w:rPr>
  </w:style>
  <w:style w:type="paragraph" w:styleId="6">
    <w:name w:val="heading 6"/>
    <w:basedOn w:val="a"/>
    <w:next w:val="a"/>
    <w:semiHidden/>
    <w:rsid w:val="00CE6069"/>
    <w:pPr>
      <w:spacing w:before="240" w:after="60"/>
      <w:outlineLvl w:val="5"/>
    </w:pPr>
    <w:rPr>
      <w:b/>
      <w:bCs/>
      <w:sz w:val="22"/>
    </w:rPr>
  </w:style>
  <w:style w:type="paragraph" w:styleId="7">
    <w:name w:val="heading 7"/>
    <w:basedOn w:val="a"/>
    <w:next w:val="a"/>
    <w:semiHidden/>
    <w:rsid w:val="00CE6069"/>
    <w:pPr>
      <w:spacing w:before="240" w:after="60"/>
      <w:outlineLvl w:val="6"/>
    </w:pPr>
    <w:rPr>
      <w:sz w:val="24"/>
      <w:szCs w:val="24"/>
    </w:rPr>
  </w:style>
  <w:style w:type="paragraph" w:styleId="8">
    <w:name w:val="heading 8"/>
    <w:basedOn w:val="a"/>
    <w:next w:val="a"/>
    <w:semiHidden/>
    <w:rsid w:val="00CE6069"/>
    <w:pPr>
      <w:spacing w:before="240" w:after="60"/>
      <w:outlineLvl w:val="7"/>
    </w:pPr>
    <w:rPr>
      <w:i/>
      <w:iCs/>
      <w:sz w:val="24"/>
      <w:szCs w:val="24"/>
    </w:rPr>
  </w:style>
  <w:style w:type="paragraph" w:styleId="9">
    <w:name w:val="heading 9"/>
    <w:basedOn w:val="a"/>
    <w:next w:val="a"/>
    <w:semiHidden/>
    <w:rsid w:val="00CE6069"/>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CE6069"/>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565172"/>
    <w:rPr>
      <w:rFonts w:ascii="Tahoma" w:eastAsiaTheme="minorHAnsi" w:hAnsi="Tahoma" w:cs="Tahoma"/>
      <w:sz w:val="16"/>
      <w:szCs w:val="16"/>
      <w:lang w:val="ru-RU" w:eastAsia="en-US"/>
    </w:rPr>
  </w:style>
  <w:style w:type="paragraph" w:customStyle="1" w:styleId="HMG">
    <w:name w:val="_ H __M_G"/>
    <w:basedOn w:val="a"/>
    <w:next w:val="a"/>
    <w:qFormat/>
    <w:rsid w:val="00946182"/>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946182"/>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946182"/>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946182"/>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946182"/>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946182"/>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2B1258"/>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946182"/>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946182"/>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946182"/>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946182"/>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946182"/>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2B1258"/>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946182"/>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46182"/>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946182"/>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946182"/>
    <w:rPr>
      <w:b/>
      <w:sz w:val="18"/>
      <w:lang w:val="en-GB" w:eastAsia="ru-RU"/>
    </w:rPr>
  </w:style>
  <w:style w:type="character" w:styleId="a7">
    <w:name w:val="page number"/>
    <w:aliases w:val="7_G"/>
    <w:basedOn w:val="a0"/>
    <w:qFormat/>
    <w:rsid w:val="00946182"/>
    <w:rPr>
      <w:rFonts w:ascii="Times New Roman" w:hAnsi="Times New Roman"/>
      <w:b/>
      <w:sz w:val="18"/>
    </w:rPr>
  </w:style>
  <w:style w:type="paragraph" w:styleId="a8">
    <w:name w:val="footer"/>
    <w:aliases w:val="3_G"/>
    <w:basedOn w:val="a"/>
    <w:link w:val="a9"/>
    <w:qFormat/>
    <w:rsid w:val="00946182"/>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946182"/>
    <w:rPr>
      <w:sz w:val="16"/>
      <w:lang w:val="en-GB" w:eastAsia="ru-RU"/>
    </w:rPr>
  </w:style>
  <w:style w:type="character" w:styleId="aa">
    <w:name w:val="footnote reference"/>
    <w:aliases w:val="4_G"/>
    <w:basedOn w:val="a0"/>
    <w:qFormat/>
    <w:rsid w:val="00946182"/>
    <w:rPr>
      <w:rFonts w:ascii="Times New Roman" w:hAnsi="Times New Roman"/>
      <w:dstrike w:val="0"/>
      <w:sz w:val="18"/>
      <w:vertAlign w:val="superscript"/>
    </w:rPr>
  </w:style>
  <w:style w:type="character" w:styleId="ab">
    <w:name w:val="endnote reference"/>
    <w:aliases w:val="1_G"/>
    <w:basedOn w:val="aa"/>
    <w:qFormat/>
    <w:rsid w:val="00946182"/>
    <w:rPr>
      <w:rFonts w:ascii="Times New Roman" w:hAnsi="Times New Roman"/>
      <w:dstrike w:val="0"/>
      <w:sz w:val="18"/>
      <w:vertAlign w:val="superscript"/>
    </w:rPr>
  </w:style>
  <w:style w:type="table" w:styleId="ac">
    <w:name w:val="Table Grid"/>
    <w:basedOn w:val="a1"/>
    <w:rsid w:val="002B125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946182"/>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946182"/>
    <w:rPr>
      <w:sz w:val="18"/>
      <w:lang w:val="ru-RU" w:eastAsia="ru-RU"/>
    </w:rPr>
  </w:style>
  <w:style w:type="paragraph" w:styleId="af">
    <w:name w:val="endnote text"/>
    <w:aliases w:val="2_G"/>
    <w:basedOn w:val="ad"/>
    <w:link w:val="af0"/>
    <w:qFormat/>
    <w:rsid w:val="00946182"/>
  </w:style>
  <w:style w:type="character" w:customStyle="1" w:styleId="af0">
    <w:name w:val="Текст концевой сноски Знак"/>
    <w:aliases w:val="2_G Знак"/>
    <w:basedOn w:val="a0"/>
    <w:link w:val="af"/>
    <w:rsid w:val="00946182"/>
    <w:rPr>
      <w:sz w:val="18"/>
      <w:lang w:val="ru-RU" w:eastAsia="ru-RU"/>
    </w:rPr>
  </w:style>
  <w:style w:type="character" w:customStyle="1" w:styleId="10">
    <w:name w:val="Заголовок 1 Знак"/>
    <w:aliases w:val="Table_G Знак"/>
    <w:basedOn w:val="a0"/>
    <w:link w:val="1"/>
    <w:rsid w:val="00946182"/>
    <w:rPr>
      <w:rFonts w:cs="Arial"/>
      <w:b/>
      <w:bCs/>
      <w:szCs w:val="32"/>
      <w:lang w:val="ru-RU" w:eastAsia="ru-RU"/>
    </w:rPr>
  </w:style>
  <w:style w:type="character" w:styleId="af1">
    <w:name w:val="Hyperlink"/>
    <w:basedOn w:val="a0"/>
    <w:rsid w:val="00946182"/>
    <w:rPr>
      <w:color w:val="0000FF" w:themeColor="hyperlink"/>
      <w:u w:val="none"/>
    </w:rPr>
  </w:style>
  <w:style w:type="character" w:styleId="af2">
    <w:name w:val="FollowedHyperlink"/>
    <w:basedOn w:val="a0"/>
    <w:rsid w:val="00946182"/>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Население</a:t>
            </a:r>
            <a:r>
              <a:rPr lang="ru-RU" baseline="0"/>
              <a:t> Кувейта в разбивке по гражданству</a:t>
            </a:r>
            <a:r>
              <a:rPr lang="en-GB"/>
              <a:t>,</a:t>
            </a:r>
            <a:r>
              <a:rPr lang="en-GB" baseline="0"/>
              <a:t> 2009</a:t>
            </a:r>
            <a:r>
              <a:rPr lang="ru-RU" sz="1400" b="0" i="0" u="none" strike="noStrike" baseline="0">
                <a:effectLst/>
              </a:rPr>
              <a:t>–</a:t>
            </a:r>
            <a:r>
              <a:rPr lang="en-US"/>
              <a:t>2019</a:t>
            </a:r>
            <a:r>
              <a:rPr lang="ru-RU"/>
              <a:t> годы</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السكان!$J$26</c:f>
              <c:strCache>
                <c:ptCount val="1"/>
                <c:pt idx="0">
                  <c:v>Граждане Кувейта</c:v>
                </c:pt>
              </c:strCache>
            </c:strRef>
          </c:tx>
          <c:spPr>
            <a:solidFill>
              <a:schemeClr val="accent1"/>
            </a:solidFill>
            <a:ln>
              <a:noFill/>
            </a:ln>
            <a:effectLst/>
            <a:sp3d/>
          </c:spPr>
          <c:invertIfNegative val="0"/>
          <c:dLbls>
            <c:dLbl>
              <c:idx val="0"/>
              <c:layout>
                <c:manualLayout>
                  <c:x val="-5.3236349086128301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CE-4C3A-AAA3-A577D0555B4C}"/>
                </c:ext>
              </c:extLst>
            </c:dLbl>
            <c:dLbl>
              <c:idx val="1"/>
              <c:layout>
                <c:manualLayout>
                  <c:x val="-5.3236539624924382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CE-4C3A-AAA3-A577D0555B4C}"/>
                </c:ext>
              </c:extLst>
            </c:dLbl>
            <c:dLbl>
              <c:idx val="2"/>
              <c:layout>
                <c:manualLayout>
                  <c:x val="-2.6617888734870029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CE-4C3A-AAA3-A577D0555B4C}"/>
                </c:ext>
              </c:extLst>
            </c:dLbl>
            <c:dLbl>
              <c:idx val="3"/>
              <c:layout>
                <c:manualLayout>
                  <c:x val="-4.3556978245232872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CE-4C3A-AAA3-A577D0555B4C}"/>
                </c:ext>
              </c:extLst>
            </c:dLbl>
            <c:dLbl>
              <c:idx val="4"/>
              <c:layout>
                <c:manualLayout>
                  <c:x val="-4.1137135535009119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CE-4C3A-AAA3-A577D0555B4C}"/>
                </c:ext>
              </c:extLst>
            </c:dLbl>
            <c:dLbl>
              <c:idx val="5"/>
              <c:layout>
                <c:manualLayout>
                  <c:x val="-2.9037921983889946E-2"/>
                  <c:y val="-4.62962962962971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CE-4C3A-AAA3-A577D0555B4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السكان!$I$27:$I$32</c:f>
              <c:numCache>
                <c:formatCode>General</c:formatCode>
                <c:ptCount val="6"/>
                <c:pt idx="0">
                  <c:v>2019</c:v>
                </c:pt>
                <c:pt idx="1">
                  <c:v>2018</c:v>
                </c:pt>
                <c:pt idx="2">
                  <c:v>2017</c:v>
                </c:pt>
                <c:pt idx="3">
                  <c:v>2016</c:v>
                </c:pt>
                <c:pt idx="4">
                  <c:v>2015</c:v>
                </c:pt>
                <c:pt idx="5">
                  <c:v>2009</c:v>
                </c:pt>
              </c:numCache>
            </c:numRef>
          </c:cat>
          <c:val>
            <c:numRef>
              <c:f>السكان!$J$27:$J$32</c:f>
              <c:numCache>
                <c:formatCode>0.0</c:formatCode>
                <c:ptCount val="6"/>
                <c:pt idx="0">
                  <c:v>30.218976450812313</c:v>
                </c:pt>
                <c:pt idx="1">
                  <c:v>30.83204792141796</c:v>
                </c:pt>
                <c:pt idx="2">
                  <c:v>31.111758285685177</c:v>
                </c:pt>
                <c:pt idx="3">
                  <c:v>31.554785431718408</c:v>
                </c:pt>
                <c:pt idx="4">
                  <c:v>32.285063280319257</c:v>
                </c:pt>
                <c:pt idx="5">
                  <c:v>36.995515614352193</c:v>
                </c:pt>
              </c:numCache>
            </c:numRef>
          </c:val>
          <c:extLst>
            <c:ext xmlns:c16="http://schemas.microsoft.com/office/drawing/2014/chart" uri="{C3380CC4-5D6E-409C-BE32-E72D297353CC}">
              <c16:uniqueId val="{00000006-F9CE-4C3A-AAA3-A577D0555B4C}"/>
            </c:ext>
          </c:extLst>
        </c:ser>
        <c:ser>
          <c:idx val="1"/>
          <c:order val="1"/>
          <c:tx>
            <c:strRef>
              <c:f>السكان!$K$26</c:f>
              <c:strCache>
                <c:ptCount val="1"/>
                <c:pt idx="0">
                  <c:v>Неграждане Кувейта</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السكان!$I$27:$I$32</c:f>
              <c:numCache>
                <c:formatCode>General</c:formatCode>
                <c:ptCount val="6"/>
                <c:pt idx="0">
                  <c:v>2019</c:v>
                </c:pt>
                <c:pt idx="1">
                  <c:v>2018</c:v>
                </c:pt>
                <c:pt idx="2">
                  <c:v>2017</c:v>
                </c:pt>
                <c:pt idx="3">
                  <c:v>2016</c:v>
                </c:pt>
                <c:pt idx="4">
                  <c:v>2015</c:v>
                </c:pt>
                <c:pt idx="5">
                  <c:v>2009</c:v>
                </c:pt>
              </c:numCache>
            </c:numRef>
          </c:cat>
          <c:val>
            <c:numRef>
              <c:f>السكان!$K$27:$K$32</c:f>
              <c:numCache>
                <c:formatCode>0.0</c:formatCode>
                <c:ptCount val="6"/>
                <c:pt idx="0">
                  <c:v>69.781023549187694</c:v>
                </c:pt>
                <c:pt idx="1">
                  <c:v>69.167952078582033</c:v>
                </c:pt>
                <c:pt idx="2">
                  <c:v>68.88824171431483</c:v>
                </c:pt>
                <c:pt idx="3">
                  <c:v>68.445214568281585</c:v>
                </c:pt>
                <c:pt idx="4">
                  <c:v>67.714936719680736</c:v>
                </c:pt>
                <c:pt idx="5">
                  <c:v>63.004484385647807</c:v>
                </c:pt>
              </c:numCache>
            </c:numRef>
          </c:val>
          <c:extLst>
            <c:ext xmlns:c16="http://schemas.microsoft.com/office/drawing/2014/chart" uri="{C3380CC4-5D6E-409C-BE32-E72D297353CC}">
              <c16:uniqueId val="{00000007-F9CE-4C3A-AAA3-A577D0555B4C}"/>
            </c:ext>
          </c:extLst>
        </c:ser>
        <c:dLbls>
          <c:showLegendKey val="0"/>
          <c:showVal val="1"/>
          <c:showCatName val="0"/>
          <c:showSerName val="0"/>
          <c:showPercent val="0"/>
          <c:showBubbleSize val="0"/>
        </c:dLbls>
        <c:gapWidth val="150"/>
        <c:shape val="box"/>
        <c:axId val="514238312"/>
        <c:axId val="372986208"/>
        <c:axId val="0"/>
      </c:bar3DChart>
      <c:catAx>
        <c:axId val="514238312"/>
        <c:scaling>
          <c:orientation val="maxMin"/>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crossAx val="372986208"/>
        <c:crosses val="autoZero"/>
        <c:auto val="1"/>
        <c:lblAlgn val="ctr"/>
        <c:lblOffset val="100"/>
        <c:noMultiLvlLbl val="0"/>
      </c:catAx>
      <c:valAx>
        <c:axId val="372986208"/>
        <c:scaling>
          <c:orientation val="minMax"/>
        </c:scaling>
        <c:delete val="1"/>
        <c:axPos val="r"/>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14238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Религиозная принадлежность населения Кувейта</a:t>
            </a:r>
            <a:r>
              <a:rPr lang="en-GB" baseline="0"/>
              <a:t> </a:t>
            </a:r>
            <a:r>
              <a:rPr lang="ru-RU" baseline="0"/>
              <a:t>в разбивке по полу в</a:t>
            </a:r>
            <a:r>
              <a:rPr lang="en-GB" baseline="0"/>
              <a:t> </a:t>
            </a:r>
            <a:r>
              <a:rPr lang="en-US"/>
              <a:t>2019</a:t>
            </a:r>
            <a:r>
              <a:rPr lang="ru-RU"/>
              <a:t> году</a:t>
            </a:r>
            <a:endParaRPr lang="ar-KW"/>
          </a:p>
        </c:rich>
      </c:tx>
      <c:layout>
        <c:manualLayout>
          <c:xMode val="edge"/>
          <c:yMode val="edge"/>
          <c:x val="0.15886473146080624"/>
          <c:y val="2.77776772156354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الديانة!$I$20</c:f>
              <c:strCache>
                <c:ptCount val="1"/>
                <c:pt idx="0">
                  <c:v>النسبة حسب النوع</c:v>
                </c:pt>
              </c:strCache>
            </c:strRef>
          </c:tx>
          <c:spPr>
            <a:solidFill>
              <a:schemeClr val="accent1"/>
            </a:solidFill>
            <a:ln>
              <a:noFill/>
            </a:ln>
            <a:effectLst/>
            <a:sp3d/>
          </c:spPr>
          <c:invertIfNegative val="0"/>
          <c:dPt>
            <c:idx val="2"/>
            <c:invertIfNegative val="0"/>
            <c:bubble3D val="0"/>
            <c:spPr>
              <a:solidFill>
                <a:schemeClr val="tx2">
                  <a:lumMod val="20000"/>
                  <a:lumOff val="80000"/>
                </a:schemeClr>
              </a:solidFill>
              <a:ln>
                <a:noFill/>
              </a:ln>
              <a:effectLst/>
              <a:sp3d/>
            </c:spPr>
            <c:extLst>
              <c:ext xmlns:c16="http://schemas.microsoft.com/office/drawing/2014/chart" uri="{C3380CC4-5D6E-409C-BE32-E72D297353CC}">
                <c16:uniqueId val="{00000001-A822-4BFA-87D0-010B8CA6552B}"/>
              </c:ext>
            </c:extLst>
          </c:dPt>
          <c:dPt>
            <c:idx val="5"/>
            <c:invertIfNegative val="0"/>
            <c:bubble3D val="0"/>
            <c:spPr>
              <a:solidFill>
                <a:schemeClr val="tx2">
                  <a:lumMod val="20000"/>
                  <a:lumOff val="80000"/>
                </a:schemeClr>
              </a:solidFill>
              <a:ln>
                <a:noFill/>
              </a:ln>
              <a:effectLst/>
              <a:sp3d/>
            </c:spPr>
            <c:extLst>
              <c:ext xmlns:c16="http://schemas.microsoft.com/office/drawing/2014/chart" uri="{C3380CC4-5D6E-409C-BE32-E72D297353CC}">
                <c16:uniqueId val="{00000003-A822-4BFA-87D0-010B8CA655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الديانة!$G$21:$H$27</c:f>
              <c:multiLvlStrCache>
                <c:ptCount val="6"/>
                <c:lvl>
                  <c:pt idx="1">
                    <c:v>Мужчины</c:v>
                  </c:pt>
                  <c:pt idx="2">
                    <c:v>Женщины   </c:v>
                  </c:pt>
                  <c:pt idx="4">
                    <c:v>Мужчины</c:v>
                  </c:pt>
                  <c:pt idx="5">
                    <c:v>Женщины   </c:v>
                  </c:pt>
                </c:lvl>
                <c:lvl>
                  <c:pt idx="1">
                    <c:v>                Мусульмане</c:v>
                  </c:pt>
                  <c:pt idx="4">
                    <c:v>Христиане</c:v>
                  </c:pt>
                </c:lvl>
              </c:multiLvlStrCache>
            </c:multiLvlStrRef>
          </c:cat>
          <c:val>
            <c:numRef>
              <c:f>الديانة!$I$21:$I$27</c:f>
              <c:numCache>
                <c:formatCode>0.0</c:formatCode>
                <c:ptCount val="7"/>
                <c:pt idx="1">
                  <c:v>46.955510083940929</c:v>
                </c:pt>
                <c:pt idx="2">
                  <c:v>27.18345632098325</c:v>
                </c:pt>
                <c:pt idx="4">
                  <c:v>10.666567190044139</c:v>
                </c:pt>
                <c:pt idx="5">
                  <c:v>7.5391167808963599</c:v>
                </c:pt>
              </c:numCache>
            </c:numRef>
          </c:val>
          <c:extLst>
            <c:ext xmlns:c16="http://schemas.microsoft.com/office/drawing/2014/chart" uri="{C3380CC4-5D6E-409C-BE32-E72D297353CC}">
              <c16:uniqueId val="{00000004-A822-4BFA-87D0-010B8CA6552B}"/>
            </c:ext>
          </c:extLst>
        </c:ser>
        <c:dLbls>
          <c:showLegendKey val="0"/>
          <c:showVal val="1"/>
          <c:showCatName val="0"/>
          <c:showSerName val="0"/>
          <c:showPercent val="0"/>
          <c:showBubbleSize val="0"/>
        </c:dLbls>
        <c:gapWidth val="150"/>
        <c:shape val="box"/>
        <c:axId val="372986992"/>
        <c:axId val="372987384"/>
        <c:axId val="0"/>
      </c:bar3DChart>
      <c:catAx>
        <c:axId val="372986992"/>
        <c:scaling>
          <c:orientation val="maxMin"/>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2987384"/>
        <c:crosses val="autoZero"/>
        <c:auto val="1"/>
        <c:lblAlgn val="ctr"/>
        <c:lblOffset val="100"/>
        <c:noMultiLvlLbl val="0"/>
      </c:catAx>
      <c:valAx>
        <c:axId val="372987384"/>
        <c:scaling>
          <c:orientation val="minMax"/>
        </c:scaling>
        <c:delete val="1"/>
        <c:axPos val="r"/>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372986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Трудящиеся </a:t>
            </a:r>
            <a:r>
              <a:rPr lang="ru-RU" sz="1400" b="0" i="0" u="none" strike="noStrike" baseline="0">
                <a:effectLst/>
              </a:rPr>
              <a:t>— граждане и неграждане Кувейта</a:t>
            </a:r>
            <a:r>
              <a:rPr lang="en-GB" baseline="0"/>
              <a:t>, </a:t>
            </a:r>
            <a:br>
              <a:rPr lang="ru-RU" baseline="0"/>
            </a:br>
            <a:r>
              <a:rPr lang="en-US"/>
              <a:t>2019</a:t>
            </a:r>
            <a:r>
              <a:rPr lang="ru-RU"/>
              <a:t> год</a:t>
            </a:r>
            <a:endParaRPr lang="en-US"/>
          </a:p>
        </c:rich>
      </c:tx>
      <c:layout>
        <c:manualLayout>
          <c:xMode val="edge"/>
          <c:yMode val="edge"/>
          <c:x val="0.11220237704009871"/>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'العاملون بالقطاعين '!$B$20</c:f>
              <c:strCache>
                <c:ptCount val="1"/>
                <c:pt idx="0">
                  <c:v>Граждане Кувейта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'العاملون بالقطاعين '!$A$21:$A$23</c:f>
              <c:strCache>
                <c:ptCount val="3"/>
                <c:pt idx="0">
                  <c:v>Государственный сектор</c:v>
                </c:pt>
                <c:pt idx="1">
                  <c:v>Частный сектор</c:v>
                </c:pt>
                <c:pt idx="2">
                  <c:v>Итого</c:v>
                </c:pt>
              </c:strCache>
            </c:strRef>
          </c:cat>
          <c:val>
            <c:numRef>
              <c:f>'العاملون بالقطاعين '!$B$21:$B$23</c:f>
              <c:numCache>
                <c:formatCode>0.0</c:formatCode>
                <c:ptCount val="3"/>
                <c:pt idx="0">
                  <c:v>76.001999999999995</c:v>
                </c:pt>
                <c:pt idx="1">
                  <c:v>4.3019999999999996</c:v>
                </c:pt>
                <c:pt idx="2">
                  <c:v>18.135999999999999</c:v>
                </c:pt>
              </c:numCache>
            </c:numRef>
          </c:val>
          <c:extLst>
            <c:ext xmlns:c16="http://schemas.microsoft.com/office/drawing/2014/chart" uri="{C3380CC4-5D6E-409C-BE32-E72D297353CC}">
              <c16:uniqueId val="{00000000-FBDC-4369-821E-436C1EE73286}"/>
            </c:ext>
          </c:extLst>
        </c:ser>
        <c:ser>
          <c:idx val="1"/>
          <c:order val="1"/>
          <c:tx>
            <c:strRef>
              <c:f>'العاملون بالقطاعين '!$C$20</c:f>
              <c:strCache>
                <c:ptCount val="1"/>
                <c:pt idx="0">
                  <c:v>Неграждане Кувейта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'العاملون بالقطاعين '!$A$21:$A$23</c:f>
              <c:strCache>
                <c:ptCount val="3"/>
                <c:pt idx="0">
                  <c:v>Государственный сектор</c:v>
                </c:pt>
                <c:pt idx="1">
                  <c:v>Частный сектор</c:v>
                </c:pt>
                <c:pt idx="2">
                  <c:v>Итого</c:v>
                </c:pt>
              </c:strCache>
            </c:strRef>
          </c:cat>
          <c:val>
            <c:numRef>
              <c:f>'العاملون بالقطاعين '!$C$21:$C$23</c:f>
              <c:numCache>
                <c:formatCode>General</c:formatCode>
                <c:ptCount val="3"/>
                <c:pt idx="0" formatCode="0.0">
                  <c:v>23.998000000000001</c:v>
                </c:pt>
                <c:pt idx="1">
                  <c:v>95.7</c:v>
                </c:pt>
                <c:pt idx="2" formatCode="0.0">
                  <c:v>81.86</c:v>
                </c:pt>
              </c:numCache>
            </c:numRef>
          </c:val>
          <c:extLst>
            <c:ext xmlns:c16="http://schemas.microsoft.com/office/drawing/2014/chart" uri="{C3380CC4-5D6E-409C-BE32-E72D297353CC}">
              <c16:uniqueId val="{00000001-FBDC-4369-821E-436C1EE73286}"/>
            </c:ext>
          </c:extLst>
        </c:ser>
        <c:dLbls>
          <c:showLegendKey val="0"/>
          <c:showVal val="0"/>
          <c:showCatName val="0"/>
          <c:showSerName val="0"/>
          <c:showPercent val="0"/>
          <c:showBubbleSize val="0"/>
        </c:dLbls>
        <c:gapWidth val="219"/>
        <c:overlap val="-27"/>
        <c:axId val="372988168"/>
        <c:axId val="372988560"/>
      </c:barChart>
      <c:catAx>
        <c:axId val="37298816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2988560"/>
        <c:crosses val="autoZero"/>
        <c:auto val="1"/>
        <c:lblAlgn val="ctr"/>
        <c:lblOffset val="100"/>
        <c:noMultiLvlLbl val="0"/>
      </c:catAx>
      <c:valAx>
        <c:axId val="372988560"/>
        <c:scaling>
          <c:orientation val="minMax"/>
        </c:scaling>
        <c:delete val="0"/>
        <c:axPos val="r"/>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2988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HRI.dotm</Template>
  <TotalTime>2</TotalTime>
  <Pages>10</Pages>
  <Words>2850</Words>
  <Characters>18880</Characters>
  <Application>Microsoft Office Word</Application>
  <DocSecurity>0</DocSecurity>
  <Lines>417</Lines>
  <Paragraphs>186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HRI/CORE/KWT/2019</vt:lpstr>
      <vt:lpstr>A/</vt:lpstr>
      <vt:lpstr>A/</vt:lpstr>
    </vt:vector>
  </TitlesOfParts>
  <Company>DCM</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HRI/CORE/KWT/2019</dc:title>
  <dc:subject/>
  <dc:creator>Shuvalova NATALIA</dc:creator>
  <cp:keywords/>
  <cp:lastModifiedBy>Natalia Shuvalova</cp:lastModifiedBy>
  <cp:revision>3</cp:revision>
  <cp:lastPrinted>2021-11-24T16:00:00Z</cp:lastPrinted>
  <dcterms:created xsi:type="dcterms:W3CDTF">2021-11-24T16:00:00Z</dcterms:created>
  <dcterms:modified xsi:type="dcterms:W3CDTF">2021-11-24T16:02:00Z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