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E60369" w14:textId="77777777" w:rsidTr="00D67833">
        <w:trPr>
          <w:trHeight w:hRule="exact" w:val="851"/>
        </w:trPr>
        <w:tc>
          <w:tcPr>
            <w:tcW w:w="1280" w:type="dxa"/>
            <w:tcBorders>
              <w:bottom w:val="single" w:sz="4" w:space="0" w:color="auto"/>
            </w:tcBorders>
          </w:tcPr>
          <w:p w14:paraId="6A765DF8" w14:textId="77777777" w:rsidR="002D5AAC" w:rsidRDefault="002D5AAC" w:rsidP="00D67833">
            <w:pPr>
              <w:kinsoku w:val="0"/>
              <w:overflowPunct w:val="0"/>
              <w:autoSpaceDE w:val="0"/>
              <w:autoSpaceDN w:val="0"/>
              <w:adjustRightInd w:val="0"/>
              <w:snapToGrid w:val="0"/>
            </w:pPr>
          </w:p>
        </w:tc>
        <w:tc>
          <w:tcPr>
            <w:tcW w:w="2273" w:type="dxa"/>
            <w:tcBorders>
              <w:bottom w:val="single" w:sz="4" w:space="0" w:color="auto"/>
            </w:tcBorders>
            <w:vAlign w:val="bottom"/>
          </w:tcPr>
          <w:p w14:paraId="59FFDAB8" w14:textId="77777777"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776A6B3" w14:textId="328EDBA0" w:rsidR="002D5AAC" w:rsidRDefault="00D67833" w:rsidP="00D67833">
            <w:pPr>
              <w:jc w:val="right"/>
            </w:pPr>
            <w:r w:rsidRPr="00D67833">
              <w:rPr>
                <w:sz w:val="40"/>
              </w:rPr>
              <w:t>HRI</w:t>
            </w:r>
            <w:r>
              <w:t>/CORE/KWT/2019</w:t>
            </w:r>
          </w:p>
        </w:tc>
      </w:tr>
      <w:tr w:rsidR="002D5AAC" w14:paraId="2F6837E1" w14:textId="77777777" w:rsidTr="00D67833">
        <w:trPr>
          <w:trHeight w:hRule="exact" w:val="2835"/>
        </w:trPr>
        <w:tc>
          <w:tcPr>
            <w:tcW w:w="1280" w:type="dxa"/>
            <w:tcBorders>
              <w:top w:val="single" w:sz="4" w:space="0" w:color="auto"/>
              <w:bottom w:val="single" w:sz="12" w:space="0" w:color="auto"/>
            </w:tcBorders>
          </w:tcPr>
          <w:p w14:paraId="6C1D9993" w14:textId="77777777" w:rsidR="002D5AAC" w:rsidRDefault="0095700F" w:rsidP="00C057D5">
            <w:pPr>
              <w:spacing w:before="120"/>
              <w:jc w:val="center"/>
            </w:pPr>
            <w:r>
              <w:rPr>
                <w:noProof/>
              </w:rPr>
              <w:drawing>
                <wp:inline distT="0" distB="0" distL="0" distR="0" wp14:anchorId="12FCC9BD" wp14:editId="06D41C3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9992B7"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14:paraId="6E8218C4" w14:textId="77777777" w:rsidR="002D5AAC" w:rsidRDefault="00D67833" w:rsidP="00C057D5">
            <w:pPr>
              <w:spacing w:before="240"/>
            </w:pPr>
            <w:r>
              <w:t>Distr. general</w:t>
            </w:r>
          </w:p>
          <w:p w14:paraId="5CACAB27" w14:textId="77777777" w:rsidR="00D67833" w:rsidRDefault="00D67833" w:rsidP="00D67833">
            <w:pPr>
              <w:spacing w:line="240" w:lineRule="exact"/>
            </w:pPr>
            <w:r>
              <w:t>8 de septiembre de 2021</w:t>
            </w:r>
          </w:p>
          <w:p w14:paraId="5DB58C65" w14:textId="77777777" w:rsidR="00D67833" w:rsidRDefault="00D67833" w:rsidP="00D67833">
            <w:pPr>
              <w:spacing w:line="240" w:lineRule="exact"/>
            </w:pPr>
            <w:r>
              <w:t>Español</w:t>
            </w:r>
          </w:p>
          <w:p w14:paraId="0C9E4921" w14:textId="2FBF5B5C" w:rsidR="00D67833" w:rsidRDefault="00D67833" w:rsidP="00D67833">
            <w:pPr>
              <w:spacing w:line="240" w:lineRule="exact"/>
            </w:pPr>
            <w:r>
              <w:t>Original: árabe</w:t>
            </w:r>
          </w:p>
        </w:tc>
      </w:tr>
    </w:tbl>
    <w:p w14:paraId="5D0C0E15" w14:textId="71EE198B" w:rsidR="00D67833" w:rsidRPr="00D67833" w:rsidRDefault="00D67833" w:rsidP="00D67833">
      <w:pPr>
        <w:pStyle w:val="HMG"/>
      </w:pPr>
      <w:r>
        <w:tab/>
      </w:r>
      <w:r w:rsidRPr="00D67833">
        <w:tab/>
        <w:t>Documento básico común que forma parte integrante de los informes de los Estados partes</w:t>
      </w:r>
    </w:p>
    <w:p w14:paraId="32851E16" w14:textId="23B563FF" w:rsidR="00D67833" w:rsidRPr="00D67833" w:rsidRDefault="00D67833" w:rsidP="00D67833">
      <w:pPr>
        <w:pStyle w:val="HMG"/>
      </w:pPr>
      <w:r>
        <w:tab/>
      </w:r>
      <w:r w:rsidRPr="00D67833">
        <w:tab/>
        <w:t>Kuwait</w:t>
      </w:r>
      <w:r w:rsidRPr="00D67833">
        <w:rPr>
          <w:rStyle w:val="Refdenotaalpie"/>
          <w:b w:val="0"/>
          <w:bCs/>
          <w:sz w:val="20"/>
          <w:vertAlign w:val="baseline"/>
        </w:rPr>
        <w:footnoteReference w:customMarkFollows="1" w:id="1"/>
        <w:t>*</w:t>
      </w:r>
    </w:p>
    <w:p w14:paraId="37DFFF65" w14:textId="77777777" w:rsidR="00D67833" w:rsidRPr="00D67833" w:rsidRDefault="00D67833" w:rsidP="00D67833">
      <w:pPr>
        <w:pStyle w:val="SingleTxtG"/>
        <w:jc w:val="right"/>
      </w:pPr>
      <w:r w:rsidRPr="00D67833">
        <w:t xml:space="preserve">[Fecha de recepción: 20 de diciembre de </w:t>
      </w:r>
      <w:r w:rsidRPr="00D67833">
        <w:rPr>
          <w:rFonts w:hint="cs"/>
        </w:rPr>
        <w:t>2019</w:t>
      </w:r>
      <w:r w:rsidRPr="00D67833">
        <w:t>]</w:t>
      </w:r>
    </w:p>
    <w:p w14:paraId="18BC6E44" w14:textId="62DE9B85" w:rsidR="00D67833" w:rsidRDefault="00D67833" w:rsidP="00D67833">
      <w:pPr>
        <w:pStyle w:val="SingleTxtG"/>
      </w:pPr>
      <w:r>
        <w:br w:type="page"/>
      </w:r>
    </w:p>
    <w:p w14:paraId="0FDEDD1B" w14:textId="06B6B4E6" w:rsidR="00D67833" w:rsidRPr="00D67833" w:rsidRDefault="009250AB" w:rsidP="008E58CA">
      <w:pPr>
        <w:pStyle w:val="HChG"/>
      </w:pPr>
      <w:r>
        <w:lastRenderedPageBreak/>
        <w:tab/>
      </w:r>
      <w:r w:rsidR="00D67833" w:rsidRPr="00D67833">
        <w:t>A.</w:t>
      </w:r>
      <w:r w:rsidR="00D67833" w:rsidRPr="00D67833">
        <w:tab/>
        <w:t>Información general sobre el Estado de Kuwait</w:t>
      </w:r>
    </w:p>
    <w:p w14:paraId="73D50356" w14:textId="6E88677C" w:rsidR="00D67833" w:rsidRPr="00D67833" w:rsidRDefault="009250AB" w:rsidP="009250AB">
      <w:pPr>
        <w:pStyle w:val="H1G"/>
      </w:pPr>
      <w:r>
        <w:tab/>
      </w:r>
      <w:r>
        <w:tab/>
      </w:r>
      <w:r w:rsidR="00D67833" w:rsidRPr="00D67833">
        <w:t>Nueva Visión de Kuwait 2035</w:t>
      </w:r>
    </w:p>
    <w:p w14:paraId="4DEDF2BA" w14:textId="0B9B2DBA" w:rsidR="00D67833" w:rsidRPr="00D67833" w:rsidRDefault="00D67833" w:rsidP="00D67833">
      <w:pPr>
        <w:pStyle w:val="SingleTxtG"/>
      </w:pPr>
      <w:r w:rsidRPr="00D67833">
        <w:t>1.</w:t>
      </w:r>
      <w:r w:rsidR="00801973">
        <w:tab/>
      </w:r>
      <w:r w:rsidRPr="00D67833">
        <w:t>Transformar Kuwait en un centro financiero y comercial que atraiga inversiones, en el que el sector privado lidere la actividad económica, fomente el espíritu de competencia, eleve la eficiencia productiva con el apoyo de un aparato institucional estatal, consolide los valores, preserve la identidad social, logre hacer realidad el desarrollo humano y el desarrollo equilibrado, establezca una infraestructura idónea, promulgue una legislación avanzada y cree un entorno empresarial incentivador</w:t>
      </w:r>
      <w:r w:rsidRPr="00D67833">
        <w:rPr>
          <w:rtl/>
        </w:rPr>
        <w:t>.</w:t>
      </w:r>
    </w:p>
    <w:p w14:paraId="3C85A668" w14:textId="7739BDF7" w:rsidR="00D67833" w:rsidRPr="00D67833" w:rsidRDefault="009250AB" w:rsidP="009250AB">
      <w:pPr>
        <w:pStyle w:val="H1G"/>
      </w:pPr>
      <w:r>
        <w:tab/>
      </w:r>
      <w:r>
        <w:tab/>
      </w:r>
      <w:r w:rsidR="00D67833" w:rsidRPr="00D67833">
        <w:t>Características demográficas, económicas, sociales y culturales</w:t>
      </w:r>
    </w:p>
    <w:p w14:paraId="6E4DBFA4" w14:textId="249304C8" w:rsidR="00D67833" w:rsidRPr="00D67833" w:rsidRDefault="009250AB" w:rsidP="009250AB">
      <w:pPr>
        <w:pStyle w:val="H23G"/>
      </w:pPr>
      <w:r>
        <w:tab/>
      </w:r>
      <w:r>
        <w:tab/>
      </w:r>
      <w:r w:rsidR="00D67833" w:rsidRPr="00D67833">
        <w:t>Situación y superficie</w:t>
      </w:r>
    </w:p>
    <w:p w14:paraId="37BDEAF1" w14:textId="6E8A093F" w:rsidR="00D67833" w:rsidRPr="00D67833" w:rsidRDefault="00D67833" w:rsidP="00D67833">
      <w:pPr>
        <w:pStyle w:val="SingleTxtG"/>
      </w:pPr>
      <w:r w:rsidRPr="00D67833">
        <w:t>2.</w:t>
      </w:r>
      <w:r w:rsidR="00801973">
        <w:tab/>
      </w:r>
      <w:r w:rsidRPr="00D67833">
        <w:t>El Estado de Kuwait está situado en el ángulo noroeste del Golfo Arábigo, entre las latitudes 28’30</w:t>
      </w:r>
      <w:r w:rsidR="00B60A65">
        <w:t>º</w:t>
      </w:r>
      <w:r w:rsidRPr="00D67833">
        <w:t xml:space="preserve"> y 30’06</w:t>
      </w:r>
      <w:r w:rsidR="00B60A65">
        <w:t>º</w:t>
      </w:r>
      <w:r w:rsidRPr="00D67833">
        <w:t xml:space="preserve"> N. y las longitudes 46’30</w:t>
      </w:r>
      <w:r w:rsidR="00B60A65">
        <w:t>º</w:t>
      </w:r>
      <w:r w:rsidRPr="00D67833">
        <w:t xml:space="preserve"> y 48’30</w:t>
      </w:r>
      <w:r w:rsidR="00B60A65">
        <w:t>º</w:t>
      </w:r>
      <w:r w:rsidRPr="00D67833">
        <w:t xml:space="preserve"> E. Limita con el Iraq por el norte y el noroeste, y con el Reino de la Arabia Saudita por el suroeste y el este. Por su situación geográfica, constituye una salida natural al noreste de la Península Arábiga, lo que desde tiempo inmemorial ha otorgado a Kuwait gran importancia comercial. La superficie del Estado de Kuwait es de 17.818 km</w:t>
      </w:r>
      <w:r w:rsidRPr="00D67833">
        <w:rPr>
          <w:vertAlign w:val="superscript"/>
        </w:rPr>
        <w:t>2</w:t>
      </w:r>
      <w:r w:rsidRPr="00D67833">
        <w:rPr>
          <w:rtl/>
        </w:rPr>
        <w:t>.</w:t>
      </w:r>
    </w:p>
    <w:p w14:paraId="0BEAFCD7" w14:textId="0D514075" w:rsidR="00D67833" w:rsidRPr="00D67833" w:rsidRDefault="009250AB" w:rsidP="009250AB">
      <w:pPr>
        <w:pStyle w:val="H23G"/>
      </w:pPr>
      <w:r>
        <w:tab/>
      </w:r>
      <w:r>
        <w:tab/>
      </w:r>
      <w:r w:rsidR="00D67833" w:rsidRPr="00D67833">
        <w:t>El clima</w:t>
      </w:r>
    </w:p>
    <w:p w14:paraId="50F27D0D" w14:textId="34025D7F" w:rsidR="00D67833" w:rsidRPr="00D67833" w:rsidRDefault="00801973" w:rsidP="00D67833">
      <w:pPr>
        <w:pStyle w:val="SingleTxtG"/>
      </w:pPr>
      <w:r>
        <w:t>3.</w:t>
      </w:r>
      <w:r>
        <w:tab/>
      </w:r>
      <w:r w:rsidR="00D67833" w:rsidRPr="00D67833">
        <w:t>Debido a la ubicación de Kuwait en una región geográfica desértica, su clima es de tipo continental, y se caracteriza por veranos largos, calurosos y secos, e inviernos cortos, cálidos y, en ocasiones, lluviosos</w:t>
      </w:r>
      <w:r w:rsidR="00D67833" w:rsidRPr="00D67833">
        <w:rPr>
          <w:rtl/>
        </w:rPr>
        <w:t>.</w:t>
      </w:r>
    </w:p>
    <w:p w14:paraId="01B4375D" w14:textId="23349B45" w:rsidR="00D67833" w:rsidRPr="00D67833" w:rsidRDefault="009250AB" w:rsidP="009250AB">
      <w:pPr>
        <w:pStyle w:val="H23G"/>
      </w:pPr>
      <w:r>
        <w:tab/>
      </w:r>
      <w:r>
        <w:tab/>
      </w:r>
      <w:r w:rsidR="00D67833" w:rsidRPr="00D67833">
        <w:t>Población</w:t>
      </w:r>
    </w:p>
    <w:p w14:paraId="79BCA3E1" w14:textId="58711FEE" w:rsidR="00D67833" w:rsidRDefault="00801973" w:rsidP="00D67833">
      <w:pPr>
        <w:pStyle w:val="SingleTxtG"/>
      </w:pPr>
      <w:r>
        <w:t>4.</w:t>
      </w:r>
      <w:r>
        <w:tab/>
      </w:r>
      <w:r w:rsidR="00D67833" w:rsidRPr="00D67833">
        <w:t>La población estimada del Estado de Kuwait en 2019 era de aproximadamente 4.420.110 habitantes. La población de nacionalidad kuwaití constituía el 30 % del total y la no kuwaití el 70 %.</w:t>
      </w:r>
    </w:p>
    <w:p w14:paraId="06E2DAC9" w14:textId="6F8B2490" w:rsidR="00FC6CF9" w:rsidRDefault="00FC6CF9" w:rsidP="00D67833">
      <w:pPr>
        <w:pStyle w:val="SingleTxtG"/>
      </w:pPr>
      <w:r>
        <w:rPr>
          <w:noProof/>
        </w:rPr>
        <w:drawing>
          <wp:inline distT="0" distB="0" distL="0" distR="0" wp14:anchorId="327DDC21" wp14:editId="10DB735B">
            <wp:extent cx="4668594" cy="30952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4474" cy="3119010"/>
                    </a:xfrm>
                    <a:prstGeom prst="rect">
                      <a:avLst/>
                    </a:prstGeom>
                    <a:noFill/>
                  </pic:spPr>
                </pic:pic>
              </a:graphicData>
            </a:graphic>
          </wp:inline>
        </w:drawing>
      </w:r>
    </w:p>
    <w:p w14:paraId="2287A26A" w14:textId="318C5B3B" w:rsidR="00D67833" w:rsidRPr="00D67833" w:rsidRDefault="009250AB" w:rsidP="009250AB">
      <w:pPr>
        <w:pStyle w:val="H23G"/>
      </w:pPr>
      <w:r>
        <w:tab/>
      </w:r>
      <w:r>
        <w:tab/>
      </w:r>
      <w:r w:rsidR="00D67833" w:rsidRPr="00D67833">
        <w:t>Religión</w:t>
      </w:r>
    </w:p>
    <w:p w14:paraId="486E8D81" w14:textId="4761D43B" w:rsidR="00D67833" w:rsidRDefault="00D67833" w:rsidP="00D67833">
      <w:pPr>
        <w:pStyle w:val="SingleTxtG"/>
      </w:pPr>
      <w:r w:rsidRPr="00D67833">
        <w:t>5.</w:t>
      </w:r>
      <w:r w:rsidR="00801973">
        <w:tab/>
      </w:r>
      <w:r w:rsidRPr="00D67833">
        <w:t xml:space="preserve">El artículo 2 de la Constitución establece que la religión del Estado es el islam, y la </w:t>
      </w:r>
      <w:r w:rsidRPr="00D67833">
        <w:rPr>
          <w:i/>
          <w:iCs/>
        </w:rPr>
        <w:t>sharia</w:t>
      </w:r>
      <w:r w:rsidRPr="00D67833">
        <w:t xml:space="preserve"> islámica es una fuente importante de legislación. El artículo 35 de la Constitución dispone que la libertad de creencias es absoluta y que el Estado protege la libertad para </w:t>
      </w:r>
      <w:r w:rsidRPr="00D67833">
        <w:lastRenderedPageBreak/>
        <w:t>practicar los ritos religiosos de acuerdo con las costumbres establecidas, siempre que ello no viole el orden público ni sea contrario a la moral.</w:t>
      </w:r>
    </w:p>
    <w:p w14:paraId="778B7E31" w14:textId="755F8AC4" w:rsidR="009250AB" w:rsidRDefault="009250AB" w:rsidP="00D67833">
      <w:pPr>
        <w:pStyle w:val="SingleTxtG"/>
      </w:pPr>
      <w:r>
        <w:rPr>
          <w:noProof/>
        </w:rPr>
        <w:drawing>
          <wp:inline distT="0" distB="0" distL="0" distR="0" wp14:anchorId="30392E36" wp14:editId="07E4C0B2">
            <wp:extent cx="4661352" cy="3369972"/>
            <wp:effectExtent l="0" t="0" r="635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87" cy="3399060"/>
                    </a:xfrm>
                    <a:prstGeom prst="rect">
                      <a:avLst/>
                    </a:prstGeom>
                    <a:noFill/>
                  </pic:spPr>
                </pic:pic>
              </a:graphicData>
            </a:graphic>
          </wp:inline>
        </w:drawing>
      </w:r>
    </w:p>
    <w:p w14:paraId="6E9A7EA7" w14:textId="32BC8BD5" w:rsidR="00D67833" w:rsidRPr="00D67833" w:rsidRDefault="009250AB" w:rsidP="009250AB">
      <w:pPr>
        <w:pStyle w:val="H23G"/>
      </w:pPr>
      <w:r>
        <w:tab/>
      </w:r>
      <w:r>
        <w:tab/>
      </w:r>
      <w:r w:rsidR="00D67833" w:rsidRPr="00D67833">
        <w:t>Educación</w:t>
      </w:r>
    </w:p>
    <w:p w14:paraId="37F9BB6A" w14:textId="5FA9B3AF" w:rsidR="00D67833" w:rsidRPr="00D67833" w:rsidRDefault="00D67833" w:rsidP="00D67833">
      <w:pPr>
        <w:pStyle w:val="SingleTxtG"/>
      </w:pPr>
      <w:r w:rsidRPr="00D67833">
        <w:t>6.</w:t>
      </w:r>
      <w:r w:rsidR="00801973">
        <w:tab/>
      </w:r>
      <w:r w:rsidRPr="00D67833">
        <w:t>El capital humano es la verdadera riqueza de las naciones, ya que constituye la base de la creatividad y la innovación de los Estados en sus esfuerzos por elevar su competitividad. Por esta razón, los planes de desarrollo en el Estado de Kuwait partieron de un principio básico, a saber, que la inversión en las personas es una necesidad dictada por la responsabilidad de lograr los objetivos de desarrollo sostenible, y que la educación es el principal pilar para la creación de un capital humano creativo, capaz de aumentar la capacidad innovadora de la economía kuwaití.</w:t>
      </w:r>
    </w:p>
    <w:p w14:paraId="029796F8" w14:textId="6D231A7A" w:rsidR="00D67833" w:rsidRPr="00D67833" w:rsidRDefault="00D67833" w:rsidP="00D67833">
      <w:pPr>
        <w:pStyle w:val="SingleTxtG"/>
      </w:pPr>
      <w:r w:rsidRPr="00D67833">
        <w:t>7.</w:t>
      </w:r>
      <w:r w:rsidR="00801973">
        <w:tab/>
      </w:r>
      <w:r w:rsidRPr="00D67833">
        <w:t>El Estado de Kuwait ha prestado mucha atención al derecho a la educación, ya que la Constitución establece en su artículo 13 que la educación es un pilar fundamental del progreso de la sociedad, y que está garantizada y amparada por el Estado. Es gratuita en todos los niveles, desde el jardín de infancia hasta la universidad, y obligatoria en los niveles primario e intermedio. Nótese que la partida de gasto en educación pública ha aumentado, ya que ascendió a más de 1.700 millones de dinares durante el año lectivo 2016/17, lo que supone alrededor del 10 % del gasto público total.</w:t>
      </w:r>
    </w:p>
    <w:p w14:paraId="0C876A2F" w14:textId="19C1A615" w:rsidR="00D67833" w:rsidRPr="00D67833" w:rsidRDefault="00D67833" w:rsidP="00D67833">
      <w:pPr>
        <w:pStyle w:val="SingleTxtG"/>
      </w:pPr>
      <w:r w:rsidRPr="00D67833">
        <w:t>8.</w:t>
      </w:r>
      <w:r w:rsidR="00801973">
        <w:tab/>
      </w:r>
      <w:r w:rsidRPr="00D67833">
        <w:t>La tasa de matriculación en educación básica se situó en el 92 %, como resultado del interés de Kuwait por aumentar el número de escuelas en todas las provincias, de forma que sea proporcional al total de habitantes. El Estado de Kuwait también coronó con éxito sus medidas encaminadas a erradicar el analfabetismo, reduciéndose la tasa hasta el 2,93 % en el período 2017/18. También se centró en la educación de las personas con discapacidad, proporcionando todos los servicios educativos, integrando a algunas personas en la educación pública o creando escuelas destinadas específicamente a este colectivo.</w:t>
      </w:r>
    </w:p>
    <w:p w14:paraId="4646FC2E" w14:textId="01A81109" w:rsidR="00D67833" w:rsidRDefault="00801973" w:rsidP="00801973">
      <w:pPr>
        <w:pStyle w:val="H23G"/>
        <w:rPr>
          <w:b w:val="0"/>
          <w:bCs/>
        </w:rPr>
      </w:pPr>
      <w:r w:rsidRPr="00801973">
        <w:rPr>
          <w:b w:val="0"/>
          <w:bCs/>
        </w:rPr>
        <w:tab/>
      </w:r>
      <w:r w:rsidRPr="00801973">
        <w:rPr>
          <w:b w:val="0"/>
          <w:bCs/>
        </w:rPr>
        <w:tab/>
      </w:r>
      <w:r w:rsidR="00D67833" w:rsidRPr="00801973">
        <w:rPr>
          <w:b w:val="0"/>
          <w:bCs/>
        </w:rPr>
        <w:t>Cuadro 1</w:t>
      </w:r>
      <w:r w:rsidRPr="00801973">
        <w:rPr>
          <w:b w:val="0"/>
          <w:bCs/>
        </w:rPr>
        <w:br/>
      </w:r>
      <w:r w:rsidR="00D67833" w:rsidRPr="00D67833">
        <w:rPr>
          <w:bCs/>
        </w:rPr>
        <w:t>Número de escuelas e institutos, por etapa educativa, para el año académico 2017/18</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992"/>
        <w:gridCol w:w="851"/>
        <w:gridCol w:w="992"/>
        <w:gridCol w:w="991"/>
      </w:tblGrid>
      <w:tr w:rsidR="00801973" w:rsidRPr="00801973" w14:paraId="6199932E" w14:textId="77777777" w:rsidTr="00801973">
        <w:trPr>
          <w:trHeight w:val="240"/>
          <w:tblHeader/>
        </w:trPr>
        <w:tc>
          <w:tcPr>
            <w:tcW w:w="3544" w:type="dxa"/>
            <w:tcBorders>
              <w:top w:val="single" w:sz="4" w:space="0" w:color="auto"/>
              <w:bottom w:val="single" w:sz="12" w:space="0" w:color="auto"/>
            </w:tcBorders>
            <w:shd w:val="clear" w:color="auto" w:fill="auto"/>
            <w:vAlign w:val="bottom"/>
          </w:tcPr>
          <w:p w14:paraId="2F8D2F30" w14:textId="623F0A16" w:rsidR="00AD5E26" w:rsidRPr="00801973" w:rsidRDefault="00AD5E26" w:rsidP="00801973">
            <w:pPr>
              <w:pStyle w:val="SingleTxtG"/>
              <w:tabs>
                <w:tab w:val="clear" w:pos="1701"/>
                <w:tab w:val="clear" w:pos="2268"/>
                <w:tab w:val="clear" w:pos="2835"/>
              </w:tabs>
              <w:spacing w:before="80" w:after="80" w:line="200" w:lineRule="exact"/>
              <w:ind w:left="0" w:right="0"/>
              <w:jc w:val="left"/>
              <w:rPr>
                <w:i/>
                <w:sz w:val="16"/>
              </w:rPr>
            </w:pPr>
            <w:r w:rsidRPr="00801973">
              <w:rPr>
                <w:i/>
                <w:sz w:val="16"/>
              </w:rPr>
              <w:t>Concepto</w:t>
            </w:r>
          </w:p>
        </w:tc>
        <w:tc>
          <w:tcPr>
            <w:tcW w:w="992" w:type="dxa"/>
            <w:tcBorders>
              <w:top w:val="single" w:sz="4" w:space="0" w:color="auto"/>
              <w:bottom w:val="single" w:sz="12" w:space="0" w:color="auto"/>
            </w:tcBorders>
            <w:shd w:val="clear" w:color="auto" w:fill="auto"/>
            <w:vAlign w:val="bottom"/>
          </w:tcPr>
          <w:p w14:paraId="56581642" w14:textId="7209E65F" w:rsidR="00AD5E26" w:rsidRPr="00801973" w:rsidRDefault="00AD5E26" w:rsidP="00801973">
            <w:pPr>
              <w:pStyle w:val="SingleTxtG"/>
              <w:tabs>
                <w:tab w:val="clear" w:pos="1701"/>
                <w:tab w:val="clear" w:pos="2268"/>
                <w:tab w:val="clear" w:pos="2835"/>
              </w:tabs>
              <w:spacing w:before="80" w:after="80" w:line="200" w:lineRule="exact"/>
              <w:ind w:left="57" w:right="28"/>
              <w:jc w:val="right"/>
              <w:rPr>
                <w:i/>
                <w:sz w:val="16"/>
              </w:rPr>
            </w:pPr>
            <w:r w:rsidRPr="00801973">
              <w:rPr>
                <w:i/>
                <w:sz w:val="16"/>
              </w:rPr>
              <w:t>Escuelas</w:t>
            </w:r>
          </w:p>
        </w:tc>
        <w:tc>
          <w:tcPr>
            <w:tcW w:w="851" w:type="dxa"/>
            <w:tcBorders>
              <w:top w:val="single" w:sz="4" w:space="0" w:color="auto"/>
              <w:bottom w:val="single" w:sz="12" w:space="0" w:color="auto"/>
            </w:tcBorders>
            <w:shd w:val="clear" w:color="auto" w:fill="auto"/>
            <w:vAlign w:val="bottom"/>
          </w:tcPr>
          <w:p w14:paraId="0C5AC94E" w14:textId="5BC35B90" w:rsidR="00AD5E26" w:rsidRPr="00801973" w:rsidRDefault="00AD5E26" w:rsidP="00801973">
            <w:pPr>
              <w:pStyle w:val="SingleTxtG"/>
              <w:tabs>
                <w:tab w:val="clear" w:pos="1701"/>
                <w:tab w:val="clear" w:pos="2268"/>
                <w:tab w:val="clear" w:pos="2835"/>
              </w:tabs>
              <w:spacing w:before="80" w:after="80" w:line="200" w:lineRule="exact"/>
              <w:ind w:left="57" w:right="28"/>
              <w:jc w:val="right"/>
              <w:rPr>
                <w:i/>
                <w:sz w:val="16"/>
              </w:rPr>
            </w:pPr>
            <w:r w:rsidRPr="00801973">
              <w:rPr>
                <w:i/>
                <w:sz w:val="16"/>
              </w:rPr>
              <w:t>Aulas</w:t>
            </w:r>
          </w:p>
        </w:tc>
        <w:tc>
          <w:tcPr>
            <w:tcW w:w="992" w:type="dxa"/>
            <w:tcBorders>
              <w:top w:val="single" w:sz="4" w:space="0" w:color="auto"/>
              <w:bottom w:val="single" w:sz="12" w:space="0" w:color="auto"/>
            </w:tcBorders>
            <w:shd w:val="clear" w:color="auto" w:fill="auto"/>
            <w:vAlign w:val="bottom"/>
          </w:tcPr>
          <w:p w14:paraId="11E97B52" w14:textId="495E3D05" w:rsidR="00AD5E26" w:rsidRPr="00801973" w:rsidRDefault="00AD5E26" w:rsidP="00801973">
            <w:pPr>
              <w:pStyle w:val="SingleTxtG"/>
              <w:tabs>
                <w:tab w:val="clear" w:pos="1701"/>
                <w:tab w:val="clear" w:pos="2268"/>
                <w:tab w:val="clear" w:pos="2835"/>
              </w:tabs>
              <w:spacing w:before="80" w:after="80" w:line="200" w:lineRule="exact"/>
              <w:ind w:left="57" w:right="28"/>
              <w:jc w:val="right"/>
              <w:rPr>
                <w:i/>
                <w:sz w:val="16"/>
              </w:rPr>
            </w:pPr>
            <w:r w:rsidRPr="00801973">
              <w:rPr>
                <w:i/>
                <w:sz w:val="16"/>
              </w:rPr>
              <w:t>Alumnos</w:t>
            </w:r>
          </w:p>
        </w:tc>
        <w:tc>
          <w:tcPr>
            <w:tcW w:w="991" w:type="dxa"/>
            <w:tcBorders>
              <w:top w:val="single" w:sz="4" w:space="0" w:color="auto"/>
              <w:bottom w:val="single" w:sz="12" w:space="0" w:color="auto"/>
            </w:tcBorders>
            <w:shd w:val="clear" w:color="auto" w:fill="auto"/>
            <w:vAlign w:val="bottom"/>
          </w:tcPr>
          <w:p w14:paraId="452CC54A" w14:textId="4E691FF1" w:rsidR="00AD5E26" w:rsidRPr="00801973" w:rsidRDefault="00AD5E26" w:rsidP="00801973">
            <w:pPr>
              <w:pStyle w:val="SingleTxtG"/>
              <w:tabs>
                <w:tab w:val="clear" w:pos="1701"/>
                <w:tab w:val="clear" w:pos="2268"/>
                <w:tab w:val="clear" w:pos="2835"/>
              </w:tabs>
              <w:spacing w:before="80" w:after="80" w:line="200" w:lineRule="exact"/>
              <w:ind w:left="57" w:right="28"/>
              <w:jc w:val="right"/>
              <w:rPr>
                <w:i/>
                <w:sz w:val="16"/>
              </w:rPr>
            </w:pPr>
            <w:r w:rsidRPr="00801973">
              <w:rPr>
                <w:i/>
                <w:sz w:val="16"/>
              </w:rPr>
              <w:t>Maestros</w:t>
            </w:r>
          </w:p>
        </w:tc>
      </w:tr>
      <w:tr w:rsidR="00801973" w:rsidRPr="00801973" w14:paraId="4436E74D" w14:textId="77777777" w:rsidTr="00801973">
        <w:trPr>
          <w:trHeight w:val="240"/>
        </w:trPr>
        <w:tc>
          <w:tcPr>
            <w:tcW w:w="3544" w:type="dxa"/>
            <w:tcBorders>
              <w:top w:val="single" w:sz="12" w:space="0" w:color="auto"/>
            </w:tcBorders>
            <w:shd w:val="clear" w:color="auto" w:fill="auto"/>
          </w:tcPr>
          <w:p w14:paraId="5BB029BF" w14:textId="2772C908" w:rsidR="00AD5E26" w:rsidRPr="00801973" w:rsidRDefault="00AD5E26" w:rsidP="00801973">
            <w:pPr>
              <w:pStyle w:val="SingleTxtG"/>
              <w:tabs>
                <w:tab w:val="clear" w:pos="1701"/>
                <w:tab w:val="clear" w:pos="2268"/>
                <w:tab w:val="clear" w:pos="2835"/>
              </w:tabs>
              <w:spacing w:before="40" w:after="40" w:line="220" w:lineRule="exact"/>
              <w:ind w:left="0" w:right="0"/>
              <w:jc w:val="left"/>
              <w:rPr>
                <w:sz w:val="18"/>
              </w:rPr>
            </w:pPr>
            <w:r w:rsidRPr="00801973">
              <w:rPr>
                <w:sz w:val="18"/>
              </w:rPr>
              <w:t>Total de instituciones de educación pública general y educación religiosa</w:t>
            </w:r>
          </w:p>
        </w:tc>
        <w:tc>
          <w:tcPr>
            <w:tcW w:w="992" w:type="dxa"/>
            <w:tcBorders>
              <w:top w:val="single" w:sz="12" w:space="0" w:color="auto"/>
            </w:tcBorders>
            <w:shd w:val="clear" w:color="auto" w:fill="auto"/>
            <w:vAlign w:val="bottom"/>
          </w:tcPr>
          <w:p w14:paraId="103E5CA8" w14:textId="00D7C4F3"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829</w:t>
            </w:r>
          </w:p>
        </w:tc>
        <w:tc>
          <w:tcPr>
            <w:tcW w:w="851" w:type="dxa"/>
            <w:tcBorders>
              <w:top w:val="single" w:sz="12" w:space="0" w:color="auto"/>
            </w:tcBorders>
            <w:shd w:val="clear" w:color="auto" w:fill="auto"/>
            <w:vAlign w:val="bottom"/>
          </w:tcPr>
          <w:p w14:paraId="43754B75" w14:textId="709C8DB5"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16 216</w:t>
            </w:r>
          </w:p>
        </w:tc>
        <w:tc>
          <w:tcPr>
            <w:tcW w:w="992" w:type="dxa"/>
            <w:tcBorders>
              <w:top w:val="single" w:sz="12" w:space="0" w:color="auto"/>
            </w:tcBorders>
            <w:shd w:val="clear" w:color="auto" w:fill="auto"/>
            <w:vAlign w:val="bottom"/>
          </w:tcPr>
          <w:p w14:paraId="05DCAAB6" w14:textId="3F57C1D5"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393 090</w:t>
            </w:r>
          </w:p>
        </w:tc>
        <w:tc>
          <w:tcPr>
            <w:tcW w:w="991" w:type="dxa"/>
            <w:tcBorders>
              <w:top w:val="single" w:sz="12" w:space="0" w:color="auto"/>
            </w:tcBorders>
            <w:shd w:val="clear" w:color="auto" w:fill="auto"/>
            <w:vAlign w:val="bottom"/>
          </w:tcPr>
          <w:p w14:paraId="7D8DCE79" w14:textId="31FB37FE"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69 563</w:t>
            </w:r>
          </w:p>
        </w:tc>
      </w:tr>
      <w:tr w:rsidR="00801973" w:rsidRPr="00801973" w14:paraId="7F2153A1" w14:textId="77777777" w:rsidTr="00801973">
        <w:trPr>
          <w:trHeight w:val="240"/>
        </w:trPr>
        <w:tc>
          <w:tcPr>
            <w:tcW w:w="3544" w:type="dxa"/>
            <w:shd w:val="clear" w:color="auto" w:fill="auto"/>
          </w:tcPr>
          <w:p w14:paraId="09544BD1" w14:textId="799705FA" w:rsidR="00AD5E26" w:rsidRPr="00801973" w:rsidRDefault="00AD5E26" w:rsidP="00801973">
            <w:pPr>
              <w:pStyle w:val="SingleTxtG"/>
              <w:tabs>
                <w:tab w:val="clear" w:pos="1701"/>
                <w:tab w:val="clear" w:pos="2268"/>
                <w:tab w:val="clear" w:pos="2835"/>
              </w:tabs>
              <w:spacing w:before="40" w:after="40" w:line="220" w:lineRule="exact"/>
              <w:ind w:left="0" w:right="0"/>
              <w:jc w:val="left"/>
              <w:rPr>
                <w:sz w:val="18"/>
              </w:rPr>
            </w:pPr>
            <w:r w:rsidRPr="00801973">
              <w:rPr>
                <w:sz w:val="18"/>
              </w:rPr>
              <w:t>Escuelas de educación especial</w:t>
            </w:r>
          </w:p>
        </w:tc>
        <w:tc>
          <w:tcPr>
            <w:tcW w:w="992" w:type="dxa"/>
            <w:shd w:val="clear" w:color="auto" w:fill="auto"/>
            <w:vAlign w:val="bottom"/>
          </w:tcPr>
          <w:p w14:paraId="01ED5869" w14:textId="70AB4A42"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16</w:t>
            </w:r>
          </w:p>
        </w:tc>
        <w:tc>
          <w:tcPr>
            <w:tcW w:w="851" w:type="dxa"/>
            <w:shd w:val="clear" w:color="auto" w:fill="auto"/>
            <w:vAlign w:val="bottom"/>
          </w:tcPr>
          <w:p w14:paraId="09657290" w14:textId="40F55642"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240</w:t>
            </w:r>
          </w:p>
        </w:tc>
        <w:tc>
          <w:tcPr>
            <w:tcW w:w="992" w:type="dxa"/>
            <w:shd w:val="clear" w:color="auto" w:fill="auto"/>
            <w:vAlign w:val="bottom"/>
          </w:tcPr>
          <w:p w14:paraId="13E8BD8F" w14:textId="24B3DA21"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1 745</w:t>
            </w:r>
          </w:p>
        </w:tc>
        <w:tc>
          <w:tcPr>
            <w:tcW w:w="991" w:type="dxa"/>
            <w:shd w:val="clear" w:color="auto" w:fill="auto"/>
            <w:vAlign w:val="bottom"/>
          </w:tcPr>
          <w:p w14:paraId="62BCC6BE" w14:textId="0D9FE424"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1 210</w:t>
            </w:r>
          </w:p>
        </w:tc>
      </w:tr>
      <w:tr w:rsidR="00801973" w:rsidRPr="00801973" w14:paraId="427381CE" w14:textId="77777777" w:rsidTr="00801973">
        <w:trPr>
          <w:trHeight w:val="240"/>
        </w:trPr>
        <w:tc>
          <w:tcPr>
            <w:tcW w:w="3544" w:type="dxa"/>
            <w:tcBorders>
              <w:bottom w:val="single" w:sz="12" w:space="0" w:color="auto"/>
            </w:tcBorders>
            <w:shd w:val="clear" w:color="auto" w:fill="auto"/>
          </w:tcPr>
          <w:p w14:paraId="3C923F86" w14:textId="31CD525D" w:rsidR="00AD5E26" w:rsidRPr="00801973" w:rsidRDefault="00AD5E26" w:rsidP="00801973">
            <w:pPr>
              <w:pStyle w:val="SingleTxtG"/>
              <w:tabs>
                <w:tab w:val="clear" w:pos="1701"/>
                <w:tab w:val="clear" w:pos="2268"/>
                <w:tab w:val="clear" w:pos="2835"/>
              </w:tabs>
              <w:spacing w:before="40" w:after="40" w:line="220" w:lineRule="exact"/>
              <w:ind w:left="0" w:right="0"/>
              <w:jc w:val="left"/>
              <w:rPr>
                <w:sz w:val="18"/>
              </w:rPr>
            </w:pPr>
            <w:r w:rsidRPr="00801973">
              <w:rPr>
                <w:sz w:val="18"/>
              </w:rPr>
              <w:t>Total de instituciones de educación privada</w:t>
            </w:r>
          </w:p>
        </w:tc>
        <w:tc>
          <w:tcPr>
            <w:tcW w:w="992" w:type="dxa"/>
            <w:tcBorders>
              <w:bottom w:val="single" w:sz="12" w:space="0" w:color="auto"/>
            </w:tcBorders>
            <w:shd w:val="clear" w:color="auto" w:fill="auto"/>
            <w:vAlign w:val="bottom"/>
          </w:tcPr>
          <w:p w14:paraId="519BD138" w14:textId="764CB7B7"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537</w:t>
            </w:r>
          </w:p>
        </w:tc>
        <w:tc>
          <w:tcPr>
            <w:tcW w:w="851" w:type="dxa"/>
            <w:tcBorders>
              <w:bottom w:val="single" w:sz="12" w:space="0" w:color="auto"/>
            </w:tcBorders>
            <w:shd w:val="clear" w:color="auto" w:fill="auto"/>
            <w:vAlign w:val="bottom"/>
          </w:tcPr>
          <w:p w14:paraId="61B62D81" w14:textId="1EFB0569"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8 753</w:t>
            </w:r>
          </w:p>
        </w:tc>
        <w:tc>
          <w:tcPr>
            <w:tcW w:w="992" w:type="dxa"/>
            <w:tcBorders>
              <w:bottom w:val="single" w:sz="12" w:space="0" w:color="auto"/>
            </w:tcBorders>
            <w:shd w:val="clear" w:color="auto" w:fill="auto"/>
            <w:vAlign w:val="bottom"/>
          </w:tcPr>
          <w:p w14:paraId="24FC97BD" w14:textId="22C3DDFC"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264 680</w:t>
            </w:r>
          </w:p>
        </w:tc>
        <w:tc>
          <w:tcPr>
            <w:tcW w:w="991" w:type="dxa"/>
            <w:tcBorders>
              <w:bottom w:val="single" w:sz="12" w:space="0" w:color="auto"/>
            </w:tcBorders>
            <w:shd w:val="clear" w:color="auto" w:fill="auto"/>
            <w:vAlign w:val="bottom"/>
          </w:tcPr>
          <w:p w14:paraId="0955FA64" w14:textId="49FFFCE3" w:rsidR="00AD5E26" w:rsidRPr="00801973" w:rsidRDefault="00AD5E26" w:rsidP="00801973">
            <w:pPr>
              <w:pStyle w:val="SingleTxtG"/>
              <w:tabs>
                <w:tab w:val="clear" w:pos="1701"/>
                <w:tab w:val="clear" w:pos="2268"/>
                <w:tab w:val="clear" w:pos="2835"/>
              </w:tabs>
              <w:spacing w:before="40" w:after="40" w:line="220" w:lineRule="exact"/>
              <w:ind w:left="57" w:right="28"/>
              <w:jc w:val="right"/>
              <w:rPr>
                <w:sz w:val="18"/>
              </w:rPr>
            </w:pPr>
            <w:r w:rsidRPr="00801973">
              <w:rPr>
                <w:sz w:val="18"/>
              </w:rPr>
              <w:t>16 222</w:t>
            </w:r>
          </w:p>
        </w:tc>
      </w:tr>
    </w:tbl>
    <w:p w14:paraId="3D76523D" w14:textId="47A2F162" w:rsidR="00D67833" w:rsidRPr="00D67833" w:rsidRDefault="00AD5E26" w:rsidP="00AD5E26">
      <w:pPr>
        <w:pStyle w:val="H23G"/>
      </w:pPr>
      <w:r>
        <w:lastRenderedPageBreak/>
        <w:tab/>
      </w:r>
      <w:r>
        <w:tab/>
      </w:r>
      <w:r w:rsidR="00D67833" w:rsidRPr="00D67833">
        <w:t>Salud</w:t>
      </w:r>
    </w:p>
    <w:p w14:paraId="7F3DC719" w14:textId="18354B9A" w:rsidR="00D67833" w:rsidRPr="00D67833" w:rsidRDefault="00D67833" w:rsidP="00D67833">
      <w:pPr>
        <w:pStyle w:val="SingleTxtG"/>
      </w:pPr>
      <w:r w:rsidRPr="00D67833">
        <w:t>9.</w:t>
      </w:r>
      <w:r w:rsidR="00801973">
        <w:tab/>
      </w:r>
      <w:r w:rsidRPr="00D67833">
        <w:t>El Estado de Kuwait está comprometido con la atención de la salud por considerarlo un derecho humano, tal como dispone la Constitución en los artículos 10, 11 y 15, y ello a todos los niveles. Estos servicios de salud se brindan de manera justa y equitativa a todas las personas (ciudadanos y residentes, personas de edad, niños, personas con necesidades especiales, mujeres, jóvenes y trabajadores).</w:t>
      </w:r>
    </w:p>
    <w:p w14:paraId="000BFB3A" w14:textId="51D298D3" w:rsidR="00D67833" w:rsidRPr="00D67833" w:rsidRDefault="00D67833" w:rsidP="00D67833">
      <w:pPr>
        <w:pStyle w:val="SingleTxtG"/>
      </w:pPr>
      <w:r w:rsidRPr="00D67833">
        <w:t>10.</w:t>
      </w:r>
      <w:r w:rsidR="00801973">
        <w:tab/>
      </w:r>
      <w:r w:rsidRPr="00D67833">
        <w:t>Debido a ello, el costo de la prestación de servicios de salud en el país ha aumentado, y las asignaciones presupuestarias ascendieron a alrededor de 1.800 millones de dinares en 2016/17 (que representan alrededor del 8,8 % de las partidas de gasto público ese año) y el gasto sanitario ascendió a 336 dinares per c</w:t>
      </w:r>
      <w:r w:rsidR="00F07B57" w:rsidRPr="00F07B57">
        <w:t>á</w:t>
      </w:r>
      <w:r w:rsidRPr="00D67833">
        <w:t>pita en el presupuesto para el periodo 2016/17. Es de señalar que el porcentaje del gasto público en temas de salud aumentó durante el período 2012/2013 a 2016/2017 desde aproximadamente el 7,8 %, hasta alrededor del 8,8 %.</w:t>
      </w:r>
    </w:p>
    <w:p w14:paraId="66B19E55" w14:textId="741A6DEB" w:rsidR="00D67833" w:rsidRPr="00D67833" w:rsidRDefault="00D67833" w:rsidP="00D67833">
      <w:pPr>
        <w:pStyle w:val="SingleTxtG"/>
      </w:pPr>
      <w:r w:rsidRPr="00D67833">
        <w:t>11.</w:t>
      </w:r>
      <w:r w:rsidR="00801973">
        <w:tab/>
      </w:r>
      <w:r w:rsidRPr="00D67833">
        <w:t>Los hospitales públicos están distribuidos de forma equilibrada en las regiones sanitarias, ya que cada región sanitaria cuenta con un hospital general que le da servicio, además de hospitales de especialidades. En 2018, había en total 21, incluyendo 7 hospitales públicos y 14 hospitales de especialidades, así como 99 centros de atención primaria de la salud.</w:t>
      </w:r>
    </w:p>
    <w:p w14:paraId="471420E9" w14:textId="2151716E" w:rsidR="00D67833" w:rsidRPr="00D67833" w:rsidRDefault="00D67833" w:rsidP="00D67833">
      <w:pPr>
        <w:pStyle w:val="SingleTxtG"/>
      </w:pPr>
      <w:r w:rsidRPr="00D67833">
        <w:t>12.</w:t>
      </w:r>
      <w:r w:rsidR="00801973">
        <w:tab/>
      </w:r>
      <w:r w:rsidRPr="00D67833">
        <w:t>El Estado ha promulgado una ley para crear compañías de seguro sanitario (un régimen de garantía). Se trata de un proyecto para establecer y operar una empresa que brinde un conjunto de servicios y atención médica para hombres y mujeres no kuwaitíes, incluidos varios hospitales adscritos al seguro sanitario. Además, existe otro plan de seguro llamado “Afiya”, una compañía de seguro de salud para jubilados y jubiladas kuwaitíes que proporciona servicios médicos.</w:t>
      </w:r>
    </w:p>
    <w:p w14:paraId="6A3F5FB0" w14:textId="62528362" w:rsidR="00D67833" w:rsidRPr="00D67833" w:rsidRDefault="00801973" w:rsidP="00801973">
      <w:pPr>
        <w:pStyle w:val="H23G"/>
      </w:pPr>
      <w:r>
        <w:tab/>
      </w:r>
      <w:r>
        <w:tab/>
      </w:r>
      <w:r w:rsidR="00D67833" w:rsidRPr="00D67833">
        <w:t>Empleo</w:t>
      </w:r>
    </w:p>
    <w:p w14:paraId="1C46C300" w14:textId="02180B77" w:rsidR="00D67833" w:rsidRDefault="00D67833" w:rsidP="00D67833">
      <w:pPr>
        <w:pStyle w:val="SingleTxtG"/>
      </w:pPr>
      <w:r w:rsidRPr="00D67833">
        <w:t>13.</w:t>
      </w:r>
      <w:r w:rsidR="00801973">
        <w:tab/>
      </w:r>
      <w:r w:rsidRPr="00D67833">
        <w:t>El crecimiento cada vez mayor de la economía kuwaití ha propiciado la aparición de muchas y variadas oportunidades laborales, lo que ha dado lugar a un aumento de la demanda de mano de obra, ya sea nacional o extranjera, con el fin de cubrir las necesidades del mercado laboral en sus diferentes ámbitos.</w:t>
      </w:r>
    </w:p>
    <w:p w14:paraId="6F7C7FB0" w14:textId="0F41EEFF" w:rsidR="00801973" w:rsidRDefault="00801973" w:rsidP="00D67833">
      <w:pPr>
        <w:pStyle w:val="SingleTxtG"/>
      </w:pPr>
      <w:r>
        <w:rPr>
          <w:noProof/>
        </w:rPr>
        <w:drawing>
          <wp:inline distT="0" distB="0" distL="0" distR="0" wp14:anchorId="6DC5AAC0" wp14:editId="4F072D28">
            <wp:extent cx="4687910" cy="316783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579" cy="3185184"/>
                    </a:xfrm>
                    <a:prstGeom prst="rect">
                      <a:avLst/>
                    </a:prstGeom>
                    <a:noFill/>
                  </pic:spPr>
                </pic:pic>
              </a:graphicData>
            </a:graphic>
          </wp:inline>
        </w:drawing>
      </w:r>
    </w:p>
    <w:p w14:paraId="4CE48E78" w14:textId="33FBF975" w:rsidR="00D67833" w:rsidRPr="00D67833" w:rsidRDefault="00801973" w:rsidP="00801973">
      <w:pPr>
        <w:pStyle w:val="H23G"/>
      </w:pPr>
      <w:r>
        <w:tab/>
      </w:r>
      <w:r>
        <w:tab/>
      </w:r>
      <w:r w:rsidR="00D67833" w:rsidRPr="00D67833">
        <w:t>Ingresos y gastos nacionales</w:t>
      </w:r>
    </w:p>
    <w:p w14:paraId="773A7492" w14:textId="131F41E4" w:rsidR="00D67833" w:rsidRPr="00D67833" w:rsidRDefault="00D67833" w:rsidP="00D67833">
      <w:pPr>
        <w:pStyle w:val="SingleTxtG"/>
      </w:pPr>
      <w:r w:rsidRPr="00D67833">
        <w:t>14.</w:t>
      </w:r>
      <w:r w:rsidR="00801973">
        <w:tab/>
      </w:r>
      <w:r w:rsidRPr="00D67833">
        <w:t xml:space="preserve">El Plan de Desarrollo se basó en siete pilares principales, entre ellos la construcción de una economía sostenible y plural basada en la diversificación de la base productiva y el apoyo y fomento del sector privado y de la pequeña y mediana empresa con el objetivo de lograr un crecimiento económico al margen del sector petrolero. De esta forma, se conseguirá </w:t>
      </w:r>
      <w:r w:rsidRPr="00D67833">
        <w:lastRenderedPageBreak/>
        <w:t>hacer realidad tasas de crecimiento positivas que aseguren la preservación, mejora y sostenibilidad de los niveles de vida, mientras se continúa desarrollando el sector petrolero, aumentando la capacidad de producción y expandiendo la cadena de valor añadido de las industrias relacionadas, especialmente la petroquímica. Esto se ha traducido en el continuo disfrute de un alto nivel de vida por parte de los ciudadanos kuwaitíes, de lo que da fe el PIB per cápita, que se situó en los 26.000 dólares en 2017.</w:t>
      </w:r>
    </w:p>
    <w:p w14:paraId="18970339" w14:textId="0FCCF4FC" w:rsidR="00D67833" w:rsidRPr="00D67833" w:rsidRDefault="00D67833" w:rsidP="00D67833">
      <w:pPr>
        <w:pStyle w:val="SingleTxtG"/>
      </w:pPr>
      <w:r w:rsidRPr="00D67833">
        <w:t>15.</w:t>
      </w:r>
      <w:r w:rsidR="00801973">
        <w:tab/>
      </w:r>
      <w:r w:rsidRPr="00D67833">
        <w:t>El Plan de Desarrollo para los años 2015/16-2019/20 tiene como objetivo elevar el incremento medio del PIB real hasta el 5,9 % si se ejecutan los proyectos contemplados en el plan. La tasa meta se traducirá en un aumento de la renta real per cápita, asumiendo que la población kuwaití crezca a una tasa anual del 2,6 %.</w:t>
      </w:r>
    </w:p>
    <w:p w14:paraId="746350AF" w14:textId="04B8313B" w:rsidR="00D67833" w:rsidRPr="00B13B71" w:rsidRDefault="00801973" w:rsidP="00801973">
      <w:pPr>
        <w:pStyle w:val="H23G"/>
        <w:rPr>
          <w:b w:val="0"/>
          <w:bCs/>
          <w:sz w:val="16"/>
          <w:szCs w:val="16"/>
        </w:rPr>
      </w:pPr>
      <w:r>
        <w:tab/>
      </w:r>
      <w:r>
        <w:tab/>
      </w:r>
      <w:r w:rsidR="00D67833" w:rsidRPr="00D67833">
        <w:t>Los indicadores más importantes de las cuentas nacionales</w:t>
      </w:r>
      <w:r w:rsidR="00B13B71">
        <w:br/>
      </w:r>
      <w:r w:rsidR="00D67833" w:rsidRPr="00B13B71">
        <w:rPr>
          <w:b w:val="0"/>
          <w:bCs/>
          <w:sz w:val="16"/>
          <w:szCs w:val="16"/>
        </w:rPr>
        <w:t>(</w:t>
      </w:r>
      <w:r w:rsidR="00B13B71">
        <w:rPr>
          <w:b w:val="0"/>
          <w:bCs/>
          <w:sz w:val="16"/>
          <w:szCs w:val="16"/>
        </w:rPr>
        <w:t xml:space="preserve">En </w:t>
      </w:r>
      <w:r w:rsidR="00D67833" w:rsidRPr="00B13B71">
        <w:rPr>
          <w:b w:val="0"/>
          <w:bCs/>
          <w:sz w:val="16"/>
          <w:szCs w:val="16"/>
        </w:rPr>
        <w:t>millones de dinares kuwaitíes)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1284"/>
        <w:gridCol w:w="1366"/>
        <w:gridCol w:w="1365"/>
        <w:gridCol w:w="1229"/>
      </w:tblGrid>
      <w:tr w:rsidR="00801973" w:rsidRPr="00801973" w14:paraId="24FFA9C4" w14:textId="77777777" w:rsidTr="00801973">
        <w:trPr>
          <w:trHeight w:val="240"/>
          <w:tblHeader/>
        </w:trPr>
        <w:tc>
          <w:tcPr>
            <w:tcW w:w="2206" w:type="dxa"/>
            <w:tcBorders>
              <w:top w:val="single" w:sz="4" w:space="0" w:color="auto"/>
              <w:bottom w:val="single" w:sz="12" w:space="0" w:color="auto"/>
            </w:tcBorders>
            <w:shd w:val="clear" w:color="auto" w:fill="auto"/>
            <w:vAlign w:val="bottom"/>
          </w:tcPr>
          <w:p w14:paraId="2E46507D" w14:textId="0016ECFF" w:rsidR="00D67833" w:rsidRPr="00D67833" w:rsidRDefault="00D67833" w:rsidP="00801973">
            <w:pPr>
              <w:pStyle w:val="SingleTxtG"/>
              <w:tabs>
                <w:tab w:val="clear" w:pos="1701"/>
                <w:tab w:val="clear" w:pos="2268"/>
                <w:tab w:val="clear" w:pos="2835"/>
              </w:tabs>
              <w:spacing w:before="80" w:after="80" w:line="200" w:lineRule="exact"/>
              <w:ind w:left="0" w:right="0"/>
              <w:jc w:val="left"/>
              <w:rPr>
                <w:i/>
                <w:sz w:val="16"/>
              </w:rPr>
            </w:pPr>
            <w:r w:rsidRPr="00D67833">
              <w:rPr>
                <w:bCs/>
                <w:i/>
                <w:sz w:val="16"/>
              </w:rPr>
              <w:t>Concepto</w:t>
            </w:r>
            <w:r w:rsidR="00801973">
              <w:rPr>
                <w:bCs/>
                <w:i/>
                <w:sz w:val="16"/>
              </w:rPr>
              <w:br/>
            </w:r>
            <w:r w:rsidRPr="00D67833">
              <w:rPr>
                <w:i/>
                <w:sz w:val="16"/>
              </w:rPr>
              <w:t>(</w:t>
            </w:r>
            <w:r w:rsidRPr="00D67833">
              <w:rPr>
                <w:i/>
                <w:iCs/>
                <w:sz w:val="16"/>
              </w:rPr>
              <w:t>en precios corrientes</w:t>
            </w:r>
            <w:r w:rsidRPr="00D67833">
              <w:rPr>
                <w:i/>
                <w:sz w:val="16"/>
              </w:rPr>
              <w:t>)</w:t>
            </w:r>
          </w:p>
        </w:tc>
        <w:tc>
          <w:tcPr>
            <w:tcW w:w="1333" w:type="dxa"/>
            <w:tcBorders>
              <w:top w:val="single" w:sz="4" w:space="0" w:color="auto"/>
              <w:bottom w:val="single" w:sz="12" w:space="0" w:color="auto"/>
            </w:tcBorders>
            <w:shd w:val="clear" w:color="auto" w:fill="auto"/>
            <w:vAlign w:val="bottom"/>
          </w:tcPr>
          <w:p w14:paraId="5A8A9118" w14:textId="77777777" w:rsidR="00D67833" w:rsidRPr="00D67833" w:rsidRDefault="00D67833" w:rsidP="00801973">
            <w:pPr>
              <w:pStyle w:val="SingleTxtG"/>
              <w:tabs>
                <w:tab w:val="clear" w:pos="1701"/>
                <w:tab w:val="clear" w:pos="2268"/>
                <w:tab w:val="clear" w:pos="2835"/>
              </w:tabs>
              <w:spacing w:before="80" w:after="80" w:line="200" w:lineRule="exact"/>
              <w:ind w:left="28" w:right="28"/>
              <w:jc w:val="right"/>
              <w:rPr>
                <w:bCs/>
                <w:i/>
                <w:sz w:val="16"/>
              </w:rPr>
            </w:pPr>
            <w:r w:rsidRPr="00D67833">
              <w:rPr>
                <w:bCs/>
                <w:i/>
                <w:sz w:val="16"/>
              </w:rPr>
              <w:t>2014</w:t>
            </w:r>
          </w:p>
        </w:tc>
        <w:tc>
          <w:tcPr>
            <w:tcW w:w="1418" w:type="dxa"/>
            <w:tcBorders>
              <w:top w:val="single" w:sz="4" w:space="0" w:color="auto"/>
              <w:bottom w:val="single" w:sz="12" w:space="0" w:color="auto"/>
            </w:tcBorders>
            <w:shd w:val="clear" w:color="auto" w:fill="auto"/>
            <w:vAlign w:val="bottom"/>
          </w:tcPr>
          <w:p w14:paraId="10ED1CB7" w14:textId="77777777" w:rsidR="00D67833" w:rsidRPr="00D67833" w:rsidRDefault="00D67833" w:rsidP="00801973">
            <w:pPr>
              <w:pStyle w:val="SingleTxtG"/>
              <w:tabs>
                <w:tab w:val="clear" w:pos="1701"/>
                <w:tab w:val="clear" w:pos="2268"/>
                <w:tab w:val="clear" w:pos="2835"/>
              </w:tabs>
              <w:spacing w:before="80" w:after="80" w:line="200" w:lineRule="exact"/>
              <w:ind w:left="28" w:right="28"/>
              <w:jc w:val="right"/>
              <w:rPr>
                <w:bCs/>
                <w:i/>
                <w:sz w:val="16"/>
              </w:rPr>
            </w:pPr>
            <w:r w:rsidRPr="00D67833">
              <w:rPr>
                <w:bCs/>
                <w:i/>
                <w:sz w:val="16"/>
              </w:rPr>
              <w:t>2015</w:t>
            </w:r>
          </w:p>
        </w:tc>
        <w:tc>
          <w:tcPr>
            <w:tcW w:w="1417" w:type="dxa"/>
            <w:tcBorders>
              <w:top w:val="single" w:sz="4" w:space="0" w:color="auto"/>
              <w:bottom w:val="single" w:sz="12" w:space="0" w:color="auto"/>
            </w:tcBorders>
            <w:shd w:val="clear" w:color="auto" w:fill="auto"/>
            <w:vAlign w:val="bottom"/>
          </w:tcPr>
          <w:p w14:paraId="73734788" w14:textId="77777777" w:rsidR="00D67833" w:rsidRPr="00D67833" w:rsidRDefault="00D67833" w:rsidP="00801973">
            <w:pPr>
              <w:pStyle w:val="SingleTxtG"/>
              <w:tabs>
                <w:tab w:val="clear" w:pos="1701"/>
                <w:tab w:val="clear" w:pos="2268"/>
                <w:tab w:val="clear" w:pos="2835"/>
              </w:tabs>
              <w:spacing w:before="80" w:after="80" w:line="200" w:lineRule="exact"/>
              <w:ind w:left="28" w:right="28"/>
              <w:jc w:val="right"/>
              <w:rPr>
                <w:bCs/>
                <w:i/>
                <w:sz w:val="16"/>
              </w:rPr>
            </w:pPr>
            <w:r w:rsidRPr="00D67833">
              <w:rPr>
                <w:bCs/>
                <w:i/>
                <w:sz w:val="16"/>
              </w:rPr>
              <w:t>2016</w:t>
            </w:r>
          </w:p>
        </w:tc>
        <w:tc>
          <w:tcPr>
            <w:tcW w:w="1276" w:type="dxa"/>
            <w:tcBorders>
              <w:top w:val="single" w:sz="4" w:space="0" w:color="auto"/>
              <w:bottom w:val="single" w:sz="12" w:space="0" w:color="auto"/>
            </w:tcBorders>
            <w:shd w:val="clear" w:color="auto" w:fill="auto"/>
            <w:vAlign w:val="bottom"/>
          </w:tcPr>
          <w:p w14:paraId="288C2F4F" w14:textId="77777777" w:rsidR="00D67833" w:rsidRPr="00D67833" w:rsidRDefault="00D67833" w:rsidP="00801973">
            <w:pPr>
              <w:pStyle w:val="SingleTxtG"/>
              <w:tabs>
                <w:tab w:val="clear" w:pos="1701"/>
                <w:tab w:val="clear" w:pos="2268"/>
                <w:tab w:val="clear" w:pos="2835"/>
              </w:tabs>
              <w:spacing w:before="80" w:after="80" w:line="200" w:lineRule="exact"/>
              <w:ind w:left="28" w:right="28"/>
              <w:jc w:val="right"/>
              <w:rPr>
                <w:bCs/>
                <w:i/>
                <w:sz w:val="16"/>
              </w:rPr>
            </w:pPr>
            <w:r w:rsidRPr="00D67833">
              <w:rPr>
                <w:bCs/>
                <w:i/>
                <w:sz w:val="16"/>
              </w:rPr>
              <w:t>2017</w:t>
            </w:r>
          </w:p>
        </w:tc>
      </w:tr>
      <w:tr w:rsidR="00801973" w:rsidRPr="00D67833" w14:paraId="45C95BDE" w14:textId="77777777" w:rsidTr="00801973">
        <w:trPr>
          <w:trHeight w:val="240"/>
        </w:trPr>
        <w:tc>
          <w:tcPr>
            <w:tcW w:w="2206" w:type="dxa"/>
            <w:tcBorders>
              <w:top w:val="single" w:sz="12" w:space="0" w:color="auto"/>
            </w:tcBorders>
            <w:shd w:val="clear" w:color="auto" w:fill="auto"/>
          </w:tcPr>
          <w:p w14:paraId="7F20834A" w14:textId="77777777" w:rsidR="00D67833" w:rsidRPr="00D67833" w:rsidRDefault="00D67833" w:rsidP="00801973">
            <w:pPr>
              <w:pStyle w:val="SingleTxtG"/>
              <w:tabs>
                <w:tab w:val="clear" w:pos="1701"/>
                <w:tab w:val="clear" w:pos="2268"/>
                <w:tab w:val="clear" w:pos="2835"/>
              </w:tabs>
              <w:spacing w:before="40" w:after="40" w:line="220" w:lineRule="exact"/>
              <w:ind w:left="0" w:right="0"/>
              <w:jc w:val="left"/>
              <w:rPr>
                <w:sz w:val="18"/>
              </w:rPr>
            </w:pPr>
            <w:r w:rsidRPr="00D67833">
              <w:rPr>
                <w:sz w:val="18"/>
              </w:rPr>
              <w:t>PIB</w:t>
            </w:r>
          </w:p>
        </w:tc>
        <w:tc>
          <w:tcPr>
            <w:tcW w:w="1333" w:type="dxa"/>
            <w:tcBorders>
              <w:top w:val="single" w:sz="12" w:space="0" w:color="auto"/>
            </w:tcBorders>
            <w:shd w:val="clear" w:color="auto" w:fill="auto"/>
            <w:vAlign w:val="bottom"/>
          </w:tcPr>
          <w:p w14:paraId="1D59ABD7" w14:textId="06CA9405"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46 285</w:t>
            </w:r>
            <w:r w:rsidR="00B13B71">
              <w:rPr>
                <w:sz w:val="18"/>
                <w:lang w:val="en-US"/>
              </w:rPr>
              <w:t>,00</w:t>
            </w:r>
          </w:p>
        </w:tc>
        <w:tc>
          <w:tcPr>
            <w:tcW w:w="1418" w:type="dxa"/>
            <w:tcBorders>
              <w:top w:val="single" w:sz="12" w:space="0" w:color="auto"/>
            </w:tcBorders>
            <w:shd w:val="clear" w:color="auto" w:fill="auto"/>
            <w:vAlign w:val="bottom"/>
          </w:tcPr>
          <w:p w14:paraId="1422179F" w14:textId="609F8009"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34 473</w:t>
            </w:r>
            <w:r w:rsidR="00B13B71">
              <w:rPr>
                <w:sz w:val="18"/>
                <w:lang w:val="en-US"/>
              </w:rPr>
              <w:t>,</w:t>
            </w:r>
            <w:r w:rsidRPr="00D67833">
              <w:rPr>
                <w:sz w:val="18"/>
                <w:lang w:val="en-US"/>
              </w:rPr>
              <w:t>30</w:t>
            </w:r>
          </w:p>
        </w:tc>
        <w:tc>
          <w:tcPr>
            <w:tcW w:w="1417" w:type="dxa"/>
            <w:tcBorders>
              <w:top w:val="single" w:sz="12" w:space="0" w:color="auto"/>
            </w:tcBorders>
            <w:shd w:val="clear" w:color="auto" w:fill="auto"/>
            <w:vAlign w:val="bottom"/>
          </w:tcPr>
          <w:p w14:paraId="7AF0F14B" w14:textId="2C55AA84"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33 055</w:t>
            </w:r>
            <w:r w:rsidR="00B13B71">
              <w:rPr>
                <w:sz w:val="18"/>
                <w:lang w:val="en-US"/>
              </w:rPr>
              <w:t>,</w:t>
            </w:r>
            <w:r w:rsidRPr="00D67833">
              <w:rPr>
                <w:sz w:val="18"/>
                <w:lang w:val="en-US"/>
              </w:rPr>
              <w:t>80</w:t>
            </w:r>
          </w:p>
        </w:tc>
        <w:tc>
          <w:tcPr>
            <w:tcW w:w="1276" w:type="dxa"/>
            <w:tcBorders>
              <w:top w:val="single" w:sz="12" w:space="0" w:color="auto"/>
            </w:tcBorders>
            <w:shd w:val="clear" w:color="auto" w:fill="auto"/>
            <w:vAlign w:val="bottom"/>
          </w:tcPr>
          <w:p w14:paraId="0865D5D7" w14:textId="2CB3EDD7"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36 260</w:t>
            </w:r>
            <w:r w:rsidR="00B13B71">
              <w:rPr>
                <w:sz w:val="18"/>
                <w:lang w:val="en-US"/>
              </w:rPr>
              <w:t>,</w:t>
            </w:r>
            <w:r w:rsidRPr="00D67833">
              <w:rPr>
                <w:sz w:val="18"/>
                <w:lang w:val="en-US"/>
              </w:rPr>
              <w:t>70</w:t>
            </w:r>
          </w:p>
        </w:tc>
      </w:tr>
      <w:tr w:rsidR="00801973" w:rsidRPr="00D67833" w14:paraId="24A6B24F" w14:textId="77777777" w:rsidTr="00801973">
        <w:trPr>
          <w:trHeight w:val="240"/>
        </w:trPr>
        <w:tc>
          <w:tcPr>
            <w:tcW w:w="2206" w:type="dxa"/>
            <w:shd w:val="clear" w:color="auto" w:fill="auto"/>
          </w:tcPr>
          <w:p w14:paraId="58D6276B" w14:textId="77777777" w:rsidR="00D67833" w:rsidRPr="00D67833" w:rsidRDefault="00D67833" w:rsidP="00801973">
            <w:pPr>
              <w:pStyle w:val="SingleTxtG"/>
              <w:tabs>
                <w:tab w:val="clear" w:pos="1701"/>
                <w:tab w:val="clear" w:pos="2268"/>
                <w:tab w:val="clear" w:pos="2835"/>
              </w:tabs>
              <w:spacing w:before="40" w:after="40" w:line="220" w:lineRule="exact"/>
              <w:ind w:left="0" w:right="0"/>
              <w:jc w:val="left"/>
              <w:rPr>
                <w:sz w:val="18"/>
              </w:rPr>
            </w:pPr>
            <w:r w:rsidRPr="00D67833">
              <w:rPr>
                <w:sz w:val="18"/>
              </w:rPr>
              <w:t>PNB</w:t>
            </w:r>
          </w:p>
        </w:tc>
        <w:tc>
          <w:tcPr>
            <w:tcW w:w="1333" w:type="dxa"/>
            <w:shd w:val="clear" w:color="auto" w:fill="auto"/>
            <w:vAlign w:val="bottom"/>
          </w:tcPr>
          <w:p w14:paraId="2AB3108F" w14:textId="615EF8F0"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50 736</w:t>
            </w:r>
            <w:r w:rsidR="00B13B71">
              <w:rPr>
                <w:sz w:val="18"/>
                <w:lang w:val="en-US"/>
              </w:rPr>
              <w:t>,</w:t>
            </w:r>
            <w:r w:rsidRPr="00D67833">
              <w:rPr>
                <w:sz w:val="18"/>
                <w:lang w:val="en-US"/>
              </w:rPr>
              <w:t>30</w:t>
            </w:r>
          </w:p>
        </w:tc>
        <w:tc>
          <w:tcPr>
            <w:tcW w:w="1418" w:type="dxa"/>
            <w:shd w:val="clear" w:color="auto" w:fill="auto"/>
            <w:vAlign w:val="bottom"/>
          </w:tcPr>
          <w:p w14:paraId="328F0BE0" w14:textId="6B886C47"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38 292</w:t>
            </w:r>
            <w:r w:rsidR="00B13B71">
              <w:rPr>
                <w:sz w:val="18"/>
                <w:lang w:val="en-US"/>
              </w:rPr>
              <w:t>,</w:t>
            </w:r>
            <w:r w:rsidRPr="00D67833">
              <w:rPr>
                <w:sz w:val="18"/>
                <w:lang w:val="en-US"/>
              </w:rPr>
              <w:t>20</w:t>
            </w:r>
          </w:p>
        </w:tc>
        <w:tc>
          <w:tcPr>
            <w:tcW w:w="1417" w:type="dxa"/>
            <w:shd w:val="clear" w:color="auto" w:fill="auto"/>
            <w:vAlign w:val="bottom"/>
          </w:tcPr>
          <w:p w14:paraId="34C7669E" w14:textId="2A1701F6"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36 916</w:t>
            </w:r>
            <w:r w:rsidR="00B13B71">
              <w:rPr>
                <w:sz w:val="18"/>
                <w:lang w:val="en-US"/>
              </w:rPr>
              <w:t>,</w:t>
            </w:r>
            <w:r w:rsidRPr="00D67833">
              <w:rPr>
                <w:sz w:val="18"/>
                <w:lang w:val="en-US"/>
              </w:rPr>
              <w:t>50</w:t>
            </w:r>
          </w:p>
        </w:tc>
        <w:tc>
          <w:tcPr>
            <w:tcW w:w="1276" w:type="dxa"/>
            <w:shd w:val="clear" w:color="auto" w:fill="auto"/>
            <w:vAlign w:val="bottom"/>
          </w:tcPr>
          <w:p w14:paraId="60B897DC" w14:textId="2140E7C7"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42 018</w:t>
            </w:r>
            <w:r w:rsidR="00B13B71">
              <w:rPr>
                <w:sz w:val="18"/>
                <w:lang w:val="en-US"/>
              </w:rPr>
              <w:t>,</w:t>
            </w:r>
            <w:r w:rsidRPr="00D67833">
              <w:rPr>
                <w:sz w:val="18"/>
                <w:lang w:val="en-US"/>
              </w:rPr>
              <w:t>00</w:t>
            </w:r>
          </w:p>
        </w:tc>
      </w:tr>
      <w:tr w:rsidR="00801973" w:rsidRPr="00D67833" w14:paraId="65C6E2B7" w14:textId="77777777" w:rsidTr="00801973">
        <w:trPr>
          <w:trHeight w:val="240"/>
        </w:trPr>
        <w:tc>
          <w:tcPr>
            <w:tcW w:w="2206" w:type="dxa"/>
            <w:tcBorders>
              <w:bottom w:val="single" w:sz="12" w:space="0" w:color="auto"/>
            </w:tcBorders>
            <w:shd w:val="clear" w:color="auto" w:fill="auto"/>
          </w:tcPr>
          <w:p w14:paraId="2A133CF1" w14:textId="77777777" w:rsidR="00D67833" w:rsidRPr="00D67833" w:rsidRDefault="00D67833" w:rsidP="00801973">
            <w:pPr>
              <w:pStyle w:val="SingleTxtG"/>
              <w:tabs>
                <w:tab w:val="clear" w:pos="1701"/>
                <w:tab w:val="clear" w:pos="2268"/>
                <w:tab w:val="clear" w:pos="2835"/>
              </w:tabs>
              <w:spacing w:before="40" w:after="40" w:line="220" w:lineRule="exact"/>
              <w:ind w:left="0" w:right="0"/>
              <w:jc w:val="left"/>
              <w:rPr>
                <w:sz w:val="18"/>
              </w:rPr>
            </w:pPr>
            <w:r w:rsidRPr="00D67833">
              <w:rPr>
                <w:sz w:val="18"/>
              </w:rPr>
              <w:t>Renta nacional disponible</w:t>
            </w:r>
          </w:p>
        </w:tc>
        <w:tc>
          <w:tcPr>
            <w:tcW w:w="1333" w:type="dxa"/>
            <w:tcBorders>
              <w:bottom w:val="single" w:sz="12" w:space="0" w:color="auto"/>
            </w:tcBorders>
            <w:shd w:val="clear" w:color="auto" w:fill="auto"/>
            <w:vAlign w:val="bottom"/>
          </w:tcPr>
          <w:p w14:paraId="3F15C4E4" w14:textId="58BF866E"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41 982</w:t>
            </w:r>
            <w:r w:rsidR="00B13B71">
              <w:rPr>
                <w:sz w:val="18"/>
                <w:lang w:val="en-US"/>
              </w:rPr>
              <w:t>,</w:t>
            </w:r>
            <w:r w:rsidRPr="00D67833">
              <w:rPr>
                <w:sz w:val="18"/>
                <w:lang w:val="en-US"/>
              </w:rPr>
              <w:t>20</w:t>
            </w:r>
          </w:p>
        </w:tc>
        <w:tc>
          <w:tcPr>
            <w:tcW w:w="1418" w:type="dxa"/>
            <w:tcBorders>
              <w:bottom w:val="single" w:sz="12" w:space="0" w:color="auto"/>
            </w:tcBorders>
            <w:shd w:val="clear" w:color="auto" w:fill="auto"/>
            <w:vAlign w:val="bottom"/>
          </w:tcPr>
          <w:p w14:paraId="412F226A" w14:textId="2A6D7522"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30 415</w:t>
            </w:r>
            <w:r w:rsidR="00B13B71">
              <w:rPr>
                <w:sz w:val="18"/>
                <w:lang w:val="en-US"/>
              </w:rPr>
              <w:t>,</w:t>
            </w:r>
            <w:r w:rsidRPr="00D67833">
              <w:rPr>
                <w:sz w:val="18"/>
                <w:lang w:val="en-US"/>
              </w:rPr>
              <w:t>60</w:t>
            </w:r>
          </w:p>
        </w:tc>
        <w:tc>
          <w:tcPr>
            <w:tcW w:w="1417" w:type="dxa"/>
            <w:tcBorders>
              <w:bottom w:val="single" w:sz="12" w:space="0" w:color="auto"/>
            </w:tcBorders>
            <w:shd w:val="clear" w:color="auto" w:fill="auto"/>
            <w:vAlign w:val="bottom"/>
          </w:tcPr>
          <w:p w14:paraId="48481034" w14:textId="048C33D7"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31 678</w:t>
            </w:r>
            <w:r w:rsidR="00B13B71">
              <w:rPr>
                <w:sz w:val="18"/>
                <w:lang w:val="en-US"/>
              </w:rPr>
              <w:t>,</w:t>
            </w:r>
            <w:r w:rsidRPr="00D67833">
              <w:rPr>
                <w:sz w:val="18"/>
                <w:lang w:val="en-US"/>
              </w:rPr>
              <w:t>40</w:t>
            </w:r>
          </w:p>
        </w:tc>
        <w:tc>
          <w:tcPr>
            <w:tcW w:w="1276" w:type="dxa"/>
            <w:tcBorders>
              <w:bottom w:val="single" w:sz="12" w:space="0" w:color="auto"/>
            </w:tcBorders>
            <w:shd w:val="clear" w:color="auto" w:fill="auto"/>
            <w:vAlign w:val="bottom"/>
          </w:tcPr>
          <w:p w14:paraId="0FA2709D" w14:textId="44CF9E49" w:rsidR="00D67833" w:rsidRPr="00D67833" w:rsidRDefault="00D67833" w:rsidP="00801973">
            <w:pPr>
              <w:pStyle w:val="SingleTxtG"/>
              <w:tabs>
                <w:tab w:val="clear" w:pos="1701"/>
                <w:tab w:val="clear" w:pos="2268"/>
                <w:tab w:val="clear" w:pos="2835"/>
              </w:tabs>
              <w:spacing w:before="40" w:after="40" w:line="220" w:lineRule="exact"/>
              <w:ind w:left="28" w:right="28"/>
              <w:jc w:val="right"/>
              <w:rPr>
                <w:bCs/>
                <w:sz w:val="18"/>
              </w:rPr>
            </w:pPr>
            <w:r w:rsidRPr="00D67833">
              <w:rPr>
                <w:sz w:val="18"/>
                <w:lang w:val="en-US"/>
              </w:rPr>
              <w:t>37 569</w:t>
            </w:r>
            <w:r w:rsidR="00B13B71">
              <w:rPr>
                <w:sz w:val="18"/>
                <w:lang w:val="en-US"/>
              </w:rPr>
              <w:t>,</w:t>
            </w:r>
            <w:r w:rsidRPr="00D67833">
              <w:rPr>
                <w:sz w:val="18"/>
                <w:lang w:val="en-US"/>
              </w:rPr>
              <w:t>20</w:t>
            </w:r>
          </w:p>
        </w:tc>
      </w:tr>
    </w:tbl>
    <w:p w14:paraId="54476019" w14:textId="66388599" w:rsidR="00D67833" w:rsidRPr="00D67833" w:rsidRDefault="00801973" w:rsidP="00801973">
      <w:pPr>
        <w:pStyle w:val="H23G"/>
      </w:pPr>
      <w:r>
        <w:tab/>
      </w:r>
      <w:r>
        <w:tab/>
      </w:r>
      <w:r w:rsidR="00D67833" w:rsidRPr="00D67833">
        <w:t>Vivienda</w:t>
      </w:r>
    </w:p>
    <w:p w14:paraId="513E9312" w14:textId="011797CE" w:rsidR="00D67833" w:rsidRPr="00D67833" w:rsidRDefault="00D67833" w:rsidP="00D67833">
      <w:pPr>
        <w:pStyle w:val="SingleTxtG"/>
      </w:pPr>
      <w:r w:rsidRPr="00D67833">
        <w:t>16.</w:t>
      </w:r>
      <w:r w:rsidR="00801973">
        <w:tab/>
      </w:r>
      <w:r w:rsidRPr="00D67833">
        <w:t>El interés del Estado de Kuwait por ofrecer atención en materia de vivienda se debe a que cree firmemente en este derecho y en el impacto que tiene en la vida de la familia kuwaití. El Gobierno kuwaití ha aprobado, mediante planes de desarrollo, una política consistente en proporcionar viviendas adecuadas a las familias kuwaitíes. Desde 1954, el Estado de Kuwait ha comenzado a construir unidades de vivienda, ofreciendo diversas opciones, ya que se puede optar a vivienda pública, apartamentos residenciales o terrenos edificables, que se distribuyen a los ciudadanos de acuerdo con mecanismos y normas reguladoras que garantizan su concesión con arreglo a criterios de justicia. El Kuwait Credit Bank también proporciona préstamos para vivienda en aras del logro del mismo objetivo.</w:t>
      </w:r>
    </w:p>
    <w:p w14:paraId="689CFA45" w14:textId="5DA8499E" w:rsidR="00D67833" w:rsidRPr="00D67833" w:rsidRDefault="00D67833" w:rsidP="00D67833">
      <w:pPr>
        <w:pStyle w:val="SingleTxtG"/>
      </w:pPr>
      <w:r w:rsidRPr="00D67833">
        <w:t>17.</w:t>
      </w:r>
      <w:r w:rsidR="00801973">
        <w:tab/>
      </w:r>
      <w:r w:rsidRPr="00D67833">
        <w:t>La Corporación Pública de Previsión en materia de Vivienda se estableció de conformidad con la Ley núm. 47/1993 con el objetivo de brindar atención habitacional a los ciudadanos que reúnan los requisitos para ello a través de múltiples alternativas. La Corporación es la agencia ejecutora de las políticas de vivienda del Gobierno y sus orientaciones son parte intrínseca del ordenamiento económico y social del Estado.</w:t>
      </w:r>
    </w:p>
    <w:p w14:paraId="693A1603" w14:textId="23E7EE39" w:rsidR="00D67833" w:rsidRPr="00D67833" w:rsidRDefault="00801973" w:rsidP="00801973">
      <w:pPr>
        <w:pStyle w:val="H23G"/>
      </w:pPr>
      <w:r>
        <w:tab/>
      </w:r>
      <w:r>
        <w:tab/>
      </w:r>
      <w:r w:rsidR="00D67833" w:rsidRPr="00D67833">
        <w:t>El entorno</w:t>
      </w:r>
    </w:p>
    <w:p w14:paraId="746B4EF9" w14:textId="19CEBE38" w:rsidR="00D67833" w:rsidRPr="00D67833" w:rsidRDefault="00D67833" w:rsidP="00D67833">
      <w:pPr>
        <w:pStyle w:val="SingleTxtG"/>
      </w:pPr>
      <w:r w:rsidRPr="00D67833">
        <w:t>18.</w:t>
      </w:r>
      <w:r w:rsidR="00801973">
        <w:tab/>
      </w:r>
      <w:r w:rsidRPr="00D67833">
        <w:t>El medio ambiente se considera un eje importante del desarrollo integral, y la cuestión de la protección ambiental preocupa enormemente a nivel mundial y nacional, ya que los estudios e información ambiental se han convertido en centro del interés de muchos de los organismos del Estado, concretamente de las instituciones de salud, los establecimientos industriales, las instituciones científicas, las empresas de ingeniería y entidades de otro tipo.</w:t>
      </w:r>
    </w:p>
    <w:p w14:paraId="53C19726" w14:textId="3C9C1EA8" w:rsidR="00D67833" w:rsidRPr="00D67833" w:rsidRDefault="00D67833" w:rsidP="00D67833">
      <w:pPr>
        <w:pStyle w:val="SingleTxtG"/>
      </w:pPr>
      <w:r w:rsidRPr="00D67833">
        <w:t>19.</w:t>
      </w:r>
      <w:r w:rsidR="00801973">
        <w:tab/>
      </w:r>
      <w:r w:rsidRPr="00D67833">
        <w:t>La Autoridad Pública Ambiental se estableció con arreglo a la Ley núm. 21/1995 y fue enmendada en virtud de la Ley núm. 16/1996. Entre sus prioridades más destacadas se encuentra la elaboración y aplicación de la política general de protección del medio ambiente kuwaití; la preparación y la supervisión de la aplicación de un plan de acción integral que incluya todo lo relacionado con la protección ambiental a corto y largo plazo; y el establecimiento de un plan de respuesta integral ante los desastres ambientales, así como la adopción de las medidas necesarias con ese fin.</w:t>
      </w:r>
    </w:p>
    <w:p w14:paraId="44D06DD6" w14:textId="58511089" w:rsidR="00D67833" w:rsidRPr="00D67833" w:rsidRDefault="00801973" w:rsidP="00801973">
      <w:pPr>
        <w:pStyle w:val="H23G"/>
      </w:pPr>
      <w:r>
        <w:tab/>
      </w:r>
      <w:r>
        <w:tab/>
      </w:r>
      <w:r w:rsidR="00D67833" w:rsidRPr="00D67833">
        <w:t>Estructura constitucional, política y jurídica del Estado</w:t>
      </w:r>
    </w:p>
    <w:p w14:paraId="0B128D34" w14:textId="3B16D08A" w:rsidR="00D67833" w:rsidRPr="00D67833" w:rsidRDefault="00D67833" w:rsidP="00D67833">
      <w:pPr>
        <w:pStyle w:val="SingleTxtG"/>
      </w:pPr>
      <w:r w:rsidRPr="00D67833">
        <w:t>20.</w:t>
      </w:r>
      <w:r w:rsidR="00801973">
        <w:tab/>
      </w:r>
      <w:r w:rsidRPr="00D67833">
        <w:t xml:space="preserve">Kuwait es un Estado árabe independiente dotado de plena soberanía, su religión es el </w:t>
      </w:r>
      <w:r w:rsidR="00B95546">
        <w:t>i</w:t>
      </w:r>
      <w:r w:rsidRPr="00D67833">
        <w:t xml:space="preserve">slam, su idioma oficial es el árabe y el sistema de gobierno es democrático. El preámbulo explicativo de la Constitución señala que este sistema democrático adoptado está a medio camino entre el sistema parlamentario y el presidencial, lo que indica que se han incorporado </w:t>
      </w:r>
      <w:r w:rsidRPr="00D67833">
        <w:lastRenderedPageBreak/>
        <w:t>los principios democráticos genuinos. En razón de ello, se ciñe al principio constitucional basado en la separación de poderes, unos poderes que colaboran entre sí.</w:t>
      </w:r>
    </w:p>
    <w:p w14:paraId="61BFAAED" w14:textId="61F77A8F" w:rsidR="00D67833" w:rsidRPr="00D67833" w:rsidRDefault="00D67833" w:rsidP="00D67833">
      <w:pPr>
        <w:pStyle w:val="SingleTxtG"/>
      </w:pPr>
      <w:r w:rsidRPr="00D67833">
        <w:t>21.</w:t>
      </w:r>
      <w:r w:rsidR="00801973">
        <w:tab/>
      </w:r>
      <w:r w:rsidRPr="00D67833">
        <w:t>La Constitución de Kuwait también dedica un título concreto, que consta de cinco capítulos, a la cuestión de los poderes. Al principio de este título, se indica que el poder legislativo es potestad del Emir y la Asamblea Nacional, de conformidad con la Constitución, que el poder ejecutivo lo ejercen el Emir, el Consejo de Ministros y los ministros, y que el poder judicial es ejercido por los tribunales en nombre del Emir, siempre en los límites que marca la Constitución.</w:t>
      </w:r>
    </w:p>
    <w:p w14:paraId="110D384B" w14:textId="3507FADB" w:rsidR="00D67833" w:rsidRPr="00D67833" w:rsidRDefault="00D67833" w:rsidP="00D67833">
      <w:pPr>
        <w:pStyle w:val="SingleTxtG"/>
      </w:pPr>
      <w:r w:rsidRPr="00D67833">
        <w:t>22.</w:t>
      </w:r>
      <w:r w:rsidR="00801973">
        <w:tab/>
      </w:r>
      <w:r w:rsidRPr="00D67833">
        <w:t>El capítulo II del título mencionado define las atribuciones del Jefe de Estado de la siguiente manera. El Jefe del Estado:</w:t>
      </w:r>
    </w:p>
    <w:p w14:paraId="433541D4" w14:textId="1BFD7095" w:rsidR="00D67833" w:rsidRPr="00D67833" w:rsidRDefault="00801973" w:rsidP="00D67833">
      <w:pPr>
        <w:pStyle w:val="SingleTxtG"/>
      </w:pPr>
      <w:r>
        <w:tab/>
      </w:r>
      <w:r w:rsidR="00D67833" w:rsidRPr="00D67833">
        <w:t>a)</w:t>
      </w:r>
      <w:r>
        <w:tab/>
      </w:r>
      <w:r w:rsidR="00D67833" w:rsidRPr="00D67833">
        <w:t>Asume sus poderes a través de sus ministros, nombra al Primer Ministro y lo releva de su cargo;</w:t>
      </w:r>
    </w:p>
    <w:p w14:paraId="6D2B3EC6" w14:textId="04063AA9" w:rsidR="00D67833" w:rsidRPr="00D67833" w:rsidRDefault="00801973" w:rsidP="00D67833">
      <w:pPr>
        <w:pStyle w:val="SingleTxtG"/>
      </w:pPr>
      <w:r>
        <w:tab/>
      </w:r>
      <w:r w:rsidR="00D67833" w:rsidRPr="00D67833">
        <w:t>b)</w:t>
      </w:r>
      <w:r>
        <w:tab/>
      </w:r>
      <w:r w:rsidR="00D67833" w:rsidRPr="00D67833">
        <w:t>Es el Comandante en Jefe de las Fuerzas Armadas;</w:t>
      </w:r>
    </w:p>
    <w:p w14:paraId="2F142D30" w14:textId="3D31377F" w:rsidR="00D67833" w:rsidRPr="00D67833" w:rsidRDefault="00801973" w:rsidP="00D67833">
      <w:pPr>
        <w:pStyle w:val="SingleTxtG"/>
      </w:pPr>
      <w:r>
        <w:tab/>
      </w:r>
      <w:r w:rsidR="00D67833" w:rsidRPr="00D67833">
        <w:t>c)</w:t>
      </w:r>
      <w:r>
        <w:tab/>
      </w:r>
      <w:r w:rsidR="00D67833" w:rsidRPr="00D67833">
        <w:t>Establece los reglamentos necesarios para la aplicación de las leyes y reglamentos necesarios para regular la labor de las dependencias y administraciones públicas del Estado;</w:t>
      </w:r>
    </w:p>
    <w:p w14:paraId="34165CA3" w14:textId="4C2DDCDE" w:rsidR="00D67833" w:rsidRPr="00D67833" w:rsidRDefault="00801973" w:rsidP="00D67833">
      <w:pPr>
        <w:pStyle w:val="SingleTxtG"/>
      </w:pPr>
      <w:r>
        <w:tab/>
      </w:r>
      <w:r w:rsidR="00D67833" w:rsidRPr="00D67833">
        <w:t>d)</w:t>
      </w:r>
      <w:r>
        <w:tab/>
      </w:r>
      <w:r w:rsidR="00D67833" w:rsidRPr="00D67833">
        <w:t>Nombra a los funcionarios civiles, los agregados militares y los representantes políticos en Estados extranjeros.</w:t>
      </w:r>
    </w:p>
    <w:p w14:paraId="58EC96A8" w14:textId="240FA015" w:rsidR="00D67833" w:rsidRPr="00D67833" w:rsidRDefault="00D67833" w:rsidP="00D67833">
      <w:pPr>
        <w:pStyle w:val="SingleTxtG"/>
      </w:pPr>
      <w:r w:rsidRPr="00D67833">
        <w:t>23.</w:t>
      </w:r>
      <w:r w:rsidR="00801973">
        <w:tab/>
      </w:r>
      <w:r w:rsidRPr="00D67833">
        <w:t>Además de lo anterior, el Emir tiene otras prerrogativas vinculadas con los poderes del Estado, a saber:</w:t>
      </w:r>
    </w:p>
    <w:p w14:paraId="075C82C7" w14:textId="7731D808" w:rsidR="00D67833" w:rsidRPr="00D67833" w:rsidRDefault="00801973" w:rsidP="00D67833">
      <w:pPr>
        <w:pStyle w:val="SingleTxtG"/>
      </w:pPr>
      <w:r>
        <w:tab/>
      </w:r>
      <w:r w:rsidR="00D67833" w:rsidRPr="00D67833">
        <w:t>a)</w:t>
      </w:r>
      <w:r>
        <w:tab/>
      </w:r>
      <w:r w:rsidR="00D67833" w:rsidRPr="00D67833">
        <w:rPr>
          <w:b/>
          <w:bCs/>
        </w:rPr>
        <w:t>Poder Legislativo:</w:t>
      </w:r>
      <w:r w:rsidR="00D67833" w:rsidRPr="00D67833">
        <w:t xml:space="preserve"> De acuerdo con el artículo 79 de la Constitución, está conferido al Emir y la Asamblea Nacional, que está integrada por 50 miembros elegidos por sufragio universal directo y secreto por un período de cuatro años. Es el poder que, según la Constitución, está facultado para promulgar leyes. El </w:t>
      </w:r>
      <w:r w:rsidR="00B95546">
        <w:t>t</w:t>
      </w:r>
      <w:r w:rsidR="00D67833" w:rsidRPr="00D67833">
        <w:t xml:space="preserve">ítulo III de la Constitución de Kuwait establece las disposiciones especiales relativas al poder legislativo; </w:t>
      </w:r>
    </w:p>
    <w:p w14:paraId="0311B44F" w14:textId="2051FC05" w:rsidR="00D67833" w:rsidRPr="00D67833" w:rsidRDefault="00801973" w:rsidP="00D67833">
      <w:pPr>
        <w:pStyle w:val="SingleTxtG"/>
      </w:pPr>
      <w:r>
        <w:tab/>
      </w:r>
      <w:r w:rsidR="00D67833" w:rsidRPr="00D67833">
        <w:t>b)</w:t>
      </w:r>
      <w:r>
        <w:tab/>
      </w:r>
      <w:r w:rsidR="00D67833" w:rsidRPr="00D67833">
        <w:rPr>
          <w:b/>
          <w:bCs/>
        </w:rPr>
        <w:t>Poder Ejecutivo:</w:t>
      </w:r>
      <w:r w:rsidR="00D67833" w:rsidRPr="00D67833">
        <w:t xml:space="preserve"> Es ejercido por el Emir y el Consejo de Ministros, y gestiona los intereses del Estado, elabora la política general del </w:t>
      </w:r>
      <w:r w:rsidR="00CE6301" w:rsidRPr="00D67833">
        <w:t>Gobierno</w:t>
      </w:r>
      <w:r w:rsidR="00D67833" w:rsidRPr="00D67833">
        <w:t>, da seguimiento a su aplicación y supervisa el flujo de trabajo en los departamentos gubernamentales. Cada ministro tiene encomendada la supervisión de los asuntos de su ministerio y ejecuta la política general del Gobierno, así como dibuja las líneas maestras del ministerio y supervisa su aplicación;</w:t>
      </w:r>
    </w:p>
    <w:p w14:paraId="593EEE06" w14:textId="5A0C3DD9" w:rsidR="00D67833" w:rsidRPr="00D67833" w:rsidRDefault="00801973" w:rsidP="00D67833">
      <w:pPr>
        <w:pStyle w:val="SingleTxtG"/>
      </w:pPr>
      <w:r>
        <w:tab/>
      </w:r>
      <w:r w:rsidR="00D67833" w:rsidRPr="00D67833">
        <w:t>c)</w:t>
      </w:r>
      <w:r>
        <w:tab/>
      </w:r>
      <w:r w:rsidR="00D67833" w:rsidRPr="00D67833">
        <w:rPr>
          <w:b/>
          <w:bCs/>
        </w:rPr>
        <w:t>Poder judicial:</w:t>
      </w:r>
      <w:r w:rsidR="00D67833" w:rsidRPr="00D67833">
        <w:t xml:space="preserve"> Los tribunales lo ejercen en nombre del Emir. La Constitución y la ley garantizan el principio de la independencia judicial, según el cual la honorabilidad del poder judicial y la integridad y el sentido de la justicia de los jueces son el fundamento del </w:t>
      </w:r>
      <w:r w:rsidR="00B95546" w:rsidRPr="00D67833">
        <w:t xml:space="preserve">Gobierno </w:t>
      </w:r>
      <w:r w:rsidR="00D67833" w:rsidRPr="00D67833">
        <w:t>y constituyen una garantía de los derechos y libertades. No existe poder alguno que esté por encima del juez cuando ejerce la judicatura. La ley ampara la independencia de la judicatura y las garantías ofrecidas a los jueces, así como las disposiciones que les conciernen. La Constitución de Kuwait establece garantías en relación con la independencia del poder judicial.</w:t>
      </w:r>
    </w:p>
    <w:p w14:paraId="5E3E4647" w14:textId="172560D3" w:rsidR="00D67833" w:rsidRPr="00D67833" w:rsidRDefault="00801973" w:rsidP="00801973">
      <w:pPr>
        <w:pStyle w:val="H1G"/>
      </w:pPr>
      <w:r>
        <w:tab/>
      </w:r>
      <w:r w:rsidR="00D67833" w:rsidRPr="00D67833">
        <w:t>B.</w:t>
      </w:r>
      <w:r>
        <w:tab/>
      </w:r>
      <w:r w:rsidR="00D67833" w:rsidRPr="00D67833">
        <w:t>Marco general para la protección y promoción de los derechos humanos</w:t>
      </w:r>
    </w:p>
    <w:p w14:paraId="161B0A6E" w14:textId="5B5A9C31" w:rsidR="00D67833" w:rsidRPr="00D67833" w:rsidRDefault="00D67833" w:rsidP="00D67833">
      <w:pPr>
        <w:pStyle w:val="SingleTxtG"/>
      </w:pPr>
      <w:r w:rsidRPr="00D67833">
        <w:t>24.</w:t>
      </w:r>
      <w:r w:rsidR="00801973">
        <w:tab/>
      </w:r>
      <w:r w:rsidRPr="00D67833">
        <w:t>Para empezar, cabe señalar a este respecto que el Estado de Kuwait está obligado por varios convenios internacionales relacionados con los derechos humanos. Son los siguientes</w:t>
      </w:r>
      <w:r w:rsidR="00CE6301">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
        <w:gridCol w:w="6917"/>
      </w:tblGrid>
      <w:tr w:rsidR="00801973" w:rsidRPr="00801973" w14:paraId="66D52919" w14:textId="77777777" w:rsidTr="00801973">
        <w:trPr>
          <w:trHeight w:val="240"/>
          <w:tblHeader/>
        </w:trPr>
        <w:tc>
          <w:tcPr>
            <w:tcW w:w="453" w:type="dxa"/>
            <w:tcBorders>
              <w:top w:val="single" w:sz="4" w:space="0" w:color="auto"/>
              <w:bottom w:val="single" w:sz="12" w:space="0" w:color="auto"/>
            </w:tcBorders>
            <w:shd w:val="clear" w:color="auto" w:fill="auto"/>
            <w:vAlign w:val="bottom"/>
          </w:tcPr>
          <w:p w14:paraId="266BE25F" w14:textId="77777777" w:rsidR="00D67833" w:rsidRPr="00D67833" w:rsidRDefault="00D67833" w:rsidP="00801973">
            <w:pPr>
              <w:pStyle w:val="SingleTxtG"/>
              <w:tabs>
                <w:tab w:val="clear" w:pos="1701"/>
                <w:tab w:val="clear" w:pos="2268"/>
                <w:tab w:val="clear" w:pos="2835"/>
              </w:tabs>
              <w:spacing w:before="80" w:after="80" w:line="200" w:lineRule="exact"/>
              <w:ind w:left="0" w:right="0"/>
              <w:jc w:val="left"/>
              <w:rPr>
                <w:bCs/>
                <w:i/>
                <w:sz w:val="16"/>
              </w:rPr>
            </w:pPr>
            <w:r w:rsidRPr="00D67833">
              <w:rPr>
                <w:bCs/>
                <w:i/>
                <w:sz w:val="16"/>
              </w:rPr>
              <w:t xml:space="preserve">Núm. </w:t>
            </w:r>
          </w:p>
        </w:tc>
        <w:tc>
          <w:tcPr>
            <w:tcW w:w="6917" w:type="dxa"/>
            <w:tcBorders>
              <w:top w:val="single" w:sz="4" w:space="0" w:color="auto"/>
              <w:bottom w:val="single" w:sz="12" w:space="0" w:color="auto"/>
            </w:tcBorders>
            <w:shd w:val="clear" w:color="auto" w:fill="auto"/>
            <w:vAlign w:val="bottom"/>
          </w:tcPr>
          <w:p w14:paraId="13D82A22" w14:textId="77777777" w:rsidR="00D67833" w:rsidRPr="00D67833" w:rsidRDefault="00D67833" w:rsidP="00801973">
            <w:pPr>
              <w:pStyle w:val="SingleTxtG"/>
              <w:tabs>
                <w:tab w:val="clear" w:pos="1701"/>
                <w:tab w:val="clear" w:pos="2268"/>
                <w:tab w:val="clear" w:pos="2835"/>
              </w:tabs>
              <w:spacing w:before="80" w:after="80" w:line="200" w:lineRule="exact"/>
              <w:ind w:left="0" w:right="0"/>
              <w:jc w:val="left"/>
              <w:rPr>
                <w:bCs/>
                <w:i/>
                <w:sz w:val="16"/>
              </w:rPr>
            </w:pPr>
            <w:r w:rsidRPr="00D67833">
              <w:rPr>
                <w:bCs/>
                <w:i/>
                <w:sz w:val="16"/>
              </w:rPr>
              <w:t>Nombre del tratado o convenio</w:t>
            </w:r>
          </w:p>
        </w:tc>
      </w:tr>
      <w:tr w:rsidR="00801973" w:rsidRPr="00801973" w14:paraId="45D7EBDC" w14:textId="77777777" w:rsidTr="00801973">
        <w:trPr>
          <w:trHeight w:hRule="exact" w:val="113"/>
          <w:tblHeader/>
        </w:trPr>
        <w:tc>
          <w:tcPr>
            <w:tcW w:w="453" w:type="dxa"/>
            <w:tcBorders>
              <w:top w:val="single" w:sz="12" w:space="0" w:color="auto"/>
              <w:bottom w:val="nil"/>
            </w:tcBorders>
            <w:shd w:val="clear" w:color="auto" w:fill="auto"/>
            <w:vAlign w:val="bottom"/>
          </w:tcPr>
          <w:p w14:paraId="365C3A28" w14:textId="77777777" w:rsidR="00801973" w:rsidRPr="00D67833" w:rsidRDefault="00801973" w:rsidP="00801973">
            <w:pPr>
              <w:pStyle w:val="SingleTxtG"/>
              <w:tabs>
                <w:tab w:val="clear" w:pos="1701"/>
                <w:tab w:val="clear" w:pos="2268"/>
                <w:tab w:val="clear" w:pos="2835"/>
              </w:tabs>
              <w:spacing w:before="80" w:after="80" w:line="200" w:lineRule="exact"/>
              <w:ind w:left="0" w:right="0"/>
              <w:jc w:val="left"/>
              <w:rPr>
                <w:bCs/>
                <w:i/>
                <w:sz w:val="16"/>
              </w:rPr>
            </w:pPr>
          </w:p>
        </w:tc>
        <w:tc>
          <w:tcPr>
            <w:tcW w:w="6917" w:type="dxa"/>
            <w:tcBorders>
              <w:top w:val="single" w:sz="12" w:space="0" w:color="auto"/>
              <w:bottom w:val="nil"/>
            </w:tcBorders>
            <w:shd w:val="clear" w:color="auto" w:fill="auto"/>
            <w:vAlign w:val="bottom"/>
          </w:tcPr>
          <w:p w14:paraId="0B2FDA57" w14:textId="77777777" w:rsidR="00801973" w:rsidRPr="00D67833" w:rsidRDefault="00801973" w:rsidP="00801973">
            <w:pPr>
              <w:pStyle w:val="SingleTxtG"/>
              <w:tabs>
                <w:tab w:val="clear" w:pos="1701"/>
                <w:tab w:val="clear" w:pos="2268"/>
                <w:tab w:val="clear" w:pos="2835"/>
              </w:tabs>
              <w:spacing w:before="80" w:after="80" w:line="200" w:lineRule="exact"/>
              <w:ind w:left="0" w:right="0"/>
              <w:jc w:val="left"/>
              <w:rPr>
                <w:bCs/>
                <w:i/>
                <w:sz w:val="16"/>
              </w:rPr>
            </w:pPr>
          </w:p>
        </w:tc>
      </w:tr>
      <w:tr w:rsidR="00801973" w:rsidRPr="00D67833" w14:paraId="51622A8C" w14:textId="77777777" w:rsidTr="00801973">
        <w:trPr>
          <w:trHeight w:val="240"/>
        </w:trPr>
        <w:tc>
          <w:tcPr>
            <w:tcW w:w="453" w:type="dxa"/>
            <w:tcBorders>
              <w:top w:val="nil"/>
            </w:tcBorders>
            <w:shd w:val="clear" w:color="auto" w:fill="auto"/>
          </w:tcPr>
          <w:p w14:paraId="1A96A09E" w14:textId="4276E6E0" w:rsidR="00D67833" w:rsidRPr="00D67833" w:rsidRDefault="00D67833" w:rsidP="00801973">
            <w:pPr>
              <w:pStyle w:val="SingleTxtG"/>
              <w:tabs>
                <w:tab w:val="clear" w:pos="1701"/>
                <w:tab w:val="clear" w:pos="2268"/>
                <w:tab w:val="clear" w:pos="2835"/>
              </w:tabs>
              <w:spacing w:before="40"/>
              <w:ind w:left="0" w:right="0"/>
              <w:jc w:val="left"/>
            </w:pPr>
            <w:r w:rsidRPr="00D67833">
              <w:t>1</w:t>
            </w:r>
            <w:r w:rsidR="00801973">
              <w:t>.</w:t>
            </w:r>
          </w:p>
        </w:tc>
        <w:tc>
          <w:tcPr>
            <w:tcW w:w="6917" w:type="dxa"/>
            <w:tcBorders>
              <w:top w:val="nil"/>
            </w:tcBorders>
            <w:shd w:val="clear" w:color="auto" w:fill="auto"/>
          </w:tcPr>
          <w:p w14:paraId="1F9C7C88" w14:textId="79396B8A" w:rsidR="00D67833" w:rsidRPr="00D67833" w:rsidRDefault="00D67833" w:rsidP="00801973">
            <w:pPr>
              <w:pStyle w:val="SingleTxtG"/>
              <w:tabs>
                <w:tab w:val="clear" w:pos="1701"/>
                <w:tab w:val="clear" w:pos="2268"/>
                <w:tab w:val="clear" w:pos="2835"/>
              </w:tabs>
              <w:spacing w:before="40"/>
              <w:ind w:left="0" w:right="0"/>
              <w:jc w:val="left"/>
            </w:pPr>
            <w:r w:rsidRPr="00D67833">
              <w:t xml:space="preserve">Convención sobre la </w:t>
            </w:r>
            <w:r w:rsidR="00CE6301" w:rsidRPr="00D67833">
              <w:t xml:space="preserve">Esclavitud </w:t>
            </w:r>
            <w:r w:rsidRPr="00D67833">
              <w:t>de 1926</w:t>
            </w:r>
          </w:p>
        </w:tc>
      </w:tr>
      <w:tr w:rsidR="00801973" w:rsidRPr="00D67833" w14:paraId="7282DA2B" w14:textId="77777777" w:rsidTr="00801973">
        <w:trPr>
          <w:trHeight w:val="240"/>
        </w:trPr>
        <w:tc>
          <w:tcPr>
            <w:tcW w:w="453" w:type="dxa"/>
            <w:shd w:val="clear" w:color="auto" w:fill="auto"/>
          </w:tcPr>
          <w:p w14:paraId="3E071F17" w14:textId="5DB34BFC" w:rsidR="00D67833" w:rsidRPr="00D67833" w:rsidRDefault="00D67833" w:rsidP="00801973">
            <w:pPr>
              <w:pStyle w:val="SingleTxtG"/>
              <w:tabs>
                <w:tab w:val="clear" w:pos="1701"/>
                <w:tab w:val="clear" w:pos="2268"/>
                <w:tab w:val="clear" w:pos="2835"/>
              </w:tabs>
              <w:spacing w:before="40"/>
              <w:ind w:left="0" w:right="0"/>
              <w:jc w:val="left"/>
            </w:pPr>
            <w:r w:rsidRPr="00D67833">
              <w:t>2</w:t>
            </w:r>
            <w:r w:rsidR="00801973">
              <w:t>.</w:t>
            </w:r>
          </w:p>
        </w:tc>
        <w:tc>
          <w:tcPr>
            <w:tcW w:w="6917" w:type="dxa"/>
            <w:shd w:val="clear" w:color="auto" w:fill="auto"/>
          </w:tcPr>
          <w:p w14:paraId="32409437" w14:textId="59C5B606" w:rsidR="00D67833" w:rsidRPr="00D67833" w:rsidRDefault="00D67833" w:rsidP="00801973">
            <w:pPr>
              <w:pStyle w:val="SingleTxtG"/>
              <w:tabs>
                <w:tab w:val="clear" w:pos="1701"/>
                <w:tab w:val="clear" w:pos="2268"/>
                <w:tab w:val="clear" w:pos="2835"/>
              </w:tabs>
              <w:spacing w:before="40"/>
              <w:ind w:left="0" w:right="0"/>
              <w:jc w:val="left"/>
            </w:pPr>
            <w:r w:rsidRPr="00D67833">
              <w:t xml:space="preserve">Convención sobre la </w:t>
            </w:r>
            <w:r w:rsidR="00CE6301" w:rsidRPr="00D67833">
              <w:t xml:space="preserve">Esclavitud </w:t>
            </w:r>
            <w:r w:rsidRPr="00D67833">
              <w:t>de 1926 (enmendada)</w:t>
            </w:r>
          </w:p>
        </w:tc>
      </w:tr>
      <w:tr w:rsidR="00801973" w:rsidRPr="00D67833" w14:paraId="0BFEB23F" w14:textId="77777777" w:rsidTr="00801973">
        <w:trPr>
          <w:trHeight w:val="240"/>
        </w:trPr>
        <w:tc>
          <w:tcPr>
            <w:tcW w:w="453" w:type="dxa"/>
            <w:shd w:val="clear" w:color="auto" w:fill="auto"/>
          </w:tcPr>
          <w:p w14:paraId="20F89BCF" w14:textId="7F2586DA" w:rsidR="00D67833" w:rsidRPr="00D67833" w:rsidRDefault="00D67833" w:rsidP="00801973">
            <w:pPr>
              <w:pStyle w:val="SingleTxtG"/>
              <w:tabs>
                <w:tab w:val="clear" w:pos="1701"/>
                <w:tab w:val="clear" w:pos="2268"/>
                <w:tab w:val="clear" w:pos="2835"/>
              </w:tabs>
              <w:spacing w:before="40"/>
              <w:ind w:left="0" w:right="0"/>
              <w:jc w:val="left"/>
            </w:pPr>
            <w:r w:rsidRPr="00D67833">
              <w:t>3</w:t>
            </w:r>
            <w:r w:rsidR="00801973">
              <w:t>.</w:t>
            </w:r>
          </w:p>
        </w:tc>
        <w:tc>
          <w:tcPr>
            <w:tcW w:w="6917" w:type="dxa"/>
            <w:shd w:val="clear" w:color="auto" w:fill="auto"/>
          </w:tcPr>
          <w:p w14:paraId="7C7E1529"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Suplementaria sobre la Abolición de</w:t>
            </w:r>
            <w:r w:rsidRPr="00D67833">
              <w:rPr>
                <w:iCs/>
              </w:rPr>
              <w:t xml:space="preserve"> </w:t>
            </w:r>
            <w:r w:rsidRPr="00D67833">
              <w:t>la Esclavitud, la</w:t>
            </w:r>
            <w:r w:rsidRPr="00D67833">
              <w:rPr>
                <w:iCs/>
              </w:rPr>
              <w:t xml:space="preserve"> </w:t>
            </w:r>
            <w:r w:rsidRPr="00D67833">
              <w:t>Trata</w:t>
            </w:r>
            <w:r w:rsidRPr="00D67833">
              <w:rPr>
                <w:iCs/>
              </w:rPr>
              <w:t xml:space="preserve"> </w:t>
            </w:r>
            <w:r w:rsidRPr="00D67833">
              <w:t>de</w:t>
            </w:r>
            <w:r w:rsidRPr="00D67833">
              <w:rPr>
                <w:iCs/>
              </w:rPr>
              <w:t xml:space="preserve"> </w:t>
            </w:r>
            <w:r w:rsidRPr="00D67833">
              <w:t>Esclavos y las Instituciones y Prácticas Análogas a la Esclavitud</w:t>
            </w:r>
          </w:p>
        </w:tc>
      </w:tr>
      <w:tr w:rsidR="00801973" w:rsidRPr="00D67833" w14:paraId="02137024" w14:textId="77777777" w:rsidTr="00801973">
        <w:trPr>
          <w:trHeight w:val="240"/>
        </w:trPr>
        <w:tc>
          <w:tcPr>
            <w:tcW w:w="453" w:type="dxa"/>
            <w:shd w:val="clear" w:color="auto" w:fill="auto"/>
          </w:tcPr>
          <w:p w14:paraId="4508C12D" w14:textId="5806277B" w:rsidR="00D67833" w:rsidRPr="00D67833" w:rsidRDefault="00D67833" w:rsidP="00801973">
            <w:pPr>
              <w:pStyle w:val="SingleTxtG"/>
              <w:tabs>
                <w:tab w:val="clear" w:pos="1701"/>
                <w:tab w:val="clear" w:pos="2268"/>
                <w:tab w:val="clear" w:pos="2835"/>
              </w:tabs>
              <w:spacing w:before="40"/>
              <w:ind w:left="0" w:right="0"/>
              <w:jc w:val="left"/>
            </w:pPr>
            <w:r w:rsidRPr="00D67833">
              <w:lastRenderedPageBreak/>
              <w:t>4</w:t>
            </w:r>
            <w:r w:rsidR="00801973">
              <w:t>.</w:t>
            </w:r>
          </w:p>
        </w:tc>
        <w:tc>
          <w:tcPr>
            <w:tcW w:w="6917" w:type="dxa"/>
            <w:shd w:val="clear" w:color="auto" w:fill="auto"/>
          </w:tcPr>
          <w:p w14:paraId="7BE7AE37"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Internacional sobre la Eliminación de Todas las Formas de Discriminación Racial</w:t>
            </w:r>
          </w:p>
        </w:tc>
      </w:tr>
      <w:tr w:rsidR="00801973" w:rsidRPr="00D67833" w14:paraId="463DCE76" w14:textId="77777777" w:rsidTr="00801973">
        <w:trPr>
          <w:trHeight w:val="240"/>
        </w:trPr>
        <w:tc>
          <w:tcPr>
            <w:tcW w:w="453" w:type="dxa"/>
            <w:shd w:val="clear" w:color="auto" w:fill="auto"/>
          </w:tcPr>
          <w:p w14:paraId="3EC1C7CE" w14:textId="64E2488D" w:rsidR="00D67833" w:rsidRPr="00D67833" w:rsidRDefault="00D67833" w:rsidP="00801973">
            <w:pPr>
              <w:pStyle w:val="SingleTxtG"/>
              <w:tabs>
                <w:tab w:val="clear" w:pos="1701"/>
                <w:tab w:val="clear" w:pos="2268"/>
                <w:tab w:val="clear" w:pos="2835"/>
              </w:tabs>
              <w:spacing w:before="40"/>
              <w:ind w:left="0" w:right="0"/>
              <w:jc w:val="left"/>
            </w:pPr>
            <w:r w:rsidRPr="00D67833">
              <w:t>5</w:t>
            </w:r>
            <w:r w:rsidR="00801973">
              <w:t>.</w:t>
            </w:r>
          </w:p>
        </w:tc>
        <w:tc>
          <w:tcPr>
            <w:tcW w:w="6917" w:type="dxa"/>
            <w:shd w:val="clear" w:color="auto" w:fill="auto"/>
          </w:tcPr>
          <w:p w14:paraId="2B1B028E"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para la Represión de la Trata de Personas y de la Explotación de la Prostitución Ajena</w:t>
            </w:r>
          </w:p>
        </w:tc>
      </w:tr>
      <w:tr w:rsidR="00801973" w:rsidRPr="00D67833" w14:paraId="451479A7" w14:textId="77777777" w:rsidTr="00801973">
        <w:trPr>
          <w:trHeight w:val="240"/>
        </w:trPr>
        <w:tc>
          <w:tcPr>
            <w:tcW w:w="453" w:type="dxa"/>
            <w:shd w:val="clear" w:color="auto" w:fill="auto"/>
          </w:tcPr>
          <w:p w14:paraId="4C266CA4" w14:textId="4D522F02" w:rsidR="00D67833" w:rsidRPr="00D67833" w:rsidRDefault="00D67833" w:rsidP="00801973">
            <w:pPr>
              <w:pStyle w:val="SingleTxtG"/>
              <w:tabs>
                <w:tab w:val="clear" w:pos="1701"/>
                <w:tab w:val="clear" w:pos="2268"/>
                <w:tab w:val="clear" w:pos="2835"/>
              </w:tabs>
              <w:spacing w:before="40"/>
              <w:ind w:left="0" w:right="0"/>
              <w:jc w:val="left"/>
            </w:pPr>
            <w:r w:rsidRPr="00D67833">
              <w:t>6</w:t>
            </w:r>
            <w:r w:rsidR="00801973">
              <w:t>.</w:t>
            </w:r>
          </w:p>
        </w:tc>
        <w:tc>
          <w:tcPr>
            <w:tcW w:w="6917" w:type="dxa"/>
            <w:shd w:val="clear" w:color="auto" w:fill="auto"/>
          </w:tcPr>
          <w:p w14:paraId="7922BF5E"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Internacional sobre la Represión y el Castigo del Crimen de Apartheid</w:t>
            </w:r>
          </w:p>
        </w:tc>
      </w:tr>
      <w:tr w:rsidR="00801973" w:rsidRPr="00D67833" w14:paraId="6707950F" w14:textId="77777777" w:rsidTr="00801973">
        <w:trPr>
          <w:trHeight w:val="240"/>
        </w:trPr>
        <w:tc>
          <w:tcPr>
            <w:tcW w:w="453" w:type="dxa"/>
            <w:shd w:val="clear" w:color="auto" w:fill="auto"/>
          </w:tcPr>
          <w:p w14:paraId="3D8BC2ED" w14:textId="6DF78FBD" w:rsidR="00D67833" w:rsidRPr="00D67833" w:rsidRDefault="00D67833" w:rsidP="00801973">
            <w:pPr>
              <w:pStyle w:val="SingleTxtG"/>
              <w:tabs>
                <w:tab w:val="clear" w:pos="1701"/>
                <w:tab w:val="clear" w:pos="2268"/>
                <w:tab w:val="clear" w:pos="2835"/>
              </w:tabs>
              <w:spacing w:before="40"/>
              <w:ind w:left="0" w:right="0"/>
              <w:jc w:val="left"/>
            </w:pPr>
            <w:r w:rsidRPr="00D67833">
              <w:t>7</w:t>
            </w:r>
            <w:r w:rsidR="00801973">
              <w:t>.</w:t>
            </w:r>
          </w:p>
        </w:tc>
        <w:tc>
          <w:tcPr>
            <w:tcW w:w="6917" w:type="dxa"/>
            <w:shd w:val="clear" w:color="auto" w:fill="auto"/>
          </w:tcPr>
          <w:p w14:paraId="35C1CDF9"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sobre los Derechos del Niño</w:t>
            </w:r>
          </w:p>
        </w:tc>
      </w:tr>
      <w:tr w:rsidR="00801973" w:rsidRPr="00D67833" w14:paraId="05E74590" w14:textId="77777777" w:rsidTr="00801973">
        <w:trPr>
          <w:trHeight w:val="240"/>
        </w:trPr>
        <w:tc>
          <w:tcPr>
            <w:tcW w:w="453" w:type="dxa"/>
            <w:shd w:val="clear" w:color="auto" w:fill="auto"/>
          </w:tcPr>
          <w:p w14:paraId="28EE44DB" w14:textId="27471B85" w:rsidR="00D67833" w:rsidRPr="00D67833" w:rsidRDefault="00D67833" w:rsidP="00801973">
            <w:pPr>
              <w:pStyle w:val="SingleTxtG"/>
              <w:tabs>
                <w:tab w:val="clear" w:pos="1701"/>
                <w:tab w:val="clear" w:pos="2268"/>
                <w:tab w:val="clear" w:pos="2835"/>
              </w:tabs>
              <w:spacing w:before="40"/>
              <w:ind w:left="0" w:right="0"/>
              <w:jc w:val="left"/>
            </w:pPr>
            <w:r w:rsidRPr="00D67833">
              <w:t>8</w:t>
            </w:r>
            <w:r w:rsidR="00801973">
              <w:t>.</w:t>
            </w:r>
          </w:p>
        </w:tc>
        <w:tc>
          <w:tcPr>
            <w:tcW w:w="6917" w:type="dxa"/>
            <w:shd w:val="clear" w:color="auto" w:fill="auto"/>
          </w:tcPr>
          <w:p w14:paraId="57D44852"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sobre la Eliminación de Todas las Formas de Discriminación contra la Mujer</w:t>
            </w:r>
          </w:p>
        </w:tc>
      </w:tr>
      <w:tr w:rsidR="00801973" w:rsidRPr="00D67833" w14:paraId="7D551D51" w14:textId="77777777" w:rsidTr="00801973">
        <w:trPr>
          <w:trHeight w:val="240"/>
        </w:trPr>
        <w:tc>
          <w:tcPr>
            <w:tcW w:w="453" w:type="dxa"/>
            <w:shd w:val="clear" w:color="auto" w:fill="auto"/>
          </w:tcPr>
          <w:p w14:paraId="14645BA3" w14:textId="02057ADD" w:rsidR="00D67833" w:rsidRPr="00D67833" w:rsidRDefault="00D67833" w:rsidP="00801973">
            <w:pPr>
              <w:pStyle w:val="SingleTxtG"/>
              <w:tabs>
                <w:tab w:val="clear" w:pos="1701"/>
                <w:tab w:val="clear" w:pos="2268"/>
                <w:tab w:val="clear" w:pos="2835"/>
              </w:tabs>
              <w:spacing w:before="40"/>
              <w:ind w:left="0" w:right="0"/>
              <w:jc w:val="left"/>
            </w:pPr>
            <w:r w:rsidRPr="00D67833">
              <w:t>9</w:t>
            </w:r>
            <w:r w:rsidR="00801973">
              <w:t>.</w:t>
            </w:r>
          </w:p>
        </w:tc>
        <w:tc>
          <w:tcPr>
            <w:tcW w:w="6917" w:type="dxa"/>
            <w:shd w:val="clear" w:color="auto" w:fill="auto"/>
          </w:tcPr>
          <w:p w14:paraId="691C4A23" w14:textId="77777777" w:rsidR="00D67833" w:rsidRPr="00D67833" w:rsidRDefault="00D67833" w:rsidP="00801973">
            <w:pPr>
              <w:pStyle w:val="SingleTxtG"/>
              <w:tabs>
                <w:tab w:val="clear" w:pos="1701"/>
                <w:tab w:val="clear" w:pos="2268"/>
                <w:tab w:val="clear" w:pos="2835"/>
              </w:tabs>
              <w:spacing w:before="40"/>
              <w:ind w:left="0" w:right="0"/>
              <w:jc w:val="left"/>
              <w:rPr>
                <w:iCs/>
              </w:rPr>
            </w:pPr>
            <w:r w:rsidRPr="00D67833">
              <w:t>Convención</w:t>
            </w:r>
            <w:r w:rsidRPr="00D67833">
              <w:rPr>
                <w:iCs/>
              </w:rPr>
              <w:t xml:space="preserve"> </w:t>
            </w:r>
            <w:r w:rsidRPr="00D67833">
              <w:t>sobre</w:t>
            </w:r>
            <w:r w:rsidRPr="00D67833">
              <w:rPr>
                <w:iCs/>
              </w:rPr>
              <w:t xml:space="preserve"> </w:t>
            </w:r>
            <w:r w:rsidRPr="00D67833">
              <w:t>la</w:t>
            </w:r>
            <w:r w:rsidRPr="00D67833">
              <w:rPr>
                <w:iCs/>
              </w:rPr>
              <w:t xml:space="preserve"> </w:t>
            </w:r>
            <w:r w:rsidRPr="00D67833">
              <w:t>Imprescriptibilidad</w:t>
            </w:r>
            <w:r w:rsidRPr="00D67833">
              <w:rPr>
                <w:iCs/>
              </w:rPr>
              <w:t xml:space="preserve"> </w:t>
            </w:r>
            <w:r w:rsidRPr="00D67833">
              <w:t>de los Crímenes de Guerra y de los Crímenes de Lesa Humanidad</w:t>
            </w:r>
          </w:p>
        </w:tc>
      </w:tr>
      <w:tr w:rsidR="00801973" w:rsidRPr="00D67833" w14:paraId="51F62E33" w14:textId="77777777" w:rsidTr="00801973">
        <w:trPr>
          <w:trHeight w:val="240"/>
        </w:trPr>
        <w:tc>
          <w:tcPr>
            <w:tcW w:w="453" w:type="dxa"/>
            <w:shd w:val="clear" w:color="auto" w:fill="auto"/>
          </w:tcPr>
          <w:p w14:paraId="4552AF40" w14:textId="302E79DA" w:rsidR="00D67833" w:rsidRPr="00D67833" w:rsidRDefault="00D67833" w:rsidP="00801973">
            <w:pPr>
              <w:pStyle w:val="SingleTxtG"/>
              <w:tabs>
                <w:tab w:val="clear" w:pos="1701"/>
                <w:tab w:val="clear" w:pos="2268"/>
                <w:tab w:val="clear" w:pos="2835"/>
              </w:tabs>
              <w:spacing w:before="40"/>
              <w:ind w:left="0" w:right="0"/>
              <w:jc w:val="left"/>
            </w:pPr>
            <w:r w:rsidRPr="00D67833">
              <w:t>10</w:t>
            </w:r>
            <w:r w:rsidR="00801973">
              <w:t>.</w:t>
            </w:r>
          </w:p>
        </w:tc>
        <w:tc>
          <w:tcPr>
            <w:tcW w:w="6917" w:type="dxa"/>
            <w:shd w:val="clear" w:color="auto" w:fill="auto"/>
          </w:tcPr>
          <w:p w14:paraId="101A09C9"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para la Prevención y la Sanción del Delito de Genocidio</w:t>
            </w:r>
          </w:p>
        </w:tc>
      </w:tr>
      <w:tr w:rsidR="00801973" w:rsidRPr="00D67833" w14:paraId="6B56D684" w14:textId="77777777" w:rsidTr="00801973">
        <w:trPr>
          <w:trHeight w:val="240"/>
        </w:trPr>
        <w:tc>
          <w:tcPr>
            <w:tcW w:w="453" w:type="dxa"/>
            <w:shd w:val="clear" w:color="auto" w:fill="auto"/>
          </w:tcPr>
          <w:p w14:paraId="6C572D9F" w14:textId="579CA9E4" w:rsidR="00D67833" w:rsidRPr="00D67833" w:rsidRDefault="00D67833" w:rsidP="00801973">
            <w:pPr>
              <w:pStyle w:val="SingleTxtG"/>
              <w:tabs>
                <w:tab w:val="clear" w:pos="1701"/>
                <w:tab w:val="clear" w:pos="2268"/>
                <w:tab w:val="clear" w:pos="2835"/>
              </w:tabs>
              <w:spacing w:before="40"/>
              <w:ind w:left="0" w:right="0"/>
              <w:jc w:val="left"/>
            </w:pPr>
            <w:r w:rsidRPr="00D67833">
              <w:t>11</w:t>
            </w:r>
            <w:r w:rsidR="00801973">
              <w:t>.</w:t>
            </w:r>
          </w:p>
        </w:tc>
        <w:tc>
          <w:tcPr>
            <w:tcW w:w="6917" w:type="dxa"/>
            <w:shd w:val="clear" w:color="auto" w:fill="auto"/>
          </w:tcPr>
          <w:p w14:paraId="677E1775"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contra la Tortura y Otros Tratos o Penas Crueles, Inhumanos o Degradantes</w:t>
            </w:r>
          </w:p>
        </w:tc>
      </w:tr>
      <w:tr w:rsidR="00801973" w:rsidRPr="00D67833" w14:paraId="3682B244" w14:textId="77777777" w:rsidTr="00801973">
        <w:trPr>
          <w:trHeight w:val="240"/>
        </w:trPr>
        <w:tc>
          <w:tcPr>
            <w:tcW w:w="453" w:type="dxa"/>
            <w:shd w:val="clear" w:color="auto" w:fill="auto"/>
          </w:tcPr>
          <w:p w14:paraId="7D707F2F" w14:textId="52E934D5" w:rsidR="00D67833" w:rsidRPr="00D67833" w:rsidRDefault="00D67833" w:rsidP="00801973">
            <w:pPr>
              <w:pStyle w:val="SingleTxtG"/>
              <w:tabs>
                <w:tab w:val="clear" w:pos="1701"/>
                <w:tab w:val="clear" w:pos="2268"/>
                <w:tab w:val="clear" w:pos="2835"/>
              </w:tabs>
              <w:spacing w:before="40"/>
              <w:ind w:left="0" w:right="0"/>
              <w:jc w:val="left"/>
            </w:pPr>
            <w:r w:rsidRPr="00D67833">
              <w:t>12</w:t>
            </w:r>
            <w:r w:rsidR="00801973">
              <w:t>.</w:t>
            </w:r>
          </w:p>
        </w:tc>
        <w:tc>
          <w:tcPr>
            <w:tcW w:w="6917" w:type="dxa"/>
            <w:shd w:val="clear" w:color="auto" w:fill="auto"/>
          </w:tcPr>
          <w:p w14:paraId="5FCC2A61" w14:textId="77777777" w:rsidR="00D67833" w:rsidRPr="00D67833" w:rsidRDefault="00D67833" w:rsidP="00801973">
            <w:pPr>
              <w:pStyle w:val="SingleTxtG"/>
              <w:tabs>
                <w:tab w:val="clear" w:pos="1701"/>
                <w:tab w:val="clear" w:pos="2268"/>
                <w:tab w:val="clear" w:pos="2835"/>
              </w:tabs>
              <w:spacing w:before="40"/>
              <w:ind w:left="0" w:right="0"/>
              <w:jc w:val="left"/>
            </w:pPr>
            <w:r w:rsidRPr="00D67833">
              <w:t>Pacto Internacional de Derechos Civiles y Políticos</w:t>
            </w:r>
          </w:p>
        </w:tc>
      </w:tr>
      <w:tr w:rsidR="00801973" w:rsidRPr="00D67833" w14:paraId="3BA538AE" w14:textId="77777777" w:rsidTr="00801973">
        <w:trPr>
          <w:trHeight w:val="240"/>
        </w:trPr>
        <w:tc>
          <w:tcPr>
            <w:tcW w:w="453" w:type="dxa"/>
            <w:shd w:val="clear" w:color="auto" w:fill="auto"/>
          </w:tcPr>
          <w:p w14:paraId="4EFDAB2D" w14:textId="3903693E" w:rsidR="00D67833" w:rsidRPr="00D67833" w:rsidRDefault="00D67833" w:rsidP="00801973">
            <w:pPr>
              <w:pStyle w:val="SingleTxtG"/>
              <w:tabs>
                <w:tab w:val="clear" w:pos="1701"/>
                <w:tab w:val="clear" w:pos="2268"/>
                <w:tab w:val="clear" w:pos="2835"/>
              </w:tabs>
              <w:spacing w:before="40"/>
              <w:ind w:left="0" w:right="0"/>
              <w:jc w:val="left"/>
            </w:pPr>
            <w:r w:rsidRPr="00D67833">
              <w:t>13</w:t>
            </w:r>
            <w:r w:rsidR="00801973">
              <w:t>.</w:t>
            </w:r>
          </w:p>
        </w:tc>
        <w:tc>
          <w:tcPr>
            <w:tcW w:w="6917" w:type="dxa"/>
            <w:shd w:val="clear" w:color="auto" w:fill="auto"/>
          </w:tcPr>
          <w:p w14:paraId="749CBA55" w14:textId="77777777" w:rsidR="00D67833" w:rsidRPr="00D67833" w:rsidRDefault="00D67833" w:rsidP="00801973">
            <w:pPr>
              <w:pStyle w:val="SingleTxtG"/>
              <w:tabs>
                <w:tab w:val="clear" w:pos="1701"/>
                <w:tab w:val="clear" w:pos="2268"/>
                <w:tab w:val="clear" w:pos="2835"/>
              </w:tabs>
              <w:spacing w:before="40"/>
              <w:ind w:left="0" w:right="0"/>
              <w:jc w:val="left"/>
            </w:pPr>
            <w:r w:rsidRPr="00D67833">
              <w:t>Pacto Internacional de Derechos Económicos, Sociales y Culturales</w:t>
            </w:r>
          </w:p>
        </w:tc>
      </w:tr>
      <w:tr w:rsidR="00801973" w:rsidRPr="00D67833" w14:paraId="765D8261" w14:textId="77777777" w:rsidTr="00801973">
        <w:trPr>
          <w:trHeight w:val="240"/>
        </w:trPr>
        <w:tc>
          <w:tcPr>
            <w:tcW w:w="453" w:type="dxa"/>
            <w:shd w:val="clear" w:color="auto" w:fill="auto"/>
          </w:tcPr>
          <w:p w14:paraId="4C7C30F8" w14:textId="4B41DE8B" w:rsidR="00D67833" w:rsidRPr="00D67833" w:rsidRDefault="00D67833" w:rsidP="00801973">
            <w:pPr>
              <w:pStyle w:val="SingleTxtG"/>
              <w:tabs>
                <w:tab w:val="clear" w:pos="1701"/>
                <w:tab w:val="clear" w:pos="2268"/>
                <w:tab w:val="clear" w:pos="2835"/>
              </w:tabs>
              <w:spacing w:before="40"/>
              <w:ind w:left="0" w:right="0"/>
              <w:jc w:val="left"/>
            </w:pPr>
            <w:r w:rsidRPr="00D67833">
              <w:t>14</w:t>
            </w:r>
            <w:r w:rsidR="00801973">
              <w:t>.</w:t>
            </w:r>
          </w:p>
        </w:tc>
        <w:tc>
          <w:tcPr>
            <w:tcW w:w="6917" w:type="dxa"/>
            <w:shd w:val="clear" w:color="auto" w:fill="auto"/>
          </w:tcPr>
          <w:p w14:paraId="536F780E"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Internacional contra el Apartheid en los Deportes</w:t>
            </w:r>
          </w:p>
        </w:tc>
      </w:tr>
      <w:tr w:rsidR="00801973" w:rsidRPr="00D67833" w14:paraId="5FE56330" w14:textId="77777777" w:rsidTr="00801973">
        <w:trPr>
          <w:trHeight w:val="240"/>
        </w:trPr>
        <w:tc>
          <w:tcPr>
            <w:tcW w:w="453" w:type="dxa"/>
            <w:shd w:val="clear" w:color="auto" w:fill="auto"/>
          </w:tcPr>
          <w:p w14:paraId="7C5FC682" w14:textId="31920E78" w:rsidR="00D67833" w:rsidRPr="00D67833" w:rsidRDefault="00D67833" w:rsidP="00801973">
            <w:pPr>
              <w:pStyle w:val="SingleTxtG"/>
              <w:tabs>
                <w:tab w:val="clear" w:pos="1701"/>
                <w:tab w:val="clear" w:pos="2268"/>
                <w:tab w:val="clear" w:pos="2835"/>
              </w:tabs>
              <w:spacing w:before="40"/>
              <w:ind w:left="0" w:right="0"/>
              <w:jc w:val="left"/>
            </w:pPr>
            <w:r w:rsidRPr="00D67833">
              <w:t>15</w:t>
            </w:r>
            <w:r w:rsidR="00801973">
              <w:t>.</w:t>
            </w:r>
          </w:p>
        </w:tc>
        <w:tc>
          <w:tcPr>
            <w:tcW w:w="6917" w:type="dxa"/>
            <w:shd w:val="clear" w:color="auto" w:fill="auto"/>
          </w:tcPr>
          <w:p w14:paraId="014F726D" w14:textId="77777777" w:rsidR="00D67833" w:rsidRPr="00D67833" w:rsidRDefault="00D67833" w:rsidP="00801973">
            <w:pPr>
              <w:pStyle w:val="SingleTxtG"/>
              <w:tabs>
                <w:tab w:val="clear" w:pos="1701"/>
                <w:tab w:val="clear" w:pos="2268"/>
                <w:tab w:val="clear" w:pos="2835"/>
              </w:tabs>
              <w:spacing w:before="40"/>
              <w:ind w:left="0" w:right="0"/>
              <w:jc w:val="left"/>
            </w:pPr>
            <w:r w:rsidRPr="00D67833">
              <w:t>Protocolo Facultativo de la Convención sobre los Derechos del Niño relativo a la participación de niños en los conflictos armados</w:t>
            </w:r>
          </w:p>
        </w:tc>
      </w:tr>
      <w:tr w:rsidR="00801973" w:rsidRPr="00D67833" w14:paraId="7ABDB458" w14:textId="77777777" w:rsidTr="00801973">
        <w:trPr>
          <w:trHeight w:val="240"/>
        </w:trPr>
        <w:tc>
          <w:tcPr>
            <w:tcW w:w="453" w:type="dxa"/>
            <w:shd w:val="clear" w:color="auto" w:fill="auto"/>
          </w:tcPr>
          <w:p w14:paraId="7E1B0CFD" w14:textId="59191045" w:rsidR="00D67833" w:rsidRPr="00D67833" w:rsidRDefault="00D67833" w:rsidP="00801973">
            <w:pPr>
              <w:pStyle w:val="SingleTxtG"/>
              <w:tabs>
                <w:tab w:val="clear" w:pos="1701"/>
                <w:tab w:val="clear" w:pos="2268"/>
                <w:tab w:val="clear" w:pos="2835"/>
              </w:tabs>
              <w:spacing w:before="40"/>
              <w:ind w:left="0" w:right="0"/>
              <w:jc w:val="left"/>
            </w:pPr>
            <w:r w:rsidRPr="00D67833">
              <w:t>16</w:t>
            </w:r>
            <w:r w:rsidR="00801973">
              <w:t>.</w:t>
            </w:r>
          </w:p>
        </w:tc>
        <w:tc>
          <w:tcPr>
            <w:tcW w:w="6917" w:type="dxa"/>
            <w:shd w:val="clear" w:color="auto" w:fill="auto"/>
          </w:tcPr>
          <w:p w14:paraId="6ECE486F" w14:textId="77777777" w:rsidR="00D67833" w:rsidRPr="00D67833" w:rsidRDefault="00D67833" w:rsidP="00801973">
            <w:pPr>
              <w:pStyle w:val="SingleTxtG"/>
              <w:tabs>
                <w:tab w:val="clear" w:pos="1701"/>
                <w:tab w:val="clear" w:pos="2268"/>
                <w:tab w:val="clear" w:pos="2835"/>
              </w:tabs>
              <w:spacing w:before="40"/>
              <w:ind w:left="0" w:right="0"/>
              <w:jc w:val="left"/>
            </w:pPr>
            <w:r w:rsidRPr="00D67833">
              <w:t>Protocolo Facultativo de la Convención sobre los Derechos del Niño relativo a la venta de niños, la prostitución infantil y la utilización de niños en la pornografía</w:t>
            </w:r>
          </w:p>
        </w:tc>
      </w:tr>
      <w:tr w:rsidR="00801973" w:rsidRPr="00D67833" w14:paraId="616D35FA" w14:textId="77777777" w:rsidTr="00801973">
        <w:trPr>
          <w:trHeight w:val="240"/>
        </w:trPr>
        <w:tc>
          <w:tcPr>
            <w:tcW w:w="453" w:type="dxa"/>
            <w:shd w:val="clear" w:color="auto" w:fill="auto"/>
          </w:tcPr>
          <w:p w14:paraId="5ABC9512" w14:textId="42DDFBFE" w:rsidR="00D67833" w:rsidRPr="00D67833" w:rsidRDefault="00D67833" w:rsidP="00801973">
            <w:pPr>
              <w:pStyle w:val="SingleTxtG"/>
              <w:tabs>
                <w:tab w:val="clear" w:pos="1701"/>
                <w:tab w:val="clear" w:pos="2268"/>
                <w:tab w:val="clear" w:pos="2835"/>
              </w:tabs>
              <w:spacing w:before="40"/>
              <w:ind w:left="0" w:right="0"/>
              <w:jc w:val="left"/>
            </w:pPr>
            <w:r w:rsidRPr="00D67833">
              <w:t>17</w:t>
            </w:r>
            <w:r w:rsidR="00801973">
              <w:t>.</w:t>
            </w:r>
          </w:p>
        </w:tc>
        <w:tc>
          <w:tcPr>
            <w:tcW w:w="6917" w:type="dxa"/>
            <w:shd w:val="clear" w:color="auto" w:fill="auto"/>
          </w:tcPr>
          <w:p w14:paraId="0FAFAC2F"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Convenio núm. 138 (1973) de la OIT sobre la Edad Mínima de Admisión al Empleo</w:t>
            </w:r>
          </w:p>
        </w:tc>
      </w:tr>
      <w:tr w:rsidR="00801973" w:rsidRPr="00D67833" w14:paraId="28156BFD" w14:textId="77777777" w:rsidTr="00801973">
        <w:trPr>
          <w:trHeight w:val="240"/>
        </w:trPr>
        <w:tc>
          <w:tcPr>
            <w:tcW w:w="453" w:type="dxa"/>
            <w:shd w:val="clear" w:color="auto" w:fill="auto"/>
          </w:tcPr>
          <w:p w14:paraId="35BCACC9" w14:textId="126EE1ED" w:rsidR="00D67833" w:rsidRPr="00D67833" w:rsidRDefault="00D67833" w:rsidP="00801973">
            <w:pPr>
              <w:pStyle w:val="SingleTxtG"/>
              <w:tabs>
                <w:tab w:val="clear" w:pos="1701"/>
                <w:tab w:val="clear" w:pos="2268"/>
                <w:tab w:val="clear" w:pos="2835"/>
              </w:tabs>
              <w:spacing w:before="40"/>
              <w:ind w:left="0" w:right="0"/>
              <w:jc w:val="left"/>
            </w:pPr>
            <w:r w:rsidRPr="00D67833">
              <w:t>18</w:t>
            </w:r>
            <w:r w:rsidR="00801973">
              <w:t>.</w:t>
            </w:r>
          </w:p>
        </w:tc>
        <w:tc>
          <w:tcPr>
            <w:tcW w:w="6917" w:type="dxa"/>
            <w:shd w:val="clear" w:color="auto" w:fill="auto"/>
          </w:tcPr>
          <w:p w14:paraId="223D6341"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Convenio núm. 182 (1999) de la OIT sobre la Prohibición de las Peores Formas de Trabajo Infantil y la Acción Inmediata para su Eliminación</w:t>
            </w:r>
          </w:p>
        </w:tc>
      </w:tr>
      <w:tr w:rsidR="00801973" w:rsidRPr="00D67833" w14:paraId="625F8697" w14:textId="77777777" w:rsidTr="00801973">
        <w:trPr>
          <w:trHeight w:val="240"/>
        </w:trPr>
        <w:tc>
          <w:tcPr>
            <w:tcW w:w="453" w:type="dxa"/>
            <w:shd w:val="clear" w:color="auto" w:fill="auto"/>
          </w:tcPr>
          <w:p w14:paraId="58DC854D" w14:textId="5D549F44" w:rsidR="00D67833" w:rsidRPr="00D67833" w:rsidRDefault="00D67833" w:rsidP="00801973">
            <w:pPr>
              <w:pStyle w:val="SingleTxtG"/>
              <w:tabs>
                <w:tab w:val="clear" w:pos="1701"/>
                <w:tab w:val="clear" w:pos="2268"/>
                <w:tab w:val="clear" w:pos="2835"/>
              </w:tabs>
              <w:spacing w:before="40"/>
              <w:ind w:left="0" w:right="0"/>
              <w:jc w:val="left"/>
            </w:pPr>
            <w:r w:rsidRPr="00D67833">
              <w:t>19</w:t>
            </w:r>
            <w:r w:rsidR="00801973">
              <w:t>.</w:t>
            </w:r>
          </w:p>
        </w:tc>
        <w:tc>
          <w:tcPr>
            <w:tcW w:w="6917" w:type="dxa"/>
            <w:shd w:val="clear" w:color="auto" w:fill="auto"/>
          </w:tcPr>
          <w:p w14:paraId="1EF2C440"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Carta Árabe de Derechos Humanos, a la que se adhirió Kuwait de conformidad con la Ley núm. 84/2013</w:t>
            </w:r>
          </w:p>
        </w:tc>
      </w:tr>
      <w:tr w:rsidR="00801973" w:rsidRPr="00D67833" w14:paraId="387FF05F" w14:textId="77777777" w:rsidTr="00801973">
        <w:trPr>
          <w:trHeight w:val="240"/>
        </w:trPr>
        <w:tc>
          <w:tcPr>
            <w:tcW w:w="453" w:type="dxa"/>
            <w:shd w:val="clear" w:color="auto" w:fill="auto"/>
          </w:tcPr>
          <w:p w14:paraId="05BB49AB" w14:textId="722DAD0C" w:rsidR="00D67833" w:rsidRPr="00D67833" w:rsidRDefault="00D67833" w:rsidP="00801973">
            <w:pPr>
              <w:pStyle w:val="SingleTxtG"/>
              <w:tabs>
                <w:tab w:val="clear" w:pos="1701"/>
                <w:tab w:val="clear" w:pos="2268"/>
                <w:tab w:val="clear" w:pos="2835"/>
              </w:tabs>
              <w:spacing w:before="40"/>
              <w:ind w:left="0" w:right="0"/>
              <w:jc w:val="left"/>
            </w:pPr>
            <w:r w:rsidRPr="00D67833">
              <w:t>20</w:t>
            </w:r>
            <w:r w:rsidR="00801973">
              <w:t>.</w:t>
            </w:r>
          </w:p>
        </w:tc>
        <w:tc>
          <w:tcPr>
            <w:tcW w:w="6917" w:type="dxa"/>
            <w:shd w:val="clear" w:color="auto" w:fill="auto"/>
          </w:tcPr>
          <w:p w14:paraId="62A6EA86" w14:textId="6DC13079" w:rsidR="00D67833" w:rsidRPr="00D67833" w:rsidRDefault="00D67833" w:rsidP="00F07B57">
            <w:pPr>
              <w:pStyle w:val="SingleTxtG"/>
              <w:tabs>
                <w:tab w:val="clear" w:pos="1701"/>
                <w:tab w:val="clear" w:pos="2268"/>
                <w:tab w:val="clear" w:pos="2835"/>
              </w:tabs>
              <w:spacing w:before="40"/>
              <w:ind w:left="0" w:right="0"/>
              <w:jc w:val="left"/>
            </w:pPr>
            <w:r w:rsidRPr="00D67833">
              <w:t>Protocolo para Prevenir, Reprimir y Sancionar la Trata de Personas, Especialmente Mujeres y Niños, de la Convención de las Naciones Unidas contra la Delincuencia Organizada Transnacional, ratificado mediante la Ley núm. 5/2006, promulgada el 27 de marzo de 2006</w:t>
            </w:r>
          </w:p>
        </w:tc>
      </w:tr>
      <w:tr w:rsidR="00801973" w:rsidRPr="00D67833" w14:paraId="579B35CB" w14:textId="77777777" w:rsidTr="00801973">
        <w:trPr>
          <w:trHeight w:val="240"/>
        </w:trPr>
        <w:tc>
          <w:tcPr>
            <w:tcW w:w="453" w:type="dxa"/>
            <w:tcBorders>
              <w:bottom w:val="single" w:sz="12" w:space="0" w:color="auto"/>
            </w:tcBorders>
            <w:shd w:val="clear" w:color="auto" w:fill="auto"/>
          </w:tcPr>
          <w:p w14:paraId="1F353040" w14:textId="4C4E4804" w:rsidR="00D67833" w:rsidRPr="00D67833" w:rsidRDefault="00D67833" w:rsidP="00801973">
            <w:pPr>
              <w:pStyle w:val="SingleTxtG"/>
              <w:tabs>
                <w:tab w:val="clear" w:pos="1701"/>
                <w:tab w:val="clear" w:pos="2268"/>
                <w:tab w:val="clear" w:pos="2835"/>
              </w:tabs>
              <w:spacing w:before="40"/>
              <w:ind w:left="0" w:right="0"/>
              <w:jc w:val="left"/>
            </w:pPr>
            <w:r w:rsidRPr="00D67833">
              <w:t>21</w:t>
            </w:r>
            <w:r w:rsidR="00801973">
              <w:t>.</w:t>
            </w:r>
          </w:p>
        </w:tc>
        <w:tc>
          <w:tcPr>
            <w:tcW w:w="6917" w:type="dxa"/>
            <w:tcBorders>
              <w:bottom w:val="single" w:sz="12" w:space="0" w:color="auto"/>
            </w:tcBorders>
            <w:shd w:val="clear" w:color="auto" w:fill="auto"/>
          </w:tcPr>
          <w:p w14:paraId="5688C284" w14:textId="77777777" w:rsidR="00D67833" w:rsidRPr="00D67833" w:rsidRDefault="00D67833" w:rsidP="00801973">
            <w:pPr>
              <w:pStyle w:val="SingleTxtG"/>
              <w:tabs>
                <w:tab w:val="clear" w:pos="1701"/>
                <w:tab w:val="clear" w:pos="2268"/>
                <w:tab w:val="clear" w:pos="2835"/>
              </w:tabs>
              <w:spacing w:before="40"/>
              <w:ind w:left="0" w:right="0"/>
              <w:jc w:val="left"/>
            </w:pPr>
            <w:r w:rsidRPr="00D67833">
              <w:t>Convención Internacional sobre los Derechos de las Personas con Discapacidad</w:t>
            </w:r>
          </w:p>
        </w:tc>
      </w:tr>
    </w:tbl>
    <w:p w14:paraId="4F08C652" w14:textId="6F471389" w:rsidR="00D67833" w:rsidRPr="00D67833" w:rsidRDefault="00015BDF" w:rsidP="00015BDF">
      <w:pPr>
        <w:pStyle w:val="H23G"/>
      </w:pPr>
      <w:r>
        <w:tab/>
      </w:r>
      <w:r>
        <w:tab/>
      </w:r>
      <w:r w:rsidR="00D67833" w:rsidRPr="00D67833">
        <w:t>Principios amparados por la Constitución de Kuwait</w:t>
      </w:r>
    </w:p>
    <w:p w14:paraId="1EAD14ED" w14:textId="72F79261" w:rsidR="00D67833" w:rsidRPr="00D67833" w:rsidRDefault="00D67833" w:rsidP="00EB2824">
      <w:pPr>
        <w:pStyle w:val="SingleTxtG"/>
        <w:spacing w:after="130"/>
      </w:pPr>
      <w:r w:rsidRPr="00D67833">
        <w:t>25.</w:t>
      </w:r>
      <w:r w:rsidR="00015BDF">
        <w:tab/>
      </w:r>
      <w:r w:rsidRPr="00D67833">
        <w:t>La Constitución de Kuwait es el paraguas político y jurídico general de las normas de derechos humanos en Kuwait. Además, antes de la aprobación de la Constitución se promulgaron numerosas leyes, que hicieron especial hincapié en brindar garantías de justicia a la persona en Kuwait. Las más destacadas son el Código Penal y el Código de Procedimiento Penal, promulgados en 1960.</w:t>
      </w:r>
    </w:p>
    <w:p w14:paraId="71089978" w14:textId="5D629C26" w:rsidR="00D67833" w:rsidRPr="00D67833" w:rsidRDefault="00D67833" w:rsidP="00EB2824">
      <w:pPr>
        <w:pStyle w:val="SingleTxtG"/>
        <w:spacing w:after="130"/>
      </w:pPr>
      <w:r w:rsidRPr="00D67833">
        <w:t>26.</w:t>
      </w:r>
      <w:r w:rsidR="00015BDF">
        <w:tab/>
      </w:r>
      <w:r w:rsidRPr="00D67833">
        <w:t xml:space="preserve">El artículo 70 de la Constitución establece que “el Emir ratifica los tratados por decreto e informa inmediatamente a la Asamblea Nacional, adjuntando las explicaciones pertinentes. Un tratado tiene fuerza de ley después de su celebración, ratificación y publicación en el </w:t>
      </w:r>
      <w:r w:rsidRPr="00D67833">
        <w:rPr>
          <w:i/>
          <w:iCs/>
        </w:rPr>
        <w:t>Boletín Oficial</w:t>
      </w:r>
      <w:r w:rsidR="00F07B57">
        <w:t>”</w:t>
      </w:r>
      <w:r w:rsidRPr="00D67833">
        <w:t>.</w:t>
      </w:r>
    </w:p>
    <w:p w14:paraId="71F47478" w14:textId="2F56534D" w:rsidR="00D67833" w:rsidRPr="00D67833" w:rsidRDefault="00D67833" w:rsidP="00EB2824">
      <w:pPr>
        <w:pStyle w:val="SingleTxtG"/>
        <w:keepNext/>
        <w:keepLines/>
      </w:pPr>
      <w:r w:rsidRPr="00D67833">
        <w:lastRenderedPageBreak/>
        <w:t>27.</w:t>
      </w:r>
      <w:r w:rsidR="00015BDF">
        <w:tab/>
      </w:r>
      <w:r w:rsidRPr="00D67833">
        <w:t>Dada la importancia de las cuestiones de derechos humanos, la mayoría de las disposiciones de la Constitución incorporaron los principios que la comunidad internacional ha hecho suyos al incluirlos en los pactos internacionales ratificados en la materia. Para lograr un mayor nivel de compromiso y reafirmar aún más estos principios, se estableció, mediante la Ley núm. 14/1973, el Tribunal Constitucional, con el fin de garantizar, respetar y hacer efectivos de manera adecuada los derechos y las libertades. La Constitución otorga a los derechos y libertades una importancia primordial, por lo que ampara expresamente unos y otras en la mayoría de sus artículos, entre ellos los que establecen disposiciones sobre:</w:t>
      </w:r>
    </w:p>
    <w:p w14:paraId="4A2524BE" w14:textId="6427267A" w:rsidR="00D67833" w:rsidRPr="00D67833" w:rsidRDefault="00D67833" w:rsidP="00015BDF">
      <w:pPr>
        <w:pStyle w:val="Bullet1G"/>
      </w:pPr>
      <w:r w:rsidRPr="00D67833">
        <w:t>El pueblo, como fuente de los poderes y de la soberanía de la nación (art. 6).</w:t>
      </w:r>
    </w:p>
    <w:p w14:paraId="0DFF5E53" w14:textId="783EE64E" w:rsidR="00D67833" w:rsidRPr="00D67833" w:rsidRDefault="00D67833" w:rsidP="00015BDF">
      <w:pPr>
        <w:pStyle w:val="Bullet1G"/>
      </w:pPr>
      <w:r w:rsidRPr="00D67833">
        <w:t>Justicia, igualdad y libertad (art. 7).</w:t>
      </w:r>
    </w:p>
    <w:p w14:paraId="18D24CB4" w14:textId="2B0D38EB" w:rsidR="00D67833" w:rsidRPr="00D67833" w:rsidRDefault="00F07B57" w:rsidP="00015BDF">
      <w:pPr>
        <w:pStyle w:val="Bullet1G"/>
      </w:pPr>
      <w:r>
        <w:t>P</w:t>
      </w:r>
      <w:r w:rsidR="00D67833" w:rsidRPr="00D67833">
        <w:t>rotección de la familia, maternidad, infancia y cuidado de los jóvenes (arts. 9 y 10).</w:t>
      </w:r>
    </w:p>
    <w:p w14:paraId="56D551DB" w14:textId="4E519CC3" w:rsidR="00D67833" w:rsidRPr="00D67833" w:rsidRDefault="00D67833" w:rsidP="00015BDF">
      <w:pPr>
        <w:pStyle w:val="Bullet1G"/>
      </w:pPr>
      <w:r w:rsidRPr="00D67833">
        <w:t>Atención y provisión de seguro social a los ciudadanos en caso de vejez, enfermedad o incapacidad para trabajar (art. 11).</w:t>
      </w:r>
    </w:p>
    <w:p w14:paraId="50B22ECD" w14:textId="598074B6" w:rsidR="00D67833" w:rsidRPr="00D67833" w:rsidRDefault="00D67833" w:rsidP="00015BDF">
      <w:pPr>
        <w:pStyle w:val="Bullet1G"/>
      </w:pPr>
      <w:r w:rsidRPr="00D67833">
        <w:t>Garantía en materia de educación, que se brindará y que será gratuita, proporcionada por el Estado (art. 13).</w:t>
      </w:r>
    </w:p>
    <w:p w14:paraId="5EBA4C0E" w14:textId="5F10CC8E" w:rsidR="00D67833" w:rsidRPr="00D67833" w:rsidRDefault="00D67833" w:rsidP="00015BDF">
      <w:pPr>
        <w:pStyle w:val="Bullet1G"/>
      </w:pPr>
      <w:r w:rsidRPr="00D67833">
        <w:t>Patrocinio de la ciencia y la literatura, y fomento de la investigación científica (art.</w:t>
      </w:r>
      <w:r w:rsidR="00062BE6">
        <w:t> </w:t>
      </w:r>
      <w:r w:rsidRPr="00D67833">
        <w:t>14).</w:t>
      </w:r>
    </w:p>
    <w:p w14:paraId="2C04B045" w14:textId="4BA76733" w:rsidR="00D67833" w:rsidRPr="00D67833" w:rsidRDefault="00D67833" w:rsidP="00015BDF">
      <w:pPr>
        <w:pStyle w:val="Bullet1G"/>
      </w:pPr>
      <w:r w:rsidRPr="00D67833">
        <w:t>Derecho a la atención de la salud (art. 15).</w:t>
      </w:r>
    </w:p>
    <w:p w14:paraId="4AEB1238" w14:textId="55732D86" w:rsidR="00D67833" w:rsidRPr="00D67833" w:rsidRDefault="00D67833" w:rsidP="00015BDF">
      <w:pPr>
        <w:pStyle w:val="Bullet1G"/>
      </w:pPr>
      <w:r w:rsidRPr="00D67833">
        <w:t>Derecho de la persona a la propiedad, e inviolabilidad y protección de los fondos públicos (art. 16 y 17).</w:t>
      </w:r>
    </w:p>
    <w:p w14:paraId="3726CF4D" w14:textId="0C070B82" w:rsidR="00D67833" w:rsidRPr="00D67833" w:rsidRDefault="00D67833" w:rsidP="00015BDF">
      <w:pPr>
        <w:pStyle w:val="Bullet1G"/>
      </w:pPr>
      <w:r w:rsidRPr="00D67833">
        <w:t>Protección de la propiedad privada, sin que nadie pueda ser expropiado, salvo por razones de interés público y en los casos previstos por la ley, a condición de que sea indemnizado de manera justa (art. 18).</w:t>
      </w:r>
    </w:p>
    <w:p w14:paraId="66EB9875" w14:textId="18BA4864" w:rsidR="00D67833" w:rsidRPr="00D67833" w:rsidRDefault="00D67833" w:rsidP="00015BDF">
      <w:pPr>
        <w:pStyle w:val="Bullet1G"/>
      </w:pPr>
      <w:r w:rsidRPr="00D67833">
        <w:t>Derecho a ocupar cargos públicos (art. 26).</w:t>
      </w:r>
    </w:p>
    <w:p w14:paraId="7744B863" w14:textId="13F6337A" w:rsidR="00D67833" w:rsidRPr="00D67833" w:rsidRDefault="00015BDF" w:rsidP="00015BDF">
      <w:pPr>
        <w:pStyle w:val="H23G"/>
      </w:pPr>
      <w:r>
        <w:tab/>
      </w:r>
      <w:r>
        <w:tab/>
      </w:r>
      <w:r w:rsidR="00D67833" w:rsidRPr="00D67833">
        <w:t xml:space="preserve">Principios de derechos humanos recogidos en el </w:t>
      </w:r>
      <w:r w:rsidR="00B95546">
        <w:t>t</w:t>
      </w:r>
      <w:r w:rsidR="00D67833" w:rsidRPr="00D67833">
        <w:t>ítulo III de la Constitución</w:t>
      </w:r>
    </w:p>
    <w:p w14:paraId="22629FC8" w14:textId="39F4525F" w:rsidR="00D67833" w:rsidRPr="00D67833" w:rsidRDefault="00D67833" w:rsidP="00D67833">
      <w:pPr>
        <w:pStyle w:val="SingleTxtG"/>
      </w:pPr>
      <w:r w:rsidRPr="00D67833">
        <w:t>28.</w:t>
      </w:r>
      <w:r w:rsidR="00015BDF">
        <w:tab/>
      </w:r>
      <w:r w:rsidRPr="00D67833">
        <w:t>Este título está dedicado a una declaración de derechos y deberes públicos. También incluye muchos principios que han sido promulgados por tratados internacionales en la esfera de los derechos humanos, a saber:</w:t>
      </w:r>
    </w:p>
    <w:p w14:paraId="3C989233" w14:textId="08D2EB87" w:rsidR="00D67833" w:rsidRPr="00D67833" w:rsidRDefault="00D67833" w:rsidP="00015BDF">
      <w:pPr>
        <w:pStyle w:val="Bullet1G"/>
      </w:pPr>
      <w:r w:rsidRPr="00D67833">
        <w:t>La nacionalidad no puede ser revocada o retirada excepto en los límites que marca la ley (art. 27).</w:t>
      </w:r>
    </w:p>
    <w:p w14:paraId="442D8080" w14:textId="515CD1D1" w:rsidR="00D67833" w:rsidRPr="00D67833" w:rsidRDefault="00D67833" w:rsidP="00015BDF">
      <w:pPr>
        <w:pStyle w:val="Bullet1G"/>
      </w:pPr>
      <w:r w:rsidRPr="00D67833">
        <w:t>No está permitido deportar a un kuwaití de su país (art. 28).</w:t>
      </w:r>
    </w:p>
    <w:p w14:paraId="20A77D67" w14:textId="634B8044" w:rsidR="00D67833" w:rsidRPr="00D67833" w:rsidRDefault="00D67833" w:rsidP="00015BDF">
      <w:pPr>
        <w:pStyle w:val="Bullet1G"/>
      </w:pPr>
      <w:r w:rsidRPr="00D67833">
        <w:t>Igualdad y no discriminación por razón de sexo, origen, lengua o religión Los ciudadanos son iguales ante la ley en derechos y deberes públicos (art. 29).</w:t>
      </w:r>
    </w:p>
    <w:p w14:paraId="54829628" w14:textId="133F371A" w:rsidR="00D67833" w:rsidRPr="00D67833" w:rsidRDefault="00D67833" w:rsidP="00015BDF">
      <w:pPr>
        <w:pStyle w:val="Bullet1G"/>
      </w:pPr>
      <w:r w:rsidRPr="00D67833">
        <w:t>Libertades y derechos tales como libertad personal (art. 30), la libertad de creencias (art. 35), la libertad de opinión e investigación científica (art. 36), la libertad de prensa, imprenta y publicación (art. 37), el derecho a la vida privada y la libertad de residencia (art. 38), la libertad de correspondencia postal, telegráfica y telefónica, la libertad de asociación y sindicación (art. 43) y el derecho de reunión (art. 44).</w:t>
      </w:r>
    </w:p>
    <w:p w14:paraId="30C77026" w14:textId="36EAE315" w:rsidR="00D67833" w:rsidRPr="00D67833" w:rsidRDefault="00D67833" w:rsidP="00015BDF">
      <w:pPr>
        <w:pStyle w:val="Bullet1G"/>
      </w:pPr>
      <w:r w:rsidRPr="00D67833">
        <w:t>La prohibición de arrestar, encarcelar o torturar a una persona, limitar su residencia, restringir su libertad o su libertad de residencia y de circulación, y la prohibición también de la tortura o los tratos denigrantes (art. 31).</w:t>
      </w:r>
    </w:p>
    <w:p w14:paraId="6E261FB1" w14:textId="3202CB57" w:rsidR="00D67833" w:rsidRPr="00D67833" w:rsidRDefault="00D67833" w:rsidP="00015BDF">
      <w:pPr>
        <w:pStyle w:val="Bullet1G"/>
      </w:pPr>
      <w:r w:rsidRPr="00D67833">
        <w:t>La inexistencia de delito o de castigo salvo de conformidad con una ley (art. 32).</w:t>
      </w:r>
    </w:p>
    <w:p w14:paraId="479ACADA" w14:textId="122B5967" w:rsidR="00D67833" w:rsidRPr="00D67833" w:rsidRDefault="00D67833" w:rsidP="00015BDF">
      <w:pPr>
        <w:pStyle w:val="Bullet1G"/>
      </w:pPr>
      <w:r w:rsidRPr="00D67833">
        <w:t>La presunción de inocencia, hasta que se pruebe la culpabilidad de un acusado en un juicio en el que se ofrezcan las garantías necesarias para el ejercicio del derecho de defensa (art. 34).</w:t>
      </w:r>
    </w:p>
    <w:p w14:paraId="1864E949" w14:textId="4E3F91B5" w:rsidR="00D67833" w:rsidRPr="00D67833" w:rsidRDefault="00D67833" w:rsidP="00015BDF">
      <w:pPr>
        <w:pStyle w:val="Bullet1G"/>
      </w:pPr>
      <w:r w:rsidRPr="00D67833">
        <w:t>El derecho a la educación gratuita en sus distintas etapas y la obligatoriedad en la etapa primaria (art. 40).</w:t>
      </w:r>
    </w:p>
    <w:p w14:paraId="7256520F" w14:textId="73F3EE21" w:rsidR="00D67833" w:rsidRPr="00D67833" w:rsidRDefault="00D67833" w:rsidP="00015BDF">
      <w:pPr>
        <w:pStyle w:val="Bullet1G"/>
      </w:pPr>
      <w:r w:rsidRPr="00D67833">
        <w:t>El derecho al trabajo (art. 41).</w:t>
      </w:r>
    </w:p>
    <w:p w14:paraId="749700A8" w14:textId="4DCC7108" w:rsidR="00D67833" w:rsidRPr="00D67833" w:rsidRDefault="00D67833" w:rsidP="00015BDF">
      <w:pPr>
        <w:pStyle w:val="Bullet1G"/>
      </w:pPr>
      <w:r w:rsidRPr="00D67833">
        <w:lastRenderedPageBreak/>
        <w:t>La prohibición de extraditar a refugiados políticos (art. 46).</w:t>
      </w:r>
    </w:p>
    <w:p w14:paraId="60012CEF" w14:textId="57821721" w:rsidR="00D67833" w:rsidRPr="00D67833" w:rsidRDefault="00D67833" w:rsidP="00015BDF">
      <w:pPr>
        <w:pStyle w:val="Bullet1G"/>
      </w:pPr>
      <w:r w:rsidRPr="00D67833">
        <w:t>La exención del pago de impuestos a quienes tienen ingresos reducidos (art. 48).</w:t>
      </w:r>
    </w:p>
    <w:p w14:paraId="2825A910" w14:textId="73CA141D" w:rsidR="00D67833" w:rsidRPr="00D67833" w:rsidRDefault="00015BDF" w:rsidP="00015BDF">
      <w:pPr>
        <w:pStyle w:val="H23G"/>
      </w:pPr>
      <w:r>
        <w:tab/>
      </w:r>
      <w:r>
        <w:tab/>
      </w:r>
      <w:r w:rsidR="00D67833" w:rsidRPr="00D67833">
        <w:t xml:space="preserve">Principios incluidos en el </w:t>
      </w:r>
      <w:r w:rsidR="00B95546">
        <w:t>t</w:t>
      </w:r>
      <w:r w:rsidR="00D67833" w:rsidRPr="00D67833">
        <w:t>ítulo IV de la Constitución</w:t>
      </w:r>
    </w:p>
    <w:p w14:paraId="47D3954B" w14:textId="78988F40" w:rsidR="00D67833" w:rsidRPr="00D67833" w:rsidRDefault="00D67833" w:rsidP="00D67833">
      <w:pPr>
        <w:pStyle w:val="SingleTxtG"/>
      </w:pPr>
      <w:r w:rsidRPr="00D67833">
        <w:t>29.</w:t>
      </w:r>
      <w:r w:rsidR="00015BDF">
        <w:tab/>
      </w:r>
      <w:r w:rsidRPr="00D67833">
        <w:t>Este título, en sus capítulos I a V, define los fundamentos sobre los que se asienta el sistema de gobierno del Estado, y las relaciones entre los tres poderes, así como sus competencias y funciones. En el artículo 50 de la Constitución se subraya el principio de separación de poderes. El capítulo V enumera importantes principios básicos relacionados con el poder judicial, no en vano se considera que la integridad del poder judicial es la base del Estado y una garantía de los derechos y deberes. Se destacan los siguientes principios:</w:t>
      </w:r>
    </w:p>
    <w:p w14:paraId="1B1326DB" w14:textId="2A72947F" w:rsidR="00D67833" w:rsidRPr="00D67833" w:rsidRDefault="00D67833" w:rsidP="00015BDF">
      <w:pPr>
        <w:pStyle w:val="Bullet1G"/>
      </w:pPr>
      <w:r w:rsidRPr="00D67833">
        <w:t>El principio relativo a la independencia judicial y la inmunidad de los jueces (art. 163)</w:t>
      </w:r>
    </w:p>
    <w:p w14:paraId="48C65369" w14:textId="08B79EA3" w:rsidR="00D67833" w:rsidRPr="00D67833" w:rsidRDefault="00D67833" w:rsidP="00015BDF">
      <w:pPr>
        <w:pStyle w:val="Bullet1G"/>
      </w:pPr>
      <w:r w:rsidRPr="00D67833">
        <w:t>El principio relativo al derecho de litigio (art. 164)</w:t>
      </w:r>
    </w:p>
    <w:p w14:paraId="7B7AB14B" w14:textId="4A1223C8" w:rsidR="00D67833" w:rsidRPr="00D67833" w:rsidRDefault="00D67833" w:rsidP="00D67833">
      <w:pPr>
        <w:pStyle w:val="SingleTxtG"/>
      </w:pPr>
      <w:r w:rsidRPr="00D67833">
        <w:t>30.</w:t>
      </w:r>
      <w:r w:rsidR="00015BDF">
        <w:tab/>
      </w:r>
      <w:r w:rsidRPr="00D67833">
        <w:t xml:space="preserve">Además, en virtud de la Ley núm. 14/1973, se creó el Tribunal Constitucional. Es un órgano judicial con competencia exclusiva para la interpretación de los textos constitucionales y la solución de controversias relacionadas con la constitucionalidad de leyes, decretos-ley y reglamentos. La sentencia de la Corte Constitucional es vinculante para todos y cada uno de los demás tribunales. En 2014 se promulgó la Ley núm. 109/2014, de refuerzo del derecho de recurso a este tribunal. En virtud de esta </w:t>
      </w:r>
      <w:r w:rsidR="00062BE6" w:rsidRPr="00D67833">
        <w:t>Ley</w:t>
      </w:r>
      <w:r w:rsidRPr="00D67833">
        <w:t>, el legislador otorgó a la ciudadanía el derecho a impugnar la inconstitucionalidad de las leyes y reglamentos ante el tribunal en virtud de una demanda interpuesta directamente por el ciudadano.</w:t>
      </w:r>
    </w:p>
    <w:p w14:paraId="2CF07565" w14:textId="11C82363" w:rsidR="00D67833" w:rsidRPr="00D67833" w:rsidRDefault="00015BDF" w:rsidP="00015BDF">
      <w:pPr>
        <w:pStyle w:val="H23G"/>
      </w:pPr>
      <w:r>
        <w:tab/>
      </w:r>
      <w:r>
        <w:tab/>
      </w:r>
      <w:r w:rsidR="00D67833" w:rsidRPr="00D67833">
        <w:t>Organizaciones de la sociedad civil en el Estado de Kuwait</w:t>
      </w:r>
    </w:p>
    <w:p w14:paraId="1FD473F1" w14:textId="5FE4DB6B" w:rsidR="00D67833" w:rsidRPr="00D67833" w:rsidRDefault="00D67833" w:rsidP="00D67833">
      <w:pPr>
        <w:pStyle w:val="SingleTxtG"/>
      </w:pPr>
      <w:r w:rsidRPr="00D67833">
        <w:t>31.</w:t>
      </w:r>
      <w:r w:rsidR="00015BDF">
        <w:tab/>
      </w:r>
      <w:r w:rsidRPr="00D67833">
        <w:t>El Estado de Kuwait concede gran importancia a las organizaciones de la sociedad civil y al desempeño de su papel de desarrollo social. Las organizaciones de la sociedad civil en el Estado de Kuwait pueden ser, por su ámbito de competencia, organizaciones profesionales y benéficas u organizaciones de carácter especializado (sanitario, social y económico).</w:t>
      </w:r>
    </w:p>
    <w:p w14:paraId="3470ACA2" w14:textId="7E225C7A" w:rsidR="00D67833" w:rsidRPr="00D67833" w:rsidRDefault="00D67833" w:rsidP="00D67833">
      <w:pPr>
        <w:pStyle w:val="SingleTxtG"/>
      </w:pPr>
      <w:r w:rsidRPr="00D67833">
        <w:t>32.</w:t>
      </w:r>
      <w:r w:rsidR="00015BDF">
        <w:tab/>
      </w:r>
      <w:r w:rsidRPr="00D67833">
        <w:t>El Estado de Kuwait brinda apoyo a algunas organizaciones de la sociedad civil que se establecieron antes de 1985, mediante cuantías que oscilan entre los 12.000 y 120.000</w:t>
      </w:r>
      <w:r w:rsidR="00062BE6">
        <w:t> </w:t>
      </w:r>
      <w:r w:rsidRPr="00D67833">
        <w:t>dinares mensuales, según la actividad de la organización. También presta apoyo a conferencias nacionales e internacionales. En cuanto a las organizaciones de reciente creación (posteriores a 1985), en su mayoría no reciben dicho apoyo.</w:t>
      </w:r>
    </w:p>
    <w:p w14:paraId="619B92A6" w14:textId="6AF350C8" w:rsidR="00D67833" w:rsidRPr="00D67833" w:rsidRDefault="00D67833" w:rsidP="00D67833">
      <w:pPr>
        <w:pStyle w:val="SingleTxtG"/>
      </w:pPr>
      <w:r w:rsidRPr="00D67833">
        <w:t>33.</w:t>
      </w:r>
      <w:r w:rsidR="00015BDF">
        <w:tab/>
      </w:r>
      <w:r w:rsidRPr="00D67833">
        <w:t>El Estado de Kuwait también ha aprobado recientemente una serie de leyes que contribuyen a la promoción de los derechos humanos:</w:t>
      </w:r>
    </w:p>
    <w:p w14:paraId="2855D54E" w14:textId="03EF1E78" w:rsidR="00D67833" w:rsidRPr="00D67833" w:rsidRDefault="00D67833" w:rsidP="00015BDF">
      <w:pPr>
        <w:pStyle w:val="Bullet1G"/>
      </w:pPr>
      <w:r w:rsidRPr="00D67833">
        <w:t>Ley núm. 35/2013, de la adhesión de Kuwait a la Convención Internacional sobre los Derechos de las Personas con Discapacidad</w:t>
      </w:r>
    </w:p>
    <w:p w14:paraId="7FE4D37E" w14:textId="0838BE74" w:rsidR="00D67833" w:rsidRPr="00D67833" w:rsidRDefault="00D67833" w:rsidP="00015BDF">
      <w:pPr>
        <w:pStyle w:val="Bullet1G"/>
      </w:pPr>
      <w:r w:rsidRPr="00D67833">
        <w:t>Ley núm. 84/2013, de la Carta Árabe de Derechos Humanos</w:t>
      </w:r>
    </w:p>
    <w:p w14:paraId="089297E4" w14:textId="118DCE87" w:rsidR="00D67833" w:rsidRPr="00D67833" w:rsidRDefault="00D67833" w:rsidP="00015BDF">
      <w:pPr>
        <w:pStyle w:val="Bullet1G"/>
      </w:pPr>
      <w:r w:rsidRPr="00D67833">
        <w:t>Ley núm. 91/2013, de Lucha contra la Trata de Personas y el Tráfico Ilícito de Migrantes</w:t>
      </w:r>
    </w:p>
    <w:p w14:paraId="7AD9B6E7" w14:textId="600A989E" w:rsidR="00D67833" w:rsidRPr="00D67833" w:rsidRDefault="00D67833" w:rsidP="00015BDF">
      <w:pPr>
        <w:pStyle w:val="Bullet1G"/>
      </w:pPr>
      <w:r w:rsidRPr="00D67833">
        <w:t>Ley núm. 21/2015, de Derechos del Niño</w:t>
      </w:r>
    </w:p>
    <w:p w14:paraId="0D4ABB26" w14:textId="44B7F3A3" w:rsidR="00D67833" w:rsidRPr="00D67833" w:rsidRDefault="00D67833" w:rsidP="00015BDF">
      <w:pPr>
        <w:pStyle w:val="Bullet1G"/>
      </w:pPr>
      <w:r w:rsidRPr="00D67833">
        <w:t>Ley núm. 111/2015, por la que se promulga la Ley del Menor (en conflicto con la ley)</w:t>
      </w:r>
    </w:p>
    <w:p w14:paraId="06FA64C5" w14:textId="3D46159D" w:rsidR="00D67833" w:rsidRPr="00D67833" w:rsidRDefault="00D67833" w:rsidP="00015BDF">
      <w:pPr>
        <w:pStyle w:val="Bullet1G"/>
      </w:pPr>
      <w:r w:rsidRPr="00D67833">
        <w:t>Ley núm. 12/2015, por la que se promulga la Ley del Tribunal de Familia y el Centro de Acogida</w:t>
      </w:r>
    </w:p>
    <w:p w14:paraId="4EF88360" w14:textId="4420E6E1" w:rsidR="00D67833" w:rsidRPr="00D67833" w:rsidRDefault="00D67833" w:rsidP="00015BDF">
      <w:pPr>
        <w:pStyle w:val="Bullet1G"/>
      </w:pPr>
      <w:r w:rsidRPr="00D67833">
        <w:t>Ley núm. 67/2015, de la Oficina Nacional de Derechos Humanos</w:t>
      </w:r>
    </w:p>
    <w:p w14:paraId="2ED4E15A" w14:textId="074D862B" w:rsidR="00D67833" w:rsidRPr="00D67833" w:rsidRDefault="00D67833" w:rsidP="00015BDF">
      <w:pPr>
        <w:pStyle w:val="Bullet1G"/>
      </w:pPr>
      <w:r w:rsidRPr="00D67833">
        <w:t>Ley núm. 68/2015, de los Trabajadores Domésticos</w:t>
      </w:r>
    </w:p>
    <w:p w14:paraId="4C3471C1" w14:textId="3492770E" w:rsidR="00D67833" w:rsidRPr="00D67833" w:rsidRDefault="00D67833" w:rsidP="00D67833">
      <w:pPr>
        <w:pStyle w:val="SingleTxtG"/>
        <w:suppressAutoHyphens/>
        <w:spacing w:before="240" w:after="0"/>
        <w:jc w:val="center"/>
        <w:rPr>
          <w:u w:val="single"/>
        </w:rPr>
      </w:pPr>
      <w:r>
        <w:rPr>
          <w:u w:val="single"/>
        </w:rPr>
        <w:tab/>
      </w:r>
      <w:r>
        <w:rPr>
          <w:u w:val="single"/>
        </w:rPr>
        <w:tab/>
      </w:r>
      <w:r>
        <w:rPr>
          <w:u w:val="single"/>
        </w:rPr>
        <w:tab/>
      </w:r>
    </w:p>
    <w:sectPr w:rsidR="00D67833" w:rsidRPr="00D67833" w:rsidSect="00D6783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58F13" w14:textId="77777777" w:rsidR="007C4A7E" w:rsidRPr="00AC76E8" w:rsidRDefault="007C4A7E" w:rsidP="00AC76E8">
      <w:pPr>
        <w:pStyle w:val="Piedepgina"/>
      </w:pPr>
    </w:p>
  </w:endnote>
  <w:endnote w:type="continuationSeparator" w:id="0">
    <w:p w14:paraId="5F3AE6BE" w14:textId="77777777" w:rsidR="007C4A7E" w:rsidRPr="00AC76E8" w:rsidRDefault="007C4A7E"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A169" w14:textId="0A813CAE" w:rsidR="00D67833" w:rsidRPr="00D67833" w:rsidRDefault="00D67833" w:rsidP="00D67833">
    <w:pPr>
      <w:pStyle w:val="Piedepgina"/>
      <w:tabs>
        <w:tab w:val="right" w:pos="9638"/>
      </w:tabs>
    </w:pPr>
    <w:r w:rsidRPr="00D67833">
      <w:rPr>
        <w:b/>
        <w:sz w:val="18"/>
      </w:rPr>
      <w:fldChar w:fldCharType="begin"/>
    </w:r>
    <w:r w:rsidRPr="00D67833">
      <w:rPr>
        <w:b/>
        <w:sz w:val="18"/>
      </w:rPr>
      <w:instrText xml:space="preserve"> PAGE  \* MERGEFORMAT </w:instrText>
    </w:r>
    <w:r w:rsidRPr="00D67833">
      <w:rPr>
        <w:b/>
        <w:sz w:val="18"/>
      </w:rPr>
      <w:fldChar w:fldCharType="separate"/>
    </w:r>
    <w:r w:rsidRPr="00D67833">
      <w:rPr>
        <w:b/>
        <w:noProof/>
        <w:sz w:val="18"/>
      </w:rPr>
      <w:t>2</w:t>
    </w:r>
    <w:r w:rsidRPr="00D67833">
      <w:rPr>
        <w:b/>
        <w:sz w:val="18"/>
      </w:rPr>
      <w:fldChar w:fldCharType="end"/>
    </w:r>
    <w:r>
      <w:rPr>
        <w:b/>
        <w:sz w:val="18"/>
      </w:rPr>
      <w:tab/>
    </w:r>
    <w:r>
      <w:t>GE.21-12555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8423" w14:textId="7F582CFD" w:rsidR="00D67833" w:rsidRPr="00D67833" w:rsidRDefault="00D67833" w:rsidP="00D67833">
    <w:pPr>
      <w:pStyle w:val="Piedepgina"/>
      <w:tabs>
        <w:tab w:val="right" w:pos="9638"/>
      </w:tabs>
      <w:rPr>
        <w:b/>
        <w:sz w:val="18"/>
      </w:rPr>
    </w:pPr>
    <w:r>
      <w:t>GE.21-12555</w:t>
    </w:r>
    <w:r>
      <w:tab/>
    </w:r>
    <w:r w:rsidRPr="00D67833">
      <w:rPr>
        <w:b/>
        <w:sz w:val="18"/>
      </w:rPr>
      <w:fldChar w:fldCharType="begin"/>
    </w:r>
    <w:r w:rsidRPr="00D67833">
      <w:rPr>
        <w:b/>
        <w:sz w:val="18"/>
      </w:rPr>
      <w:instrText xml:space="preserve"> PAGE  \* MERGEFORMAT </w:instrText>
    </w:r>
    <w:r w:rsidRPr="00D67833">
      <w:rPr>
        <w:b/>
        <w:sz w:val="18"/>
      </w:rPr>
      <w:fldChar w:fldCharType="separate"/>
    </w:r>
    <w:r w:rsidRPr="00D67833">
      <w:rPr>
        <w:b/>
        <w:noProof/>
        <w:sz w:val="18"/>
      </w:rPr>
      <w:t>3</w:t>
    </w:r>
    <w:r w:rsidRPr="00D678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A928" w14:textId="4B431E6A" w:rsidR="00666938" w:rsidRPr="00D67833" w:rsidRDefault="00D67833" w:rsidP="00D67833">
    <w:pPr>
      <w:pStyle w:val="Piedepgina"/>
      <w:spacing w:before="120" w:line="240" w:lineRule="auto"/>
      <w:rPr>
        <w:sz w:val="20"/>
      </w:rPr>
    </w:pPr>
    <w:r>
      <w:rPr>
        <w:sz w:val="20"/>
      </w:rPr>
      <w:t>GE.</w:t>
    </w:r>
    <w:r w:rsidR="0095700F">
      <w:rPr>
        <w:noProof/>
      </w:rPr>
      <w:drawing>
        <wp:anchor distT="0" distB="0" distL="114300" distR="114300" simplePos="0" relativeHeight="251657728" behindDoc="0" locked="1" layoutInCell="1" allowOverlap="1" wp14:anchorId="4F02E48C" wp14:editId="33AA789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21-12555  (S)</w:t>
    </w:r>
    <w:r>
      <w:rPr>
        <w:noProof/>
        <w:sz w:val="20"/>
      </w:rPr>
      <w:drawing>
        <wp:anchor distT="0" distB="0" distL="114300" distR="114300" simplePos="0" relativeHeight="251658752" behindDoc="0" locked="0" layoutInCell="1" allowOverlap="1" wp14:anchorId="032849DD" wp14:editId="4904905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290921    300921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71E7" w14:textId="77777777" w:rsidR="007C4A7E" w:rsidRPr="001075E9" w:rsidRDefault="007C4A7E" w:rsidP="001075E9">
      <w:pPr>
        <w:tabs>
          <w:tab w:val="right" w:pos="2155"/>
        </w:tabs>
        <w:spacing w:after="80" w:line="240" w:lineRule="auto"/>
        <w:ind w:left="680"/>
        <w:rPr>
          <w:u w:val="single"/>
        </w:rPr>
      </w:pPr>
      <w:r>
        <w:rPr>
          <w:u w:val="single"/>
        </w:rPr>
        <w:tab/>
      </w:r>
    </w:p>
  </w:footnote>
  <w:footnote w:type="continuationSeparator" w:id="0">
    <w:p w14:paraId="62D53983" w14:textId="77777777" w:rsidR="007C4A7E" w:rsidRDefault="007C4A7E" w:rsidP="00AC76E8">
      <w:pPr>
        <w:tabs>
          <w:tab w:val="right" w:pos="2155"/>
        </w:tabs>
        <w:spacing w:after="80" w:line="240" w:lineRule="auto"/>
        <w:ind w:left="680"/>
        <w:rPr>
          <w:u w:val="single"/>
        </w:rPr>
      </w:pPr>
      <w:r>
        <w:rPr>
          <w:u w:val="single"/>
        </w:rPr>
        <w:tab/>
      </w:r>
    </w:p>
  </w:footnote>
  <w:footnote w:id="1">
    <w:p w14:paraId="18FCD1D2" w14:textId="0BF5D8A8" w:rsidR="00D67833" w:rsidRPr="00D67833" w:rsidRDefault="00D67833" w:rsidP="00D67833">
      <w:pPr>
        <w:pStyle w:val="Textonotapie"/>
        <w:rPr>
          <w:sz w:val="20"/>
        </w:rPr>
      </w:pPr>
      <w:r>
        <w:tab/>
      </w:r>
      <w:r w:rsidRPr="00D67833">
        <w:rPr>
          <w:rStyle w:val="Refdenotaalpie"/>
          <w:sz w:val="20"/>
          <w:vertAlign w:val="baseline"/>
        </w:rPr>
        <w:t>*</w:t>
      </w:r>
      <w:r w:rsidRPr="00D67833">
        <w:rPr>
          <w:rStyle w:val="Refdenotaalpie"/>
          <w:vertAlign w:val="baseline"/>
        </w:rPr>
        <w:tab/>
      </w:r>
      <w:r w:rsidRPr="00D67833">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ED13" w14:textId="2BFCD17F" w:rsidR="00D67833" w:rsidRPr="00D67833" w:rsidRDefault="009A12FF">
    <w:pPr>
      <w:pStyle w:val="Encabezado"/>
    </w:pPr>
    <w:r>
      <w:fldChar w:fldCharType="begin"/>
    </w:r>
    <w:r>
      <w:instrText xml:space="preserve"> TITLE  \* MERGEFORMAT </w:instrText>
    </w:r>
    <w:r>
      <w:fldChar w:fldCharType="separate"/>
    </w:r>
    <w:proofErr w:type="spellStart"/>
    <w:r>
      <w:t>HRI</w:t>
    </w:r>
    <w:proofErr w:type="spellEnd"/>
    <w:r>
      <w:t>/CORE/</w:t>
    </w:r>
    <w:proofErr w:type="spellStart"/>
    <w:r>
      <w:t>KWT</w:t>
    </w:r>
    <w:proofErr w:type="spellEnd"/>
    <w:r>
      <w:t>/2019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4E92" w14:textId="4CAD0483" w:rsidR="00D67833" w:rsidRPr="00D67833" w:rsidRDefault="009A12FF" w:rsidP="00D67833">
    <w:pPr>
      <w:pStyle w:val="Encabezado"/>
      <w:jc w:val="right"/>
    </w:pPr>
    <w:r>
      <w:fldChar w:fldCharType="begin"/>
    </w:r>
    <w:r>
      <w:instrText xml:space="preserve"> TITLE  \* MERGEFORMAT </w:instrText>
    </w:r>
    <w:r>
      <w:fldChar w:fldCharType="separate"/>
    </w:r>
    <w:proofErr w:type="spellStart"/>
    <w:r>
      <w:t>HRI</w:t>
    </w:r>
    <w:proofErr w:type="spellEnd"/>
    <w:r>
      <w:t>/CORE/</w:t>
    </w:r>
    <w:proofErr w:type="spellStart"/>
    <w:r>
      <w:t>KWT</w:t>
    </w:r>
    <w:proofErr w:type="spellEnd"/>
    <w:r>
      <w:t>/2019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3088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7707A"/>
    <w:multiLevelType w:val="hybridMultilevel"/>
    <w:tmpl w:val="6D4EC8D8"/>
    <w:lvl w:ilvl="0" w:tplc="E24C15DA">
      <w:start w:val="1"/>
      <w:numFmt w:val="bullet"/>
      <w:lvlText w:val="•"/>
      <w:lvlJc w:val="left"/>
      <w:pPr>
        <w:ind w:left="2160" w:hanging="360"/>
      </w:pPr>
      <w:rPr>
        <w:rFonts w:ascii="Times New Roman" w:hAnsi="Times New Roman" w:cs="Times New Roman" w:hint="default"/>
        <w:b w:val="0"/>
        <w:i w:val="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A932EC"/>
    <w:multiLevelType w:val="hybridMultilevel"/>
    <w:tmpl w:val="3A8C64A2"/>
    <w:lvl w:ilvl="0" w:tplc="8A961AD8">
      <w:start w:val="1"/>
      <w:numFmt w:val="upperLetter"/>
      <w:lvlText w:val="%1."/>
      <w:lvlJc w:val="left"/>
      <w:pPr>
        <w:ind w:left="1494" w:hanging="360"/>
      </w:pPr>
      <w:rPr>
        <w:rFonts w:ascii="Times New Roman" w:hAnsi="Times New Roman" w:cs="Simplified Arabic"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6B2BF6"/>
    <w:multiLevelType w:val="hybridMultilevel"/>
    <w:tmpl w:val="C85872D4"/>
    <w:lvl w:ilvl="0" w:tplc="C7189496">
      <w:numFmt w:val="bullet"/>
      <w:lvlText w:val="•"/>
      <w:lvlJc w:val="left"/>
      <w:pPr>
        <w:ind w:left="2520" w:hanging="360"/>
      </w:pPr>
      <w:rPr>
        <w:rFonts w:ascii="Times New Roman" w:eastAsia="PMingLiU"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5"/>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3"/>
  </w:num>
  <w:num w:numId="18">
    <w:abstractNumId w:val="15"/>
  </w:num>
  <w:num w:numId="19">
    <w:abstractNumId w:val="11"/>
  </w:num>
  <w:num w:numId="20">
    <w:abstractNumId w:val="25"/>
  </w:num>
  <w:num w:numId="21">
    <w:abstractNumId w:val="24"/>
  </w:num>
  <w:num w:numId="22">
    <w:abstractNumId w:val="16"/>
  </w:num>
  <w:num w:numId="23">
    <w:abstractNumId w:val="16"/>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3"/>
  </w:num>
  <w:num w:numId="37">
    <w:abstractNumId w:val="18"/>
  </w:num>
  <w:num w:numId="38">
    <w:abstractNumId w:val="19"/>
  </w:num>
  <w:num w:numId="39">
    <w:abstractNumId w:val="17"/>
  </w:num>
  <w:num w:numId="40">
    <w:abstractNumId w:val="21"/>
  </w:num>
  <w:num w:numId="41">
    <w:abstractNumId w:val="12"/>
  </w:num>
  <w:num w:numId="42">
    <w:abstractNumId w:val="22"/>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E"/>
    <w:rsid w:val="00000A64"/>
    <w:rsid w:val="00007B7B"/>
    <w:rsid w:val="00015BDF"/>
    <w:rsid w:val="00033EE1"/>
    <w:rsid w:val="00062BE6"/>
    <w:rsid w:val="000B57E7"/>
    <w:rsid w:val="000F09DF"/>
    <w:rsid w:val="000F61B2"/>
    <w:rsid w:val="001075E9"/>
    <w:rsid w:val="001256EA"/>
    <w:rsid w:val="001560AB"/>
    <w:rsid w:val="001611AC"/>
    <w:rsid w:val="0017589D"/>
    <w:rsid w:val="00180183"/>
    <w:rsid w:val="00181AFB"/>
    <w:rsid w:val="0018649F"/>
    <w:rsid w:val="00196389"/>
    <w:rsid w:val="001C7A89"/>
    <w:rsid w:val="002A2EFC"/>
    <w:rsid w:val="002B0F41"/>
    <w:rsid w:val="002C0E18"/>
    <w:rsid w:val="002D5AAC"/>
    <w:rsid w:val="00301299"/>
    <w:rsid w:val="00302D2B"/>
    <w:rsid w:val="00322004"/>
    <w:rsid w:val="003402C2"/>
    <w:rsid w:val="0036600C"/>
    <w:rsid w:val="00381C24"/>
    <w:rsid w:val="003958D0"/>
    <w:rsid w:val="003B00E5"/>
    <w:rsid w:val="003B7749"/>
    <w:rsid w:val="00414A16"/>
    <w:rsid w:val="00427F10"/>
    <w:rsid w:val="00454E07"/>
    <w:rsid w:val="00465412"/>
    <w:rsid w:val="004705A5"/>
    <w:rsid w:val="004C662A"/>
    <w:rsid w:val="004D3D0B"/>
    <w:rsid w:val="004D45DB"/>
    <w:rsid w:val="0050108D"/>
    <w:rsid w:val="00501F38"/>
    <w:rsid w:val="00515B0A"/>
    <w:rsid w:val="00522544"/>
    <w:rsid w:val="005332CE"/>
    <w:rsid w:val="00557AA7"/>
    <w:rsid w:val="00572E19"/>
    <w:rsid w:val="005A1AA8"/>
    <w:rsid w:val="005C43E4"/>
    <w:rsid w:val="005F0B42"/>
    <w:rsid w:val="00666938"/>
    <w:rsid w:val="0069426E"/>
    <w:rsid w:val="006C1EF8"/>
    <w:rsid w:val="006E69AB"/>
    <w:rsid w:val="006F35EE"/>
    <w:rsid w:val="007021FF"/>
    <w:rsid w:val="007358B2"/>
    <w:rsid w:val="00757357"/>
    <w:rsid w:val="00764249"/>
    <w:rsid w:val="007972A8"/>
    <w:rsid w:val="007C4A7E"/>
    <w:rsid w:val="00801973"/>
    <w:rsid w:val="0082699E"/>
    <w:rsid w:val="00834B71"/>
    <w:rsid w:val="008504FF"/>
    <w:rsid w:val="00853903"/>
    <w:rsid w:val="008562A4"/>
    <w:rsid w:val="0086445C"/>
    <w:rsid w:val="008A08D7"/>
    <w:rsid w:val="008C1073"/>
    <w:rsid w:val="008E58CA"/>
    <w:rsid w:val="00901CD5"/>
    <w:rsid w:val="00906890"/>
    <w:rsid w:val="009250AB"/>
    <w:rsid w:val="00932CF7"/>
    <w:rsid w:val="00951972"/>
    <w:rsid w:val="0095700F"/>
    <w:rsid w:val="0096216B"/>
    <w:rsid w:val="00996BF2"/>
    <w:rsid w:val="009A12FF"/>
    <w:rsid w:val="00A917B3"/>
    <w:rsid w:val="00AB4B51"/>
    <w:rsid w:val="00AC76E8"/>
    <w:rsid w:val="00AD5E26"/>
    <w:rsid w:val="00B10CC7"/>
    <w:rsid w:val="00B13B71"/>
    <w:rsid w:val="00B31513"/>
    <w:rsid w:val="00B43F85"/>
    <w:rsid w:val="00B460DE"/>
    <w:rsid w:val="00B60A65"/>
    <w:rsid w:val="00B62458"/>
    <w:rsid w:val="00B95546"/>
    <w:rsid w:val="00BA56B6"/>
    <w:rsid w:val="00BB6203"/>
    <w:rsid w:val="00BD33EE"/>
    <w:rsid w:val="00C057D5"/>
    <w:rsid w:val="00C57E42"/>
    <w:rsid w:val="00C60F0C"/>
    <w:rsid w:val="00C805C9"/>
    <w:rsid w:val="00CA1679"/>
    <w:rsid w:val="00CA619A"/>
    <w:rsid w:val="00CE6301"/>
    <w:rsid w:val="00D05606"/>
    <w:rsid w:val="00D33D63"/>
    <w:rsid w:val="00D4001E"/>
    <w:rsid w:val="00D674F3"/>
    <w:rsid w:val="00D67833"/>
    <w:rsid w:val="00D90138"/>
    <w:rsid w:val="00DB6076"/>
    <w:rsid w:val="00DC036C"/>
    <w:rsid w:val="00E17493"/>
    <w:rsid w:val="00E2391B"/>
    <w:rsid w:val="00E60314"/>
    <w:rsid w:val="00E73F76"/>
    <w:rsid w:val="00E74A63"/>
    <w:rsid w:val="00EA4B2C"/>
    <w:rsid w:val="00EB2824"/>
    <w:rsid w:val="00EC2B77"/>
    <w:rsid w:val="00EF1360"/>
    <w:rsid w:val="00EF3220"/>
    <w:rsid w:val="00F07B57"/>
    <w:rsid w:val="00F2520F"/>
    <w:rsid w:val="00F80811"/>
    <w:rsid w:val="00F91946"/>
    <w:rsid w:val="00F94155"/>
    <w:rsid w:val="00FC6CF9"/>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924DA"/>
  <w15:docId w15:val="{88AEF92B-1927-4658-9FF1-9B3BBCB7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000A64"/>
    <w:pPr>
      <w:spacing w:line="240" w:lineRule="atLeast"/>
    </w:pPr>
    <w:rPr>
      <w:lang w:val="es-ES" w:eastAsia="es-ES"/>
    </w:rPr>
  </w:style>
  <w:style w:type="paragraph" w:styleId="Ttulo1">
    <w:name w:val="heading 1"/>
    <w:aliases w:val="Cuadro_G"/>
    <w:basedOn w:val="SingleTxtG"/>
    <w:next w:val="SingleTxtG"/>
    <w:link w:val="Ttulo1Car"/>
    <w:uiPriority w:val="9"/>
    <w:qFormat/>
    <w:rsid w:val="00000A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000A64"/>
    <w:pPr>
      <w:keepNext/>
      <w:outlineLvl w:val="1"/>
    </w:pPr>
    <w:rPr>
      <w:rFonts w:cs="Arial"/>
      <w:bCs/>
      <w:iCs/>
      <w:szCs w:val="28"/>
    </w:rPr>
  </w:style>
  <w:style w:type="paragraph" w:styleId="Ttulo3">
    <w:name w:val="heading 3"/>
    <w:basedOn w:val="Normal"/>
    <w:next w:val="Normal"/>
    <w:link w:val="Ttulo3Car"/>
    <w:semiHidden/>
    <w:rsid w:val="00000A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000A64"/>
    <w:pPr>
      <w:keepNext/>
      <w:spacing w:before="240" w:after="60"/>
      <w:outlineLvl w:val="3"/>
    </w:pPr>
    <w:rPr>
      <w:b/>
      <w:bCs/>
      <w:sz w:val="28"/>
      <w:szCs w:val="28"/>
    </w:rPr>
  </w:style>
  <w:style w:type="paragraph" w:styleId="Ttulo5">
    <w:name w:val="heading 5"/>
    <w:basedOn w:val="Normal"/>
    <w:next w:val="Normal"/>
    <w:link w:val="Ttulo5Car"/>
    <w:semiHidden/>
    <w:rsid w:val="00000A64"/>
    <w:pPr>
      <w:spacing w:before="240" w:after="60"/>
      <w:outlineLvl w:val="4"/>
    </w:pPr>
    <w:rPr>
      <w:b/>
      <w:bCs/>
      <w:i/>
      <w:iCs/>
      <w:sz w:val="26"/>
      <w:szCs w:val="26"/>
    </w:rPr>
  </w:style>
  <w:style w:type="paragraph" w:styleId="Ttulo6">
    <w:name w:val="heading 6"/>
    <w:basedOn w:val="Normal"/>
    <w:next w:val="Normal"/>
    <w:link w:val="Ttulo6Car"/>
    <w:semiHidden/>
    <w:rsid w:val="00000A64"/>
    <w:pPr>
      <w:spacing w:before="240" w:after="60"/>
      <w:outlineLvl w:val="5"/>
    </w:pPr>
    <w:rPr>
      <w:b/>
      <w:bCs/>
      <w:sz w:val="22"/>
      <w:szCs w:val="22"/>
    </w:rPr>
  </w:style>
  <w:style w:type="paragraph" w:styleId="Ttulo7">
    <w:name w:val="heading 7"/>
    <w:basedOn w:val="Normal"/>
    <w:next w:val="Normal"/>
    <w:link w:val="Ttulo7Car"/>
    <w:semiHidden/>
    <w:rsid w:val="00000A64"/>
    <w:pPr>
      <w:spacing w:before="240" w:after="60"/>
      <w:outlineLvl w:val="6"/>
    </w:pPr>
    <w:rPr>
      <w:sz w:val="24"/>
      <w:szCs w:val="24"/>
    </w:rPr>
  </w:style>
  <w:style w:type="paragraph" w:styleId="Ttulo8">
    <w:name w:val="heading 8"/>
    <w:basedOn w:val="Normal"/>
    <w:next w:val="Normal"/>
    <w:link w:val="Ttulo8Car"/>
    <w:semiHidden/>
    <w:rsid w:val="00000A64"/>
    <w:pPr>
      <w:spacing w:before="240" w:after="60"/>
      <w:outlineLvl w:val="7"/>
    </w:pPr>
    <w:rPr>
      <w:i/>
      <w:iCs/>
      <w:sz w:val="24"/>
      <w:szCs w:val="24"/>
    </w:rPr>
  </w:style>
  <w:style w:type="paragraph" w:styleId="Ttulo9">
    <w:name w:val="heading 9"/>
    <w:basedOn w:val="Normal"/>
    <w:next w:val="Normal"/>
    <w:link w:val="Ttulo9Car"/>
    <w:semiHidden/>
    <w:rsid w:val="00000A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000A64"/>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00A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00A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00A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00A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00A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000A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000A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000A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000A64"/>
    <w:pPr>
      <w:keepNext/>
      <w:keepLines/>
      <w:spacing w:before="240" w:after="240" w:line="580" w:lineRule="exact"/>
      <w:ind w:left="1134" w:right="1134"/>
    </w:pPr>
    <w:rPr>
      <w:b/>
      <w:sz w:val="56"/>
    </w:rPr>
  </w:style>
  <w:style w:type="paragraph" w:customStyle="1" w:styleId="SSG">
    <w:name w:val="__S_S_G"/>
    <w:basedOn w:val="Normal"/>
    <w:next w:val="Normal"/>
    <w:uiPriority w:val="5"/>
    <w:rsid w:val="00000A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000A64"/>
    <w:rPr>
      <w:sz w:val="16"/>
    </w:rPr>
  </w:style>
  <w:style w:type="paragraph" w:customStyle="1" w:styleId="XLargeG">
    <w:name w:val="__XLarge_G"/>
    <w:basedOn w:val="Normal"/>
    <w:next w:val="Normal"/>
    <w:uiPriority w:val="5"/>
    <w:rsid w:val="00000A64"/>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uiPriority w:val="3"/>
    <w:qFormat/>
    <w:rsid w:val="00000A64"/>
    <w:pPr>
      <w:tabs>
        <w:tab w:val="right" w:pos="1021"/>
      </w:tabs>
      <w:spacing w:line="220" w:lineRule="exact"/>
      <w:ind w:left="1134" w:right="1134" w:hanging="1134"/>
    </w:pPr>
    <w:rPr>
      <w:sz w:val="18"/>
    </w:rPr>
  </w:style>
  <w:style w:type="table" w:styleId="Tablaconcuadrcula">
    <w:name w:val="Table Grid"/>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00A64"/>
    <w:pPr>
      <w:numPr>
        <w:numId w:val="3"/>
      </w:numPr>
    </w:pPr>
  </w:style>
  <w:style w:type="numbering" w:styleId="1ai">
    <w:name w:val="Outline List 1"/>
    <w:basedOn w:val="Sinlista"/>
    <w:rsid w:val="00000A64"/>
    <w:pPr>
      <w:numPr>
        <w:numId w:val="4"/>
      </w:numPr>
    </w:pPr>
  </w:style>
  <w:style w:type="character" w:styleId="AcrnimoHTML">
    <w:name w:val="HTML Acronym"/>
    <w:basedOn w:val="Fuentedeprrafopredeter"/>
    <w:semiHidden/>
    <w:rsid w:val="00000A64"/>
  </w:style>
  <w:style w:type="numbering" w:styleId="ArtculoSeccin">
    <w:name w:val="Outline List 3"/>
    <w:basedOn w:val="Sinlista"/>
    <w:rsid w:val="00000A64"/>
    <w:pPr>
      <w:numPr>
        <w:numId w:val="5"/>
      </w:numPr>
    </w:pPr>
  </w:style>
  <w:style w:type="paragraph" w:styleId="Cierre">
    <w:name w:val="Closing"/>
    <w:basedOn w:val="Normal"/>
    <w:link w:val="CierreCar"/>
    <w:semiHidden/>
    <w:rsid w:val="00000A64"/>
    <w:pPr>
      <w:ind w:left="4252"/>
    </w:pPr>
  </w:style>
  <w:style w:type="character" w:styleId="CitaHTML">
    <w:name w:val="HTML Cite"/>
    <w:semiHidden/>
    <w:rsid w:val="00000A64"/>
    <w:rPr>
      <w:i/>
      <w:iCs/>
    </w:rPr>
  </w:style>
  <w:style w:type="character" w:styleId="CdigoHTML">
    <w:name w:val="HTML Code"/>
    <w:semiHidden/>
    <w:rsid w:val="00000A64"/>
    <w:rPr>
      <w:rFonts w:ascii="Courier New" w:hAnsi="Courier New" w:cs="Courier New"/>
      <w:sz w:val="20"/>
      <w:szCs w:val="20"/>
    </w:rPr>
  </w:style>
  <w:style w:type="paragraph" w:styleId="Continuarlista">
    <w:name w:val="List Continue"/>
    <w:basedOn w:val="Normal"/>
    <w:semiHidden/>
    <w:rsid w:val="00000A64"/>
    <w:pPr>
      <w:spacing w:after="120"/>
      <w:ind w:left="283"/>
    </w:pPr>
  </w:style>
  <w:style w:type="paragraph" w:styleId="Continuarlista2">
    <w:name w:val="List Continue 2"/>
    <w:basedOn w:val="Normal"/>
    <w:semiHidden/>
    <w:rsid w:val="00000A64"/>
    <w:pPr>
      <w:spacing w:after="120"/>
      <w:ind w:left="566"/>
    </w:pPr>
  </w:style>
  <w:style w:type="paragraph" w:styleId="Continuarlista3">
    <w:name w:val="List Continue 3"/>
    <w:basedOn w:val="Normal"/>
    <w:semiHidden/>
    <w:rsid w:val="00000A64"/>
    <w:pPr>
      <w:spacing w:after="120"/>
      <w:ind w:left="849"/>
    </w:pPr>
  </w:style>
  <w:style w:type="paragraph" w:styleId="Continuarlista4">
    <w:name w:val="List Continue 4"/>
    <w:basedOn w:val="Normal"/>
    <w:semiHidden/>
    <w:rsid w:val="00000A64"/>
    <w:pPr>
      <w:spacing w:after="120"/>
      <w:ind w:left="1132"/>
    </w:pPr>
  </w:style>
  <w:style w:type="paragraph" w:styleId="Continuarlista5">
    <w:name w:val="List Continue 5"/>
    <w:basedOn w:val="Normal"/>
    <w:semiHidden/>
    <w:rsid w:val="00000A64"/>
    <w:pPr>
      <w:spacing w:after="120"/>
      <w:ind w:left="1415"/>
    </w:pPr>
  </w:style>
  <w:style w:type="character" w:styleId="DefinicinHTML">
    <w:name w:val="HTML Definition"/>
    <w:semiHidden/>
    <w:rsid w:val="00000A64"/>
    <w:rPr>
      <w:i/>
      <w:iCs/>
    </w:rPr>
  </w:style>
  <w:style w:type="paragraph" w:styleId="DireccinHTML">
    <w:name w:val="HTML Address"/>
    <w:basedOn w:val="Normal"/>
    <w:link w:val="DireccinHTMLCar"/>
    <w:semiHidden/>
    <w:rsid w:val="00000A64"/>
    <w:rPr>
      <w:i/>
      <w:iCs/>
    </w:rPr>
  </w:style>
  <w:style w:type="paragraph" w:styleId="Direccinsobre">
    <w:name w:val="envelope address"/>
    <w:basedOn w:val="Normal"/>
    <w:semiHidden/>
    <w:rsid w:val="00000A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00A64"/>
    <w:rPr>
      <w:rFonts w:ascii="Courier New" w:hAnsi="Courier New" w:cs="Courier New"/>
    </w:rPr>
  </w:style>
  <w:style w:type="paragraph" w:styleId="Encabezadodemensaje">
    <w:name w:val="Message Header"/>
    <w:basedOn w:val="Normal"/>
    <w:link w:val="EncabezadodemensajeCar"/>
    <w:semiHidden/>
    <w:rsid w:val="00000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000A64"/>
  </w:style>
  <w:style w:type="character" w:styleId="nfasis">
    <w:name w:val="Emphasis"/>
    <w:rsid w:val="00000A64"/>
    <w:rPr>
      <w:i/>
      <w:iCs/>
    </w:rPr>
  </w:style>
  <w:style w:type="paragraph" w:styleId="Fecha">
    <w:name w:val="Date"/>
    <w:basedOn w:val="Normal"/>
    <w:next w:val="Normal"/>
    <w:link w:val="FechaCar"/>
    <w:semiHidden/>
    <w:rsid w:val="00000A64"/>
  </w:style>
  <w:style w:type="paragraph" w:styleId="Firma">
    <w:name w:val="Signature"/>
    <w:basedOn w:val="Normal"/>
    <w:link w:val="FirmaCar"/>
    <w:semiHidden/>
    <w:rsid w:val="00000A64"/>
    <w:pPr>
      <w:ind w:left="4252"/>
    </w:pPr>
  </w:style>
  <w:style w:type="paragraph" w:styleId="Firmadecorreoelectrnico">
    <w:name w:val="E-mail Signature"/>
    <w:basedOn w:val="Normal"/>
    <w:link w:val="FirmadecorreoelectrnicoCar"/>
    <w:semiHidden/>
    <w:rsid w:val="00000A64"/>
  </w:style>
  <w:style w:type="character" w:styleId="Hipervnculo">
    <w:name w:val="Hyperlink"/>
    <w:uiPriority w:val="4"/>
    <w:rsid w:val="00000A64"/>
    <w:rPr>
      <w:color w:val="0000FF"/>
      <w:u w:val="none"/>
    </w:rPr>
  </w:style>
  <w:style w:type="character" w:styleId="Hipervnculovisitado">
    <w:name w:val="FollowedHyperlink"/>
    <w:uiPriority w:val="4"/>
    <w:rsid w:val="00000A64"/>
    <w:rPr>
      <w:color w:val="0000FF"/>
      <w:u w:val="none"/>
    </w:rPr>
  </w:style>
  <w:style w:type="paragraph" w:styleId="HTMLconformatoprevio">
    <w:name w:val="HTML Preformatted"/>
    <w:basedOn w:val="Normal"/>
    <w:link w:val="HTMLconformatoprevioCar"/>
    <w:semiHidden/>
    <w:rsid w:val="00000A64"/>
    <w:rPr>
      <w:rFonts w:ascii="Courier New" w:hAnsi="Courier New" w:cs="Courier New"/>
    </w:rPr>
  </w:style>
  <w:style w:type="paragraph" w:styleId="Lista">
    <w:name w:val="List"/>
    <w:basedOn w:val="Normal"/>
    <w:semiHidden/>
    <w:rsid w:val="00000A64"/>
    <w:pPr>
      <w:ind w:left="283" w:hanging="283"/>
    </w:pPr>
  </w:style>
  <w:style w:type="paragraph" w:styleId="Lista2">
    <w:name w:val="List 2"/>
    <w:basedOn w:val="Normal"/>
    <w:semiHidden/>
    <w:rsid w:val="00000A64"/>
    <w:pPr>
      <w:ind w:left="566" w:hanging="283"/>
    </w:pPr>
  </w:style>
  <w:style w:type="paragraph" w:styleId="Lista3">
    <w:name w:val="List 3"/>
    <w:basedOn w:val="Normal"/>
    <w:semiHidden/>
    <w:rsid w:val="00000A64"/>
    <w:pPr>
      <w:ind w:left="849" w:hanging="283"/>
    </w:pPr>
  </w:style>
  <w:style w:type="paragraph" w:styleId="Lista4">
    <w:name w:val="List 4"/>
    <w:basedOn w:val="Normal"/>
    <w:semiHidden/>
    <w:rsid w:val="00000A64"/>
    <w:pPr>
      <w:ind w:left="1132" w:hanging="283"/>
    </w:pPr>
  </w:style>
  <w:style w:type="paragraph" w:styleId="Lista5">
    <w:name w:val="List 5"/>
    <w:basedOn w:val="Normal"/>
    <w:semiHidden/>
    <w:rsid w:val="00000A64"/>
    <w:pPr>
      <w:ind w:left="1415" w:hanging="283"/>
    </w:pPr>
  </w:style>
  <w:style w:type="paragraph" w:styleId="Listaconnmeros">
    <w:name w:val="List Number"/>
    <w:basedOn w:val="Normal"/>
    <w:semiHidden/>
    <w:rsid w:val="00000A64"/>
    <w:pPr>
      <w:numPr>
        <w:numId w:val="30"/>
      </w:numPr>
    </w:pPr>
  </w:style>
  <w:style w:type="paragraph" w:styleId="Listaconnmeros2">
    <w:name w:val="List Number 2"/>
    <w:basedOn w:val="Normal"/>
    <w:semiHidden/>
    <w:rsid w:val="00000A64"/>
    <w:pPr>
      <w:numPr>
        <w:numId w:val="31"/>
      </w:numPr>
    </w:pPr>
  </w:style>
  <w:style w:type="paragraph" w:styleId="Listaconnmeros3">
    <w:name w:val="List Number 3"/>
    <w:basedOn w:val="Normal"/>
    <w:semiHidden/>
    <w:rsid w:val="00000A64"/>
    <w:pPr>
      <w:numPr>
        <w:numId w:val="32"/>
      </w:numPr>
    </w:pPr>
  </w:style>
  <w:style w:type="paragraph" w:styleId="Listaconnmeros4">
    <w:name w:val="List Number 4"/>
    <w:basedOn w:val="Normal"/>
    <w:semiHidden/>
    <w:rsid w:val="00000A64"/>
    <w:pPr>
      <w:numPr>
        <w:numId w:val="33"/>
      </w:numPr>
    </w:pPr>
  </w:style>
  <w:style w:type="paragraph" w:styleId="Listaconnmeros5">
    <w:name w:val="List Number 5"/>
    <w:basedOn w:val="Normal"/>
    <w:semiHidden/>
    <w:rsid w:val="00000A64"/>
    <w:pPr>
      <w:numPr>
        <w:numId w:val="34"/>
      </w:numPr>
    </w:pPr>
  </w:style>
  <w:style w:type="paragraph" w:styleId="Listaconvietas">
    <w:name w:val="List Bullet"/>
    <w:basedOn w:val="Normal"/>
    <w:semiHidden/>
    <w:rsid w:val="00000A64"/>
    <w:pPr>
      <w:numPr>
        <w:numId w:val="25"/>
      </w:numPr>
    </w:pPr>
  </w:style>
  <w:style w:type="paragraph" w:styleId="Listaconvietas2">
    <w:name w:val="List Bullet 2"/>
    <w:basedOn w:val="Normal"/>
    <w:semiHidden/>
    <w:rsid w:val="00000A64"/>
    <w:pPr>
      <w:numPr>
        <w:numId w:val="26"/>
      </w:numPr>
    </w:pPr>
  </w:style>
  <w:style w:type="paragraph" w:styleId="Listaconvietas3">
    <w:name w:val="List Bullet 3"/>
    <w:basedOn w:val="Normal"/>
    <w:semiHidden/>
    <w:rsid w:val="00000A64"/>
    <w:pPr>
      <w:numPr>
        <w:numId w:val="27"/>
      </w:numPr>
    </w:pPr>
  </w:style>
  <w:style w:type="paragraph" w:styleId="Listaconvietas4">
    <w:name w:val="List Bullet 4"/>
    <w:basedOn w:val="Normal"/>
    <w:semiHidden/>
    <w:rsid w:val="00000A64"/>
    <w:pPr>
      <w:numPr>
        <w:numId w:val="28"/>
      </w:numPr>
    </w:pPr>
  </w:style>
  <w:style w:type="paragraph" w:styleId="Listaconvietas5">
    <w:name w:val="List Bullet 5"/>
    <w:basedOn w:val="Normal"/>
    <w:semiHidden/>
    <w:rsid w:val="00000A64"/>
    <w:pPr>
      <w:numPr>
        <w:numId w:val="29"/>
      </w:numPr>
    </w:pPr>
  </w:style>
  <w:style w:type="character" w:styleId="MquinadeescribirHTML">
    <w:name w:val="HTML Typewriter"/>
    <w:semiHidden/>
    <w:rsid w:val="00000A64"/>
    <w:rPr>
      <w:rFonts w:ascii="Courier New" w:hAnsi="Courier New" w:cs="Courier New"/>
      <w:sz w:val="20"/>
      <w:szCs w:val="20"/>
    </w:rPr>
  </w:style>
  <w:style w:type="paragraph" w:styleId="NormalWeb">
    <w:name w:val="Normal (Web)"/>
    <w:basedOn w:val="Normal"/>
    <w:semiHidden/>
    <w:rsid w:val="00000A64"/>
    <w:rPr>
      <w:sz w:val="24"/>
      <w:szCs w:val="24"/>
    </w:rPr>
  </w:style>
  <w:style w:type="character" w:styleId="Nmerodelnea">
    <w:name w:val="line number"/>
    <w:basedOn w:val="Fuentedeprrafopredeter"/>
    <w:semiHidden/>
    <w:rsid w:val="00000A64"/>
  </w:style>
  <w:style w:type="character" w:styleId="Nmerodepgina">
    <w:name w:val="page number"/>
    <w:aliases w:val="7_G"/>
    <w:uiPriority w:val="3"/>
    <w:qFormat/>
    <w:rsid w:val="00000A64"/>
    <w:rPr>
      <w:b/>
      <w:sz w:val="18"/>
    </w:rPr>
  </w:style>
  <w:style w:type="character" w:styleId="Refdenotaalfinal">
    <w:name w:val="endnote reference"/>
    <w:aliases w:val="1_G"/>
    <w:uiPriority w:val="3"/>
    <w:qFormat/>
    <w:rsid w:val="00000A64"/>
    <w:rPr>
      <w:rFonts w:ascii="Times New Roman" w:hAnsi="Times New Roman"/>
      <w:sz w:val="18"/>
      <w:vertAlign w:val="superscript"/>
    </w:rPr>
  </w:style>
  <w:style w:type="paragraph" w:styleId="Remitedesobre">
    <w:name w:val="envelope return"/>
    <w:basedOn w:val="Normal"/>
    <w:semiHidden/>
    <w:rsid w:val="00000A64"/>
    <w:rPr>
      <w:rFonts w:ascii="Arial" w:hAnsi="Arial" w:cs="Arial"/>
    </w:rPr>
  </w:style>
  <w:style w:type="paragraph" w:styleId="Saludo">
    <w:name w:val="Salutation"/>
    <w:basedOn w:val="Normal"/>
    <w:next w:val="Normal"/>
    <w:link w:val="SaludoCar"/>
    <w:semiHidden/>
    <w:rsid w:val="00000A64"/>
  </w:style>
  <w:style w:type="paragraph" w:styleId="Sangra2detindependiente">
    <w:name w:val="Body Text Indent 2"/>
    <w:basedOn w:val="Normal"/>
    <w:link w:val="Sangra2detindependienteCar"/>
    <w:semiHidden/>
    <w:rsid w:val="00000A64"/>
    <w:pPr>
      <w:spacing w:after="120" w:line="480" w:lineRule="auto"/>
      <w:ind w:left="283"/>
    </w:pPr>
  </w:style>
  <w:style w:type="paragraph" w:styleId="Sangra3detindependiente">
    <w:name w:val="Body Text Indent 3"/>
    <w:basedOn w:val="Normal"/>
    <w:link w:val="Sangra3detindependienteCar"/>
    <w:semiHidden/>
    <w:rsid w:val="00000A64"/>
    <w:pPr>
      <w:spacing w:after="120"/>
      <w:ind w:left="283"/>
    </w:pPr>
    <w:rPr>
      <w:sz w:val="16"/>
      <w:szCs w:val="16"/>
    </w:rPr>
  </w:style>
  <w:style w:type="paragraph" w:styleId="Sangradetextonormal">
    <w:name w:val="Body Text Indent"/>
    <w:basedOn w:val="Normal"/>
    <w:link w:val="SangradetextonormalCar"/>
    <w:semiHidden/>
    <w:rsid w:val="00000A64"/>
    <w:pPr>
      <w:spacing w:after="120"/>
      <w:ind w:left="283"/>
    </w:pPr>
  </w:style>
  <w:style w:type="paragraph" w:styleId="Sangranormal">
    <w:name w:val="Normal Indent"/>
    <w:basedOn w:val="Normal"/>
    <w:semiHidden/>
    <w:rsid w:val="00000A64"/>
    <w:pPr>
      <w:ind w:left="567"/>
    </w:pPr>
  </w:style>
  <w:style w:type="paragraph" w:styleId="Subttulo">
    <w:name w:val="Subtitle"/>
    <w:basedOn w:val="Normal"/>
    <w:link w:val="SubttuloCar"/>
    <w:rsid w:val="00000A64"/>
    <w:pPr>
      <w:spacing w:after="60"/>
      <w:jc w:val="center"/>
      <w:outlineLvl w:val="1"/>
    </w:pPr>
    <w:rPr>
      <w:rFonts w:ascii="Arial" w:hAnsi="Arial" w:cs="Arial"/>
      <w:sz w:val="24"/>
      <w:szCs w:val="24"/>
    </w:rPr>
  </w:style>
  <w:style w:type="table" w:styleId="Tablabsica1">
    <w:name w:val="Table Simple 1"/>
    <w:basedOn w:val="Tablanormal"/>
    <w:rsid w:val="00000A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00A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000A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00A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000A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000A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000A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000A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000A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000A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000A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000A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000A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000A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000A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000A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000A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000A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00A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000A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000A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000A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00A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000A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000A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00A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000A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00A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00A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00A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000A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00A64"/>
    <w:rPr>
      <w:rFonts w:ascii="Courier New" w:hAnsi="Courier New" w:cs="Courier New"/>
      <w:sz w:val="20"/>
      <w:szCs w:val="20"/>
    </w:rPr>
  </w:style>
  <w:style w:type="paragraph" w:styleId="Textodebloque">
    <w:name w:val="Block Text"/>
    <w:basedOn w:val="Normal"/>
    <w:semiHidden/>
    <w:rsid w:val="00000A64"/>
    <w:pPr>
      <w:spacing w:after="120"/>
      <w:ind w:left="1440" w:right="1440"/>
    </w:pPr>
  </w:style>
  <w:style w:type="character" w:styleId="Textoennegrita">
    <w:name w:val="Strong"/>
    <w:rsid w:val="00000A64"/>
    <w:rPr>
      <w:b/>
      <w:bCs/>
    </w:rPr>
  </w:style>
  <w:style w:type="paragraph" w:styleId="Textoindependiente">
    <w:name w:val="Body Text"/>
    <w:basedOn w:val="Normal"/>
    <w:link w:val="TextoindependienteCar"/>
    <w:semiHidden/>
    <w:rsid w:val="00000A64"/>
    <w:pPr>
      <w:spacing w:after="120"/>
    </w:pPr>
  </w:style>
  <w:style w:type="paragraph" w:styleId="Textoindependiente2">
    <w:name w:val="Body Text 2"/>
    <w:basedOn w:val="Normal"/>
    <w:link w:val="Textoindependiente2Car"/>
    <w:semiHidden/>
    <w:rsid w:val="00000A64"/>
    <w:pPr>
      <w:spacing w:after="120" w:line="480" w:lineRule="auto"/>
    </w:pPr>
  </w:style>
  <w:style w:type="paragraph" w:styleId="Textoindependiente3">
    <w:name w:val="Body Text 3"/>
    <w:basedOn w:val="Normal"/>
    <w:link w:val="Textoindependiente3Car"/>
    <w:semiHidden/>
    <w:rsid w:val="00000A64"/>
    <w:pPr>
      <w:spacing w:after="120"/>
    </w:pPr>
    <w:rPr>
      <w:sz w:val="16"/>
      <w:szCs w:val="16"/>
    </w:rPr>
  </w:style>
  <w:style w:type="paragraph" w:styleId="Textoindependienteprimerasangra">
    <w:name w:val="Body Text First Indent"/>
    <w:basedOn w:val="Textoindependiente"/>
    <w:link w:val="TextoindependienteprimerasangraCar"/>
    <w:semiHidden/>
    <w:rsid w:val="00000A64"/>
    <w:pPr>
      <w:ind w:firstLine="210"/>
    </w:pPr>
  </w:style>
  <w:style w:type="paragraph" w:styleId="Textoindependienteprimerasangra2">
    <w:name w:val="Body Text First Indent 2"/>
    <w:basedOn w:val="Sangradetextonormal"/>
    <w:link w:val="Textoindependienteprimerasangra2Car"/>
    <w:semiHidden/>
    <w:rsid w:val="00000A64"/>
    <w:pPr>
      <w:ind w:firstLine="210"/>
    </w:pPr>
  </w:style>
  <w:style w:type="paragraph" w:styleId="Textonotaalfinal">
    <w:name w:val="endnote text"/>
    <w:aliases w:val="2_G"/>
    <w:basedOn w:val="Textonotapie"/>
    <w:link w:val="TextonotaalfinalCar"/>
    <w:uiPriority w:val="3"/>
    <w:qFormat/>
    <w:rsid w:val="00000A64"/>
  </w:style>
  <w:style w:type="paragraph" w:styleId="Textosinformato">
    <w:name w:val="Plain Text"/>
    <w:basedOn w:val="Normal"/>
    <w:link w:val="TextosinformatoCar"/>
    <w:semiHidden/>
    <w:rsid w:val="00000A64"/>
    <w:rPr>
      <w:rFonts w:ascii="Courier New" w:hAnsi="Courier New" w:cs="Courier New"/>
    </w:rPr>
  </w:style>
  <w:style w:type="paragraph" w:styleId="Ttulo">
    <w:name w:val="Title"/>
    <w:basedOn w:val="Normal"/>
    <w:link w:val="TtuloCar"/>
    <w:rsid w:val="00000A64"/>
    <w:pPr>
      <w:spacing w:before="240" w:after="60"/>
      <w:jc w:val="center"/>
      <w:outlineLvl w:val="0"/>
    </w:pPr>
    <w:rPr>
      <w:rFonts w:ascii="Arial" w:hAnsi="Arial" w:cs="Arial"/>
      <w:b/>
      <w:bCs/>
      <w:kern w:val="28"/>
      <w:sz w:val="32"/>
      <w:szCs w:val="32"/>
    </w:rPr>
  </w:style>
  <w:style w:type="character" w:styleId="VariableHTML">
    <w:name w:val="HTML Variable"/>
    <w:semiHidden/>
    <w:rsid w:val="00000A64"/>
    <w:rPr>
      <w:i/>
      <w:iCs/>
    </w:rPr>
  </w:style>
  <w:style w:type="paragraph" w:customStyle="1" w:styleId="Bullet1G">
    <w:name w:val="_Bullet 1_G"/>
    <w:basedOn w:val="Normal"/>
    <w:uiPriority w:val="1"/>
    <w:qFormat/>
    <w:rsid w:val="00000A64"/>
    <w:pPr>
      <w:numPr>
        <w:numId w:val="17"/>
      </w:numPr>
      <w:spacing w:after="120"/>
      <w:ind w:right="1134"/>
      <w:jc w:val="both"/>
    </w:pPr>
    <w:rPr>
      <w:lang w:eastAsia="en-US"/>
    </w:rPr>
  </w:style>
  <w:style w:type="paragraph" w:customStyle="1" w:styleId="Bullet2G">
    <w:name w:val="_Bullet 2_G"/>
    <w:basedOn w:val="Normal"/>
    <w:uiPriority w:val="1"/>
    <w:qFormat/>
    <w:rsid w:val="00000A64"/>
    <w:pPr>
      <w:numPr>
        <w:numId w:val="18"/>
      </w:numPr>
      <w:spacing w:after="120"/>
      <w:ind w:right="1134"/>
      <w:jc w:val="both"/>
    </w:pPr>
  </w:style>
  <w:style w:type="paragraph" w:styleId="Textodeglobo">
    <w:name w:val="Balloon Text"/>
    <w:basedOn w:val="Normal"/>
    <w:link w:val="TextodegloboCar"/>
    <w:semiHidden/>
    <w:unhideWhenUsed/>
    <w:rsid w:val="00000A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00A64"/>
    <w:rPr>
      <w:rFonts w:ascii="Segoe UI" w:hAnsi="Segoe UI" w:cs="Segoe UI"/>
      <w:sz w:val="18"/>
      <w:szCs w:val="18"/>
      <w:lang w:val="es-ES" w:eastAsia="es-ES"/>
    </w:rPr>
  </w:style>
  <w:style w:type="paragraph" w:customStyle="1" w:styleId="ParNoG">
    <w:name w:val="_ParNo_G"/>
    <w:basedOn w:val="Normal"/>
    <w:uiPriority w:val="1"/>
    <w:qFormat/>
    <w:rsid w:val="00000A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000A64"/>
    <w:rPr>
      <w:lang w:val="es-ES" w:eastAsia="es-ES"/>
    </w:rPr>
  </w:style>
  <w:style w:type="paragraph" w:customStyle="1" w:styleId="1ParNoG">
    <w:name w:val="1 _ParNo_G"/>
    <w:basedOn w:val="Normal"/>
    <w:uiPriority w:val="1"/>
    <w:qFormat/>
    <w:rsid w:val="00000A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000A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000A64"/>
    <w:rPr>
      <w:lang w:val="es-ES" w:eastAsia="es-ES"/>
    </w:rPr>
  </w:style>
  <w:style w:type="character" w:customStyle="1" w:styleId="Textoindependiente2Car">
    <w:name w:val="Texto independiente 2 Car"/>
    <w:basedOn w:val="Fuentedeprrafopredeter"/>
    <w:link w:val="Textoindependiente2"/>
    <w:semiHidden/>
    <w:rsid w:val="00000A64"/>
    <w:rPr>
      <w:lang w:val="es-ES" w:eastAsia="es-ES"/>
    </w:rPr>
  </w:style>
  <w:style w:type="character" w:customStyle="1" w:styleId="Textoindependiente3Car">
    <w:name w:val="Texto independiente 3 Car"/>
    <w:basedOn w:val="Fuentedeprrafopredeter"/>
    <w:link w:val="Textoindependiente3"/>
    <w:semiHidden/>
    <w:rsid w:val="00000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0A64"/>
    <w:rPr>
      <w:lang w:val="es-ES" w:eastAsia="es-ES"/>
    </w:rPr>
  </w:style>
  <w:style w:type="character" w:customStyle="1" w:styleId="SangradetextonormalCar">
    <w:name w:val="Sangría de texto normal Car"/>
    <w:basedOn w:val="Fuentedeprrafopredeter"/>
    <w:link w:val="Sangradetextonormal"/>
    <w:semiHidden/>
    <w:rsid w:val="00000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0A64"/>
    <w:rPr>
      <w:lang w:val="es-ES" w:eastAsia="es-ES"/>
    </w:rPr>
  </w:style>
  <w:style w:type="character" w:customStyle="1" w:styleId="Sangra2detindependienteCar">
    <w:name w:val="Sangría 2 de t. independiente Car"/>
    <w:basedOn w:val="Fuentedeprrafopredeter"/>
    <w:link w:val="Sangra2detindependiente"/>
    <w:semiHidden/>
    <w:rsid w:val="00000A64"/>
    <w:rPr>
      <w:lang w:val="es-ES" w:eastAsia="es-ES"/>
    </w:rPr>
  </w:style>
  <w:style w:type="character" w:customStyle="1" w:styleId="Sangra3detindependienteCar">
    <w:name w:val="Sangría 3 de t. independiente Car"/>
    <w:basedOn w:val="Fuentedeprrafopredeter"/>
    <w:link w:val="Sangra3detindependiente"/>
    <w:semiHidden/>
    <w:rsid w:val="00000A64"/>
    <w:rPr>
      <w:sz w:val="16"/>
      <w:szCs w:val="16"/>
      <w:lang w:val="es-ES" w:eastAsia="es-ES"/>
    </w:rPr>
  </w:style>
  <w:style w:type="character" w:customStyle="1" w:styleId="CierreCar">
    <w:name w:val="Cierre Car"/>
    <w:basedOn w:val="Fuentedeprrafopredeter"/>
    <w:link w:val="Cierre"/>
    <w:semiHidden/>
    <w:rsid w:val="00000A64"/>
    <w:rPr>
      <w:lang w:val="es-ES" w:eastAsia="es-ES"/>
    </w:rPr>
  </w:style>
  <w:style w:type="character" w:customStyle="1" w:styleId="FechaCar">
    <w:name w:val="Fecha Car"/>
    <w:basedOn w:val="Fuentedeprrafopredeter"/>
    <w:link w:val="Fecha"/>
    <w:semiHidden/>
    <w:rsid w:val="00000A64"/>
    <w:rPr>
      <w:lang w:val="es-ES" w:eastAsia="es-ES"/>
    </w:rPr>
  </w:style>
  <w:style w:type="character" w:customStyle="1" w:styleId="FirmadecorreoelectrnicoCar">
    <w:name w:val="Firma de correo electrónico Car"/>
    <w:basedOn w:val="Fuentedeprrafopredeter"/>
    <w:link w:val="Firmadecorreoelectrnico"/>
    <w:semiHidden/>
    <w:rsid w:val="00000A64"/>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uiPriority w:val="3"/>
    <w:rsid w:val="00000A64"/>
    <w:rPr>
      <w:sz w:val="18"/>
      <w:lang w:val="es-ES" w:eastAsia="es-ES"/>
    </w:rPr>
  </w:style>
  <w:style w:type="character" w:customStyle="1" w:styleId="TextonotaalfinalCar">
    <w:name w:val="Texto nota al final Car"/>
    <w:aliases w:val="2_G Car"/>
    <w:basedOn w:val="Fuentedeprrafopredeter"/>
    <w:link w:val="Textonotaalfinal"/>
    <w:uiPriority w:val="3"/>
    <w:rsid w:val="00000A64"/>
    <w:rPr>
      <w:sz w:val="18"/>
      <w:lang w:val="es-ES" w:eastAsia="es-ES"/>
    </w:rPr>
  </w:style>
  <w:style w:type="character" w:customStyle="1" w:styleId="PiedepginaCar">
    <w:name w:val="Pie de página Car"/>
    <w:aliases w:val="3_G Car"/>
    <w:basedOn w:val="Fuentedeprrafopredeter"/>
    <w:link w:val="Piedepgina"/>
    <w:uiPriority w:val="3"/>
    <w:rsid w:val="00000A64"/>
    <w:rPr>
      <w:sz w:val="16"/>
      <w:lang w:val="es-ES" w:eastAsia="es-ES"/>
    </w:rPr>
  </w:style>
  <w:style w:type="character" w:customStyle="1" w:styleId="EncabezadoCar">
    <w:name w:val="Encabezado Car"/>
    <w:aliases w:val="6_G Car"/>
    <w:basedOn w:val="Fuentedeprrafopredeter"/>
    <w:link w:val="Encabezado"/>
    <w:uiPriority w:val="3"/>
    <w:rsid w:val="00000A64"/>
    <w:rPr>
      <w:b/>
      <w:sz w:val="18"/>
      <w:lang w:val="es-ES" w:eastAsia="es-ES"/>
    </w:rPr>
  </w:style>
  <w:style w:type="character" w:customStyle="1" w:styleId="Ttulo1Car">
    <w:name w:val="Título 1 Car"/>
    <w:aliases w:val="Cuadro_G Car"/>
    <w:basedOn w:val="Fuentedeprrafopredeter"/>
    <w:link w:val="Ttulo1"/>
    <w:uiPriority w:val="9"/>
    <w:rsid w:val="00000A64"/>
    <w:rPr>
      <w:lang w:val="fr-CH" w:eastAsia="en-US"/>
    </w:rPr>
  </w:style>
  <w:style w:type="character" w:customStyle="1" w:styleId="DireccinHTMLCar">
    <w:name w:val="Dirección HTML Car"/>
    <w:basedOn w:val="Fuentedeprrafopredeter"/>
    <w:link w:val="DireccinHTML"/>
    <w:semiHidden/>
    <w:rsid w:val="00000A64"/>
    <w:rPr>
      <w:i/>
      <w:iCs/>
      <w:lang w:val="es-ES" w:eastAsia="es-ES"/>
    </w:rPr>
  </w:style>
  <w:style w:type="character" w:customStyle="1" w:styleId="HTMLconformatoprevioCar">
    <w:name w:val="HTML con formato previo Car"/>
    <w:basedOn w:val="Fuentedeprrafopredeter"/>
    <w:link w:val="HTMLconformatoprevio"/>
    <w:semiHidden/>
    <w:rsid w:val="00000A64"/>
    <w:rPr>
      <w:rFonts w:ascii="Courier New" w:hAnsi="Courier New" w:cs="Courier New"/>
      <w:lang w:val="es-ES" w:eastAsia="es-ES"/>
    </w:rPr>
  </w:style>
  <w:style w:type="character" w:styleId="nfasisintenso">
    <w:name w:val="Intense Emphasis"/>
    <w:uiPriority w:val="21"/>
    <w:rsid w:val="00000A64"/>
    <w:rPr>
      <w:b/>
      <w:bCs/>
      <w:i/>
      <w:iCs/>
      <w:color w:val="4F81BD"/>
    </w:rPr>
  </w:style>
  <w:style w:type="paragraph" w:styleId="Citadestacada">
    <w:name w:val="Intense Quote"/>
    <w:basedOn w:val="Normal"/>
    <w:next w:val="Normal"/>
    <w:link w:val="CitadestacadaCar"/>
    <w:uiPriority w:val="30"/>
    <w:rsid w:val="00000A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00A64"/>
    <w:rPr>
      <w:b/>
      <w:bCs/>
      <w:i/>
      <w:iCs/>
      <w:color w:val="4F81BD"/>
      <w:lang w:val="es-ES" w:eastAsia="es-ES"/>
    </w:rPr>
  </w:style>
  <w:style w:type="character" w:customStyle="1" w:styleId="EncabezadodemensajeCar">
    <w:name w:val="Encabezado de mensaje Car"/>
    <w:basedOn w:val="Fuentedeprrafopredeter"/>
    <w:link w:val="Encabezadodemensaje"/>
    <w:semiHidden/>
    <w:rsid w:val="00000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0A64"/>
    <w:rPr>
      <w:lang w:val="es-ES" w:eastAsia="es-ES"/>
    </w:rPr>
  </w:style>
  <w:style w:type="character" w:customStyle="1" w:styleId="TextosinformatoCar">
    <w:name w:val="Texto sin formato Car"/>
    <w:basedOn w:val="Fuentedeprrafopredeter"/>
    <w:link w:val="Textosinformato"/>
    <w:semiHidden/>
    <w:rsid w:val="00000A64"/>
    <w:rPr>
      <w:rFonts w:ascii="Courier New" w:hAnsi="Courier New" w:cs="Courier New"/>
      <w:lang w:val="es-ES" w:eastAsia="es-ES"/>
    </w:rPr>
  </w:style>
  <w:style w:type="character" w:customStyle="1" w:styleId="SaludoCar">
    <w:name w:val="Saludo Car"/>
    <w:basedOn w:val="Fuentedeprrafopredeter"/>
    <w:link w:val="Saludo"/>
    <w:semiHidden/>
    <w:rsid w:val="00000A64"/>
    <w:rPr>
      <w:lang w:val="es-ES" w:eastAsia="es-ES"/>
    </w:rPr>
  </w:style>
  <w:style w:type="character" w:customStyle="1" w:styleId="FirmaCar">
    <w:name w:val="Firma Car"/>
    <w:basedOn w:val="Fuentedeprrafopredeter"/>
    <w:link w:val="Firma"/>
    <w:semiHidden/>
    <w:rsid w:val="00000A64"/>
    <w:rPr>
      <w:lang w:val="es-ES" w:eastAsia="es-ES"/>
    </w:rPr>
  </w:style>
  <w:style w:type="character" w:customStyle="1" w:styleId="SubttuloCar">
    <w:name w:val="Subtítulo Car"/>
    <w:basedOn w:val="Fuentedeprrafopredeter"/>
    <w:link w:val="Subttulo"/>
    <w:rsid w:val="00000A64"/>
    <w:rPr>
      <w:rFonts w:ascii="Arial" w:hAnsi="Arial" w:cs="Arial"/>
      <w:sz w:val="24"/>
      <w:szCs w:val="24"/>
      <w:lang w:val="es-ES" w:eastAsia="es-ES"/>
    </w:rPr>
  </w:style>
  <w:style w:type="paragraph" w:customStyle="1" w:styleId="Table1G">
    <w:name w:val="Table_1_G"/>
    <w:basedOn w:val="Normal"/>
    <w:next w:val="Normal"/>
    <w:uiPriority w:val="2"/>
    <w:qFormat/>
    <w:rsid w:val="00000A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000A64"/>
    <w:pPr>
      <w:spacing w:after="120"/>
    </w:pPr>
    <w:rPr>
      <w:b/>
    </w:rPr>
  </w:style>
  <w:style w:type="paragraph" w:customStyle="1" w:styleId="Table1Line3G">
    <w:name w:val="Table_1_Line3_G"/>
    <w:basedOn w:val="Table1line2G"/>
    <w:next w:val="Normal"/>
    <w:uiPriority w:val="2"/>
    <w:qFormat/>
    <w:rsid w:val="00000A64"/>
    <w:rPr>
      <w:b w:val="0"/>
      <w:sz w:val="16"/>
    </w:rPr>
  </w:style>
  <w:style w:type="paragraph" w:customStyle="1" w:styleId="TableH23G">
    <w:name w:val="Table_H2/3_G"/>
    <w:basedOn w:val="H23G"/>
    <w:uiPriority w:val="2"/>
    <w:qFormat/>
    <w:rsid w:val="00000A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000A64"/>
    <w:rPr>
      <w:rFonts w:ascii="Arial" w:hAnsi="Arial" w:cs="Arial"/>
      <w:b/>
      <w:bCs/>
      <w:kern w:val="28"/>
      <w:sz w:val="32"/>
      <w:szCs w:val="32"/>
      <w:lang w:val="es-ES" w:eastAsia="es-ES"/>
    </w:rPr>
  </w:style>
  <w:style w:type="paragraph" w:styleId="TDC1">
    <w:name w:val="toc 1"/>
    <w:basedOn w:val="Normal"/>
    <w:next w:val="Normal"/>
    <w:uiPriority w:val="5"/>
    <w:unhideWhenUsed/>
    <w:rsid w:val="00000A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000A64"/>
    <w:pPr>
      <w:tabs>
        <w:tab w:val="clear" w:pos="851"/>
      </w:tabs>
      <w:ind w:left="1559" w:hanging="425"/>
    </w:pPr>
  </w:style>
  <w:style w:type="paragraph" w:styleId="TDC3">
    <w:name w:val="toc 3"/>
    <w:basedOn w:val="TDC2"/>
    <w:next w:val="Normal"/>
    <w:uiPriority w:val="5"/>
    <w:unhideWhenUsed/>
    <w:rsid w:val="00000A64"/>
    <w:pPr>
      <w:tabs>
        <w:tab w:val="left" w:pos="1985"/>
      </w:tabs>
      <w:ind w:left="1984"/>
    </w:pPr>
  </w:style>
  <w:style w:type="paragraph" w:styleId="TDC4">
    <w:name w:val="toc 4"/>
    <w:basedOn w:val="TDC1"/>
    <w:next w:val="Normal"/>
    <w:uiPriority w:val="5"/>
    <w:unhideWhenUsed/>
    <w:rsid w:val="00000A64"/>
    <w:pPr>
      <w:tabs>
        <w:tab w:val="clear" w:pos="9072"/>
        <w:tab w:val="left" w:leader="dot" w:pos="7938"/>
        <w:tab w:val="right" w:pos="8930"/>
      </w:tabs>
      <w:ind w:right="1701"/>
    </w:pPr>
  </w:style>
  <w:style w:type="paragraph" w:styleId="TDC5">
    <w:name w:val="toc 5"/>
    <w:basedOn w:val="TDC4"/>
    <w:next w:val="Normal"/>
    <w:uiPriority w:val="5"/>
    <w:unhideWhenUsed/>
    <w:rsid w:val="00000A64"/>
    <w:pPr>
      <w:tabs>
        <w:tab w:val="clear" w:pos="851"/>
      </w:tabs>
      <w:ind w:left="1559" w:hanging="425"/>
    </w:pPr>
  </w:style>
  <w:style w:type="paragraph" w:styleId="TDC6">
    <w:name w:val="toc 6"/>
    <w:basedOn w:val="TDC5"/>
    <w:next w:val="Normal"/>
    <w:uiPriority w:val="5"/>
    <w:unhideWhenUsed/>
    <w:rsid w:val="00000A64"/>
    <w:pPr>
      <w:tabs>
        <w:tab w:val="left" w:pos="1985"/>
      </w:tabs>
      <w:ind w:left="1984"/>
    </w:pPr>
  </w:style>
  <w:style w:type="character" w:customStyle="1" w:styleId="Ttulo2Car">
    <w:name w:val="Título 2 Car"/>
    <w:basedOn w:val="Fuentedeprrafopredeter"/>
    <w:link w:val="Ttulo2"/>
    <w:semiHidden/>
    <w:rsid w:val="00D67833"/>
    <w:rPr>
      <w:rFonts w:cs="Arial"/>
      <w:bCs/>
      <w:iCs/>
      <w:szCs w:val="28"/>
      <w:lang w:val="es-ES" w:eastAsia="es-ES"/>
    </w:rPr>
  </w:style>
  <w:style w:type="character" w:customStyle="1" w:styleId="Ttulo3Car">
    <w:name w:val="Título 3 Car"/>
    <w:basedOn w:val="Fuentedeprrafopredeter"/>
    <w:link w:val="Ttulo3"/>
    <w:semiHidden/>
    <w:rsid w:val="00D67833"/>
    <w:rPr>
      <w:rFonts w:ascii="Arial" w:hAnsi="Arial" w:cs="Arial"/>
      <w:b/>
      <w:bCs/>
      <w:sz w:val="26"/>
      <w:szCs w:val="26"/>
      <w:lang w:val="es-ES" w:eastAsia="es-ES"/>
    </w:rPr>
  </w:style>
  <w:style w:type="character" w:customStyle="1" w:styleId="Ttulo4Car">
    <w:name w:val="Título 4 Car"/>
    <w:basedOn w:val="Fuentedeprrafopredeter"/>
    <w:link w:val="Ttulo4"/>
    <w:semiHidden/>
    <w:rsid w:val="00D67833"/>
    <w:rPr>
      <w:b/>
      <w:bCs/>
      <w:sz w:val="28"/>
      <w:szCs w:val="28"/>
      <w:lang w:val="es-ES" w:eastAsia="es-ES"/>
    </w:rPr>
  </w:style>
  <w:style w:type="character" w:customStyle="1" w:styleId="Ttulo5Car">
    <w:name w:val="Título 5 Car"/>
    <w:basedOn w:val="Fuentedeprrafopredeter"/>
    <w:link w:val="Ttulo5"/>
    <w:semiHidden/>
    <w:rsid w:val="00D67833"/>
    <w:rPr>
      <w:b/>
      <w:bCs/>
      <w:i/>
      <w:iCs/>
      <w:sz w:val="26"/>
      <w:szCs w:val="26"/>
      <w:lang w:val="es-ES" w:eastAsia="es-ES"/>
    </w:rPr>
  </w:style>
  <w:style w:type="character" w:customStyle="1" w:styleId="Ttulo6Car">
    <w:name w:val="Título 6 Car"/>
    <w:basedOn w:val="Fuentedeprrafopredeter"/>
    <w:link w:val="Ttulo6"/>
    <w:semiHidden/>
    <w:rsid w:val="00D67833"/>
    <w:rPr>
      <w:b/>
      <w:bCs/>
      <w:sz w:val="22"/>
      <w:szCs w:val="22"/>
      <w:lang w:val="es-ES" w:eastAsia="es-ES"/>
    </w:rPr>
  </w:style>
  <w:style w:type="character" w:customStyle="1" w:styleId="Ttulo7Car">
    <w:name w:val="Título 7 Car"/>
    <w:basedOn w:val="Fuentedeprrafopredeter"/>
    <w:link w:val="Ttulo7"/>
    <w:semiHidden/>
    <w:rsid w:val="00D67833"/>
    <w:rPr>
      <w:sz w:val="24"/>
      <w:szCs w:val="24"/>
      <w:lang w:val="es-ES" w:eastAsia="es-ES"/>
    </w:rPr>
  </w:style>
  <w:style w:type="character" w:customStyle="1" w:styleId="Ttulo8Car">
    <w:name w:val="Título 8 Car"/>
    <w:basedOn w:val="Fuentedeprrafopredeter"/>
    <w:link w:val="Ttulo8"/>
    <w:semiHidden/>
    <w:rsid w:val="00D67833"/>
    <w:rPr>
      <w:i/>
      <w:iCs/>
      <w:sz w:val="24"/>
      <w:szCs w:val="24"/>
      <w:lang w:val="es-ES" w:eastAsia="es-ES"/>
    </w:rPr>
  </w:style>
  <w:style w:type="character" w:customStyle="1" w:styleId="Ttulo9Car">
    <w:name w:val="Título 9 Car"/>
    <w:basedOn w:val="Fuentedeprrafopredeter"/>
    <w:link w:val="Ttulo9"/>
    <w:semiHidden/>
    <w:rsid w:val="00D67833"/>
    <w:rPr>
      <w:rFonts w:ascii="Arial" w:hAnsi="Arial" w:cs="Arial"/>
      <w:sz w:val="22"/>
      <w:szCs w:val="22"/>
      <w:lang w:val="es-ES" w:eastAsia="es-ES"/>
    </w:rPr>
  </w:style>
  <w:style w:type="paragraph" w:styleId="Prrafodelista">
    <w:name w:val="List Paragraph"/>
    <w:basedOn w:val="Normal"/>
    <w:uiPriority w:val="34"/>
    <w:qFormat/>
    <w:rsid w:val="00D67833"/>
    <w:pPr>
      <w:bidi/>
      <w:ind w:left="720"/>
      <w:contextualSpacing/>
      <w:jc w:val="lowKashida"/>
    </w:pPr>
    <w:rPr>
      <w:rFonts w:eastAsia="PMingLiU" w:cs="Simplified Arabic"/>
      <w:szCs w:val="22"/>
      <w:lang w:val="en-US" w:eastAsia="en-US"/>
    </w:rPr>
  </w:style>
  <w:style w:type="character" w:styleId="Refdecomentario">
    <w:name w:val="annotation reference"/>
    <w:basedOn w:val="Fuentedeprrafopredeter"/>
    <w:uiPriority w:val="99"/>
    <w:semiHidden/>
    <w:unhideWhenUsed/>
    <w:rsid w:val="00D67833"/>
    <w:rPr>
      <w:sz w:val="16"/>
      <w:szCs w:val="16"/>
    </w:rPr>
  </w:style>
  <w:style w:type="paragraph" w:styleId="Textocomentario">
    <w:name w:val="annotation text"/>
    <w:basedOn w:val="Normal"/>
    <w:link w:val="TextocomentarioCar"/>
    <w:uiPriority w:val="99"/>
    <w:semiHidden/>
    <w:unhideWhenUsed/>
    <w:rsid w:val="00D67833"/>
    <w:pPr>
      <w:bidi/>
      <w:spacing w:line="240" w:lineRule="auto"/>
      <w:jc w:val="lowKashida"/>
    </w:pPr>
    <w:rPr>
      <w:rFonts w:eastAsia="PMingLiU" w:cs="Simplified Arabic"/>
      <w:lang w:val="en-US" w:eastAsia="en-US"/>
    </w:rPr>
  </w:style>
  <w:style w:type="character" w:customStyle="1" w:styleId="TextocomentarioCar">
    <w:name w:val="Texto comentario Car"/>
    <w:basedOn w:val="Fuentedeprrafopredeter"/>
    <w:link w:val="Textocomentario"/>
    <w:uiPriority w:val="99"/>
    <w:semiHidden/>
    <w:rsid w:val="00D67833"/>
    <w:rPr>
      <w:rFonts w:eastAsia="PMingLiU" w:cs="Simplified Arabic"/>
      <w:lang w:eastAsia="en-US"/>
    </w:rPr>
  </w:style>
  <w:style w:type="paragraph" w:styleId="Asuntodelcomentario">
    <w:name w:val="annotation subject"/>
    <w:basedOn w:val="Textocomentario"/>
    <w:next w:val="Textocomentario"/>
    <w:link w:val="AsuntodelcomentarioCar"/>
    <w:uiPriority w:val="99"/>
    <w:semiHidden/>
    <w:unhideWhenUsed/>
    <w:rsid w:val="00D67833"/>
    <w:rPr>
      <w:b/>
      <w:bCs/>
    </w:rPr>
  </w:style>
  <w:style w:type="character" w:customStyle="1" w:styleId="AsuntodelcomentarioCar">
    <w:name w:val="Asunto del comentario Car"/>
    <w:basedOn w:val="TextocomentarioCar"/>
    <w:link w:val="Asuntodelcomentario"/>
    <w:uiPriority w:val="99"/>
    <w:semiHidden/>
    <w:rsid w:val="00D67833"/>
    <w:rPr>
      <w:rFonts w:eastAsia="PMingLiU" w:cs="Simplified Arabic"/>
      <w:b/>
      <w:bCs/>
      <w:lang w:eastAsia="en-US"/>
    </w:rPr>
  </w:style>
  <w:style w:type="character" w:styleId="Mencinsinresolver">
    <w:name w:val="Unresolved Mention"/>
    <w:basedOn w:val="Fuentedeprrafopredeter"/>
    <w:uiPriority w:val="99"/>
    <w:semiHidden/>
    <w:unhideWhenUsed/>
    <w:rsid w:val="00D67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9</Pages>
  <Words>3766</Words>
  <Characters>19507</Characters>
  <Application>Microsoft Office Word</Application>
  <DocSecurity>0</DocSecurity>
  <Lines>396</Lines>
  <Paragraphs>186</Paragraphs>
  <ScaleCrop>false</ScaleCrop>
  <HeadingPairs>
    <vt:vector size="2" baseType="variant">
      <vt:variant>
        <vt:lpstr>Título</vt:lpstr>
      </vt:variant>
      <vt:variant>
        <vt:i4>1</vt:i4>
      </vt:variant>
    </vt:vector>
  </HeadingPairs>
  <TitlesOfParts>
    <vt:vector size="1" baseType="lpstr">
      <vt:lpstr>HRI/CORE/KWT/2019</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HRI/CORE/KWT/2019</dc:title>
  <dc:subject/>
  <dc:creator>Angel ANGEL-MORENO-TORRES</dc:creator>
  <cp:keywords/>
  <cp:lastModifiedBy>Angel ANGEL-MORENO-TORRES</cp:lastModifiedBy>
  <cp:revision>3</cp:revision>
  <cp:lastPrinted>2021-09-30T12:28:00Z</cp:lastPrinted>
  <dcterms:created xsi:type="dcterms:W3CDTF">2021-09-30T12:27:00Z</dcterms:created>
  <dcterms:modified xsi:type="dcterms:W3CDTF">2021-09-30T12:29:00Z</dcterms:modified>
</cp:coreProperties>
</file>