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 w:rsidR="00000000" w:rsidRDefault="00000000">
      <w:pPr>
        <w:pStyle w:val="Heading2"/>
        <w:rPr>
          <w:rFonts w:hint="eastAsia"/>
        </w:rPr>
      </w:pPr>
      <w:r>
        <w:rPr>
          <w:rFonts w:hint="eastAsia"/>
        </w:rPr>
        <w:t>构成缔约国报告组成部分的基本文件</w:t>
      </w:r>
    </w:p>
    <w:p w:rsidR="00000000" w:rsidRDefault="00000000">
      <w:pPr>
        <w:pStyle w:val="Heading2"/>
        <w:rPr>
          <w:rFonts w:hint="eastAsia"/>
        </w:rPr>
      </w:pPr>
      <w:r>
        <w:rPr>
          <w:rFonts w:hint="eastAsia"/>
        </w:rPr>
        <w:t>特立尼达和多巴哥</w:t>
      </w:r>
    </w:p>
    <w:p w:rsidR="00000000" w:rsidRDefault="00000000">
      <w:pPr>
        <w:spacing w:after="160"/>
        <w:jc w:val="right"/>
        <w:rPr>
          <w:rFonts w:hint="eastAsia"/>
        </w:rPr>
      </w:pPr>
      <w:r>
        <w:rPr>
          <w:rFonts w:hint="eastAsia"/>
        </w:rPr>
        <w:t>[2000</w:t>
      </w:r>
      <w:r>
        <w:rPr>
          <w:rFonts w:hint="eastAsia"/>
        </w:rPr>
        <w:t>年</w:t>
      </w:r>
      <w:r>
        <w:rPr>
          <w:rFonts w:hint="eastAsia"/>
        </w:rPr>
        <w:t>5</w:t>
      </w:r>
      <w:r>
        <w:rPr>
          <w:rFonts w:hint="eastAsia"/>
        </w:rPr>
        <w:t>月</w:t>
      </w:r>
      <w:r>
        <w:rPr>
          <w:rFonts w:hint="eastAsia"/>
        </w:rPr>
        <w:t>24</w:t>
      </w:r>
      <w:r>
        <w:rPr>
          <w:rFonts w:hint="eastAsia"/>
        </w:rPr>
        <w:t>日</w:t>
      </w:r>
      <w:r>
        <w:rPr>
          <w:rFonts w:hint="eastAsia"/>
        </w:rPr>
        <w:t>]</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pPr>
      <w:r>
        <w:rPr>
          <w:rFonts w:hint="eastAsia"/>
        </w:rPr>
        <w:t>一、领土和人口</w:t>
      </w:r>
      <w:r>
        <w:t>………</w:t>
      </w:r>
      <w:r>
        <w:rPr>
          <w:rFonts w:hint="eastAsia"/>
        </w:rPr>
        <w:t>..</w:t>
      </w:r>
      <w:r>
        <w:rPr>
          <w:rFonts w:hint="eastAsia"/>
        </w:rPr>
        <w:tab/>
      </w:r>
      <w:r>
        <w:rPr>
          <w:rFonts w:hint="eastAsia"/>
        </w:rPr>
        <w:tab/>
        <w:t>1</w:t>
      </w:r>
      <w:r>
        <w:rPr>
          <w:rFonts w:hint="eastAsia"/>
        </w:rPr>
        <w:tab/>
        <w:t>-</w:t>
      </w:r>
      <w:r>
        <w:rPr>
          <w:rFonts w:hint="eastAsia"/>
        </w:rPr>
        <w:tab/>
        <w:t>22</w:t>
      </w:r>
      <w:r>
        <w:tab/>
        <w:t>2</w:t>
      </w:r>
    </w:p>
    <w:p w:rsidR="00000000" w:rsidRDefault="00000000">
      <w:pPr>
        <w:pStyle w:val="a3"/>
      </w:pPr>
      <w:r>
        <w:rPr>
          <w:rFonts w:hint="eastAsia"/>
        </w:rPr>
        <w:t>二、总的政治结构</w:t>
      </w:r>
      <w:r>
        <w:rPr>
          <w:rFonts w:hint="eastAsia"/>
        </w:rPr>
        <w:tab/>
      </w:r>
      <w:r>
        <w:rPr>
          <w:rFonts w:hint="eastAsia"/>
        </w:rPr>
        <w:tab/>
        <w:t>23</w:t>
      </w:r>
      <w:r>
        <w:rPr>
          <w:rFonts w:hint="eastAsia"/>
        </w:rPr>
        <w:tab/>
        <w:t>-</w:t>
      </w:r>
      <w:r>
        <w:rPr>
          <w:rFonts w:hint="eastAsia"/>
        </w:rPr>
        <w:tab/>
        <w:t>30</w:t>
      </w:r>
      <w:r>
        <w:tab/>
        <w:t>7</w:t>
      </w:r>
    </w:p>
    <w:p w:rsidR="00000000" w:rsidRDefault="00000000">
      <w:pPr>
        <w:pStyle w:val="a3"/>
      </w:pPr>
      <w:r>
        <w:rPr>
          <w:rFonts w:hint="eastAsia"/>
        </w:rPr>
        <w:t>三、有关保护人权的一般法律框架</w:t>
      </w:r>
      <w:r>
        <w:rPr>
          <w:rFonts w:hint="eastAsia"/>
        </w:rPr>
        <w:tab/>
      </w:r>
      <w:r>
        <w:rPr>
          <w:rFonts w:hint="eastAsia"/>
        </w:rPr>
        <w:tab/>
        <w:t>31</w:t>
      </w:r>
      <w:r>
        <w:rPr>
          <w:rFonts w:hint="eastAsia"/>
        </w:rPr>
        <w:tab/>
        <w:t>-</w:t>
      </w:r>
      <w:r>
        <w:rPr>
          <w:rFonts w:hint="eastAsia"/>
        </w:rPr>
        <w:tab/>
        <w:t>42</w:t>
      </w:r>
      <w:r>
        <w:tab/>
        <w:t>9</w:t>
      </w:r>
    </w:p>
    <w:p w:rsidR="00000000" w:rsidRDefault="00000000">
      <w:pPr>
        <w:pStyle w:val="a3"/>
      </w:pPr>
      <w:r>
        <w:rPr>
          <w:rFonts w:hint="eastAsia"/>
        </w:rPr>
        <w:t>四、新闻和宣传</w:t>
      </w:r>
      <w:r>
        <w:rPr>
          <w:rFonts w:hint="eastAsia"/>
        </w:rPr>
        <w:tab/>
      </w:r>
      <w:r>
        <w:rPr>
          <w:rFonts w:hint="eastAsia"/>
        </w:rPr>
        <w:tab/>
      </w:r>
      <w:r>
        <w:rPr>
          <w:rFonts w:hint="eastAsia"/>
        </w:rPr>
        <w:tab/>
        <w:t>43</w:t>
      </w:r>
      <w:r>
        <w:rPr>
          <w:rFonts w:hint="eastAsia"/>
        </w:rPr>
        <w:tab/>
        <w:t>-</w:t>
      </w:r>
      <w:r>
        <w:rPr>
          <w:rFonts w:hint="eastAsia"/>
        </w:rPr>
        <w:tab/>
        <w:t>47</w:t>
      </w:r>
      <w:r>
        <w:tab/>
        <w:t>13</w:t>
      </w:r>
    </w:p>
    <w:p w:rsidR="00000000" w:rsidRDefault="00000000">
      <w:pPr>
        <w:pStyle w:val="Heading2"/>
        <w:rPr>
          <w:rFonts w:hint="eastAsia"/>
        </w:rPr>
      </w:pPr>
      <w:r>
        <w:br w:type="page"/>
      </w:r>
      <w:r>
        <w:rPr>
          <w:rFonts w:hint="eastAsia"/>
        </w:rPr>
        <w:t>一、领土和人口</w:t>
      </w:r>
    </w:p>
    <w:p w:rsidR="00000000" w:rsidRDefault="00000000">
      <w:pPr>
        <w:rPr>
          <w:rFonts w:hint="eastAsia"/>
        </w:rPr>
      </w:pPr>
      <w:r>
        <w:rPr>
          <w:rFonts w:hint="eastAsia"/>
        </w:rPr>
        <w:tab/>
        <w:t xml:space="preserve">1.  </w:t>
      </w:r>
      <w:r>
        <w:rPr>
          <w:rFonts w:hint="eastAsia"/>
        </w:rPr>
        <w:t>特立尼达和多巴哥共和国位于委内瑞拉东北方七英里之处，在加勒比群岛最南端。该国由两个分开的群岛组成，即面积为</w:t>
      </w:r>
      <w:r>
        <w:rPr>
          <w:rFonts w:hint="eastAsia"/>
        </w:rPr>
        <w:t>4,820</w:t>
      </w:r>
      <w:r>
        <w:rPr>
          <w:rFonts w:hint="eastAsia"/>
        </w:rPr>
        <w:t>平方公里的特立尼达，和面积为</w:t>
      </w:r>
      <w:r>
        <w:rPr>
          <w:rFonts w:hint="eastAsia"/>
        </w:rPr>
        <w:t>303</w:t>
      </w:r>
      <w:r>
        <w:rPr>
          <w:rFonts w:hint="eastAsia"/>
        </w:rPr>
        <w:t>平方公里的多巴哥。多巴哥在特立尼达东北方</w:t>
      </w:r>
      <w:r>
        <w:rPr>
          <w:rFonts w:hint="eastAsia"/>
        </w:rPr>
        <w:t>32.2</w:t>
      </w:r>
      <w:r>
        <w:rPr>
          <w:rFonts w:hint="eastAsia"/>
        </w:rPr>
        <w:t>公里之处。首都西班牙港位于特立尼达岛西北部。</w:t>
      </w:r>
    </w:p>
    <w:p w:rsidR="00000000" w:rsidRDefault="00000000">
      <w:pPr>
        <w:rPr>
          <w:rFonts w:hint="eastAsia"/>
        </w:rPr>
      </w:pPr>
      <w:r>
        <w:rPr>
          <w:rFonts w:hint="eastAsia"/>
        </w:rPr>
        <w:tab/>
        <w:t xml:space="preserve">2.  </w:t>
      </w:r>
      <w:r>
        <w:rPr>
          <w:rFonts w:hint="eastAsia"/>
        </w:rPr>
        <w:t>特立尼达和多巴哥的人口估计为</w:t>
      </w:r>
      <w:r>
        <w:rPr>
          <w:rFonts w:hint="eastAsia"/>
        </w:rPr>
        <w:t>1,290,413</w:t>
      </w:r>
      <w:r>
        <w:rPr>
          <w:rFonts w:hint="eastAsia"/>
        </w:rPr>
        <w:t>人，其中男性为</w:t>
      </w:r>
      <w:r>
        <w:rPr>
          <w:rFonts w:hint="eastAsia"/>
        </w:rPr>
        <w:t>644,174</w:t>
      </w:r>
      <w:r>
        <w:rPr>
          <w:rFonts w:hint="eastAsia"/>
        </w:rPr>
        <w:t>人，女性为</w:t>
      </w:r>
      <w:r>
        <w:rPr>
          <w:rFonts w:hint="eastAsia"/>
        </w:rPr>
        <w:t>646,239</w:t>
      </w:r>
      <w:r>
        <w:rPr>
          <w:rFonts w:hint="eastAsia"/>
        </w:rPr>
        <w:t>人</w:t>
      </w:r>
      <w:r>
        <w:rPr>
          <w:rFonts w:hint="eastAsia"/>
        </w:rPr>
        <w:t>(1999</w:t>
      </w:r>
      <w:r>
        <w:rPr>
          <w:rFonts w:hint="eastAsia"/>
        </w:rPr>
        <w:t>年年中估计数</w:t>
      </w:r>
      <w:r>
        <w:rPr>
          <w:rFonts w:hint="eastAsia"/>
        </w:rPr>
        <w:t>)</w:t>
      </w:r>
      <w:r>
        <w:rPr>
          <w:rFonts w:hint="eastAsia"/>
        </w:rPr>
        <w:t>。这一数字比</w:t>
      </w:r>
      <w:r>
        <w:rPr>
          <w:rFonts w:hint="eastAsia"/>
        </w:rPr>
        <w:t>1998</w:t>
      </w:r>
      <w:r>
        <w:rPr>
          <w:rFonts w:hint="eastAsia"/>
        </w:rPr>
        <w:t>年的人口增长了</w:t>
      </w:r>
      <w:r>
        <w:rPr>
          <w:rFonts w:hint="eastAsia"/>
        </w:rPr>
        <w:t>0.7%</w:t>
      </w:r>
      <w:r>
        <w:rPr>
          <w:rFonts w:hint="eastAsia"/>
        </w:rPr>
        <w:t>，当时的人口估计为</w:t>
      </w:r>
      <w:r>
        <w:rPr>
          <w:rFonts w:hint="eastAsia"/>
        </w:rPr>
        <w:t>1,281,825</w:t>
      </w:r>
      <w:r>
        <w:rPr>
          <w:rFonts w:hint="eastAsia"/>
        </w:rPr>
        <w:t>人。出生率和死亡率分别估计为每千人</w:t>
      </w:r>
      <w:r>
        <w:rPr>
          <w:rFonts w:hint="eastAsia"/>
        </w:rPr>
        <w:t>13.42</w:t>
      </w:r>
      <w:r>
        <w:rPr>
          <w:rFonts w:hint="eastAsia"/>
        </w:rPr>
        <w:t>人和</w:t>
      </w:r>
      <w:r>
        <w:rPr>
          <w:rFonts w:hint="eastAsia"/>
        </w:rPr>
        <w:t>7.3</w:t>
      </w:r>
      <w:r>
        <w:rPr>
          <w:rFonts w:hint="eastAsia"/>
        </w:rPr>
        <w:t>人。平均预期寿命为</w:t>
      </w:r>
      <w:r>
        <w:rPr>
          <w:rFonts w:hint="eastAsia"/>
        </w:rPr>
        <w:t>73</w:t>
      </w:r>
      <w:r>
        <w:rPr>
          <w:rFonts w:hint="eastAsia"/>
        </w:rPr>
        <w:t>岁。约有</w:t>
      </w:r>
      <w:r>
        <w:rPr>
          <w:rFonts w:hint="eastAsia"/>
        </w:rPr>
        <w:t>45.7%</w:t>
      </w:r>
      <w:r>
        <w:rPr>
          <w:rFonts w:hint="eastAsia"/>
        </w:rPr>
        <w:t>的人口低于</w:t>
      </w:r>
      <w:r>
        <w:rPr>
          <w:rFonts w:hint="eastAsia"/>
        </w:rPr>
        <w:t>24</w:t>
      </w:r>
      <w:r>
        <w:rPr>
          <w:rFonts w:hint="eastAsia"/>
        </w:rPr>
        <w:t>岁；</w:t>
      </w:r>
      <w:r>
        <w:rPr>
          <w:rFonts w:hint="eastAsia"/>
        </w:rPr>
        <w:t>45.2%</w:t>
      </w:r>
      <w:r>
        <w:rPr>
          <w:rFonts w:hint="eastAsia"/>
        </w:rPr>
        <w:t>的人口介于</w:t>
      </w:r>
      <w:r>
        <w:rPr>
          <w:rFonts w:hint="eastAsia"/>
        </w:rPr>
        <w:t>25</w:t>
      </w:r>
      <w:r>
        <w:rPr>
          <w:rFonts w:hint="eastAsia"/>
        </w:rPr>
        <w:t>岁和</w:t>
      </w:r>
      <w:r>
        <w:rPr>
          <w:rFonts w:hint="eastAsia"/>
        </w:rPr>
        <w:t>59</w:t>
      </w:r>
      <w:r>
        <w:rPr>
          <w:rFonts w:hint="eastAsia"/>
        </w:rPr>
        <w:t>岁之间，</w:t>
      </w:r>
      <w:r>
        <w:rPr>
          <w:rFonts w:hint="eastAsia"/>
        </w:rPr>
        <w:t>9.1%</w:t>
      </w:r>
      <w:r>
        <w:rPr>
          <w:rFonts w:hint="eastAsia"/>
        </w:rPr>
        <w:t>的人口为</w:t>
      </w:r>
      <w:r>
        <w:rPr>
          <w:rFonts w:hint="eastAsia"/>
        </w:rPr>
        <w:t>65</w:t>
      </w:r>
      <w:r>
        <w:rPr>
          <w:rFonts w:hint="eastAsia"/>
        </w:rPr>
        <w:t>岁或</w:t>
      </w:r>
      <w:r>
        <w:rPr>
          <w:rFonts w:hint="eastAsia"/>
        </w:rPr>
        <w:t>65</w:t>
      </w:r>
      <w:r>
        <w:rPr>
          <w:rFonts w:hint="eastAsia"/>
        </w:rPr>
        <w:t>岁以上</w:t>
      </w:r>
      <w:r>
        <w:rPr>
          <w:rFonts w:hint="eastAsia"/>
        </w:rPr>
        <w:t>(1999</w:t>
      </w:r>
      <w:r>
        <w:rPr>
          <w:rFonts w:hint="eastAsia"/>
        </w:rPr>
        <w:t>年年中估计数</w:t>
      </w:r>
      <w:r>
        <w:rPr>
          <w:rFonts w:hint="eastAsia"/>
        </w:rPr>
        <w:t>)</w:t>
      </w:r>
      <w:r>
        <w:rPr>
          <w:rFonts w:hint="eastAsia"/>
        </w:rPr>
        <w:t>。</w:t>
      </w:r>
      <w:r>
        <w:rPr>
          <w:rFonts w:hint="eastAsia"/>
        </w:rPr>
        <w:t>1998</w:t>
      </w:r>
      <w:r>
        <w:rPr>
          <w:rFonts w:hint="eastAsia"/>
        </w:rPr>
        <w:t>年，估计有</w:t>
      </w:r>
      <w:r>
        <w:rPr>
          <w:rFonts w:hint="eastAsia"/>
        </w:rPr>
        <w:t>27.9%</w:t>
      </w:r>
      <w:r>
        <w:rPr>
          <w:rFonts w:hint="eastAsia"/>
        </w:rPr>
        <w:t>的人口低于</w:t>
      </w:r>
      <w:r>
        <w:rPr>
          <w:rFonts w:hint="eastAsia"/>
        </w:rPr>
        <w:t>15</w:t>
      </w:r>
      <w:r>
        <w:rPr>
          <w:rFonts w:hint="eastAsia"/>
        </w:rPr>
        <w:t>岁，估计有</w:t>
      </w:r>
      <w:r>
        <w:rPr>
          <w:rFonts w:hint="eastAsia"/>
        </w:rPr>
        <w:t>6.3%</w:t>
      </w:r>
      <w:r>
        <w:rPr>
          <w:rFonts w:hint="eastAsia"/>
        </w:rPr>
        <w:t>的人口为</w:t>
      </w:r>
      <w:r>
        <w:rPr>
          <w:rFonts w:hint="eastAsia"/>
        </w:rPr>
        <w:t>65</w:t>
      </w:r>
      <w:r>
        <w:rPr>
          <w:rFonts w:hint="eastAsia"/>
        </w:rPr>
        <w:t>岁或</w:t>
      </w:r>
      <w:r>
        <w:rPr>
          <w:rFonts w:hint="eastAsia"/>
        </w:rPr>
        <w:t>65</w:t>
      </w:r>
      <w:r>
        <w:rPr>
          <w:rFonts w:hint="eastAsia"/>
        </w:rPr>
        <w:t>岁以上。</w:t>
      </w:r>
    </w:p>
    <w:p w:rsidR="00000000" w:rsidRDefault="00000000">
      <w:pPr>
        <w:spacing w:after="160"/>
        <w:rPr>
          <w:rFonts w:hint="eastAsia"/>
        </w:rPr>
      </w:pPr>
      <w:r>
        <w:rPr>
          <w:rFonts w:hint="eastAsia"/>
        </w:rPr>
        <w:tab/>
        <w:t xml:space="preserve">3.  </w:t>
      </w:r>
      <w:r>
        <w:rPr>
          <w:rFonts w:hint="eastAsia"/>
        </w:rPr>
        <w:t>生育率和死亡率，</w:t>
      </w:r>
      <w:r>
        <w:rPr>
          <w:rFonts w:hint="eastAsia"/>
        </w:rPr>
        <w:t>1995-1997</w:t>
      </w:r>
      <w:r>
        <w:rPr>
          <w:rFonts w:hint="eastAsia"/>
        </w:rPr>
        <w:t>年：</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8"/>
        <w:gridCol w:w="1160"/>
        <w:gridCol w:w="1160"/>
        <w:gridCol w:w="1160"/>
      </w:tblGrid>
      <w:tr w:rsidR="00000000">
        <w:tblPrEx>
          <w:tblCellMar>
            <w:top w:w="0" w:type="dxa"/>
            <w:bottom w:w="0" w:type="dxa"/>
          </w:tblCellMar>
        </w:tblPrEx>
        <w:tc>
          <w:tcPr>
            <w:tcW w:w="6118" w:type="dxa"/>
          </w:tcPr>
          <w:p w:rsidR="00000000" w:rsidRDefault="00000000">
            <w:pPr>
              <w:spacing w:before="120" w:line="240" w:lineRule="auto"/>
              <w:jc w:val="center"/>
              <w:rPr>
                <w:rFonts w:hint="eastAsia"/>
                <w:spacing w:val="4"/>
                <w:sz w:val="21"/>
              </w:rPr>
            </w:pPr>
            <w:r>
              <w:rPr>
                <w:rFonts w:hint="eastAsia"/>
                <w:spacing w:val="4"/>
                <w:sz w:val="21"/>
              </w:rPr>
              <w:t>生</w:t>
            </w:r>
            <w:r>
              <w:rPr>
                <w:rFonts w:hint="eastAsia"/>
                <w:spacing w:val="4"/>
                <w:sz w:val="21"/>
              </w:rPr>
              <w:t xml:space="preserve"> </w:t>
            </w:r>
            <w:r>
              <w:rPr>
                <w:rFonts w:hint="eastAsia"/>
                <w:spacing w:val="4"/>
                <w:sz w:val="21"/>
              </w:rPr>
              <w:t>育</w:t>
            </w:r>
            <w:r>
              <w:rPr>
                <w:rFonts w:hint="eastAsia"/>
                <w:spacing w:val="4"/>
                <w:sz w:val="21"/>
              </w:rPr>
              <w:t xml:space="preserve"> </w:t>
            </w:r>
            <w:r>
              <w:rPr>
                <w:rFonts w:hint="eastAsia"/>
                <w:spacing w:val="4"/>
                <w:sz w:val="21"/>
              </w:rPr>
              <w:t>率</w:t>
            </w:r>
          </w:p>
        </w:tc>
        <w:tc>
          <w:tcPr>
            <w:tcW w:w="1160" w:type="dxa"/>
          </w:tcPr>
          <w:p w:rsidR="00000000" w:rsidRDefault="00000000">
            <w:pPr>
              <w:spacing w:before="120" w:line="240" w:lineRule="auto"/>
              <w:jc w:val="center"/>
              <w:rPr>
                <w:rFonts w:hint="eastAsia"/>
                <w:spacing w:val="4"/>
                <w:sz w:val="21"/>
              </w:rPr>
            </w:pPr>
            <w:r>
              <w:rPr>
                <w:rFonts w:hint="eastAsia"/>
                <w:spacing w:val="4"/>
                <w:sz w:val="21"/>
              </w:rPr>
              <w:t>1995</w:t>
            </w:r>
          </w:p>
        </w:tc>
        <w:tc>
          <w:tcPr>
            <w:tcW w:w="1160" w:type="dxa"/>
          </w:tcPr>
          <w:p w:rsidR="00000000" w:rsidRDefault="00000000">
            <w:pPr>
              <w:spacing w:before="120" w:line="240" w:lineRule="auto"/>
              <w:jc w:val="center"/>
              <w:rPr>
                <w:rFonts w:hint="eastAsia"/>
                <w:spacing w:val="4"/>
                <w:sz w:val="21"/>
              </w:rPr>
            </w:pPr>
            <w:r>
              <w:rPr>
                <w:rFonts w:hint="eastAsia"/>
                <w:spacing w:val="4"/>
                <w:sz w:val="21"/>
              </w:rPr>
              <w:t>1996</w:t>
            </w:r>
          </w:p>
        </w:tc>
        <w:tc>
          <w:tcPr>
            <w:tcW w:w="1160" w:type="dxa"/>
          </w:tcPr>
          <w:p w:rsidR="00000000" w:rsidRDefault="00000000">
            <w:pPr>
              <w:spacing w:before="120" w:line="240" w:lineRule="auto"/>
              <w:jc w:val="center"/>
              <w:rPr>
                <w:rFonts w:hint="eastAsia"/>
                <w:spacing w:val="4"/>
                <w:sz w:val="21"/>
              </w:rPr>
            </w:pPr>
            <w:r>
              <w:rPr>
                <w:rFonts w:hint="eastAsia"/>
                <w:spacing w:val="4"/>
                <w:sz w:val="21"/>
              </w:rPr>
              <w:t>1997</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粗出生率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人中的出生人数</w:t>
            </w:r>
            <w:r>
              <w:rPr>
                <w:rFonts w:hint="eastAsia"/>
                <w:spacing w:val="4"/>
                <w:sz w:val="21"/>
              </w:rPr>
              <w:t>)</w:t>
            </w:r>
          </w:p>
        </w:tc>
        <w:tc>
          <w:tcPr>
            <w:tcW w:w="1160"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15.3</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14.2</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14.5</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总和生育率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名育龄妇女中的出生人数</w:t>
            </w:r>
            <w:r>
              <w:rPr>
                <w:rFonts w:hint="eastAsia"/>
                <w:spacing w:val="4"/>
                <w:sz w:val="21"/>
              </w:rPr>
              <w:t>)</w:t>
            </w:r>
          </w:p>
        </w:tc>
        <w:tc>
          <w:tcPr>
            <w:tcW w:w="1160"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1.8</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1.7</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1.7</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普通生育率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名妇女中的出生人数</w:t>
            </w:r>
            <w:r>
              <w:rPr>
                <w:rFonts w:hint="eastAsia"/>
                <w:spacing w:val="4"/>
                <w:sz w:val="21"/>
              </w:rPr>
              <w:t>)</w:t>
            </w:r>
          </w:p>
        </w:tc>
        <w:tc>
          <w:tcPr>
            <w:tcW w:w="1160"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56.3</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52.0</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52.2</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总增殖率</w:t>
            </w:r>
            <w:r>
              <w:rPr>
                <w:rFonts w:hint="eastAsia"/>
                <w:spacing w:val="4"/>
                <w:sz w:val="21"/>
              </w:rPr>
              <w:t>(</w:t>
            </w:r>
            <w:r>
              <w:rPr>
                <w:rFonts w:hint="eastAsia"/>
                <w:spacing w:val="4"/>
                <w:sz w:val="21"/>
              </w:rPr>
              <w:t>一般妇女在她整个生育年龄期间所生的女性人数</w:t>
            </w:r>
            <w:r>
              <w:rPr>
                <w:rFonts w:hint="eastAsia"/>
                <w:spacing w:val="4"/>
                <w:sz w:val="21"/>
              </w:rPr>
              <w:t>)</w:t>
            </w:r>
          </w:p>
        </w:tc>
        <w:tc>
          <w:tcPr>
            <w:tcW w:w="1160"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0.9</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0.8</w:t>
            </w:r>
          </w:p>
        </w:tc>
        <w:tc>
          <w:tcPr>
            <w:tcW w:w="1160" w:type="dxa"/>
          </w:tcPr>
          <w:p w:rsidR="00000000" w:rsidRDefault="00000000">
            <w:pPr>
              <w:tabs>
                <w:tab w:val="decimal" w:pos="522"/>
              </w:tabs>
              <w:spacing w:before="120" w:line="240" w:lineRule="auto"/>
              <w:ind w:left="-112"/>
              <w:rPr>
                <w:rFonts w:hint="eastAsia"/>
                <w:spacing w:val="4"/>
                <w:sz w:val="21"/>
              </w:rPr>
            </w:pPr>
            <w:r>
              <w:rPr>
                <w:rFonts w:hint="eastAsia"/>
                <w:spacing w:val="4"/>
                <w:sz w:val="21"/>
              </w:rPr>
              <w:t>0.8</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儿童妇女比率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名育龄妇女所生的</w:t>
            </w:r>
            <w:r>
              <w:rPr>
                <w:rFonts w:hint="eastAsia"/>
                <w:spacing w:val="4"/>
                <w:sz w:val="21"/>
              </w:rPr>
              <w:t>1</w:t>
            </w:r>
            <w:r>
              <w:rPr>
                <w:rFonts w:hint="eastAsia"/>
                <w:spacing w:val="4"/>
                <w:sz w:val="21"/>
              </w:rPr>
              <w:t>至</w:t>
            </w:r>
            <w:r>
              <w:rPr>
                <w:rFonts w:hint="eastAsia"/>
                <w:spacing w:val="4"/>
                <w:sz w:val="21"/>
              </w:rPr>
              <w:t>4</w:t>
            </w:r>
            <w:r>
              <w:rPr>
                <w:rFonts w:hint="eastAsia"/>
                <w:spacing w:val="4"/>
                <w:sz w:val="21"/>
              </w:rPr>
              <w:t>岁儿童的人数</w:t>
            </w:r>
            <w:r>
              <w:rPr>
                <w:rFonts w:hint="eastAsia"/>
                <w:spacing w:val="4"/>
                <w:sz w:val="21"/>
              </w:rPr>
              <w:t>)</w:t>
            </w:r>
          </w:p>
        </w:tc>
        <w:tc>
          <w:tcPr>
            <w:tcW w:w="1160" w:type="dxa"/>
          </w:tcPr>
          <w:p w:rsidR="00000000" w:rsidRDefault="00000000">
            <w:pPr>
              <w:tabs>
                <w:tab w:val="decimal" w:pos="522"/>
              </w:tabs>
              <w:spacing w:before="120" w:line="240" w:lineRule="auto"/>
              <w:ind w:left="-85" w:right="170"/>
              <w:rPr>
                <w:rFonts w:hint="eastAsia"/>
                <w:spacing w:val="4"/>
                <w:sz w:val="21"/>
              </w:rPr>
            </w:pPr>
            <w:r>
              <w:rPr>
                <w:rFonts w:hint="eastAsia"/>
                <w:spacing w:val="4"/>
                <w:sz w:val="21"/>
              </w:rPr>
              <w:t>298</w:t>
            </w:r>
          </w:p>
        </w:tc>
        <w:tc>
          <w:tcPr>
            <w:tcW w:w="1160" w:type="dxa"/>
          </w:tcPr>
          <w:p w:rsidR="00000000" w:rsidRDefault="00000000">
            <w:pPr>
              <w:tabs>
                <w:tab w:val="decimal" w:pos="522"/>
              </w:tabs>
              <w:spacing w:before="120" w:line="240" w:lineRule="auto"/>
              <w:ind w:left="-112" w:right="170"/>
              <w:rPr>
                <w:rFonts w:hint="eastAsia"/>
                <w:spacing w:val="4"/>
                <w:sz w:val="21"/>
              </w:rPr>
            </w:pPr>
            <w:r>
              <w:rPr>
                <w:rFonts w:hint="eastAsia"/>
                <w:spacing w:val="4"/>
                <w:sz w:val="21"/>
              </w:rPr>
              <w:t>277</w:t>
            </w:r>
          </w:p>
        </w:tc>
        <w:tc>
          <w:tcPr>
            <w:tcW w:w="1160" w:type="dxa"/>
          </w:tcPr>
          <w:p w:rsidR="00000000" w:rsidRDefault="00000000">
            <w:pPr>
              <w:tabs>
                <w:tab w:val="decimal" w:pos="522"/>
              </w:tabs>
              <w:spacing w:before="120" w:line="240" w:lineRule="auto"/>
              <w:ind w:left="-112" w:right="170"/>
              <w:rPr>
                <w:rFonts w:hint="eastAsia"/>
                <w:spacing w:val="4"/>
                <w:sz w:val="21"/>
              </w:rPr>
            </w:pPr>
            <w:r>
              <w:rPr>
                <w:rFonts w:hint="eastAsia"/>
                <w:spacing w:val="4"/>
                <w:sz w:val="21"/>
              </w:rPr>
              <w:t>262</w:t>
            </w:r>
          </w:p>
        </w:tc>
      </w:tr>
    </w:tbl>
    <w:p w:rsidR="00000000" w:rsidRDefault="0000000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8"/>
        <w:gridCol w:w="1231"/>
        <w:gridCol w:w="1111"/>
        <w:gridCol w:w="1111"/>
      </w:tblGrid>
      <w:tr w:rsidR="00000000">
        <w:tblPrEx>
          <w:tblCellMar>
            <w:top w:w="0" w:type="dxa"/>
            <w:bottom w:w="0" w:type="dxa"/>
          </w:tblCellMar>
        </w:tblPrEx>
        <w:trPr>
          <w:trHeight w:val="301"/>
        </w:trPr>
        <w:tc>
          <w:tcPr>
            <w:tcW w:w="6118" w:type="dxa"/>
          </w:tcPr>
          <w:p w:rsidR="00000000" w:rsidRDefault="00000000">
            <w:pPr>
              <w:spacing w:before="120" w:line="240" w:lineRule="auto"/>
              <w:jc w:val="center"/>
              <w:rPr>
                <w:rFonts w:hint="eastAsia"/>
                <w:spacing w:val="4"/>
                <w:sz w:val="21"/>
              </w:rPr>
            </w:pPr>
            <w:r>
              <w:rPr>
                <w:rFonts w:hint="eastAsia"/>
                <w:spacing w:val="4"/>
                <w:sz w:val="21"/>
              </w:rPr>
              <w:t>死</w:t>
            </w:r>
            <w:r>
              <w:rPr>
                <w:rFonts w:hint="eastAsia"/>
                <w:spacing w:val="4"/>
                <w:sz w:val="21"/>
              </w:rPr>
              <w:t xml:space="preserve"> </w:t>
            </w:r>
            <w:r>
              <w:rPr>
                <w:rFonts w:hint="eastAsia"/>
                <w:spacing w:val="4"/>
                <w:sz w:val="21"/>
              </w:rPr>
              <w:t>亡</w:t>
            </w:r>
            <w:r>
              <w:rPr>
                <w:rFonts w:hint="eastAsia"/>
                <w:spacing w:val="4"/>
                <w:sz w:val="21"/>
              </w:rPr>
              <w:t xml:space="preserve"> </w:t>
            </w:r>
            <w:r>
              <w:rPr>
                <w:rFonts w:hint="eastAsia"/>
                <w:spacing w:val="4"/>
                <w:sz w:val="21"/>
              </w:rPr>
              <w:t>率</w:t>
            </w:r>
          </w:p>
        </w:tc>
        <w:tc>
          <w:tcPr>
            <w:tcW w:w="1231" w:type="dxa"/>
          </w:tcPr>
          <w:p w:rsidR="00000000" w:rsidRDefault="00000000">
            <w:pPr>
              <w:spacing w:before="120" w:line="240" w:lineRule="auto"/>
              <w:jc w:val="center"/>
              <w:rPr>
                <w:rFonts w:hint="eastAsia"/>
                <w:spacing w:val="4"/>
                <w:sz w:val="21"/>
              </w:rPr>
            </w:pPr>
            <w:r>
              <w:rPr>
                <w:rFonts w:hint="eastAsia"/>
                <w:spacing w:val="4"/>
                <w:sz w:val="21"/>
              </w:rPr>
              <w:t>1995</w:t>
            </w:r>
          </w:p>
        </w:tc>
        <w:tc>
          <w:tcPr>
            <w:tcW w:w="1111" w:type="dxa"/>
          </w:tcPr>
          <w:p w:rsidR="00000000" w:rsidRDefault="00000000">
            <w:pPr>
              <w:spacing w:before="120" w:line="240" w:lineRule="auto"/>
              <w:jc w:val="center"/>
              <w:rPr>
                <w:rFonts w:hint="eastAsia"/>
                <w:spacing w:val="4"/>
                <w:sz w:val="21"/>
              </w:rPr>
            </w:pPr>
            <w:r>
              <w:rPr>
                <w:rFonts w:hint="eastAsia"/>
                <w:spacing w:val="4"/>
                <w:sz w:val="21"/>
              </w:rPr>
              <w:t>1996</w:t>
            </w:r>
          </w:p>
        </w:tc>
        <w:tc>
          <w:tcPr>
            <w:tcW w:w="1111" w:type="dxa"/>
          </w:tcPr>
          <w:p w:rsidR="00000000" w:rsidRDefault="00000000">
            <w:pPr>
              <w:spacing w:before="120" w:line="240" w:lineRule="auto"/>
              <w:jc w:val="center"/>
              <w:rPr>
                <w:rFonts w:hint="eastAsia"/>
                <w:spacing w:val="4"/>
                <w:sz w:val="21"/>
              </w:rPr>
            </w:pPr>
            <w:r>
              <w:rPr>
                <w:rFonts w:hint="eastAsia"/>
                <w:spacing w:val="4"/>
                <w:sz w:val="21"/>
              </w:rPr>
              <w:t>1997</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粗死亡率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人中的死亡人数</w:t>
            </w:r>
            <w:r>
              <w:rPr>
                <w:rFonts w:hint="eastAsia"/>
                <w:spacing w:val="4"/>
                <w:sz w:val="21"/>
              </w:rPr>
              <w:t>)</w:t>
            </w:r>
          </w:p>
        </w:tc>
        <w:tc>
          <w:tcPr>
            <w:tcW w:w="123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7.2</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7.4</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7.2</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婴儿死亡率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活产中婴儿死亡人数</w:t>
            </w:r>
            <w:r>
              <w:rPr>
                <w:rFonts w:hint="eastAsia"/>
                <w:spacing w:val="4"/>
                <w:sz w:val="21"/>
              </w:rPr>
              <w:t>)</w:t>
            </w:r>
          </w:p>
        </w:tc>
        <w:tc>
          <w:tcPr>
            <w:tcW w:w="123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17.1 *</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16.2</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17.1</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新生儿后期死亡率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活产中</w:t>
            </w:r>
            <w:r>
              <w:rPr>
                <w:rFonts w:hint="eastAsia"/>
                <w:spacing w:val="4"/>
                <w:sz w:val="21"/>
              </w:rPr>
              <w:t>1</w:t>
            </w:r>
            <w:r>
              <w:rPr>
                <w:rFonts w:hint="eastAsia"/>
                <w:spacing w:val="4"/>
                <w:sz w:val="21"/>
              </w:rPr>
              <w:t>个月至</w:t>
            </w:r>
            <w:r>
              <w:rPr>
                <w:rFonts w:hint="eastAsia"/>
                <w:spacing w:val="4"/>
                <w:sz w:val="21"/>
              </w:rPr>
              <w:t>12</w:t>
            </w:r>
            <w:r>
              <w:rPr>
                <w:rFonts w:hint="eastAsia"/>
                <w:spacing w:val="4"/>
                <w:sz w:val="21"/>
              </w:rPr>
              <w:t>个月婴儿死亡人数</w:t>
            </w:r>
            <w:r>
              <w:rPr>
                <w:rFonts w:hint="eastAsia"/>
                <w:spacing w:val="4"/>
                <w:sz w:val="21"/>
              </w:rPr>
              <w:t>)</w:t>
            </w:r>
          </w:p>
        </w:tc>
        <w:tc>
          <w:tcPr>
            <w:tcW w:w="123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3.3</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4.0</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4.0</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新生儿死亡率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活产中不足</w:t>
            </w:r>
            <w:r>
              <w:rPr>
                <w:rFonts w:hint="eastAsia"/>
                <w:spacing w:val="4"/>
                <w:sz w:val="21"/>
              </w:rPr>
              <w:t>1</w:t>
            </w:r>
            <w:r>
              <w:rPr>
                <w:rFonts w:hint="eastAsia"/>
                <w:spacing w:val="4"/>
                <w:sz w:val="21"/>
              </w:rPr>
              <w:t>个月的儿童死亡人数</w:t>
            </w:r>
            <w:r>
              <w:rPr>
                <w:rFonts w:hint="eastAsia"/>
                <w:spacing w:val="4"/>
                <w:sz w:val="21"/>
              </w:rPr>
              <w:t>)</w:t>
            </w:r>
          </w:p>
        </w:tc>
        <w:tc>
          <w:tcPr>
            <w:tcW w:w="123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13.9</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12.2</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13.1</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出生前死亡率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次生产中的死胎数</w:t>
            </w:r>
            <w:r>
              <w:rPr>
                <w:rFonts w:hint="eastAsia"/>
                <w:spacing w:val="4"/>
                <w:sz w:val="21"/>
              </w:rPr>
              <w:t>)</w:t>
            </w:r>
          </w:p>
        </w:tc>
        <w:tc>
          <w:tcPr>
            <w:tcW w:w="123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24.5</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23.5</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22.4</w:t>
            </w:r>
          </w:p>
        </w:tc>
      </w:tr>
      <w:tr w:rsidR="00000000">
        <w:tblPrEx>
          <w:tblCellMar>
            <w:top w:w="0" w:type="dxa"/>
            <w:bottom w:w="0" w:type="dxa"/>
          </w:tblCellMar>
        </w:tblPrEx>
        <w:tc>
          <w:tcPr>
            <w:tcW w:w="6118" w:type="dxa"/>
          </w:tcPr>
          <w:p w:rsidR="00000000" w:rsidRDefault="00000000">
            <w:pPr>
              <w:spacing w:before="120" w:line="240" w:lineRule="auto"/>
              <w:rPr>
                <w:rFonts w:hint="eastAsia"/>
                <w:spacing w:val="4"/>
                <w:sz w:val="21"/>
              </w:rPr>
            </w:pPr>
            <w:r>
              <w:rPr>
                <w:rFonts w:hint="eastAsia"/>
                <w:spacing w:val="4"/>
                <w:sz w:val="21"/>
              </w:rPr>
              <w:t>产妇死亡率</w:t>
            </w:r>
            <w:r>
              <w:rPr>
                <w:rFonts w:hint="eastAsia"/>
                <w:spacing w:val="4"/>
                <w:sz w:val="21"/>
              </w:rPr>
              <w:t>(</w:t>
            </w:r>
            <w:r>
              <w:rPr>
                <w:rFonts w:hint="eastAsia"/>
                <w:spacing w:val="4"/>
                <w:sz w:val="21"/>
              </w:rPr>
              <w:t>每</w:t>
            </w:r>
            <w:r>
              <w:rPr>
                <w:rFonts w:hint="eastAsia"/>
                <w:spacing w:val="4"/>
                <w:sz w:val="21"/>
              </w:rPr>
              <w:t>10</w:t>
            </w:r>
            <w:r>
              <w:rPr>
                <w:rFonts w:hint="eastAsia"/>
                <w:spacing w:val="4"/>
                <w:sz w:val="21"/>
              </w:rPr>
              <w:t>万名产妇中在任何一周内分娩时死亡者的平均人数</w:t>
            </w:r>
            <w:r>
              <w:rPr>
                <w:rFonts w:hint="eastAsia"/>
                <w:spacing w:val="4"/>
                <w:sz w:val="21"/>
              </w:rPr>
              <w:t>)</w:t>
            </w:r>
          </w:p>
        </w:tc>
        <w:tc>
          <w:tcPr>
            <w:tcW w:w="123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67.5</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38.9</w:t>
            </w:r>
          </w:p>
        </w:tc>
        <w:tc>
          <w:tcPr>
            <w:tcW w:w="1111"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70.4</w:t>
            </w:r>
          </w:p>
        </w:tc>
      </w:tr>
    </w:tbl>
    <w:p w:rsidR="00000000" w:rsidRDefault="00000000">
      <w:pPr>
        <w:pStyle w:val="EndnoteText"/>
        <w:spacing w:before="240"/>
        <w:rPr>
          <w:rFonts w:hint="eastAsia"/>
        </w:rPr>
      </w:pPr>
      <w:r>
        <w:rPr>
          <w:rFonts w:hint="eastAsia"/>
        </w:rPr>
        <w:t>*</w:t>
      </w:r>
      <w:r>
        <w:rPr>
          <w:rFonts w:hint="eastAsia"/>
        </w:rPr>
        <w:tab/>
      </w:r>
      <w:r>
        <w:rPr>
          <w:rFonts w:hint="eastAsia"/>
        </w:rPr>
        <w:t>因上一年报告不准而造成的增加。</w:t>
      </w:r>
    </w:p>
    <w:p w:rsidR="00000000" w:rsidRDefault="00000000">
      <w:pPr>
        <w:rPr>
          <w:rFonts w:hint="eastAsia"/>
        </w:rPr>
      </w:pPr>
    </w:p>
    <w:p w:rsidR="00000000" w:rsidRDefault="00000000">
      <w:pPr>
        <w:spacing w:line="384" w:lineRule="auto"/>
        <w:rPr>
          <w:rFonts w:hint="eastAsia"/>
        </w:rPr>
      </w:pPr>
      <w:r>
        <w:rPr>
          <w:rFonts w:hint="eastAsia"/>
        </w:rPr>
        <w:tab/>
        <w:t xml:space="preserve">4.  </w:t>
      </w:r>
      <w:r>
        <w:rPr>
          <w:rFonts w:hint="eastAsia"/>
        </w:rPr>
        <w:t>该国七所医院、</w:t>
      </w:r>
      <w:r>
        <w:rPr>
          <w:rFonts w:hint="eastAsia"/>
        </w:rPr>
        <w:t>100</w:t>
      </w:r>
      <w:r>
        <w:rPr>
          <w:rFonts w:hint="eastAsia"/>
        </w:rPr>
        <w:t>个保健中心和</w:t>
      </w:r>
      <w:r>
        <w:rPr>
          <w:rFonts w:hint="eastAsia"/>
        </w:rPr>
        <w:t>6</w:t>
      </w:r>
      <w:r>
        <w:rPr>
          <w:rFonts w:hint="eastAsia"/>
        </w:rPr>
        <w:t>个其他保健设施向公众免费提供保健服务。这些机构是由卫生部与五个区域性卫生管理机构共同管理的。该国各地的一些私营医疗机构还提供专家医疗服务。有一所设在</w:t>
      </w:r>
      <w:r>
        <w:rPr>
          <w:rFonts w:hint="eastAsia"/>
        </w:rPr>
        <w:t>St. Ann</w:t>
      </w:r>
      <w:r>
        <w:t>’</w:t>
      </w:r>
      <w:r>
        <w:rPr>
          <w:rFonts w:hint="eastAsia"/>
        </w:rPr>
        <w:t>s</w:t>
      </w:r>
      <w:r>
        <w:rPr>
          <w:rFonts w:hint="eastAsia"/>
        </w:rPr>
        <w:t>的公立精神病医院。公共卫生机构提供产前护理，确保妊娠后生出活的健康的婴儿。铁质补充剂和多种维生素是免费向孕妇和儿童提供的。</w:t>
      </w:r>
    </w:p>
    <w:p w:rsidR="00000000" w:rsidRDefault="00000000">
      <w:pPr>
        <w:spacing w:line="384" w:lineRule="auto"/>
        <w:rPr>
          <w:rFonts w:hint="eastAsia"/>
        </w:rPr>
      </w:pPr>
      <w:r>
        <w:rPr>
          <w:rFonts w:hint="eastAsia"/>
        </w:rPr>
        <w:tab/>
        <w:t>5.  1990-1996</w:t>
      </w:r>
      <w:r>
        <w:rPr>
          <w:rFonts w:hint="eastAsia"/>
        </w:rPr>
        <w:t>年的统计数字表明，</w:t>
      </w:r>
      <w:r>
        <w:rPr>
          <w:rFonts w:hint="eastAsia"/>
        </w:rPr>
        <w:t>97%</w:t>
      </w:r>
      <w:r>
        <w:rPr>
          <w:rFonts w:hint="eastAsia"/>
        </w:rPr>
        <w:t>的人口可享用安全饮水，</w:t>
      </w:r>
      <w:r>
        <w:rPr>
          <w:rFonts w:hint="eastAsia"/>
        </w:rPr>
        <w:t>1990</w:t>
      </w:r>
      <w:r>
        <w:rPr>
          <w:rFonts w:hint="eastAsia"/>
        </w:rPr>
        <w:t>年的统计数字则显示，</w:t>
      </w:r>
      <w:r>
        <w:rPr>
          <w:rFonts w:hint="eastAsia"/>
        </w:rPr>
        <w:t>99%</w:t>
      </w:r>
      <w:r>
        <w:rPr>
          <w:rFonts w:hint="eastAsia"/>
        </w:rPr>
        <w:t>的人口可享用粪便处理设施。</w:t>
      </w:r>
    </w:p>
    <w:p w:rsidR="00000000" w:rsidRDefault="00000000">
      <w:pPr>
        <w:spacing w:after="160" w:line="384" w:lineRule="auto"/>
      </w:pPr>
      <w:r>
        <w:rPr>
          <w:rFonts w:hint="eastAsia"/>
        </w:rPr>
        <w:tab/>
        <w:t xml:space="preserve">6.  </w:t>
      </w:r>
      <w:r>
        <w:rPr>
          <w:rFonts w:hint="eastAsia"/>
        </w:rPr>
        <w:t>据</w:t>
      </w:r>
      <w:r>
        <w:rPr>
          <w:rFonts w:hint="eastAsia"/>
        </w:rPr>
        <w:t>1990</w:t>
      </w:r>
      <w:r>
        <w:rPr>
          <w:rFonts w:hint="eastAsia"/>
        </w:rPr>
        <w:t>年统计数字，家长为男性的家庭估计为</w:t>
      </w:r>
      <w:r>
        <w:rPr>
          <w:rFonts w:hint="eastAsia"/>
        </w:rPr>
        <w:t>197,745</w:t>
      </w:r>
      <w:r>
        <w:rPr>
          <w:rFonts w:hint="eastAsia"/>
        </w:rPr>
        <w:t>个，家长为女性的家庭估计为</w:t>
      </w:r>
      <w:r>
        <w:rPr>
          <w:rFonts w:hint="eastAsia"/>
        </w:rPr>
        <w:t>77,101</w:t>
      </w:r>
      <w:r>
        <w:rPr>
          <w:rFonts w:hint="eastAsia"/>
        </w:rPr>
        <w:t>个。家长为男性的家庭的人口估计为</w:t>
      </w:r>
      <w:r>
        <w:rPr>
          <w:rFonts w:hint="eastAsia"/>
        </w:rPr>
        <w:t>828,699</w:t>
      </w:r>
      <w:r>
        <w:rPr>
          <w:rFonts w:hint="eastAsia"/>
        </w:rPr>
        <w:t>人，家长为女性的家庭的人口估计为</w:t>
      </w:r>
      <w:r>
        <w:rPr>
          <w:rFonts w:hint="eastAsia"/>
        </w:rPr>
        <w:t>296,429</w:t>
      </w:r>
      <w:r>
        <w:rPr>
          <w:rFonts w:hint="eastAsia"/>
        </w:rPr>
        <w:t>人。家长为男性的家庭的平均人数估计为每户</w:t>
      </w:r>
      <w:r>
        <w:rPr>
          <w:rFonts w:hint="eastAsia"/>
        </w:rPr>
        <w:t>4.19</w:t>
      </w:r>
      <w:r>
        <w:rPr>
          <w:rFonts w:hint="eastAsia"/>
        </w:rPr>
        <w:t>人，家长为女性的家庭的平均人数为每户</w:t>
      </w:r>
      <w:r>
        <w:rPr>
          <w:rFonts w:hint="eastAsia"/>
        </w:rPr>
        <w:t>3.84</w:t>
      </w:r>
      <w:r>
        <w:rPr>
          <w:rFonts w:hint="eastAsia"/>
        </w:rPr>
        <w:t>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1154"/>
        <w:gridCol w:w="1154"/>
        <w:gridCol w:w="1155"/>
      </w:tblGrid>
      <w:tr w:rsidR="00000000">
        <w:tblPrEx>
          <w:tblCellMar>
            <w:top w:w="0" w:type="dxa"/>
            <w:bottom w:w="0" w:type="dxa"/>
          </w:tblCellMar>
        </w:tblPrEx>
        <w:tc>
          <w:tcPr>
            <w:tcW w:w="6108" w:type="dxa"/>
          </w:tcPr>
          <w:p w:rsidR="00000000" w:rsidRDefault="00000000">
            <w:pPr>
              <w:spacing w:before="160" w:after="60" w:line="240" w:lineRule="auto"/>
              <w:jc w:val="center"/>
              <w:rPr>
                <w:rFonts w:hint="eastAsia"/>
                <w:spacing w:val="4"/>
                <w:sz w:val="21"/>
              </w:rPr>
            </w:pPr>
            <w:r>
              <w:rPr>
                <w:rFonts w:hint="eastAsia"/>
                <w:spacing w:val="4"/>
                <w:sz w:val="21"/>
              </w:rPr>
              <w:t>其他比率</w:t>
            </w:r>
          </w:p>
        </w:tc>
        <w:tc>
          <w:tcPr>
            <w:tcW w:w="1154" w:type="dxa"/>
          </w:tcPr>
          <w:p w:rsidR="00000000" w:rsidRDefault="00000000">
            <w:pPr>
              <w:spacing w:before="160" w:after="60" w:line="240" w:lineRule="auto"/>
              <w:jc w:val="center"/>
              <w:rPr>
                <w:rFonts w:hint="eastAsia"/>
                <w:spacing w:val="4"/>
                <w:sz w:val="21"/>
              </w:rPr>
            </w:pPr>
            <w:r>
              <w:rPr>
                <w:rFonts w:hint="eastAsia"/>
                <w:spacing w:val="4"/>
                <w:sz w:val="21"/>
              </w:rPr>
              <w:t>1995</w:t>
            </w:r>
          </w:p>
        </w:tc>
        <w:tc>
          <w:tcPr>
            <w:tcW w:w="1154" w:type="dxa"/>
          </w:tcPr>
          <w:p w:rsidR="00000000" w:rsidRDefault="00000000">
            <w:pPr>
              <w:spacing w:before="160" w:after="60" w:line="240" w:lineRule="auto"/>
              <w:jc w:val="center"/>
              <w:rPr>
                <w:rFonts w:hint="eastAsia"/>
                <w:spacing w:val="4"/>
                <w:sz w:val="21"/>
              </w:rPr>
            </w:pPr>
            <w:r>
              <w:rPr>
                <w:rFonts w:hint="eastAsia"/>
                <w:spacing w:val="4"/>
                <w:sz w:val="21"/>
              </w:rPr>
              <w:t>1996</w:t>
            </w:r>
          </w:p>
        </w:tc>
        <w:tc>
          <w:tcPr>
            <w:tcW w:w="1155" w:type="dxa"/>
          </w:tcPr>
          <w:p w:rsidR="00000000" w:rsidRDefault="00000000">
            <w:pPr>
              <w:spacing w:before="160" w:after="60" w:line="240" w:lineRule="auto"/>
              <w:jc w:val="center"/>
              <w:rPr>
                <w:rFonts w:hint="eastAsia"/>
                <w:spacing w:val="4"/>
                <w:sz w:val="21"/>
              </w:rPr>
            </w:pPr>
            <w:r>
              <w:rPr>
                <w:rFonts w:hint="eastAsia"/>
                <w:spacing w:val="4"/>
                <w:sz w:val="21"/>
              </w:rPr>
              <w:t>1997</w:t>
            </w:r>
          </w:p>
        </w:tc>
      </w:tr>
      <w:tr w:rsidR="00000000">
        <w:tblPrEx>
          <w:tblCellMar>
            <w:top w:w="0" w:type="dxa"/>
            <w:bottom w:w="0" w:type="dxa"/>
          </w:tblCellMar>
        </w:tblPrEx>
        <w:tc>
          <w:tcPr>
            <w:tcW w:w="6108" w:type="dxa"/>
          </w:tcPr>
          <w:p w:rsidR="00000000" w:rsidRDefault="00000000">
            <w:pPr>
              <w:spacing w:before="120" w:after="60" w:line="240" w:lineRule="auto"/>
              <w:rPr>
                <w:rFonts w:hint="eastAsia"/>
                <w:spacing w:val="4"/>
                <w:sz w:val="21"/>
              </w:rPr>
            </w:pPr>
            <w:r>
              <w:rPr>
                <w:rFonts w:hint="eastAsia"/>
                <w:spacing w:val="4"/>
                <w:sz w:val="21"/>
              </w:rPr>
              <w:t>性别比</w:t>
            </w:r>
            <w:r>
              <w:rPr>
                <w:rFonts w:hint="eastAsia"/>
                <w:spacing w:val="4"/>
                <w:sz w:val="21"/>
              </w:rPr>
              <w:t>(</w:t>
            </w:r>
            <w:r>
              <w:rPr>
                <w:rFonts w:hint="eastAsia"/>
                <w:spacing w:val="4"/>
                <w:sz w:val="21"/>
              </w:rPr>
              <w:t>男女百分比中的男性人数，以女性为</w:t>
            </w:r>
            <w:r>
              <w:rPr>
                <w:rFonts w:hint="eastAsia"/>
                <w:spacing w:val="4"/>
                <w:sz w:val="21"/>
              </w:rPr>
              <w:t>100</w:t>
            </w:r>
            <w:r>
              <w:rPr>
                <w:rFonts w:hint="eastAsia"/>
                <w:spacing w:val="4"/>
                <w:sz w:val="21"/>
              </w:rPr>
              <w:t>计</w:t>
            </w:r>
            <w:r>
              <w:rPr>
                <w:rFonts w:hint="eastAsia"/>
                <w:spacing w:val="4"/>
                <w:sz w:val="21"/>
              </w:rPr>
              <w:t>)</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101</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101</w:t>
            </w:r>
          </w:p>
        </w:tc>
        <w:tc>
          <w:tcPr>
            <w:tcW w:w="1155"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100</w:t>
            </w:r>
          </w:p>
        </w:tc>
      </w:tr>
      <w:tr w:rsidR="00000000">
        <w:tblPrEx>
          <w:tblCellMar>
            <w:top w:w="0" w:type="dxa"/>
            <w:bottom w:w="0" w:type="dxa"/>
          </w:tblCellMar>
        </w:tblPrEx>
        <w:tc>
          <w:tcPr>
            <w:tcW w:w="6108" w:type="dxa"/>
          </w:tcPr>
          <w:p w:rsidR="00000000" w:rsidRDefault="00000000">
            <w:pPr>
              <w:spacing w:before="120" w:after="60" w:line="240" w:lineRule="auto"/>
              <w:rPr>
                <w:rFonts w:hint="eastAsia"/>
                <w:spacing w:val="4"/>
                <w:sz w:val="21"/>
              </w:rPr>
            </w:pPr>
            <w:r>
              <w:rPr>
                <w:rFonts w:hint="eastAsia"/>
                <w:spacing w:val="4"/>
                <w:sz w:val="21"/>
              </w:rPr>
              <w:t>受扶养人比率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人中不足</w:t>
            </w:r>
            <w:r>
              <w:rPr>
                <w:rFonts w:hint="eastAsia"/>
                <w:spacing w:val="4"/>
                <w:sz w:val="21"/>
              </w:rPr>
              <w:t>15</w:t>
            </w:r>
            <w:r>
              <w:rPr>
                <w:rFonts w:hint="eastAsia"/>
                <w:spacing w:val="4"/>
                <w:sz w:val="21"/>
              </w:rPr>
              <w:t>岁的人以及</w:t>
            </w:r>
            <w:r>
              <w:rPr>
                <w:rFonts w:hint="eastAsia"/>
                <w:spacing w:val="4"/>
                <w:sz w:val="21"/>
              </w:rPr>
              <w:t>65</w:t>
            </w:r>
            <w:r>
              <w:rPr>
                <w:rFonts w:hint="eastAsia"/>
                <w:spacing w:val="4"/>
                <w:sz w:val="21"/>
              </w:rPr>
              <w:t>岁和</w:t>
            </w:r>
            <w:r>
              <w:rPr>
                <w:rFonts w:hint="eastAsia"/>
                <w:spacing w:val="4"/>
                <w:sz w:val="21"/>
              </w:rPr>
              <w:t>65</w:t>
            </w:r>
            <w:r>
              <w:rPr>
                <w:rFonts w:hint="eastAsia"/>
                <w:spacing w:val="4"/>
                <w:sz w:val="21"/>
              </w:rPr>
              <w:t>岁以上的人的人数</w:t>
            </w:r>
            <w:r>
              <w:rPr>
                <w:rFonts w:hint="eastAsia"/>
                <w:spacing w:val="4"/>
                <w:sz w:val="21"/>
              </w:rPr>
              <w:t>)</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541.8</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519.9</w:t>
            </w:r>
          </w:p>
        </w:tc>
        <w:tc>
          <w:tcPr>
            <w:tcW w:w="1155"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502.4</w:t>
            </w:r>
          </w:p>
        </w:tc>
      </w:tr>
      <w:tr w:rsidR="00000000">
        <w:tblPrEx>
          <w:tblCellMar>
            <w:top w:w="0" w:type="dxa"/>
            <w:bottom w:w="0" w:type="dxa"/>
          </w:tblCellMar>
        </w:tblPrEx>
        <w:tc>
          <w:tcPr>
            <w:tcW w:w="6108" w:type="dxa"/>
          </w:tcPr>
          <w:p w:rsidR="00000000" w:rsidRDefault="00000000">
            <w:pPr>
              <w:spacing w:before="120" w:after="60" w:line="240" w:lineRule="auto"/>
              <w:rPr>
                <w:rFonts w:hint="eastAsia"/>
                <w:spacing w:val="4"/>
                <w:sz w:val="21"/>
              </w:rPr>
            </w:pPr>
            <w:r>
              <w:rPr>
                <w:rFonts w:hint="eastAsia"/>
                <w:spacing w:val="4"/>
                <w:sz w:val="21"/>
              </w:rPr>
              <w:t>粗结婚率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人中的结婚次数，年中</w:t>
            </w:r>
            <w:r>
              <w:rPr>
                <w:rFonts w:hint="eastAsia"/>
                <w:spacing w:val="4"/>
                <w:sz w:val="21"/>
              </w:rPr>
              <w:t>)</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5.3</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5.6</w:t>
            </w:r>
          </w:p>
        </w:tc>
        <w:tc>
          <w:tcPr>
            <w:tcW w:w="1155"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5.8</w:t>
            </w:r>
          </w:p>
        </w:tc>
      </w:tr>
      <w:tr w:rsidR="00000000">
        <w:tblPrEx>
          <w:tblCellMar>
            <w:top w:w="0" w:type="dxa"/>
            <w:bottom w:w="0" w:type="dxa"/>
          </w:tblCellMar>
        </w:tblPrEx>
        <w:tc>
          <w:tcPr>
            <w:tcW w:w="6108" w:type="dxa"/>
          </w:tcPr>
          <w:p w:rsidR="00000000" w:rsidRDefault="00000000">
            <w:pPr>
              <w:spacing w:before="120" w:after="60" w:line="240" w:lineRule="auto"/>
              <w:rPr>
                <w:rFonts w:hint="eastAsia"/>
                <w:spacing w:val="4"/>
                <w:sz w:val="21"/>
              </w:rPr>
            </w:pPr>
            <w:r>
              <w:rPr>
                <w:rFonts w:hint="eastAsia"/>
                <w:spacing w:val="4"/>
                <w:sz w:val="21"/>
              </w:rPr>
              <w:t>粗离婚率</w:t>
            </w:r>
            <w:r>
              <w:rPr>
                <w:rFonts w:hint="eastAsia"/>
                <w:spacing w:val="4"/>
                <w:sz w:val="21"/>
              </w:rPr>
              <w:t>(</w:t>
            </w:r>
            <w:r>
              <w:rPr>
                <w:rFonts w:hint="eastAsia"/>
                <w:spacing w:val="4"/>
                <w:sz w:val="21"/>
              </w:rPr>
              <w:t>每</w:t>
            </w:r>
            <w:r>
              <w:rPr>
                <w:rFonts w:hint="eastAsia"/>
                <w:spacing w:val="4"/>
                <w:sz w:val="21"/>
              </w:rPr>
              <w:t>1,000</w:t>
            </w:r>
            <w:r>
              <w:rPr>
                <w:rFonts w:hint="eastAsia"/>
                <w:spacing w:val="4"/>
                <w:sz w:val="21"/>
              </w:rPr>
              <w:t>人中的离婚次数，年中</w:t>
            </w:r>
            <w:r>
              <w:rPr>
                <w:rFonts w:hint="eastAsia"/>
                <w:spacing w:val="4"/>
                <w:sz w:val="21"/>
              </w:rPr>
              <w:t>)</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0.8</w:t>
            </w:r>
          </w:p>
        </w:tc>
        <w:tc>
          <w:tcPr>
            <w:tcW w:w="1154"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1.2</w:t>
            </w:r>
          </w:p>
        </w:tc>
        <w:tc>
          <w:tcPr>
            <w:tcW w:w="1155" w:type="dxa"/>
          </w:tcPr>
          <w:p w:rsidR="00000000" w:rsidRDefault="00000000">
            <w:pPr>
              <w:tabs>
                <w:tab w:val="decimal" w:pos="522"/>
              </w:tabs>
              <w:spacing w:before="120" w:line="240" w:lineRule="auto"/>
              <w:ind w:left="-85"/>
              <w:rPr>
                <w:rFonts w:hint="eastAsia"/>
                <w:spacing w:val="4"/>
                <w:sz w:val="21"/>
              </w:rPr>
            </w:pPr>
            <w:r>
              <w:rPr>
                <w:rFonts w:hint="eastAsia"/>
                <w:spacing w:val="4"/>
                <w:sz w:val="21"/>
              </w:rPr>
              <w:t>1.0</w:t>
            </w:r>
          </w:p>
        </w:tc>
      </w:tr>
    </w:tbl>
    <w:p w:rsidR="00000000" w:rsidRDefault="00000000">
      <w:pPr>
        <w:spacing w:before="240" w:line="384" w:lineRule="auto"/>
        <w:rPr>
          <w:rFonts w:hint="eastAsia"/>
        </w:rPr>
      </w:pPr>
      <w:r>
        <w:rPr>
          <w:rFonts w:hint="eastAsia"/>
        </w:rPr>
        <w:tab/>
        <w:t xml:space="preserve">7.  </w:t>
      </w:r>
      <w:r>
        <w:rPr>
          <w:rFonts w:hint="eastAsia"/>
        </w:rPr>
        <w:t>特立尼达和多巴哥以其种族多样性著称，人口中约有</w:t>
      </w:r>
      <w:r>
        <w:rPr>
          <w:rFonts w:hint="eastAsia"/>
        </w:rPr>
        <w:t>40.3%</w:t>
      </w:r>
      <w:r>
        <w:rPr>
          <w:rFonts w:hint="eastAsia"/>
        </w:rPr>
        <w:t>是东印第安人的后裔，</w:t>
      </w:r>
      <w:r>
        <w:rPr>
          <w:rFonts w:hint="eastAsia"/>
        </w:rPr>
        <w:t>39.6%</w:t>
      </w:r>
      <w:r>
        <w:rPr>
          <w:rFonts w:hint="eastAsia"/>
        </w:rPr>
        <w:t>是非洲人后裔，</w:t>
      </w:r>
      <w:r>
        <w:rPr>
          <w:rFonts w:hint="eastAsia"/>
        </w:rPr>
        <w:t>0.6%</w:t>
      </w:r>
      <w:r>
        <w:rPr>
          <w:rFonts w:hint="eastAsia"/>
        </w:rPr>
        <w:t>是白人，</w:t>
      </w:r>
      <w:r>
        <w:rPr>
          <w:rFonts w:hint="eastAsia"/>
        </w:rPr>
        <w:t>0.4%</w:t>
      </w:r>
      <w:r>
        <w:rPr>
          <w:rFonts w:hint="eastAsia"/>
        </w:rPr>
        <w:t>是华人，</w:t>
      </w:r>
      <w:r>
        <w:rPr>
          <w:rFonts w:hint="eastAsia"/>
        </w:rPr>
        <w:t>18.4%</w:t>
      </w:r>
      <w:r>
        <w:rPr>
          <w:rFonts w:hint="eastAsia"/>
        </w:rPr>
        <w:t>是混血人种，</w:t>
      </w:r>
      <w:r>
        <w:rPr>
          <w:rFonts w:hint="eastAsia"/>
        </w:rPr>
        <w:t>0.2%</w:t>
      </w:r>
      <w:r>
        <w:rPr>
          <w:rFonts w:hint="eastAsia"/>
        </w:rPr>
        <w:t>是其他人种，而</w:t>
      </w:r>
      <w:r>
        <w:rPr>
          <w:rFonts w:hint="eastAsia"/>
        </w:rPr>
        <w:t>0.4%</w:t>
      </w:r>
      <w:r>
        <w:rPr>
          <w:rFonts w:hint="eastAsia"/>
        </w:rPr>
        <w:t>未表明其种族</w:t>
      </w:r>
      <w:r>
        <w:rPr>
          <w:rFonts w:hint="eastAsia"/>
        </w:rPr>
        <w:t>(1990</w:t>
      </w:r>
      <w:r>
        <w:rPr>
          <w:rFonts w:hint="eastAsia"/>
        </w:rPr>
        <w:t>年人口普查</w:t>
      </w:r>
      <w:r>
        <w:rPr>
          <w:rFonts w:hint="eastAsia"/>
        </w:rPr>
        <w:t>)</w:t>
      </w:r>
      <w:r>
        <w:rPr>
          <w:rFonts w:hint="eastAsia"/>
        </w:rPr>
        <w:t>。</w:t>
      </w:r>
    </w:p>
    <w:p w:rsidR="00000000" w:rsidRDefault="00000000">
      <w:pPr>
        <w:spacing w:line="384" w:lineRule="auto"/>
        <w:rPr>
          <w:rFonts w:hint="eastAsia"/>
        </w:rPr>
      </w:pPr>
      <w:r>
        <w:rPr>
          <w:rFonts w:hint="eastAsia"/>
        </w:rPr>
        <w:tab/>
        <w:t xml:space="preserve">8.  </w:t>
      </w:r>
      <w:r>
        <w:rPr>
          <w:rFonts w:hint="eastAsia"/>
        </w:rPr>
        <w:t>种族容忍精神允许积极地信奉多种宗教信仰。人口中大多数信奉基督教、印度教、伊斯兰教或约鲁巴教。该国每一个重要的宗教都享有一天公共假期。</w:t>
      </w:r>
    </w:p>
    <w:p w:rsidR="00000000" w:rsidRDefault="00000000">
      <w:pPr>
        <w:spacing w:after="160" w:line="384" w:lineRule="auto"/>
        <w:rPr>
          <w:rFonts w:hint="eastAsia"/>
        </w:rPr>
      </w:pPr>
      <w:r>
        <w:rPr>
          <w:rFonts w:hint="eastAsia"/>
        </w:rPr>
        <w:tab/>
        <w:t xml:space="preserve">9.  </w:t>
      </w:r>
      <w:r>
        <w:rPr>
          <w:rFonts w:hint="eastAsia"/>
        </w:rPr>
        <w:t>特立尼达和多巴哥的官方语言是英语。按人口百分比计的识字率</w:t>
      </w:r>
      <w:r>
        <w:rPr>
          <w:rFonts w:hint="eastAsia"/>
        </w:rPr>
        <w:t>(1994</w:t>
      </w:r>
      <w:r>
        <w:rPr>
          <w:rFonts w:hint="eastAsia"/>
        </w:rPr>
        <w:t>年统计数字</w:t>
      </w:r>
      <w:r>
        <w:rPr>
          <w:rFonts w:hint="eastAsia"/>
        </w:rPr>
        <w:t>)</w:t>
      </w:r>
      <w:r>
        <w:rPr>
          <w:rFonts w:hint="eastAsia"/>
        </w:rPr>
        <w:t>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000000">
        <w:tblPrEx>
          <w:tblCellMar>
            <w:top w:w="0" w:type="dxa"/>
            <w:bottom w:w="0" w:type="dxa"/>
          </w:tblCellMar>
        </w:tblPrEx>
        <w:tc>
          <w:tcPr>
            <w:tcW w:w="2392" w:type="dxa"/>
          </w:tcPr>
          <w:p w:rsidR="00000000" w:rsidRDefault="00000000">
            <w:pPr>
              <w:spacing w:before="160" w:after="20" w:line="240" w:lineRule="auto"/>
              <w:jc w:val="center"/>
              <w:rPr>
                <w:rFonts w:hint="eastAsia"/>
                <w:spacing w:val="4"/>
                <w:sz w:val="21"/>
              </w:rPr>
            </w:pPr>
            <w:r>
              <w:rPr>
                <w:rFonts w:hint="eastAsia"/>
                <w:spacing w:val="4"/>
                <w:sz w:val="21"/>
              </w:rPr>
              <w:t>识字水平</w:t>
            </w:r>
          </w:p>
        </w:tc>
        <w:tc>
          <w:tcPr>
            <w:tcW w:w="2393" w:type="dxa"/>
          </w:tcPr>
          <w:p w:rsidR="00000000" w:rsidRDefault="00000000">
            <w:pPr>
              <w:spacing w:before="160" w:after="20" w:line="240" w:lineRule="auto"/>
              <w:jc w:val="center"/>
              <w:rPr>
                <w:rFonts w:hint="eastAsia"/>
                <w:spacing w:val="4"/>
                <w:sz w:val="21"/>
              </w:rPr>
            </w:pPr>
            <w:r>
              <w:rPr>
                <w:rFonts w:hint="eastAsia"/>
                <w:spacing w:val="4"/>
                <w:sz w:val="21"/>
              </w:rPr>
              <w:t>男</w:t>
            </w:r>
          </w:p>
        </w:tc>
        <w:tc>
          <w:tcPr>
            <w:tcW w:w="2393" w:type="dxa"/>
          </w:tcPr>
          <w:p w:rsidR="00000000" w:rsidRDefault="00000000">
            <w:pPr>
              <w:spacing w:before="160" w:after="20" w:line="240" w:lineRule="auto"/>
              <w:jc w:val="center"/>
              <w:rPr>
                <w:rFonts w:hint="eastAsia"/>
                <w:spacing w:val="4"/>
                <w:sz w:val="21"/>
              </w:rPr>
            </w:pPr>
            <w:r>
              <w:rPr>
                <w:rFonts w:hint="eastAsia"/>
                <w:spacing w:val="4"/>
                <w:sz w:val="21"/>
              </w:rPr>
              <w:t>女</w:t>
            </w:r>
          </w:p>
        </w:tc>
        <w:tc>
          <w:tcPr>
            <w:tcW w:w="2393" w:type="dxa"/>
          </w:tcPr>
          <w:p w:rsidR="00000000" w:rsidRDefault="00000000">
            <w:pPr>
              <w:spacing w:before="160" w:after="20" w:line="240" w:lineRule="auto"/>
              <w:jc w:val="center"/>
              <w:rPr>
                <w:rFonts w:hint="eastAsia"/>
                <w:spacing w:val="4"/>
                <w:sz w:val="21"/>
              </w:rPr>
            </w:pPr>
            <w:r>
              <w:rPr>
                <w:rFonts w:hint="eastAsia"/>
                <w:spacing w:val="4"/>
                <w:sz w:val="21"/>
              </w:rPr>
              <w:t>共</w:t>
            </w:r>
            <w:r>
              <w:rPr>
                <w:rFonts w:hint="eastAsia"/>
                <w:spacing w:val="4"/>
                <w:sz w:val="21"/>
              </w:rPr>
              <w:t xml:space="preserve">  </w:t>
            </w:r>
            <w:r>
              <w:rPr>
                <w:rFonts w:hint="eastAsia"/>
                <w:spacing w:val="4"/>
                <w:sz w:val="21"/>
              </w:rPr>
              <w:t>计</w:t>
            </w:r>
          </w:p>
        </w:tc>
      </w:tr>
      <w:tr w:rsidR="00000000">
        <w:tblPrEx>
          <w:tblCellMar>
            <w:top w:w="0" w:type="dxa"/>
            <w:bottom w:w="0" w:type="dxa"/>
          </w:tblCellMar>
        </w:tblPrEx>
        <w:tc>
          <w:tcPr>
            <w:tcW w:w="2392" w:type="dxa"/>
          </w:tcPr>
          <w:p w:rsidR="00000000" w:rsidRDefault="00000000">
            <w:pPr>
              <w:spacing w:before="120" w:after="20" w:line="240" w:lineRule="auto"/>
              <w:ind w:left="170"/>
              <w:rPr>
                <w:rFonts w:hint="eastAsia"/>
                <w:spacing w:val="4"/>
                <w:sz w:val="21"/>
              </w:rPr>
            </w:pPr>
            <w:r>
              <w:rPr>
                <w:rFonts w:hint="eastAsia"/>
                <w:spacing w:val="4"/>
                <w:sz w:val="21"/>
              </w:rPr>
              <w:t>实用识字</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79.6</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77.8</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77.4</w:t>
            </w:r>
          </w:p>
        </w:tc>
      </w:tr>
      <w:tr w:rsidR="00000000">
        <w:tblPrEx>
          <w:tblCellMar>
            <w:top w:w="0" w:type="dxa"/>
            <w:bottom w:w="0" w:type="dxa"/>
          </w:tblCellMar>
        </w:tblPrEx>
        <w:tc>
          <w:tcPr>
            <w:tcW w:w="2392" w:type="dxa"/>
          </w:tcPr>
          <w:p w:rsidR="00000000" w:rsidRDefault="00000000">
            <w:pPr>
              <w:spacing w:before="120" w:after="20" w:line="240" w:lineRule="auto"/>
              <w:ind w:left="170"/>
              <w:rPr>
                <w:rFonts w:hint="eastAsia"/>
                <w:spacing w:val="4"/>
                <w:sz w:val="21"/>
              </w:rPr>
            </w:pPr>
            <w:r>
              <w:rPr>
                <w:rFonts w:hint="eastAsia"/>
                <w:spacing w:val="4"/>
                <w:sz w:val="21"/>
              </w:rPr>
              <w:t>半文盲</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15.6</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13.8</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14.6</w:t>
            </w:r>
          </w:p>
        </w:tc>
      </w:tr>
      <w:tr w:rsidR="00000000">
        <w:tblPrEx>
          <w:tblCellMar>
            <w:top w:w="0" w:type="dxa"/>
            <w:bottom w:w="0" w:type="dxa"/>
          </w:tblCellMar>
        </w:tblPrEx>
        <w:tc>
          <w:tcPr>
            <w:tcW w:w="2392" w:type="dxa"/>
          </w:tcPr>
          <w:p w:rsidR="00000000" w:rsidRDefault="00000000">
            <w:pPr>
              <w:spacing w:before="120" w:after="20" w:line="240" w:lineRule="auto"/>
              <w:ind w:left="170"/>
              <w:rPr>
                <w:rFonts w:hint="eastAsia"/>
                <w:spacing w:val="4"/>
                <w:sz w:val="21"/>
              </w:rPr>
            </w:pPr>
            <w:r>
              <w:rPr>
                <w:rFonts w:hint="eastAsia"/>
                <w:spacing w:val="4"/>
                <w:sz w:val="21"/>
              </w:rPr>
              <w:t>文</w:t>
            </w:r>
            <w:r>
              <w:rPr>
                <w:rFonts w:hint="eastAsia"/>
                <w:spacing w:val="4"/>
                <w:sz w:val="21"/>
              </w:rPr>
              <w:t xml:space="preserve">  </w:t>
            </w:r>
            <w:r>
              <w:rPr>
                <w:rFonts w:hint="eastAsia"/>
                <w:spacing w:val="4"/>
                <w:sz w:val="21"/>
              </w:rPr>
              <w:t>盲</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7.5</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8.4</w:t>
            </w:r>
          </w:p>
        </w:tc>
        <w:tc>
          <w:tcPr>
            <w:tcW w:w="2393" w:type="dxa"/>
          </w:tcPr>
          <w:p w:rsidR="00000000" w:rsidRDefault="00000000">
            <w:pPr>
              <w:spacing w:before="120" w:after="20" w:line="240" w:lineRule="auto"/>
              <w:ind w:right="964"/>
              <w:jc w:val="right"/>
              <w:rPr>
                <w:rFonts w:hint="eastAsia"/>
                <w:spacing w:val="4"/>
                <w:sz w:val="21"/>
              </w:rPr>
            </w:pPr>
            <w:r>
              <w:rPr>
                <w:rFonts w:hint="eastAsia"/>
                <w:spacing w:val="4"/>
                <w:sz w:val="21"/>
              </w:rPr>
              <w:t>8.0</w:t>
            </w:r>
          </w:p>
        </w:tc>
      </w:tr>
    </w:tbl>
    <w:p w:rsidR="00000000" w:rsidRDefault="00000000">
      <w:pPr>
        <w:spacing w:before="240"/>
        <w:rPr>
          <w:rFonts w:hint="eastAsia"/>
        </w:rPr>
      </w:pPr>
      <w:r>
        <w:rPr>
          <w:rFonts w:hint="eastAsia"/>
        </w:rPr>
        <w:tab/>
        <w:t xml:space="preserve">10.  </w:t>
      </w:r>
      <w:r>
        <w:rPr>
          <w:rFonts w:hint="eastAsia"/>
        </w:rPr>
        <w:t>特立尼达和多巴哥的教育制度分为公立和私立学校。小学为</w:t>
      </w:r>
      <w:r>
        <w:rPr>
          <w:rFonts w:hint="eastAsia"/>
        </w:rPr>
        <w:t>5</w:t>
      </w:r>
      <w:r>
        <w:rPr>
          <w:rFonts w:hint="eastAsia"/>
        </w:rPr>
        <w:t>至</w:t>
      </w:r>
      <w:r>
        <w:rPr>
          <w:rFonts w:hint="eastAsia"/>
        </w:rPr>
        <w:t>12</w:t>
      </w:r>
      <w:r>
        <w:rPr>
          <w:rFonts w:hint="eastAsia"/>
        </w:rPr>
        <w:t>岁儿童的学校，中学为</w:t>
      </w:r>
      <w:r>
        <w:rPr>
          <w:rFonts w:hint="eastAsia"/>
        </w:rPr>
        <w:t>12</w:t>
      </w:r>
      <w:r>
        <w:rPr>
          <w:rFonts w:hint="eastAsia"/>
        </w:rPr>
        <w:t>至</w:t>
      </w:r>
      <w:r>
        <w:rPr>
          <w:rFonts w:hint="eastAsia"/>
        </w:rPr>
        <w:t>20</w:t>
      </w:r>
      <w:r>
        <w:rPr>
          <w:rFonts w:hint="eastAsia"/>
        </w:rPr>
        <w:t>岁学生的学校。公立的政府学校以及政府资助的教会学校在中小学各级提供免费教育，直到相当于</w:t>
      </w:r>
      <w:r>
        <w:rPr>
          <w:rFonts w:hint="eastAsia"/>
        </w:rPr>
        <w:t>12</w:t>
      </w:r>
      <w:r>
        <w:rPr>
          <w:rFonts w:hint="eastAsia"/>
        </w:rPr>
        <w:t>年级的英文学校中学五年级。成绩优良的学生再接受两年免费教育，参加由英国剑桥大学和伦敦大学举办的高级考试。还有若干私立小学和中学。目前全国各地约有</w:t>
      </w:r>
      <w:r>
        <w:rPr>
          <w:rFonts w:hint="eastAsia"/>
        </w:rPr>
        <w:t>155</w:t>
      </w:r>
      <w:r>
        <w:rPr>
          <w:rFonts w:hint="eastAsia"/>
        </w:rPr>
        <w:t>所中学和</w:t>
      </w:r>
      <w:r>
        <w:rPr>
          <w:rFonts w:hint="eastAsia"/>
        </w:rPr>
        <w:t>477</w:t>
      </w:r>
      <w:r>
        <w:rPr>
          <w:rFonts w:hint="eastAsia"/>
        </w:rPr>
        <w:t>所小学。在</w:t>
      </w:r>
      <w:r>
        <w:rPr>
          <w:rFonts w:hint="eastAsia"/>
        </w:rPr>
        <w:t>1998/1999</w:t>
      </w:r>
      <w:r>
        <w:rPr>
          <w:rFonts w:hint="eastAsia"/>
        </w:rPr>
        <w:t>学年，小学在校学生总数为</w:t>
      </w:r>
      <w:r>
        <w:rPr>
          <w:rFonts w:hint="eastAsia"/>
        </w:rPr>
        <w:t>169,580</w:t>
      </w:r>
      <w:r>
        <w:rPr>
          <w:rFonts w:hint="eastAsia"/>
        </w:rPr>
        <w:t>人。全国各地有若干学校提供高等教育，其中包括位于特立尼达</w:t>
      </w:r>
      <w:r>
        <w:rPr>
          <w:rFonts w:hint="eastAsia"/>
        </w:rPr>
        <w:t>St.Augustine</w:t>
      </w:r>
      <w:r>
        <w:rPr>
          <w:rFonts w:hint="eastAsia"/>
        </w:rPr>
        <w:t>校园的西印度大学。特立尼达还设有一所法学院和一所医学院。学生还可以在津贴很高的由政府资助的学校中接受高等教育。</w:t>
      </w:r>
    </w:p>
    <w:p w:rsidR="00000000" w:rsidRDefault="00000000">
      <w:pPr>
        <w:rPr>
          <w:rFonts w:hint="eastAsia"/>
        </w:rPr>
      </w:pPr>
      <w:r>
        <w:rPr>
          <w:rFonts w:hint="eastAsia"/>
        </w:rPr>
        <w:tab/>
        <w:t xml:space="preserve">11.  </w:t>
      </w:r>
      <w:r>
        <w:rPr>
          <w:rFonts w:hint="eastAsia"/>
        </w:rPr>
        <w:t>在最近重大的金融和经济改革之后，特立尼达和多巴哥的经济在过去五年期间一直有着实际的增长。</w:t>
      </w:r>
      <w:r>
        <w:rPr>
          <w:rFonts w:hint="eastAsia"/>
        </w:rPr>
        <w:t>1998</w:t>
      </w:r>
      <w:r>
        <w:rPr>
          <w:rFonts w:hint="eastAsia"/>
        </w:rPr>
        <w:t>年的经济增长了</w:t>
      </w:r>
      <w:r>
        <w:rPr>
          <w:rFonts w:hint="eastAsia"/>
        </w:rPr>
        <w:t>3.6%</w:t>
      </w:r>
      <w:r>
        <w:rPr>
          <w:rFonts w:hint="eastAsia"/>
        </w:rPr>
        <w:t>，</w:t>
      </w:r>
      <w:r>
        <w:rPr>
          <w:rFonts w:hint="eastAsia"/>
        </w:rPr>
        <w:t>1999</w:t>
      </w:r>
      <w:r>
        <w:rPr>
          <w:rFonts w:hint="eastAsia"/>
        </w:rPr>
        <w:t>年头三个月增长了</w:t>
      </w:r>
      <w:r>
        <w:rPr>
          <w:rFonts w:hint="eastAsia"/>
        </w:rPr>
        <w:t>0.9%</w:t>
      </w:r>
      <w:r>
        <w:rPr>
          <w:rFonts w:hint="eastAsia"/>
        </w:rPr>
        <w:t>。</w:t>
      </w:r>
    </w:p>
    <w:p w:rsidR="00000000" w:rsidRDefault="00000000">
      <w:pPr>
        <w:rPr>
          <w:rFonts w:hint="eastAsia"/>
        </w:rPr>
      </w:pPr>
      <w:r>
        <w:rPr>
          <w:rFonts w:hint="eastAsia"/>
        </w:rPr>
        <w:tab/>
        <w:t xml:space="preserve">12.  </w:t>
      </w:r>
      <w:r>
        <w:rPr>
          <w:rFonts w:hint="eastAsia"/>
        </w:rPr>
        <w:t>主要的经济部门是：</w:t>
      </w:r>
      <w:r>
        <w:rPr>
          <w:rFonts w:hint="eastAsia"/>
        </w:rPr>
        <w:t>(</w:t>
      </w:r>
      <w:r>
        <w:rPr>
          <w:rFonts w:hint="eastAsia"/>
        </w:rPr>
        <w:t>一</w:t>
      </w:r>
      <w:r>
        <w:rPr>
          <w:rFonts w:hint="eastAsia"/>
        </w:rPr>
        <w:t xml:space="preserve">) </w:t>
      </w:r>
      <w:r>
        <w:rPr>
          <w:rFonts w:hint="eastAsia"/>
        </w:rPr>
        <w:t>石油、煤气和石油化学产品，</w:t>
      </w:r>
      <w:r>
        <w:rPr>
          <w:rFonts w:hint="eastAsia"/>
        </w:rPr>
        <w:t>(</w:t>
      </w:r>
      <w:r>
        <w:rPr>
          <w:rFonts w:hint="eastAsia"/>
        </w:rPr>
        <w:t>二</w:t>
      </w:r>
      <w:r>
        <w:rPr>
          <w:rFonts w:hint="eastAsia"/>
        </w:rPr>
        <w:t xml:space="preserve">) </w:t>
      </w:r>
      <w:r>
        <w:rPr>
          <w:rFonts w:hint="eastAsia"/>
        </w:rPr>
        <w:t>运销，</w:t>
      </w:r>
      <w:r>
        <w:rPr>
          <w:rFonts w:hint="eastAsia"/>
        </w:rPr>
        <w:t>(</w:t>
      </w:r>
      <w:r>
        <w:rPr>
          <w:rFonts w:hint="eastAsia"/>
        </w:rPr>
        <w:t>三</w:t>
      </w:r>
      <w:r>
        <w:rPr>
          <w:rFonts w:hint="eastAsia"/>
        </w:rPr>
        <w:t xml:space="preserve">) </w:t>
      </w:r>
      <w:r>
        <w:rPr>
          <w:rFonts w:hint="eastAsia"/>
        </w:rPr>
        <w:t>金融、保险和房地产，</w:t>
      </w:r>
      <w:r>
        <w:rPr>
          <w:rFonts w:hint="eastAsia"/>
        </w:rPr>
        <w:t>(</w:t>
      </w:r>
      <w:r>
        <w:rPr>
          <w:rFonts w:hint="eastAsia"/>
        </w:rPr>
        <w:t>四</w:t>
      </w:r>
      <w:r>
        <w:rPr>
          <w:rFonts w:hint="eastAsia"/>
        </w:rPr>
        <w:t xml:space="preserve">) </w:t>
      </w:r>
      <w:r>
        <w:rPr>
          <w:rFonts w:hint="eastAsia"/>
        </w:rPr>
        <w:t>建筑，</w:t>
      </w:r>
      <w:r>
        <w:rPr>
          <w:rFonts w:hint="eastAsia"/>
        </w:rPr>
        <w:t>(</w:t>
      </w:r>
      <w:r>
        <w:rPr>
          <w:rFonts w:hint="eastAsia"/>
        </w:rPr>
        <w:t>五</w:t>
      </w:r>
      <w:r>
        <w:rPr>
          <w:rFonts w:hint="eastAsia"/>
        </w:rPr>
        <w:t xml:space="preserve">) </w:t>
      </w:r>
      <w:r>
        <w:rPr>
          <w:rFonts w:hint="eastAsia"/>
        </w:rPr>
        <w:t>运输、储存和通讯，</w:t>
      </w:r>
      <w:r>
        <w:rPr>
          <w:rFonts w:hint="eastAsia"/>
        </w:rPr>
        <w:t>(</w:t>
      </w:r>
      <w:r>
        <w:rPr>
          <w:rFonts w:hint="eastAsia"/>
        </w:rPr>
        <w:t>六</w:t>
      </w:r>
      <w:r>
        <w:rPr>
          <w:rFonts w:hint="eastAsia"/>
        </w:rPr>
        <w:t xml:space="preserve">) </w:t>
      </w:r>
      <w:r>
        <w:rPr>
          <w:rFonts w:hint="eastAsia"/>
        </w:rPr>
        <w:t>治理，</w:t>
      </w:r>
      <w:r>
        <w:rPr>
          <w:rFonts w:hint="eastAsia"/>
        </w:rPr>
        <w:t>(</w:t>
      </w:r>
      <w:r>
        <w:rPr>
          <w:rFonts w:hint="eastAsia"/>
        </w:rPr>
        <w:t>七</w:t>
      </w:r>
      <w:r>
        <w:rPr>
          <w:rFonts w:hint="eastAsia"/>
        </w:rPr>
        <w:t xml:space="preserve">) </w:t>
      </w:r>
      <w:r>
        <w:rPr>
          <w:rFonts w:hint="eastAsia"/>
        </w:rPr>
        <w:t>制造业，</w:t>
      </w:r>
      <w:r>
        <w:rPr>
          <w:rFonts w:hint="eastAsia"/>
        </w:rPr>
        <w:t>(</w:t>
      </w:r>
      <w:r>
        <w:rPr>
          <w:rFonts w:hint="eastAsia"/>
        </w:rPr>
        <w:t>八</w:t>
      </w:r>
      <w:r>
        <w:rPr>
          <w:rFonts w:hint="eastAsia"/>
        </w:rPr>
        <w:t xml:space="preserve">) </w:t>
      </w:r>
      <w:r>
        <w:rPr>
          <w:rFonts w:hint="eastAsia"/>
        </w:rPr>
        <w:t>其他服务事业，包括旅馆、宾馆、教育、社区服务和个人服务，</w:t>
      </w:r>
      <w:r>
        <w:rPr>
          <w:rFonts w:hint="eastAsia"/>
        </w:rPr>
        <w:t>(</w:t>
      </w:r>
      <w:r>
        <w:rPr>
          <w:rFonts w:hint="eastAsia"/>
        </w:rPr>
        <w:t>九</w:t>
      </w:r>
      <w:r>
        <w:rPr>
          <w:rFonts w:hint="eastAsia"/>
        </w:rPr>
        <w:t xml:space="preserve">) </w:t>
      </w:r>
      <w:r>
        <w:rPr>
          <w:rFonts w:hint="eastAsia"/>
        </w:rPr>
        <w:t>电力和水，以及</w:t>
      </w:r>
      <w:r>
        <w:rPr>
          <w:rFonts w:hint="eastAsia"/>
        </w:rPr>
        <w:t>(</w:t>
      </w:r>
      <w:r>
        <w:rPr>
          <w:rFonts w:hint="eastAsia"/>
        </w:rPr>
        <w:t>十</w:t>
      </w:r>
      <w:r>
        <w:rPr>
          <w:rFonts w:hint="eastAsia"/>
        </w:rPr>
        <w:t xml:space="preserve">) </w:t>
      </w:r>
      <w:r>
        <w:rPr>
          <w:rFonts w:hint="eastAsia"/>
        </w:rPr>
        <w:t>农业。</w:t>
      </w:r>
    </w:p>
    <w:p w:rsidR="00000000" w:rsidRDefault="00000000">
      <w:pPr>
        <w:rPr>
          <w:rFonts w:hint="eastAsia"/>
        </w:rPr>
      </w:pPr>
      <w:r>
        <w:rPr>
          <w:rFonts w:hint="eastAsia"/>
        </w:rPr>
        <w:tab/>
        <w:t xml:space="preserve">13.  </w:t>
      </w:r>
      <w:r>
        <w:rPr>
          <w:rFonts w:hint="eastAsia"/>
        </w:rPr>
        <w:t>该国经济在很大程度上依靠能源和与能源有关的部门赚取其大部分出口收益。这些部门包括石油和石油化学工业，以及其他使用天然气作为原料，生产甲醇、肥料、液态天然气以及钢铁产品的其他重工业。目前有八座世界规模的制氨工厂，四座制甲醇工厂，一座尿素工厂，一座钢铁厂，一座天然气处理所以及最近开始使用的一座天然气液化工厂。</w:t>
      </w:r>
    </w:p>
    <w:p w:rsidR="00000000" w:rsidRDefault="00000000">
      <w:pPr>
        <w:pageBreakBefore/>
        <w:spacing w:after="160"/>
        <w:rPr>
          <w:rFonts w:hint="eastAsia"/>
        </w:rPr>
      </w:pPr>
      <w:r>
        <w:rPr>
          <w:rFonts w:hint="eastAsia"/>
        </w:rPr>
        <w:tab/>
        <w:t xml:space="preserve">14.  </w:t>
      </w:r>
      <w:r>
        <w:rPr>
          <w:rFonts w:hint="eastAsia"/>
        </w:rPr>
        <w:t>国内生产总值：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343"/>
      </w:tblGrid>
      <w:tr w:rsidR="00000000">
        <w:tblPrEx>
          <w:tblCellMar>
            <w:top w:w="0" w:type="dxa"/>
            <w:bottom w:w="0" w:type="dxa"/>
          </w:tblCellMar>
        </w:tblPrEx>
        <w:tc>
          <w:tcPr>
            <w:tcW w:w="3228" w:type="dxa"/>
          </w:tcPr>
          <w:p w:rsidR="00000000" w:rsidRDefault="00000000">
            <w:pPr>
              <w:spacing w:before="160" w:line="288" w:lineRule="auto"/>
              <w:jc w:val="center"/>
              <w:rPr>
                <w:rFonts w:hint="eastAsia"/>
                <w:sz w:val="21"/>
              </w:rPr>
            </w:pPr>
            <w:r>
              <w:rPr>
                <w:rFonts w:hint="eastAsia"/>
                <w:sz w:val="21"/>
              </w:rPr>
              <w:t>年</w:t>
            </w:r>
            <w:r>
              <w:rPr>
                <w:rFonts w:hint="eastAsia"/>
                <w:sz w:val="21"/>
              </w:rPr>
              <w:t xml:space="preserve">  </w:t>
            </w:r>
            <w:r>
              <w:rPr>
                <w:rFonts w:hint="eastAsia"/>
                <w:sz w:val="21"/>
              </w:rPr>
              <w:t>份</w:t>
            </w:r>
          </w:p>
        </w:tc>
        <w:tc>
          <w:tcPr>
            <w:tcW w:w="6343" w:type="dxa"/>
          </w:tcPr>
          <w:p w:rsidR="00000000" w:rsidRDefault="00000000">
            <w:pPr>
              <w:spacing w:before="160" w:line="288" w:lineRule="auto"/>
              <w:jc w:val="center"/>
              <w:rPr>
                <w:rFonts w:hint="eastAsia"/>
                <w:sz w:val="21"/>
              </w:rPr>
            </w:pPr>
            <w:r>
              <w:rPr>
                <w:rFonts w:hint="eastAsia"/>
                <w:sz w:val="21"/>
              </w:rPr>
              <w:t>国内生产总值</w:t>
            </w:r>
            <w:r>
              <w:rPr>
                <w:rFonts w:hint="eastAsia"/>
                <w:sz w:val="21"/>
              </w:rPr>
              <w:t>(</w:t>
            </w:r>
            <w:r>
              <w:rPr>
                <w:rFonts w:hint="eastAsia"/>
                <w:sz w:val="21"/>
              </w:rPr>
              <w:t>百万特立尼达和多巴哥元</w:t>
            </w:r>
            <w:r>
              <w:rPr>
                <w:rFonts w:hint="eastAsia"/>
                <w:sz w:val="21"/>
              </w:rPr>
              <w:t>)</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1999</w:t>
            </w:r>
          </w:p>
        </w:tc>
        <w:tc>
          <w:tcPr>
            <w:tcW w:w="6343" w:type="dxa"/>
          </w:tcPr>
          <w:p w:rsidR="00000000" w:rsidRDefault="00000000">
            <w:pPr>
              <w:spacing w:before="120" w:line="288" w:lineRule="auto"/>
              <w:jc w:val="center"/>
              <w:rPr>
                <w:rFonts w:hint="eastAsia"/>
                <w:sz w:val="21"/>
              </w:rPr>
            </w:pPr>
            <w:r>
              <w:rPr>
                <w:rFonts w:hint="eastAsia"/>
                <w:sz w:val="21"/>
              </w:rPr>
              <w:t>41,044.90</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1998</w:t>
            </w:r>
          </w:p>
        </w:tc>
        <w:tc>
          <w:tcPr>
            <w:tcW w:w="6343" w:type="dxa"/>
          </w:tcPr>
          <w:p w:rsidR="00000000" w:rsidRDefault="00000000">
            <w:pPr>
              <w:spacing w:before="120" w:line="288" w:lineRule="auto"/>
              <w:jc w:val="center"/>
              <w:rPr>
                <w:rFonts w:hint="eastAsia"/>
                <w:sz w:val="21"/>
              </w:rPr>
            </w:pPr>
            <w:r>
              <w:rPr>
                <w:rFonts w:hint="eastAsia"/>
                <w:sz w:val="21"/>
              </w:rPr>
              <w:t>38,197.10</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1997</w:t>
            </w:r>
          </w:p>
        </w:tc>
        <w:tc>
          <w:tcPr>
            <w:tcW w:w="6343" w:type="dxa"/>
          </w:tcPr>
          <w:p w:rsidR="00000000" w:rsidRDefault="00000000">
            <w:pPr>
              <w:spacing w:before="120" w:line="288" w:lineRule="auto"/>
              <w:jc w:val="center"/>
              <w:rPr>
                <w:rFonts w:hint="eastAsia"/>
                <w:sz w:val="21"/>
              </w:rPr>
            </w:pPr>
            <w:r>
              <w:rPr>
                <w:rFonts w:hint="eastAsia"/>
                <w:sz w:val="21"/>
              </w:rPr>
              <w:t>36,969.70</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1996</w:t>
            </w:r>
          </w:p>
        </w:tc>
        <w:tc>
          <w:tcPr>
            <w:tcW w:w="6343" w:type="dxa"/>
          </w:tcPr>
          <w:p w:rsidR="00000000" w:rsidRDefault="00000000">
            <w:pPr>
              <w:spacing w:before="120" w:line="288" w:lineRule="auto"/>
              <w:jc w:val="center"/>
              <w:rPr>
                <w:rFonts w:hint="eastAsia"/>
                <w:sz w:val="21"/>
              </w:rPr>
            </w:pPr>
            <w:r>
              <w:rPr>
                <w:rFonts w:hint="eastAsia"/>
                <w:sz w:val="21"/>
              </w:rPr>
              <w:t>34,648.10</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1995</w:t>
            </w:r>
          </w:p>
        </w:tc>
        <w:tc>
          <w:tcPr>
            <w:tcW w:w="6343" w:type="dxa"/>
          </w:tcPr>
          <w:p w:rsidR="00000000" w:rsidRDefault="00000000">
            <w:pPr>
              <w:spacing w:before="120" w:line="288" w:lineRule="auto"/>
              <w:jc w:val="center"/>
              <w:rPr>
                <w:rFonts w:hint="eastAsia"/>
                <w:sz w:val="21"/>
              </w:rPr>
            </w:pPr>
            <w:r>
              <w:rPr>
                <w:rFonts w:hint="eastAsia"/>
                <w:sz w:val="21"/>
              </w:rPr>
              <w:t>31,665.00</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1994</w:t>
            </w:r>
          </w:p>
        </w:tc>
        <w:tc>
          <w:tcPr>
            <w:tcW w:w="6343" w:type="dxa"/>
          </w:tcPr>
          <w:p w:rsidR="00000000" w:rsidRDefault="00000000">
            <w:pPr>
              <w:spacing w:before="120" w:line="288" w:lineRule="auto"/>
              <w:jc w:val="center"/>
              <w:rPr>
                <w:rFonts w:hint="eastAsia"/>
                <w:sz w:val="21"/>
              </w:rPr>
            </w:pPr>
            <w:r>
              <w:rPr>
                <w:rFonts w:hint="eastAsia"/>
                <w:sz w:val="21"/>
              </w:rPr>
              <w:t>29,311.70</w:t>
            </w:r>
          </w:p>
        </w:tc>
      </w:tr>
      <w:tr w:rsidR="00000000">
        <w:tblPrEx>
          <w:tblCellMar>
            <w:top w:w="0" w:type="dxa"/>
            <w:bottom w:w="0" w:type="dxa"/>
          </w:tblCellMar>
        </w:tblPrEx>
        <w:tc>
          <w:tcPr>
            <w:tcW w:w="3228" w:type="dxa"/>
          </w:tcPr>
          <w:p w:rsidR="00000000" w:rsidRDefault="00000000">
            <w:pPr>
              <w:spacing w:before="120" w:line="288" w:lineRule="auto"/>
              <w:jc w:val="center"/>
              <w:rPr>
                <w:rFonts w:hint="eastAsia"/>
                <w:sz w:val="21"/>
              </w:rPr>
            </w:pPr>
            <w:r>
              <w:rPr>
                <w:rFonts w:hint="eastAsia"/>
                <w:sz w:val="21"/>
              </w:rPr>
              <w:t>1993</w:t>
            </w:r>
          </w:p>
        </w:tc>
        <w:tc>
          <w:tcPr>
            <w:tcW w:w="6343" w:type="dxa"/>
          </w:tcPr>
          <w:p w:rsidR="00000000" w:rsidRDefault="00000000">
            <w:pPr>
              <w:spacing w:before="120" w:line="288" w:lineRule="auto"/>
              <w:jc w:val="center"/>
              <w:rPr>
                <w:rFonts w:hint="eastAsia"/>
                <w:sz w:val="21"/>
              </w:rPr>
            </w:pPr>
            <w:r>
              <w:rPr>
                <w:rFonts w:hint="eastAsia"/>
                <w:sz w:val="21"/>
              </w:rPr>
              <w:t>24,490.50</w:t>
            </w:r>
          </w:p>
        </w:tc>
      </w:tr>
    </w:tbl>
    <w:p w:rsidR="00000000" w:rsidRDefault="00000000">
      <w:pPr>
        <w:spacing w:before="320"/>
        <w:rPr>
          <w:rFonts w:hint="eastAsia"/>
        </w:rPr>
      </w:pPr>
      <w:r>
        <w:rPr>
          <w:rFonts w:hint="eastAsia"/>
        </w:rPr>
        <w:tab/>
        <w:t xml:space="preserve">15.  </w:t>
      </w:r>
      <w:r>
        <w:rPr>
          <w:rFonts w:hint="eastAsia"/>
        </w:rPr>
        <w:t>就每一个部门对</w:t>
      </w:r>
      <w:r>
        <w:rPr>
          <w:rFonts w:hint="eastAsia"/>
        </w:rPr>
        <w:t>1998</w:t>
      </w:r>
      <w:r>
        <w:rPr>
          <w:rFonts w:hint="eastAsia"/>
        </w:rPr>
        <w:t>年国内生产总值的贡献而言，非能源部门包括农业</w:t>
      </w:r>
      <w:r>
        <w:rPr>
          <w:rFonts w:hint="eastAsia"/>
        </w:rPr>
        <w:t>(2%)</w:t>
      </w:r>
      <w:r>
        <w:rPr>
          <w:rFonts w:hint="eastAsia"/>
        </w:rPr>
        <w:t>，制造业</w:t>
      </w:r>
      <w:r>
        <w:rPr>
          <w:rFonts w:hint="eastAsia"/>
        </w:rPr>
        <w:t>(8.3%)</w:t>
      </w:r>
      <w:r>
        <w:rPr>
          <w:rFonts w:hint="eastAsia"/>
        </w:rPr>
        <w:t>，建筑业</w:t>
      </w:r>
      <w:r>
        <w:rPr>
          <w:rFonts w:hint="eastAsia"/>
        </w:rPr>
        <w:t>(10.3%)</w:t>
      </w:r>
      <w:r>
        <w:rPr>
          <w:rFonts w:hint="eastAsia"/>
        </w:rPr>
        <w:t>，运销</w:t>
      </w:r>
      <w:r>
        <w:rPr>
          <w:rFonts w:hint="eastAsia"/>
        </w:rPr>
        <w:t>(17.1%)</w:t>
      </w:r>
      <w:r>
        <w:rPr>
          <w:rFonts w:hint="eastAsia"/>
        </w:rPr>
        <w:t>，电力和水</w:t>
      </w:r>
      <w:r>
        <w:rPr>
          <w:rFonts w:hint="eastAsia"/>
        </w:rPr>
        <w:t>(2.3%)</w:t>
      </w:r>
      <w:r>
        <w:rPr>
          <w:rFonts w:hint="eastAsia"/>
        </w:rPr>
        <w:t>，运输、储存和通讯</w:t>
      </w:r>
      <w:r>
        <w:rPr>
          <w:rFonts w:hint="eastAsia"/>
        </w:rPr>
        <w:t>(9.5%)</w:t>
      </w:r>
      <w:r>
        <w:rPr>
          <w:rFonts w:hint="eastAsia"/>
        </w:rPr>
        <w:t>，金融、保险和房地产</w:t>
      </w:r>
      <w:r>
        <w:rPr>
          <w:rFonts w:hint="eastAsia"/>
        </w:rPr>
        <w:t>(11.5%)</w:t>
      </w:r>
      <w:r>
        <w:rPr>
          <w:rFonts w:hint="eastAsia"/>
        </w:rPr>
        <w:t>，治理</w:t>
      </w:r>
      <w:r>
        <w:rPr>
          <w:rFonts w:hint="eastAsia"/>
        </w:rPr>
        <w:t>(8.9%)</w:t>
      </w:r>
      <w:r>
        <w:rPr>
          <w:rFonts w:hint="eastAsia"/>
        </w:rPr>
        <w:t>以及其他服务</w:t>
      </w:r>
      <w:r>
        <w:rPr>
          <w:rFonts w:hint="eastAsia"/>
        </w:rPr>
        <w:t>(6.6%)</w:t>
      </w:r>
      <w:r>
        <w:rPr>
          <w:rFonts w:hint="eastAsia"/>
        </w:rPr>
        <w:t>。</w:t>
      </w:r>
    </w:p>
    <w:p w:rsidR="00000000" w:rsidRDefault="00000000">
      <w:pPr>
        <w:rPr>
          <w:rFonts w:hint="eastAsia"/>
        </w:rPr>
      </w:pPr>
      <w:r>
        <w:rPr>
          <w:rFonts w:hint="eastAsia"/>
        </w:rPr>
        <w:tab/>
        <w:t>16.  1998</w:t>
      </w:r>
      <w:r>
        <w:rPr>
          <w:rFonts w:hint="eastAsia"/>
        </w:rPr>
        <w:t>年人均收入相当于</w:t>
      </w:r>
      <w:r>
        <w:rPr>
          <w:rFonts w:hint="eastAsia"/>
        </w:rPr>
        <w:t>4,261</w:t>
      </w:r>
      <w:r>
        <w:rPr>
          <w:rFonts w:hint="eastAsia"/>
        </w:rPr>
        <w:t>美元。</w:t>
      </w:r>
    </w:p>
    <w:p w:rsidR="00000000" w:rsidRDefault="00000000">
      <w:pPr>
        <w:spacing w:after="160"/>
        <w:rPr>
          <w:rFonts w:hint="eastAsia"/>
        </w:rPr>
      </w:pPr>
      <w:r>
        <w:rPr>
          <w:rFonts w:hint="eastAsia"/>
        </w:rPr>
        <w:tab/>
      </w:r>
      <w:r>
        <w:rPr>
          <w:rFonts w:hint="eastAsia"/>
        </w:rPr>
        <w:t>月收入水平</w:t>
      </w:r>
      <w:r>
        <w:rPr>
          <w:rFonts w:hint="eastAsia"/>
          <w:spacing w:val="-40"/>
          <w:sz w:val="22"/>
        </w:rPr>
        <w:t>——</w:t>
      </w:r>
      <w:r>
        <w:rPr>
          <w:sz w:val="22"/>
        </w:rPr>
        <w:t xml:space="preserve"> </w:t>
      </w:r>
      <w:r>
        <w:rPr>
          <w:rFonts w:hint="eastAsia"/>
        </w:rPr>
        <w:t>1994-1998(</w:t>
      </w:r>
      <w:r>
        <w:rPr>
          <w:rFonts w:hint="eastAsia"/>
        </w:rPr>
        <w:t>特立尼达和多巴哥元</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000000">
        <w:tblPrEx>
          <w:tblCellMar>
            <w:top w:w="0" w:type="dxa"/>
            <w:bottom w:w="0" w:type="dxa"/>
          </w:tblCellMar>
        </w:tblPrEx>
        <w:tc>
          <w:tcPr>
            <w:tcW w:w="1595" w:type="dxa"/>
          </w:tcPr>
          <w:p w:rsidR="00000000" w:rsidRDefault="00000000">
            <w:pPr>
              <w:spacing w:before="160" w:line="288" w:lineRule="auto"/>
              <w:jc w:val="center"/>
              <w:rPr>
                <w:rFonts w:hint="eastAsia"/>
                <w:sz w:val="21"/>
              </w:rPr>
            </w:pPr>
            <w:r>
              <w:rPr>
                <w:rFonts w:hint="eastAsia"/>
                <w:sz w:val="21"/>
              </w:rPr>
              <w:t>收</w:t>
            </w:r>
            <w:r>
              <w:rPr>
                <w:rFonts w:hint="eastAsia"/>
                <w:sz w:val="21"/>
              </w:rPr>
              <w:t xml:space="preserve">  </w:t>
            </w:r>
            <w:r>
              <w:rPr>
                <w:rFonts w:hint="eastAsia"/>
                <w:sz w:val="21"/>
              </w:rPr>
              <w:t>入</w:t>
            </w:r>
          </w:p>
        </w:tc>
        <w:tc>
          <w:tcPr>
            <w:tcW w:w="1595" w:type="dxa"/>
          </w:tcPr>
          <w:p w:rsidR="00000000" w:rsidRDefault="00000000">
            <w:pPr>
              <w:spacing w:before="160" w:line="288" w:lineRule="auto"/>
              <w:jc w:val="center"/>
              <w:rPr>
                <w:rFonts w:hint="eastAsia"/>
                <w:sz w:val="21"/>
              </w:rPr>
            </w:pPr>
            <w:r>
              <w:rPr>
                <w:rFonts w:hint="eastAsia"/>
                <w:sz w:val="21"/>
              </w:rPr>
              <w:t>1994</w:t>
            </w:r>
          </w:p>
        </w:tc>
        <w:tc>
          <w:tcPr>
            <w:tcW w:w="1595" w:type="dxa"/>
          </w:tcPr>
          <w:p w:rsidR="00000000" w:rsidRDefault="00000000">
            <w:pPr>
              <w:spacing w:before="160" w:line="288" w:lineRule="auto"/>
              <w:jc w:val="center"/>
              <w:rPr>
                <w:rFonts w:hint="eastAsia"/>
                <w:sz w:val="21"/>
              </w:rPr>
            </w:pPr>
            <w:r>
              <w:rPr>
                <w:rFonts w:hint="eastAsia"/>
                <w:sz w:val="21"/>
              </w:rPr>
              <w:t>1995</w:t>
            </w:r>
          </w:p>
        </w:tc>
        <w:tc>
          <w:tcPr>
            <w:tcW w:w="1595" w:type="dxa"/>
          </w:tcPr>
          <w:p w:rsidR="00000000" w:rsidRDefault="00000000">
            <w:pPr>
              <w:spacing w:before="160" w:line="288" w:lineRule="auto"/>
              <w:jc w:val="center"/>
              <w:rPr>
                <w:rFonts w:hint="eastAsia"/>
                <w:sz w:val="21"/>
              </w:rPr>
            </w:pPr>
            <w:r>
              <w:rPr>
                <w:rFonts w:hint="eastAsia"/>
                <w:sz w:val="21"/>
              </w:rPr>
              <w:t>1996</w:t>
            </w:r>
          </w:p>
        </w:tc>
        <w:tc>
          <w:tcPr>
            <w:tcW w:w="1595" w:type="dxa"/>
          </w:tcPr>
          <w:p w:rsidR="00000000" w:rsidRDefault="00000000">
            <w:pPr>
              <w:spacing w:before="160" w:line="288" w:lineRule="auto"/>
              <w:jc w:val="center"/>
              <w:rPr>
                <w:rFonts w:hint="eastAsia"/>
                <w:sz w:val="21"/>
              </w:rPr>
            </w:pPr>
            <w:r>
              <w:rPr>
                <w:rFonts w:hint="eastAsia"/>
                <w:sz w:val="21"/>
              </w:rPr>
              <w:t>1997</w:t>
            </w:r>
          </w:p>
        </w:tc>
        <w:tc>
          <w:tcPr>
            <w:tcW w:w="1596" w:type="dxa"/>
          </w:tcPr>
          <w:p w:rsidR="00000000" w:rsidRDefault="00000000">
            <w:pPr>
              <w:spacing w:before="160" w:line="288" w:lineRule="auto"/>
              <w:jc w:val="center"/>
              <w:rPr>
                <w:rFonts w:hint="eastAsia"/>
                <w:sz w:val="21"/>
              </w:rPr>
            </w:pPr>
            <w:r>
              <w:rPr>
                <w:rFonts w:hint="eastAsia"/>
                <w:sz w:val="21"/>
              </w:rPr>
              <w:t>1998</w:t>
            </w:r>
          </w:p>
        </w:tc>
      </w:tr>
      <w:tr w:rsidR="00000000">
        <w:tblPrEx>
          <w:tblCellMar>
            <w:top w:w="0" w:type="dxa"/>
            <w:bottom w:w="0" w:type="dxa"/>
          </w:tblCellMar>
        </w:tblPrEx>
        <w:tc>
          <w:tcPr>
            <w:tcW w:w="1595" w:type="dxa"/>
          </w:tcPr>
          <w:p w:rsidR="00000000" w:rsidRDefault="00000000">
            <w:pPr>
              <w:spacing w:before="120" w:line="288" w:lineRule="auto"/>
              <w:rPr>
                <w:rFonts w:hint="eastAsia"/>
                <w:sz w:val="21"/>
              </w:rPr>
            </w:pPr>
            <w:r>
              <w:rPr>
                <w:rFonts w:hint="eastAsia"/>
                <w:sz w:val="21"/>
              </w:rPr>
              <w:t>平均收入</w:t>
            </w:r>
          </w:p>
        </w:tc>
        <w:tc>
          <w:tcPr>
            <w:tcW w:w="1595" w:type="dxa"/>
          </w:tcPr>
          <w:p w:rsidR="00000000" w:rsidRDefault="00000000">
            <w:pPr>
              <w:spacing w:before="120" w:line="288" w:lineRule="auto"/>
              <w:jc w:val="center"/>
              <w:rPr>
                <w:rFonts w:hint="eastAsia"/>
                <w:sz w:val="21"/>
              </w:rPr>
            </w:pPr>
            <w:r>
              <w:rPr>
                <w:rFonts w:hint="eastAsia"/>
                <w:sz w:val="21"/>
              </w:rPr>
              <w:t>1,712</w:t>
            </w:r>
          </w:p>
        </w:tc>
        <w:tc>
          <w:tcPr>
            <w:tcW w:w="1595" w:type="dxa"/>
          </w:tcPr>
          <w:p w:rsidR="00000000" w:rsidRDefault="00000000">
            <w:pPr>
              <w:spacing w:before="120" w:line="288" w:lineRule="auto"/>
              <w:jc w:val="center"/>
              <w:rPr>
                <w:rFonts w:hint="eastAsia"/>
                <w:sz w:val="21"/>
              </w:rPr>
            </w:pPr>
            <w:r>
              <w:rPr>
                <w:rFonts w:hint="eastAsia"/>
                <w:sz w:val="21"/>
              </w:rPr>
              <w:t>1,831</w:t>
            </w:r>
          </w:p>
        </w:tc>
        <w:tc>
          <w:tcPr>
            <w:tcW w:w="1595" w:type="dxa"/>
          </w:tcPr>
          <w:p w:rsidR="00000000" w:rsidRDefault="00000000">
            <w:pPr>
              <w:spacing w:before="120" w:line="288" w:lineRule="auto"/>
              <w:jc w:val="center"/>
              <w:rPr>
                <w:rFonts w:hint="eastAsia"/>
                <w:sz w:val="21"/>
              </w:rPr>
            </w:pPr>
            <w:r>
              <w:rPr>
                <w:rFonts w:hint="eastAsia"/>
                <w:sz w:val="21"/>
              </w:rPr>
              <w:t>1,895</w:t>
            </w:r>
          </w:p>
        </w:tc>
        <w:tc>
          <w:tcPr>
            <w:tcW w:w="1595" w:type="dxa"/>
          </w:tcPr>
          <w:p w:rsidR="00000000" w:rsidRDefault="00000000">
            <w:pPr>
              <w:spacing w:before="120" w:line="288" w:lineRule="auto"/>
              <w:jc w:val="center"/>
              <w:rPr>
                <w:rFonts w:hint="eastAsia"/>
                <w:sz w:val="21"/>
              </w:rPr>
            </w:pPr>
            <w:r>
              <w:rPr>
                <w:rFonts w:hint="eastAsia"/>
                <w:sz w:val="21"/>
              </w:rPr>
              <w:t>1,966</w:t>
            </w:r>
          </w:p>
        </w:tc>
        <w:tc>
          <w:tcPr>
            <w:tcW w:w="1596" w:type="dxa"/>
          </w:tcPr>
          <w:p w:rsidR="00000000" w:rsidRDefault="00000000">
            <w:pPr>
              <w:spacing w:before="120" w:line="288" w:lineRule="auto"/>
              <w:jc w:val="center"/>
              <w:rPr>
                <w:rFonts w:hint="eastAsia"/>
                <w:sz w:val="21"/>
              </w:rPr>
            </w:pPr>
            <w:r>
              <w:rPr>
                <w:rFonts w:hint="eastAsia"/>
                <w:sz w:val="21"/>
              </w:rPr>
              <w:t>2,180</w:t>
            </w:r>
          </w:p>
        </w:tc>
      </w:tr>
      <w:tr w:rsidR="00000000">
        <w:tblPrEx>
          <w:tblCellMar>
            <w:top w:w="0" w:type="dxa"/>
            <w:bottom w:w="0" w:type="dxa"/>
          </w:tblCellMar>
        </w:tblPrEx>
        <w:tc>
          <w:tcPr>
            <w:tcW w:w="1595" w:type="dxa"/>
          </w:tcPr>
          <w:p w:rsidR="00000000" w:rsidRDefault="00000000">
            <w:pPr>
              <w:spacing w:before="120" w:line="288" w:lineRule="auto"/>
              <w:rPr>
                <w:rFonts w:hint="eastAsia"/>
                <w:sz w:val="21"/>
              </w:rPr>
            </w:pPr>
            <w:r>
              <w:rPr>
                <w:rFonts w:hint="eastAsia"/>
                <w:sz w:val="21"/>
              </w:rPr>
              <w:t>中位收入</w:t>
            </w:r>
          </w:p>
        </w:tc>
        <w:tc>
          <w:tcPr>
            <w:tcW w:w="1595" w:type="dxa"/>
          </w:tcPr>
          <w:p w:rsidR="00000000" w:rsidRDefault="00000000">
            <w:pPr>
              <w:spacing w:before="120" w:line="288" w:lineRule="auto"/>
              <w:jc w:val="center"/>
              <w:rPr>
                <w:rFonts w:hint="eastAsia"/>
                <w:sz w:val="21"/>
              </w:rPr>
            </w:pPr>
            <w:r>
              <w:rPr>
                <w:rFonts w:hint="eastAsia"/>
                <w:sz w:val="21"/>
              </w:rPr>
              <w:t>1,300</w:t>
            </w:r>
          </w:p>
        </w:tc>
        <w:tc>
          <w:tcPr>
            <w:tcW w:w="1595" w:type="dxa"/>
          </w:tcPr>
          <w:p w:rsidR="00000000" w:rsidRDefault="00000000">
            <w:pPr>
              <w:spacing w:before="120" w:line="288" w:lineRule="auto"/>
              <w:jc w:val="center"/>
              <w:rPr>
                <w:rFonts w:hint="eastAsia"/>
                <w:sz w:val="21"/>
              </w:rPr>
            </w:pPr>
            <w:r>
              <w:rPr>
                <w:rFonts w:hint="eastAsia"/>
                <w:sz w:val="21"/>
              </w:rPr>
              <w:t>1,400</w:t>
            </w:r>
          </w:p>
        </w:tc>
        <w:tc>
          <w:tcPr>
            <w:tcW w:w="1595" w:type="dxa"/>
          </w:tcPr>
          <w:p w:rsidR="00000000" w:rsidRDefault="00000000">
            <w:pPr>
              <w:spacing w:before="120" w:line="288" w:lineRule="auto"/>
              <w:jc w:val="center"/>
              <w:rPr>
                <w:rFonts w:hint="eastAsia"/>
                <w:sz w:val="21"/>
              </w:rPr>
            </w:pPr>
            <w:r>
              <w:rPr>
                <w:rFonts w:hint="eastAsia"/>
                <w:sz w:val="21"/>
              </w:rPr>
              <w:t>1,500</w:t>
            </w:r>
          </w:p>
        </w:tc>
        <w:tc>
          <w:tcPr>
            <w:tcW w:w="1595" w:type="dxa"/>
          </w:tcPr>
          <w:p w:rsidR="00000000" w:rsidRDefault="00000000">
            <w:pPr>
              <w:spacing w:before="120" w:line="288" w:lineRule="auto"/>
              <w:jc w:val="center"/>
              <w:rPr>
                <w:rFonts w:hint="eastAsia"/>
                <w:sz w:val="21"/>
              </w:rPr>
            </w:pPr>
            <w:r>
              <w:rPr>
                <w:rFonts w:hint="eastAsia"/>
                <w:sz w:val="21"/>
              </w:rPr>
              <w:t>1,500</w:t>
            </w:r>
          </w:p>
        </w:tc>
        <w:tc>
          <w:tcPr>
            <w:tcW w:w="1596" w:type="dxa"/>
          </w:tcPr>
          <w:p w:rsidR="00000000" w:rsidRDefault="00000000">
            <w:pPr>
              <w:spacing w:before="120" w:line="288" w:lineRule="auto"/>
              <w:jc w:val="center"/>
              <w:rPr>
                <w:rFonts w:hint="eastAsia"/>
                <w:sz w:val="21"/>
              </w:rPr>
            </w:pPr>
            <w:r>
              <w:rPr>
                <w:rFonts w:hint="eastAsia"/>
                <w:sz w:val="21"/>
              </w:rPr>
              <w:t>1,800</w:t>
            </w:r>
          </w:p>
        </w:tc>
      </w:tr>
    </w:tbl>
    <w:p w:rsidR="00000000" w:rsidRDefault="00000000">
      <w:pPr>
        <w:spacing w:after="160"/>
        <w:rPr>
          <w:rFonts w:hint="eastAsia"/>
        </w:rPr>
      </w:pPr>
    </w:p>
    <w:p w:rsidR="00000000" w:rsidRDefault="00000000">
      <w:pPr>
        <w:spacing w:after="160"/>
        <w:rPr>
          <w:rFonts w:hint="eastAsia"/>
        </w:rPr>
      </w:pPr>
      <w:r>
        <w:rPr>
          <w:rFonts w:hint="eastAsia"/>
        </w:rPr>
        <w:tab/>
        <w:t>17.  1998</w:t>
      </w:r>
      <w:r>
        <w:rPr>
          <w:rFonts w:hint="eastAsia"/>
        </w:rPr>
        <w:t>年</w:t>
      </w:r>
      <w:r>
        <w:rPr>
          <w:rFonts w:hint="eastAsia"/>
        </w:rPr>
        <w:t>10</w:t>
      </w:r>
      <w:r>
        <w:rPr>
          <w:rFonts w:hint="eastAsia"/>
        </w:rPr>
        <w:t>月至</w:t>
      </w:r>
      <w:r>
        <w:rPr>
          <w:rFonts w:hint="eastAsia"/>
        </w:rPr>
        <w:t>1999</w:t>
      </w:r>
      <w:r>
        <w:rPr>
          <w:rFonts w:hint="eastAsia"/>
        </w:rPr>
        <w:t>年</w:t>
      </w:r>
      <w:r>
        <w:rPr>
          <w:rFonts w:hint="eastAsia"/>
        </w:rPr>
        <w:t>3</w:t>
      </w:r>
      <w:r>
        <w:rPr>
          <w:rFonts w:hint="eastAsia"/>
        </w:rPr>
        <w:t>月期间，劳动队伍人员的人数平均为</w:t>
      </w:r>
      <w:r>
        <w:rPr>
          <w:rFonts w:hint="eastAsia"/>
        </w:rPr>
        <w:t>562,600</w:t>
      </w:r>
      <w:r>
        <w:rPr>
          <w:rFonts w:hint="eastAsia"/>
        </w:rPr>
        <w:t>人，其中</w:t>
      </w:r>
      <w:r>
        <w:rPr>
          <w:rFonts w:hint="eastAsia"/>
        </w:rPr>
        <w:t>307,300</w:t>
      </w:r>
      <w:r>
        <w:rPr>
          <w:rFonts w:hint="eastAsia"/>
        </w:rPr>
        <w:t>人为男性，</w:t>
      </w:r>
      <w:r>
        <w:rPr>
          <w:rFonts w:hint="eastAsia"/>
        </w:rPr>
        <w:t>173,300</w:t>
      </w:r>
      <w:r>
        <w:rPr>
          <w:rFonts w:hint="eastAsia"/>
        </w:rPr>
        <w:t>人为女性。</w:t>
      </w:r>
    </w:p>
    <w:p w:rsidR="00000000" w:rsidRDefault="00000000">
      <w:pPr>
        <w:spacing w:after="160"/>
        <w:rPr>
          <w:rFonts w:hint="eastAsia"/>
        </w:rPr>
      </w:pPr>
      <w:r>
        <w:rPr>
          <w:rFonts w:hint="eastAsia"/>
        </w:rPr>
        <w:tab/>
      </w:r>
      <w:r>
        <w:rPr>
          <w:rFonts w:hint="eastAsia"/>
        </w:rPr>
        <w:t>男女劳动力数据如下：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634"/>
        <w:gridCol w:w="2634"/>
        <w:gridCol w:w="2634"/>
      </w:tblGrid>
      <w:tr w:rsidR="00000000">
        <w:tblPrEx>
          <w:tblCellMar>
            <w:top w:w="0" w:type="dxa"/>
            <w:bottom w:w="0" w:type="dxa"/>
          </w:tblCellMar>
        </w:tblPrEx>
        <w:tc>
          <w:tcPr>
            <w:tcW w:w="1668" w:type="dxa"/>
          </w:tcPr>
          <w:p w:rsidR="00000000" w:rsidRDefault="00000000">
            <w:pPr>
              <w:spacing w:before="160" w:after="20" w:line="288" w:lineRule="auto"/>
              <w:jc w:val="center"/>
              <w:rPr>
                <w:rFonts w:hint="eastAsia"/>
                <w:sz w:val="21"/>
              </w:rPr>
            </w:pPr>
            <w:r>
              <w:rPr>
                <w:rFonts w:hint="eastAsia"/>
                <w:sz w:val="21"/>
              </w:rPr>
              <w:t>年</w:t>
            </w:r>
            <w:r>
              <w:rPr>
                <w:rFonts w:hint="eastAsia"/>
                <w:sz w:val="21"/>
              </w:rPr>
              <w:t xml:space="preserve">  </w:t>
            </w:r>
            <w:r>
              <w:rPr>
                <w:rFonts w:hint="eastAsia"/>
                <w:sz w:val="21"/>
              </w:rPr>
              <w:t>份</w:t>
            </w:r>
          </w:p>
        </w:tc>
        <w:tc>
          <w:tcPr>
            <w:tcW w:w="2634" w:type="dxa"/>
          </w:tcPr>
          <w:p w:rsidR="00000000" w:rsidRDefault="00000000">
            <w:pPr>
              <w:spacing w:before="160" w:after="20" w:line="288" w:lineRule="auto"/>
              <w:jc w:val="center"/>
              <w:rPr>
                <w:rFonts w:hint="eastAsia"/>
                <w:sz w:val="21"/>
              </w:rPr>
            </w:pPr>
            <w:r>
              <w:rPr>
                <w:rFonts w:hint="eastAsia"/>
                <w:sz w:val="21"/>
              </w:rPr>
              <w:t>总劳动力</w:t>
            </w:r>
          </w:p>
        </w:tc>
        <w:tc>
          <w:tcPr>
            <w:tcW w:w="2634" w:type="dxa"/>
          </w:tcPr>
          <w:p w:rsidR="00000000" w:rsidRDefault="00000000">
            <w:pPr>
              <w:spacing w:before="160" w:after="20" w:line="288" w:lineRule="auto"/>
              <w:jc w:val="center"/>
              <w:rPr>
                <w:rFonts w:hint="eastAsia"/>
                <w:sz w:val="21"/>
              </w:rPr>
            </w:pPr>
            <w:r>
              <w:rPr>
                <w:rFonts w:hint="eastAsia"/>
                <w:sz w:val="21"/>
              </w:rPr>
              <w:t>男性人数</w:t>
            </w:r>
          </w:p>
        </w:tc>
        <w:tc>
          <w:tcPr>
            <w:tcW w:w="2634" w:type="dxa"/>
          </w:tcPr>
          <w:p w:rsidR="00000000" w:rsidRDefault="00000000">
            <w:pPr>
              <w:spacing w:before="160" w:after="20" w:line="288" w:lineRule="auto"/>
              <w:jc w:val="center"/>
              <w:rPr>
                <w:rFonts w:hint="eastAsia"/>
                <w:sz w:val="21"/>
              </w:rPr>
            </w:pPr>
            <w:r>
              <w:rPr>
                <w:rFonts w:hint="eastAsia"/>
                <w:sz w:val="21"/>
              </w:rPr>
              <w:t>女性人数</w:t>
            </w:r>
          </w:p>
        </w:tc>
      </w:tr>
      <w:tr w:rsidR="00000000">
        <w:tblPrEx>
          <w:tblCellMar>
            <w:top w:w="0" w:type="dxa"/>
            <w:bottom w:w="0" w:type="dxa"/>
          </w:tblCellMar>
        </w:tblPrEx>
        <w:tc>
          <w:tcPr>
            <w:tcW w:w="1668" w:type="dxa"/>
          </w:tcPr>
          <w:p w:rsidR="00000000" w:rsidRDefault="00000000">
            <w:pPr>
              <w:spacing w:before="120" w:after="20" w:line="288" w:lineRule="auto"/>
              <w:jc w:val="center"/>
              <w:rPr>
                <w:rFonts w:hint="eastAsia"/>
                <w:sz w:val="21"/>
              </w:rPr>
            </w:pPr>
            <w:r>
              <w:rPr>
                <w:rFonts w:hint="eastAsia"/>
                <w:sz w:val="21"/>
              </w:rPr>
              <w:t>1998</w:t>
            </w:r>
          </w:p>
        </w:tc>
        <w:tc>
          <w:tcPr>
            <w:tcW w:w="2634" w:type="dxa"/>
          </w:tcPr>
          <w:p w:rsidR="00000000" w:rsidRDefault="00000000">
            <w:pPr>
              <w:spacing w:before="120" w:after="20" w:line="288" w:lineRule="auto"/>
              <w:jc w:val="center"/>
              <w:rPr>
                <w:rFonts w:hint="eastAsia"/>
                <w:sz w:val="21"/>
              </w:rPr>
            </w:pPr>
            <w:r>
              <w:rPr>
                <w:rFonts w:hint="eastAsia"/>
                <w:sz w:val="21"/>
              </w:rPr>
              <w:t>558,700</w:t>
            </w:r>
          </w:p>
        </w:tc>
        <w:tc>
          <w:tcPr>
            <w:tcW w:w="2634" w:type="dxa"/>
          </w:tcPr>
          <w:p w:rsidR="00000000" w:rsidRDefault="00000000">
            <w:pPr>
              <w:spacing w:before="120" w:after="20" w:line="288" w:lineRule="auto"/>
              <w:jc w:val="center"/>
              <w:rPr>
                <w:rFonts w:hint="eastAsia"/>
                <w:sz w:val="21"/>
              </w:rPr>
            </w:pPr>
            <w:r>
              <w:rPr>
                <w:rFonts w:hint="eastAsia"/>
                <w:sz w:val="21"/>
              </w:rPr>
              <w:t>344,600</w:t>
            </w:r>
          </w:p>
        </w:tc>
        <w:tc>
          <w:tcPr>
            <w:tcW w:w="2634" w:type="dxa"/>
          </w:tcPr>
          <w:p w:rsidR="00000000" w:rsidRDefault="00000000">
            <w:pPr>
              <w:spacing w:before="120" w:after="20" w:line="288" w:lineRule="auto"/>
              <w:jc w:val="center"/>
              <w:rPr>
                <w:rFonts w:hint="eastAsia"/>
                <w:sz w:val="21"/>
              </w:rPr>
            </w:pPr>
            <w:r>
              <w:rPr>
                <w:rFonts w:hint="eastAsia"/>
                <w:sz w:val="21"/>
              </w:rPr>
              <w:t>214,100</w:t>
            </w:r>
          </w:p>
        </w:tc>
      </w:tr>
      <w:tr w:rsidR="00000000">
        <w:tblPrEx>
          <w:tblCellMar>
            <w:top w:w="0" w:type="dxa"/>
            <w:bottom w:w="0" w:type="dxa"/>
          </w:tblCellMar>
        </w:tblPrEx>
        <w:tc>
          <w:tcPr>
            <w:tcW w:w="1668" w:type="dxa"/>
          </w:tcPr>
          <w:p w:rsidR="00000000" w:rsidRDefault="00000000">
            <w:pPr>
              <w:spacing w:before="120" w:after="20" w:line="288" w:lineRule="auto"/>
              <w:jc w:val="center"/>
              <w:rPr>
                <w:rFonts w:hint="eastAsia"/>
                <w:sz w:val="21"/>
              </w:rPr>
            </w:pPr>
            <w:r>
              <w:rPr>
                <w:rFonts w:hint="eastAsia"/>
                <w:sz w:val="21"/>
              </w:rPr>
              <w:t>1997</w:t>
            </w:r>
          </w:p>
        </w:tc>
        <w:tc>
          <w:tcPr>
            <w:tcW w:w="2634" w:type="dxa"/>
          </w:tcPr>
          <w:p w:rsidR="00000000" w:rsidRDefault="00000000">
            <w:pPr>
              <w:spacing w:before="120" w:after="20" w:line="288" w:lineRule="auto"/>
              <w:jc w:val="center"/>
              <w:rPr>
                <w:rFonts w:hint="eastAsia"/>
                <w:sz w:val="21"/>
              </w:rPr>
            </w:pPr>
            <w:r>
              <w:rPr>
                <w:rFonts w:hint="eastAsia"/>
                <w:sz w:val="21"/>
              </w:rPr>
              <w:t>541,000</w:t>
            </w:r>
          </w:p>
        </w:tc>
        <w:tc>
          <w:tcPr>
            <w:tcW w:w="2634" w:type="dxa"/>
          </w:tcPr>
          <w:p w:rsidR="00000000" w:rsidRDefault="00000000">
            <w:pPr>
              <w:spacing w:before="120" w:after="20" w:line="288" w:lineRule="auto"/>
              <w:jc w:val="center"/>
              <w:rPr>
                <w:rFonts w:hint="eastAsia"/>
                <w:sz w:val="21"/>
              </w:rPr>
            </w:pPr>
            <w:r>
              <w:rPr>
                <w:rFonts w:hint="eastAsia"/>
                <w:sz w:val="21"/>
              </w:rPr>
              <w:t>335,800</w:t>
            </w:r>
          </w:p>
        </w:tc>
        <w:tc>
          <w:tcPr>
            <w:tcW w:w="2634" w:type="dxa"/>
          </w:tcPr>
          <w:p w:rsidR="00000000" w:rsidRDefault="00000000">
            <w:pPr>
              <w:spacing w:before="120" w:after="20" w:line="288" w:lineRule="auto"/>
              <w:jc w:val="center"/>
              <w:rPr>
                <w:rFonts w:hint="eastAsia"/>
                <w:sz w:val="21"/>
              </w:rPr>
            </w:pPr>
            <w:r>
              <w:rPr>
                <w:rFonts w:hint="eastAsia"/>
                <w:sz w:val="21"/>
              </w:rPr>
              <w:t>205,200</w:t>
            </w:r>
          </w:p>
        </w:tc>
      </w:tr>
    </w:tbl>
    <w:p w:rsidR="00000000" w:rsidRDefault="00000000">
      <w:pPr>
        <w:spacing w:after="160"/>
        <w:rPr>
          <w:rFonts w:hint="eastAsia"/>
        </w:rPr>
      </w:pPr>
    </w:p>
    <w:p w:rsidR="00000000" w:rsidRDefault="00000000">
      <w:pPr>
        <w:pageBreakBefore/>
        <w:spacing w:after="160"/>
        <w:rPr>
          <w:rFonts w:hint="eastAsia"/>
        </w:rPr>
      </w:pPr>
      <w:r>
        <w:rPr>
          <w:rFonts w:hint="eastAsia"/>
        </w:rPr>
        <w:tab/>
        <w:t xml:space="preserve">18.  </w:t>
      </w:r>
      <w:r>
        <w:rPr>
          <w:rFonts w:hint="eastAsia"/>
        </w:rPr>
        <w:t>失业率</w:t>
      </w:r>
      <w:r>
        <w:rPr>
          <w:rFonts w:hint="eastAsia"/>
        </w:rPr>
        <w:t>(</w:t>
      </w:r>
      <w:r>
        <w:rPr>
          <w:rFonts w:hint="eastAsia"/>
        </w:rPr>
        <w:t>以人数计</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3586"/>
        <w:gridCol w:w="3586"/>
      </w:tblGrid>
      <w:tr w:rsidR="00000000">
        <w:tblPrEx>
          <w:tblCellMar>
            <w:top w:w="0" w:type="dxa"/>
            <w:bottom w:w="0" w:type="dxa"/>
          </w:tblCellMar>
        </w:tblPrEx>
        <w:tc>
          <w:tcPr>
            <w:tcW w:w="2398" w:type="dxa"/>
          </w:tcPr>
          <w:p w:rsidR="00000000" w:rsidRDefault="00000000">
            <w:pPr>
              <w:spacing w:before="160" w:line="288" w:lineRule="auto"/>
              <w:jc w:val="center"/>
              <w:rPr>
                <w:rFonts w:hint="eastAsia"/>
                <w:sz w:val="21"/>
              </w:rPr>
            </w:pPr>
            <w:r>
              <w:rPr>
                <w:rFonts w:hint="eastAsia"/>
                <w:sz w:val="21"/>
              </w:rPr>
              <w:t>年</w:t>
            </w:r>
            <w:r>
              <w:rPr>
                <w:rFonts w:hint="eastAsia"/>
                <w:sz w:val="21"/>
              </w:rPr>
              <w:t xml:space="preserve">  </w:t>
            </w:r>
            <w:r>
              <w:rPr>
                <w:rFonts w:hint="eastAsia"/>
                <w:sz w:val="21"/>
              </w:rPr>
              <w:t>份</w:t>
            </w:r>
          </w:p>
        </w:tc>
        <w:tc>
          <w:tcPr>
            <w:tcW w:w="3586" w:type="dxa"/>
          </w:tcPr>
          <w:p w:rsidR="00000000" w:rsidRDefault="00000000">
            <w:pPr>
              <w:spacing w:before="160" w:line="288" w:lineRule="auto"/>
              <w:jc w:val="center"/>
              <w:rPr>
                <w:rFonts w:hint="eastAsia"/>
                <w:sz w:val="21"/>
              </w:rPr>
            </w:pPr>
            <w:r>
              <w:rPr>
                <w:rFonts w:hint="eastAsia"/>
                <w:sz w:val="21"/>
              </w:rPr>
              <w:t>失业男性人数</w:t>
            </w:r>
          </w:p>
        </w:tc>
        <w:tc>
          <w:tcPr>
            <w:tcW w:w="3586" w:type="dxa"/>
          </w:tcPr>
          <w:p w:rsidR="00000000" w:rsidRDefault="00000000">
            <w:pPr>
              <w:spacing w:before="160" w:line="288" w:lineRule="auto"/>
              <w:jc w:val="center"/>
              <w:rPr>
                <w:rFonts w:hint="eastAsia"/>
                <w:sz w:val="21"/>
              </w:rPr>
            </w:pPr>
            <w:r>
              <w:rPr>
                <w:rFonts w:hint="eastAsia"/>
                <w:sz w:val="21"/>
              </w:rPr>
              <w:t>失业女性人数</w:t>
            </w:r>
          </w:p>
        </w:tc>
      </w:tr>
      <w:tr w:rsidR="00000000">
        <w:tblPrEx>
          <w:tblCellMar>
            <w:top w:w="0" w:type="dxa"/>
            <w:bottom w:w="0" w:type="dxa"/>
          </w:tblCellMar>
        </w:tblPrEx>
        <w:tc>
          <w:tcPr>
            <w:tcW w:w="2398" w:type="dxa"/>
          </w:tcPr>
          <w:p w:rsidR="00000000" w:rsidRDefault="00000000">
            <w:pPr>
              <w:spacing w:before="120" w:line="288" w:lineRule="auto"/>
              <w:jc w:val="center"/>
              <w:rPr>
                <w:rFonts w:hint="eastAsia"/>
                <w:sz w:val="21"/>
              </w:rPr>
            </w:pPr>
            <w:r>
              <w:rPr>
                <w:rFonts w:hint="eastAsia"/>
                <w:sz w:val="21"/>
              </w:rPr>
              <w:t>1998</w:t>
            </w:r>
          </w:p>
        </w:tc>
        <w:tc>
          <w:tcPr>
            <w:tcW w:w="3586" w:type="dxa"/>
          </w:tcPr>
          <w:p w:rsidR="00000000" w:rsidRDefault="00000000">
            <w:pPr>
              <w:spacing w:before="120" w:line="288" w:lineRule="auto"/>
              <w:jc w:val="center"/>
              <w:rPr>
                <w:rFonts w:hint="eastAsia"/>
                <w:sz w:val="21"/>
              </w:rPr>
            </w:pPr>
            <w:r>
              <w:rPr>
                <w:rFonts w:hint="eastAsia"/>
                <w:sz w:val="21"/>
              </w:rPr>
              <w:t>39,000</w:t>
            </w:r>
          </w:p>
        </w:tc>
        <w:tc>
          <w:tcPr>
            <w:tcW w:w="3586" w:type="dxa"/>
          </w:tcPr>
          <w:p w:rsidR="00000000" w:rsidRDefault="00000000">
            <w:pPr>
              <w:spacing w:before="120" w:line="288" w:lineRule="auto"/>
              <w:jc w:val="center"/>
              <w:rPr>
                <w:rFonts w:hint="eastAsia"/>
                <w:sz w:val="21"/>
              </w:rPr>
            </w:pPr>
            <w:r>
              <w:rPr>
                <w:rFonts w:hint="eastAsia"/>
                <w:sz w:val="21"/>
              </w:rPr>
              <w:t>40,400</w:t>
            </w:r>
          </w:p>
        </w:tc>
      </w:tr>
      <w:tr w:rsidR="00000000">
        <w:tblPrEx>
          <w:tblCellMar>
            <w:top w:w="0" w:type="dxa"/>
            <w:bottom w:w="0" w:type="dxa"/>
          </w:tblCellMar>
        </w:tblPrEx>
        <w:tc>
          <w:tcPr>
            <w:tcW w:w="2398" w:type="dxa"/>
          </w:tcPr>
          <w:p w:rsidR="00000000" w:rsidRDefault="00000000">
            <w:pPr>
              <w:spacing w:before="120" w:line="288" w:lineRule="auto"/>
              <w:jc w:val="center"/>
              <w:rPr>
                <w:rFonts w:hint="eastAsia"/>
                <w:sz w:val="21"/>
              </w:rPr>
            </w:pPr>
            <w:r>
              <w:rPr>
                <w:rFonts w:hint="eastAsia"/>
                <w:sz w:val="21"/>
              </w:rPr>
              <w:t>1997</w:t>
            </w:r>
          </w:p>
        </w:tc>
        <w:tc>
          <w:tcPr>
            <w:tcW w:w="3586" w:type="dxa"/>
          </w:tcPr>
          <w:p w:rsidR="00000000" w:rsidRDefault="00000000">
            <w:pPr>
              <w:spacing w:before="120" w:line="288" w:lineRule="auto"/>
              <w:jc w:val="center"/>
              <w:rPr>
                <w:sz w:val="21"/>
              </w:rPr>
            </w:pPr>
            <w:r>
              <w:rPr>
                <w:rFonts w:hint="eastAsia"/>
                <w:sz w:val="21"/>
              </w:rPr>
              <w:t>41,300</w:t>
            </w:r>
          </w:p>
        </w:tc>
        <w:tc>
          <w:tcPr>
            <w:tcW w:w="3586" w:type="dxa"/>
          </w:tcPr>
          <w:p w:rsidR="00000000" w:rsidRDefault="00000000">
            <w:pPr>
              <w:spacing w:before="120" w:line="288" w:lineRule="auto"/>
              <w:jc w:val="center"/>
              <w:rPr>
                <w:rFonts w:hint="eastAsia"/>
                <w:sz w:val="21"/>
              </w:rPr>
            </w:pPr>
            <w:r>
              <w:rPr>
                <w:rFonts w:hint="eastAsia"/>
                <w:sz w:val="21"/>
              </w:rPr>
              <w:t>39,000</w:t>
            </w:r>
          </w:p>
        </w:tc>
      </w:tr>
    </w:tbl>
    <w:p w:rsidR="00000000" w:rsidRDefault="00000000">
      <w:pPr>
        <w:spacing w:after="160"/>
        <w:rPr>
          <w:rFonts w:hint="eastAsia"/>
        </w:rPr>
      </w:pPr>
    </w:p>
    <w:p w:rsidR="00000000" w:rsidRDefault="00000000">
      <w:pPr>
        <w:spacing w:after="160"/>
        <w:rPr>
          <w:rFonts w:hint="eastAsia"/>
        </w:rPr>
      </w:pPr>
      <w:r>
        <w:rPr>
          <w:rFonts w:hint="eastAsia"/>
        </w:rPr>
        <w:tab/>
      </w:r>
      <w:r>
        <w:rPr>
          <w:rFonts w:hint="eastAsia"/>
        </w:rPr>
        <w:t>失业率</w:t>
      </w:r>
      <w:r>
        <w:rPr>
          <w:rFonts w:hint="eastAsia"/>
        </w:rPr>
        <w:t>(</w:t>
      </w:r>
      <w:r>
        <w:rPr>
          <w:rFonts w:hint="eastAsia"/>
        </w:rPr>
        <w:t>按百分比计</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000000">
        <w:tblPrEx>
          <w:tblCellMar>
            <w:top w:w="0" w:type="dxa"/>
            <w:bottom w:w="0" w:type="dxa"/>
          </w:tblCellMar>
        </w:tblPrEx>
        <w:tc>
          <w:tcPr>
            <w:tcW w:w="1595" w:type="dxa"/>
          </w:tcPr>
          <w:p w:rsidR="00000000" w:rsidRDefault="00000000">
            <w:pPr>
              <w:spacing w:before="160" w:line="288" w:lineRule="auto"/>
              <w:jc w:val="center"/>
              <w:rPr>
                <w:rFonts w:hint="eastAsia"/>
                <w:sz w:val="21"/>
              </w:rPr>
            </w:pPr>
            <w:r>
              <w:rPr>
                <w:rFonts w:hint="eastAsia"/>
                <w:sz w:val="21"/>
              </w:rPr>
              <w:t>年</w:t>
            </w:r>
            <w:r>
              <w:rPr>
                <w:rFonts w:hint="eastAsia"/>
                <w:sz w:val="21"/>
              </w:rPr>
              <w:t xml:space="preserve">  </w:t>
            </w:r>
            <w:r>
              <w:rPr>
                <w:rFonts w:hint="eastAsia"/>
                <w:sz w:val="21"/>
              </w:rPr>
              <w:t>份</w:t>
            </w:r>
          </w:p>
        </w:tc>
        <w:tc>
          <w:tcPr>
            <w:tcW w:w="1595" w:type="dxa"/>
          </w:tcPr>
          <w:p w:rsidR="00000000" w:rsidRDefault="00000000">
            <w:pPr>
              <w:spacing w:before="160" w:line="288" w:lineRule="auto"/>
              <w:jc w:val="center"/>
              <w:rPr>
                <w:rFonts w:hint="eastAsia"/>
                <w:sz w:val="21"/>
              </w:rPr>
            </w:pPr>
            <w:r>
              <w:rPr>
                <w:rFonts w:hint="eastAsia"/>
                <w:sz w:val="21"/>
              </w:rPr>
              <w:t>1994</w:t>
            </w:r>
          </w:p>
        </w:tc>
        <w:tc>
          <w:tcPr>
            <w:tcW w:w="1595" w:type="dxa"/>
          </w:tcPr>
          <w:p w:rsidR="00000000" w:rsidRDefault="00000000">
            <w:pPr>
              <w:spacing w:before="160" w:line="288" w:lineRule="auto"/>
              <w:jc w:val="center"/>
              <w:rPr>
                <w:rFonts w:hint="eastAsia"/>
                <w:sz w:val="21"/>
              </w:rPr>
            </w:pPr>
            <w:r>
              <w:rPr>
                <w:rFonts w:hint="eastAsia"/>
                <w:sz w:val="21"/>
              </w:rPr>
              <w:t>1995</w:t>
            </w:r>
          </w:p>
        </w:tc>
        <w:tc>
          <w:tcPr>
            <w:tcW w:w="1595" w:type="dxa"/>
          </w:tcPr>
          <w:p w:rsidR="00000000" w:rsidRDefault="00000000">
            <w:pPr>
              <w:spacing w:before="160" w:line="288" w:lineRule="auto"/>
              <w:jc w:val="center"/>
              <w:rPr>
                <w:rFonts w:hint="eastAsia"/>
                <w:sz w:val="21"/>
              </w:rPr>
            </w:pPr>
            <w:r>
              <w:rPr>
                <w:rFonts w:hint="eastAsia"/>
                <w:sz w:val="21"/>
              </w:rPr>
              <w:t>1996</w:t>
            </w:r>
          </w:p>
        </w:tc>
        <w:tc>
          <w:tcPr>
            <w:tcW w:w="1595" w:type="dxa"/>
          </w:tcPr>
          <w:p w:rsidR="00000000" w:rsidRDefault="00000000">
            <w:pPr>
              <w:spacing w:before="160" w:line="288" w:lineRule="auto"/>
              <w:jc w:val="center"/>
              <w:rPr>
                <w:rFonts w:hint="eastAsia"/>
                <w:sz w:val="21"/>
              </w:rPr>
            </w:pPr>
            <w:r>
              <w:rPr>
                <w:rFonts w:hint="eastAsia"/>
                <w:sz w:val="21"/>
              </w:rPr>
              <w:t>1997</w:t>
            </w:r>
          </w:p>
        </w:tc>
        <w:tc>
          <w:tcPr>
            <w:tcW w:w="1596" w:type="dxa"/>
          </w:tcPr>
          <w:p w:rsidR="00000000" w:rsidRDefault="00000000">
            <w:pPr>
              <w:spacing w:before="160" w:line="288" w:lineRule="auto"/>
              <w:jc w:val="center"/>
              <w:rPr>
                <w:rFonts w:hint="eastAsia"/>
                <w:sz w:val="21"/>
              </w:rPr>
            </w:pPr>
            <w:r>
              <w:rPr>
                <w:rFonts w:hint="eastAsia"/>
                <w:sz w:val="21"/>
              </w:rPr>
              <w:t>1998</w:t>
            </w:r>
          </w:p>
        </w:tc>
      </w:tr>
      <w:tr w:rsidR="00000000">
        <w:tblPrEx>
          <w:tblCellMar>
            <w:top w:w="0" w:type="dxa"/>
            <w:bottom w:w="0" w:type="dxa"/>
          </w:tblCellMar>
        </w:tblPrEx>
        <w:tc>
          <w:tcPr>
            <w:tcW w:w="1595" w:type="dxa"/>
          </w:tcPr>
          <w:p w:rsidR="00000000" w:rsidRDefault="00000000">
            <w:pPr>
              <w:spacing w:before="120" w:line="288" w:lineRule="auto"/>
              <w:ind w:left="170"/>
              <w:rPr>
                <w:rFonts w:hint="eastAsia"/>
                <w:sz w:val="21"/>
              </w:rPr>
            </w:pPr>
            <w:r>
              <w:rPr>
                <w:rFonts w:hint="eastAsia"/>
                <w:sz w:val="21"/>
              </w:rPr>
              <w:t>男</w:t>
            </w:r>
            <w:r>
              <w:rPr>
                <w:rFonts w:hint="eastAsia"/>
                <w:sz w:val="21"/>
              </w:rPr>
              <w:t xml:space="preserve">  </w:t>
            </w:r>
            <w:r>
              <w:rPr>
                <w:rFonts w:hint="eastAsia"/>
                <w:sz w:val="21"/>
              </w:rPr>
              <w:t>性</w:t>
            </w:r>
          </w:p>
        </w:tc>
        <w:tc>
          <w:tcPr>
            <w:tcW w:w="1595" w:type="dxa"/>
          </w:tcPr>
          <w:p w:rsidR="00000000" w:rsidRDefault="00000000">
            <w:pPr>
              <w:spacing w:before="120" w:line="288" w:lineRule="auto"/>
              <w:jc w:val="center"/>
              <w:rPr>
                <w:rFonts w:hint="eastAsia"/>
                <w:sz w:val="21"/>
              </w:rPr>
            </w:pPr>
            <w:r>
              <w:rPr>
                <w:rFonts w:hint="eastAsia"/>
                <w:sz w:val="21"/>
              </w:rPr>
              <w:t>16.4</w:t>
            </w:r>
          </w:p>
        </w:tc>
        <w:tc>
          <w:tcPr>
            <w:tcW w:w="1595" w:type="dxa"/>
          </w:tcPr>
          <w:p w:rsidR="00000000" w:rsidRDefault="00000000">
            <w:pPr>
              <w:spacing w:before="120" w:line="288" w:lineRule="auto"/>
              <w:jc w:val="center"/>
              <w:rPr>
                <w:rFonts w:hint="eastAsia"/>
                <w:sz w:val="21"/>
              </w:rPr>
            </w:pPr>
            <w:r>
              <w:rPr>
                <w:rFonts w:hint="eastAsia"/>
                <w:sz w:val="21"/>
              </w:rPr>
              <w:t>15.1</w:t>
            </w:r>
          </w:p>
        </w:tc>
        <w:tc>
          <w:tcPr>
            <w:tcW w:w="1595" w:type="dxa"/>
          </w:tcPr>
          <w:p w:rsidR="00000000" w:rsidRDefault="00000000">
            <w:pPr>
              <w:spacing w:before="120" w:line="288" w:lineRule="auto"/>
              <w:jc w:val="center"/>
              <w:rPr>
                <w:rFonts w:hint="eastAsia"/>
                <w:sz w:val="21"/>
              </w:rPr>
            </w:pPr>
            <w:r>
              <w:rPr>
                <w:rFonts w:hint="eastAsia"/>
                <w:sz w:val="21"/>
              </w:rPr>
              <w:t>13.1</w:t>
            </w:r>
          </w:p>
        </w:tc>
        <w:tc>
          <w:tcPr>
            <w:tcW w:w="1595" w:type="dxa"/>
          </w:tcPr>
          <w:p w:rsidR="00000000" w:rsidRDefault="00000000">
            <w:pPr>
              <w:spacing w:before="120" w:line="288" w:lineRule="auto"/>
              <w:jc w:val="center"/>
              <w:rPr>
                <w:rFonts w:hint="eastAsia"/>
                <w:sz w:val="21"/>
              </w:rPr>
            </w:pPr>
            <w:r>
              <w:rPr>
                <w:rFonts w:hint="eastAsia"/>
                <w:sz w:val="21"/>
              </w:rPr>
              <w:t>12.3</w:t>
            </w:r>
          </w:p>
        </w:tc>
        <w:tc>
          <w:tcPr>
            <w:tcW w:w="1596" w:type="dxa"/>
          </w:tcPr>
          <w:p w:rsidR="00000000" w:rsidRDefault="00000000">
            <w:pPr>
              <w:spacing w:before="120" w:line="288" w:lineRule="auto"/>
              <w:jc w:val="center"/>
              <w:rPr>
                <w:rFonts w:hint="eastAsia"/>
                <w:sz w:val="21"/>
              </w:rPr>
            </w:pPr>
            <w:r>
              <w:rPr>
                <w:rFonts w:hint="eastAsia"/>
                <w:sz w:val="21"/>
              </w:rPr>
              <w:t>11.3</w:t>
            </w:r>
          </w:p>
        </w:tc>
      </w:tr>
      <w:tr w:rsidR="00000000">
        <w:tblPrEx>
          <w:tblCellMar>
            <w:top w:w="0" w:type="dxa"/>
            <w:bottom w:w="0" w:type="dxa"/>
          </w:tblCellMar>
        </w:tblPrEx>
        <w:tc>
          <w:tcPr>
            <w:tcW w:w="1595" w:type="dxa"/>
          </w:tcPr>
          <w:p w:rsidR="00000000" w:rsidRDefault="00000000">
            <w:pPr>
              <w:spacing w:before="120" w:line="288" w:lineRule="auto"/>
              <w:ind w:left="170"/>
              <w:rPr>
                <w:rFonts w:hint="eastAsia"/>
                <w:sz w:val="21"/>
              </w:rPr>
            </w:pPr>
            <w:r>
              <w:rPr>
                <w:rFonts w:hint="eastAsia"/>
                <w:sz w:val="21"/>
              </w:rPr>
              <w:t>女</w:t>
            </w:r>
            <w:r>
              <w:rPr>
                <w:rFonts w:hint="eastAsia"/>
                <w:sz w:val="21"/>
              </w:rPr>
              <w:t xml:space="preserve">  </w:t>
            </w:r>
            <w:r>
              <w:rPr>
                <w:rFonts w:hint="eastAsia"/>
                <w:sz w:val="21"/>
              </w:rPr>
              <w:t>性</w:t>
            </w:r>
          </w:p>
        </w:tc>
        <w:tc>
          <w:tcPr>
            <w:tcW w:w="1595" w:type="dxa"/>
          </w:tcPr>
          <w:p w:rsidR="00000000" w:rsidRDefault="00000000">
            <w:pPr>
              <w:spacing w:before="120" w:line="288" w:lineRule="auto"/>
              <w:jc w:val="center"/>
              <w:rPr>
                <w:rFonts w:hint="eastAsia"/>
                <w:sz w:val="21"/>
              </w:rPr>
            </w:pPr>
            <w:r>
              <w:rPr>
                <w:rFonts w:hint="eastAsia"/>
                <w:sz w:val="21"/>
              </w:rPr>
              <w:t>21.8</w:t>
            </w:r>
          </w:p>
        </w:tc>
        <w:tc>
          <w:tcPr>
            <w:tcW w:w="1595" w:type="dxa"/>
          </w:tcPr>
          <w:p w:rsidR="00000000" w:rsidRDefault="00000000">
            <w:pPr>
              <w:spacing w:before="120" w:line="288" w:lineRule="auto"/>
              <w:jc w:val="center"/>
              <w:rPr>
                <w:rFonts w:hint="eastAsia"/>
                <w:sz w:val="21"/>
              </w:rPr>
            </w:pPr>
            <w:r>
              <w:rPr>
                <w:rFonts w:hint="eastAsia"/>
                <w:sz w:val="21"/>
              </w:rPr>
              <w:t>20.6</w:t>
            </w:r>
          </w:p>
        </w:tc>
        <w:tc>
          <w:tcPr>
            <w:tcW w:w="1595" w:type="dxa"/>
          </w:tcPr>
          <w:p w:rsidR="00000000" w:rsidRDefault="00000000">
            <w:pPr>
              <w:spacing w:before="120" w:line="288" w:lineRule="auto"/>
              <w:jc w:val="center"/>
              <w:rPr>
                <w:rFonts w:hint="eastAsia"/>
                <w:sz w:val="21"/>
              </w:rPr>
            </w:pPr>
            <w:r>
              <w:rPr>
                <w:rFonts w:hint="eastAsia"/>
                <w:sz w:val="21"/>
              </w:rPr>
              <w:t>21.0</w:t>
            </w:r>
          </w:p>
        </w:tc>
        <w:tc>
          <w:tcPr>
            <w:tcW w:w="1595" w:type="dxa"/>
          </w:tcPr>
          <w:p w:rsidR="00000000" w:rsidRDefault="00000000">
            <w:pPr>
              <w:spacing w:before="120" w:line="288" w:lineRule="auto"/>
              <w:jc w:val="center"/>
              <w:rPr>
                <w:rFonts w:hint="eastAsia"/>
                <w:sz w:val="21"/>
              </w:rPr>
            </w:pPr>
            <w:r>
              <w:rPr>
                <w:rFonts w:hint="eastAsia"/>
                <w:sz w:val="21"/>
              </w:rPr>
              <w:t>19.4</w:t>
            </w:r>
          </w:p>
        </w:tc>
        <w:tc>
          <w:tcPr>
            <w:tcW w:w="1596" w:type="dxa"/>
          </w:tcPr>
          <w:p w:rsidR="00000000" w:rsidRDefault="00000000">
            <w:pPr>
              <w:spacing w:before="120" w:line="288" w:lineRule="auto"/>
              <w:jc w:val="center"/>
              <w:rPr>
                <w:rFonts w:hint="eastAsia"/>
                <w:sz w:val="21"/>
              </w:rPr>
            </w:pPr>
            <w:r>
              <w:rPr>
                <w:rFonts w:hint="eastAsia"/>
                <w:sz w:val="21"/>
              </w:rPr>
              <w:t>18.9</w:t>
            </w:r>
          </w:p>
        </w:tc>
      </w:tr>
      <w:tr w:rsidR="00000000">
        <w:tblPrEx>
          <w:tblCellMar>
            <w:top w:w="0" w:type="dxa"/>
            <w:bottom w:w="0" w:type="dxa"/>
          </w:tblCellMar>
        </w:tblPrEx>
        <w:tc>
          <w:tcPr>
            <w:tcW w:w="1595" w:type="dxa"/>
          </w:tcPr>
          <w:p w:rsidR="00000000" w:rsidRDefault="00000000">
            <w:pPr>
              <w:spacing w:before="120" w:line="288" w:lineRule="auto"/>
              <w:ind w:left="170"/>
              <w:rPr>
                <w:rFonts w:hint="eastAsia"/>
                <w:sz w:val="21"/>
              </w:rPr>
            </w:pPr>
            <w:r>
              <w:rPr>
                <w:rFonts w:hint="eastAsia"/>
                <w:sz w:val="21"/>
              </w:rPr>
              <w:t>失业率</w:t>
            </w:r>
          </w:p>
        </w:tc>
        <w:tc>
          <w:tcPr>
            <w:tcW w:w="1595" w:type="dxa"/>
          </w:tcPr>
          <w:p w:rsidR="00000000" w:rsidRDefault="00000000">
            <w:pPr>
              <w:spacing w:before="120" w:line="288" w:lineRule="auto"/>
              <w:jc w:val="center"/>
              <w:rPr>
                <w:rFonts w:hint="eastAsia"/>
                <w:sz w:val="21"/>
              </w:rPr>
            </w:pPr>
            <w:r>
              <w:rPr>
                <w:rFonts w:hint="eastAsia"/>
                <w:sz w:val="21"/>
              </w:rPr>
              <w:t>18.5</w:t>
            </w:r>
          </w:p>
        </w:tc>
        <w:tc>
          <w:tcPr>
            <w:tcW w:w="1595" w:type="dxa"/>
          </w:tcPr>
          <w:p w:rsidR="00000000" w:rsidRDefault="00000000">
            <w:pPr>
              <w:spacing w:before="120" w:line="288" w:lineRule="auto"/>
              <w:jc w:val="center"/>
              <w:rPr>
                <w:rFonts w:hint="eastAsia"/>
                <w:sz w:val="21"/>
              </w:rPr>
            </w:pPr>
            <w:r>
              <w:rPr>
                <w:rFonts w:hint="eastAsia"/>
                <w:sz w:val="21"/>
              </w:rPr>
              <w:t>17.1</w:t>
            </w:r>
          </w:p>
        </w:tc>
        <w:tc>
          <w:tcPr>
            <w:tcW w:w="1595" w:type="dxa"/>
          </w:tcPr>
          <w:p w:rsidR="00000000" w:rsidRDefault="00000000">
            <w:pPr>
              <w:spacing w:before="120" w:line="288" w:lineRule="auto"/>
              <w:jc w:val="center"/>
              <w:rPr>
                <w:rFonts w:hint="eastAsia"/>
                <w:sz w:val="21"/>
              </w:rPr>
            </w:pPr>
            <w:r>
              <w:rPr>
                <w:rFonts w:hint="eastAsia"/>
                <w:sz w:val="21"/>
              </w:rPr>
              <w:t>16.2</w:t>
            </w:r>
          </w:p>
        </w:tc>
        <w:tc>
          <w:tcPr>
            <w:tcW w:w="1595" w:type="dxa"/>
          </w:tcPr>
          <w:p w:rsidR="00000000" w:rsidRDefault="00000000">
            <w:pPr>
              <w:spacing w:before="120" w:line="288" w:lineRule="auto"/>
              <w:jc w:val="center"/>
              <w:rPr>
                <w:rFonts w:hint="eastAsia"/>
                <w:sz w:val="21"/>
              </w:rPr>
            </w:pPr>
            <w:r>
              <w:rPr>
                <w:rFonts w:hint="eastAsia"/>
                <w:sz w:val="21"/>
              </w:rPr>
              <w:t>15.0</w:t>
            </w:r>
          </w:p>
        </w:tc>
        <w:tc>
          <w:tcPr>
            <w:tcW w:w="1596" w:type="dxa"/>
          </w:tcPr>
          <w:p w:rsidR="00000000" w:rsidRDefault="00000000">
            <w:pPr>
              <w:spacing w:before="120" w:line="288" w:lineRule="auto"/>
              <w:jc w:val="center"/>
              <w:rPr>
                <w:rFonts w:hint="eastAsia"/>
                <w:sz w:val="21"/>
              </w:rPr>
            </w:pPr>
            <w:r>
              <w:rPr>
                <w:rFonts w:hint="eastAsia"/>
                <w:sz w:val="21"/>
              </w:rPr>
              <w:t>14.2</w:t>
            </w:r>
          </w:p>
        </w:tc>
      </w:tr>
    </w:tbl>
    <w:p w:rsidR="00000000" w:rsidRDefault="00000000">
      <w:pPr>
        <w:spacing w:before="320" w:after="160"/>
        <w:rPr>
          <w:rFonts w:hint="eastAsia"/>
        </w:rPr>
      </w:pPr>
      <w:r>
        <w:rPr>
          <w:rFonts w:hint="eastAsia"/>
        </w:rPr>
        <w:tab/>
        <w:t xml:space="preserve">19.  </w:t>
      </w:r>
      <w:r>
        <w:rPr>
          <w:rFonts w:hint="eastAsia"/>
        </w:rPr>
        <w:t>通货膨胀率</w:t>
      </w:r>
      <w:r>
        <w:rPr>
          <w:rFonts w:hint="eastAsia"/>
        </w:rPr>
        <w:t>(</w:t>
      </w:r>
      <w:r>
        <w:rPr>
          <w:rFonts w:hint="eastAsia"/>
        </w:rPr>
        <w:t>消费价格指数变化，</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367"/>
        <w:gridCol w:w="1367"/>
        <w:gridCol w:w="1367"/>
        <w:gridCol w:w="1367"/>
        <w:gridCol w:w="1368"/>
        <w:gridCol w:w="1368"/>
      </w:tblGrid>
      <w:tr w:rsidR="00000000">
        <w:tblPrEx>
          <w:tblCellMar>
            <w:top w:w="0" w:type="dxa"/>
            <w:bottom w:w="0" w:type="dxa"/>
          </w:tblCellMar>
        </w:tblPrEx>
        <w:tc>
          <w:tcPr>
            <w:tcW w:w="1367" w:type="dxa"/>
          </w:tcPr>
          <w:p w:rsidR="00000000" w:rsidRDefault="00000000">
            <w:pPr>
              <w:spacing w:before="160" w:line="288" w:lineRule="auto"/>
              <w:jc w:val="center"/>
              <w:rPr>
                <w:rFonts w:hint="eastAsia"/>
                <w:sz w:val="21"/>
              </w:rPr>
            </w:pPr>
            <w:r>
              <w:rPr>
                <w:rFonts w:hint="eastAsia"/>
                <w:sz w:val="21"/>
              </w:rPr>
              <w:t>年</w:t>
            </w:r>
            <w:r>
              <w:rPr>
                <w:rFonts w:hint="eastAsia"/>
                <w:sz w:val="21"/>
              </w:rPr>
              <w:t xml:space="preserve">  </w:t>
            </w:r>
            <w:r>
              <w:rPr>
                <w:rFonts w:hint="eastAsia"/>
                <w:sz w:val="21"/>
              </w:rPr>
              <w:t>份</w:t>
            </w:r>
          </w:p>
        </w:tc>
        <w:tc>
          <w:tcPr>
            <w:tcW w:w="1367" w:type="dxa"/>
          </w:tcPr>
          <w:p w:rsidR="00000000" w:rsidRDefault="00000000">
            <w:pPr>
              <w:spacing w:before="160" w:line="288" w:lineRule="auto"/>
              <w:jc w:val="center"/>
              <w:rPr>
                <w:rFonts w:hint="eastAsia"/>
                <w:sz w:val="21"/>
              </w:rPr>
            </w:pPr>
            <w:r>
              <w:rPr>
                <w:rFonts w:hint="eastAsia"/>
                <w:sz w:val="21"/>
              </w:rPr>
              <w:t>1986</w:t>
            </w:r>
          </w:p>
        </w:tc>
        <w:tc>
          <w:tcPr>
            <w:tcW w:w="1367" w:type="dxa"/>
          </w:tcPr>
          <w:p w:rsidR="00000000" w:rsidRDefault="00000000">
            <w:pPr>
              <w:spacing w:before="160" w:line="288" w:lineRule="auto"/>
              <w:jc w:val="center"/>
              <w:rPr>
                <w:rFonts w:hint="eastAsia"/>
                <w:sz w:val="21"/>
              </w:rPr>
            </w:pPr>
            <w:r>
              <w:rPr>
                <w:rFonts w:hint="eastAsia"/>
                <w:sz w:val="21"/>
              </w:rPr>
              <w:t>1989</w:t>
            </w:r>
          </w:p>
        </w:tc>
        <w:tc>
          <w:tcPr>
            <w:tcW w:w="1367" w:type="dxa"/>
          </w:tcPr>
          <w:p w:rsidR="00000000" w:rsidRDefault="00000000">
            <w:pPr>
              <w:spacing w:before="160" w:line="288" w:lineRule="auto"/>
              <w:jc w:val="center"/>
              <w:rPr>
                <w:rFonts w:hint="eastAsia"/>
                <w:sz w:val="21"/>
              </w:rPr>
            </w:pPr>
            <w:r>
              <w:rPr>
                <w:rFonts w:hint="eastAsia"/>
                <w:sz w:val="21"/>
              </w:rPr>
              <w:t>1992</w:t>
            </w:r>
          </w:p>
        </w:tc>
        <w:tc>
          <w:tcPr>
            <w:tcW w:w="1367" w:type="dxa"/>
          </w:tcPr>
          <w:p w:rsidR="00000000" w:rsidRDefault="00000000">
            <w:pPr>
              <w:spacing w:before="160" w:line="288" w:lineRule="auto"/>
              <w:jc w:val="center"/>
              <w:rPr>
                <w:rFonts w:hint="eastAsia"/>
                <w:sz w:val="21"/>
              </w:rPr>
            </w:pPr>
            <w:r>
              <w:rPr>
                <w:rFonts w:hint="eastAsia"/>
                <w:sz w:val="21"/>
              </w:rPr>
              <w:t>1995</w:t>
            </w:r>
          </w:p>
        </w:tc>
        <w:tc>
          <w:tcPr>
            <w:tcW w:w="1368" w:type="dxa"/>
          </w:tcPr>
          <w:p w:rsidR="00000000" w:rsidRDefault="00000000">
            <w:pPr>
              <w:spacing w:before="160" w:line="288" w:lineRule="auto"/>
              <w:jc w:val="center"/>
              <w:rPr>
                <w:rFonts w:hint="eastAsia"/>
                <w:sz w:val="21"/>
              </w:rPr>
            </w:pPr>
            <w:r>
              <w:rPr>
                <w:rFonts w:hint="eastAsia"/>
                <w:sz w:val="21"/>
              </w:rPr>
              <w:t>1998</w:t>
            </w:r>
          </w:p>
        </w:tc>
        <w:tc>
          <w:tcPr>
            <w:tcW w:w="1368" w:type="dxa"/>
          </w:tcPr>
          <w:p w:rsidR="00000000" w:rsidRDefault="00000000">
            <w:pPr>
              <w:spacing w:before="160" w:line="288" w:lineRule="auto"/>
              <w:jc w:val="center"/>
              <w:rPr>
                <w:rFonts w:hint="eastAsia"/>
                <w:sz w:val="21"/>
              </w:rPr>
            </w:pPr>
            <w:r>
              <w:rPr>
                <w:rFonts w:hint="eastAsia"/>
                <w:sz w:val="21"/>
              </w:rPr>
              <w:t>1999</w:t>
            </w:r>
          </w:p>
        </w:tc>
      </w:tr>
      <w:tr w:rsidR="00000000">
        <w:tblPrEx>
          <w:tblCellMar>
            <w:top w:w="0" w:type="dxa"/>
            <w:bottom w:w="0" w:type="dxa"/>
          </w:tblCellMar>
        </w:tblPrEx>
        <w:tc>
          <w:tcPr>
            <w:tcW w:w="1367" w:type="dxa"/>
          </w:tcPr>
          <w:p w:rsidR="00000000" w:rsidRDefault="00000000">
            <w:pPr>
              <w:spacing w:before="120" w:line="288" w:lineRule="auto"/>
              <w:rPr>
                <w:rFonts w:hint="eastAsia"/>
                <w:sz w:val="21"/>
              </w:rPr>
            </w:pPr>
            <w:r>
              <w:rPr>
                <w:rFonts w:hint="eastAsia"/>
                <w:sz w:val="21"/>
              </w:rPr>
              <w:t>通货膨胀率</w:t>
            </w:r>
          </w:p>
        </w:tc>
        <w:tc>
          <w:tcPr>
            <w:tcW w:w="1367" w:type="dxa"/>
          </w:tcPr>
          <w:p w:rsidR="00000000" w:rsidRDefault="00000000">
            <w:pPr>
              <w:spacing w:before="120" w:line="288" w:lineRule="auto"/>
              <w:jc w:val="center"/>
              <w:rPr>
                <w:rFonts w:hint="eastAsia"/>
                <w:sz w:val="21"/>
              </w:rPr>
            </w:pPr>
            <w:r>
              <w:rPr>
                <w:rFonts w:hint="eastAsia"/>
                <w:sz w:val="21"/>
              </w:rPr>
              <w:t>7.7</w:t>
            </w:r>
          </w:p>
        </w:tc>
        <w:tc>
          <w:tcPr>
            <w:tcW w:w="1367" w:type="dxa"/>
          </w:tcPr>
          <w:p w:rsidR="00000000" w:rsidRDefault="00000000">
            <w:pPr>
              <w:spacing w:before="120" w:line="288" w:lineRule="auto"/>
              <w:jc w:val="center"/>
              <w:rPr>
                <w:rFonts w:hint="eastAsia"/>
                <w:sz w:val="21"/>
              </w:rPr>
            </w:pPr>
            <w:r>
              <w:rPr>
                <w:rFonts w:hint="eastAsia"/>
                <w:sz w:val="21"/>
              </w:rPr>
              <w:t>11.4</w:t>
            </w:r>
          </w:p>
        </w:tc>
        <w:tc>
          <w:tcPr>
            <w:tcW w:w="1367" w:type="dxa"/>
          </w:tcPr>
          <w:p w:rsidR="00000000" w:rsidRDefault="00000000">
            <w:pPr>
              <w:spacing w:before="120" w:line="288" w:lineRule="auto"/>
              <w:jc w:val="center"/>
              <w:rPr>
                <w:rFonts w:hint="eastAsia"/>
                <w:sz w:val="21"/>
              </w:rPr>
            </w:pPr>
            <w:r>
              <w:rPr>
                <w:rFonts w:hint="eastAsia"/>
                <w:sz w:val="21"/>
              </w:rPr>
              <w:t>6.6</w:t>
            </w:r>
          </w:p>
        </w:tc>
        <w:tc>
          <w:tcPr>
            <w:tcW w:w="1367" w:type="dxa"/>
          </w:tcPr>
          <w:p w:rsidR="00000000" w:rsidRDefault="00000000">
            <w:pPr>
              <w:spacing w:before="120" w:line="288" w:lineRule="auto"/>
              <w:jc w:val="center"/>
              <w:rPr>
                <w:rFonts w:hint="eastAsia"/>
                <w:sz w:val="21"/>
              </w:rPr>
            </w:pPr>
            <w:r>
              <w:rPr>
                <w:rFonts w:hint="eastAsia"/>
                <w:sz w:val="21"/>
              </w:rPr>
              <w:t>5.3</w:t>
            </w:r>
          </w:p>
        </w:tc>
        <w:tc>
          <w:tcPr>
            <w:tcW w:w="1368" w:type="dxa"/>
          </w:tcPr>
          <w:p w:rsidR="00000000" w:rsidRDefault="00000000">
            <w:pPr>
              <w:spacing w:before="120" w:line="288" w:lineRule="auto"/>
              <w:jc w:val="center"/>
              <w:rPr>
                <w:rFonts w:hint="eastAsia"/>
                <w:sz w:val="21"/>
              </w:rPr>
            </w:pPr>
            <w:r>
              <w:rPr>
                <w:rFonts w:hint="eastAsia"/>
                <w:sz w:val="21"/>
              </w:rPr>
              <w:t>5.6</w:t>
            </w:r>
          </w:p>
        </w:tc>
        <w:tc>
          <w:tcPr>
            <w:tcW w:w="1368" w:type="dxa"/>
          </w:tcPr>
          <w:p w:rsidR="00000000" w:rsidRDefault="00000000">
            <w:pPr>
              <w:spacing w:before="120" w:line="288" w:lineRule="auto"/>
              <w:jc w:val="center"/>
              <w:rPr>
                <w:rFonts w:hint="eastAsia"/>
                <w:sz w:val="21"/>
              </w:rPr>
            </w:pPr>
            <w:r>
              <w:rPr>
                <w:rFonts w:hint="eastAsia"/>
                <w:sz w:val="21"/>
              </w:rPr>
              <w:t>2.3</w:t>
            </w:r>
          </w:p>
        </w:tc>
      </w:tr>
    </w:tbl>
    <w:p w:rsidR="00000000" w:rsidRDefault="00000000">
      <w:pPr>
        <w:spacing w:before="320" w:after="160"/>
        <w:rPr>
          <w:rFonts w:hint="eastAsia"/>
        </w:rPr>
      </w:pPr>
      <w:r>
        <w:rPr>
          <w:rFonts w:hint="eastAsia"/>
        </w:rPr>
        <w:tab/>
        <w:t>1999</w:t>
      </w:r>
      <w:r>
        <w:rPr>
          <w:rFonts w:hint="eastAsia"/>
        </w:rPr>
        <w:t>年通货膨胀率为</w:t>
      </w:r>
      <w:r>
        <w:rPr>
          <w:rFonts w:hint="eastAsia"/>
        </w:rPr>
        <w:t>1999</w:t>
      </w:r>
      <w:r>
        <w:rPr>
          <w:rFonts w:hint="eastAsia"/>
        </w:rPr>
        <w:t>年</w:t>
      </w:r>
      <w:r>
        <w:rPr>
          <w:rFonts w:hint="eastAsia"/>
        </w:rPr>
        <w:t>9</w:t>
      </w:r>
      <w:r>
        <w:rPr>
          <w:rFonts w:hint="eastAsia"/>
        </w:rPr>
        <w:t>月和</w:t>
      </w:r>
      <w:r>
        <w:rPr>
          <w:rFonts w:hint="eastAsia"/>
        </w:rPr>
        <w:t>1998</w:t>
      </w:r>
      <w:r>
        <w:rPr>
          <w:rFonts w:hint="eastAsia"/>
        </w:rPr>
        <w:t>年</w:t>
      </w:r>
      <w:r>
        <w:rPr>
          <w:rFonts w:hint="eastAsia"/>
        </w:rPr>
        <w:t>9</w:t>
      </w:r>
      <w:r>
        <w:rPr>
          <w:rFonts w:hint="eastAsia"/>
        </w:rPr>
        <w:t>月间的差数。</w:t>
      </w:r>
    </w:p>
    <w:p w:rsidR="00000000" w:rsidRDefault="00000000">
      <w:pPr>
        <w:spacing w:after="160"/>
        <w:rPr>
          <w:rFonts w:hint="eastAsia"/>
        </w:rPr>
      </w:pPr>
      <w:r>
        <w:rPr>
          <w:rFonts w:hint="eastAsia"/>
        </w:rPr>
        <w:tab/>
        <w:t xml:space="preserve">20.  </w:t>
      </w:r>
      <w:r>
        <w:rPr>
          <w:rFonts w:hint="eastAsia"/>
        </w:rPr>
        <w:t>国际收支</w:t>
      </w:r>
      <w:r>
        <w:rPr>
          <w:rFonts w:hint="eastAsia"/>
          <w:spacing w:val="-40"/>
          <w:sz w:val="22"/>
        </w:rPr>
        <w:t>——</w:t>
      </w:r>
      <w:r>
        <w:rPr>
          <w:sz w:val="22"/>
        </w:rPr>
        <w:t xml:space="preserve"> </w:t>
      </w:r>
      <w:r>
        <w:rPr>
          <w:rFonts w:hint="eastAsia"/>
        </w:rPr>
        <w:t>1998</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以百万美元计</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320"/>
        <w:gridCol w:w="1320"/>
        <w:gridCol w:w="1440"/>
        <w:gridCol w:w="1330"/>
        <w:gridCol w:w="1533"/>
      </w:tblGrid>
      <w:tr w:rsidR="00000000">
        <w:tblPrEx>
          <w:tblCellMar>
            <w:top w:w="0" w:type="dxa"/>
            <w:bottom w:w="0" w:type="dxa"/>
          </w:tblCellMar>
        </w:tblPrEx>
        <w:trPr>
          <w:trHeight w:val="608"/>
        </w:trPr>
        <w:tc>
          <w:tcPr>
            <w:tcW w:w="2628" w:type="dxa"/>
          </w:tcPr>
          <w:p w:rsidR="00000000" w:rsidRDefault="00000000">
            <w:pPr>
              <w:spacing w:before="160" w:line="288" w:lineRule="auto"/>
              <w:jc w:val="center"/>
              <w:rPr>
                <w:sz w:val="21"/>
              </w:rPr>
            </w:pPr>
            <w:r>
              <w:rPr>
                <w:rFonts w:hint="eastAsia"/>
                <w:sz w:val="21"/>
              </w:rPr>
              <w:t>12</w:t>
            </w:r>
            <w:r>
              <w:rPr>
                <w:rFonts w:hint="eastAsia"/>
                <w:sz w:val="21"/>
              </w:rPr>
              <w:t>月</w:t>
            </w:r>
            <w:r>
              <w:rPr>
                <w:rFonts w:hint="eastAsia"/>
                <w:sz w:val="21"/>
              </w:rPr>
              <w:t>31</w:t>
            </w:r>
            <w:r>
              <w:rPr>
                <w:rFonts w:hint="eastAsia"/>
                <w:sz w:val="21"/>
              </w:rPr>
              <w:t>日终了年度</w:t>
            </w:r>
          </w:p>
        </w:tc>
        <w:tc>
          <w:tcPr>
            <w:tcW w:w="1320" w:type="dxa"/>
          </w:tcPr>
          <w:p w:rsidR="00000000" w:rsidRDefault="00000000">
            <w:pPr>
              <w:spacing w:before="160" w:line="288" w:lineRule="auto"/>
              <w:jc w:val="center"/>
              <w:rPr>
                <w:sz w:val="21"/>
              </w:rPr>
            </w:pPr>
            <w:r>
              <w:rPr>
                <w:sz w:val="21"/>
              </w:rPr>
              <w:t>1994</w:t>
            </w:r>
          </w:p>
        </w:tc>
        <w:tc>
          <w:tcPr>
            <w:tcW w:w="1320" w:type="dxa"/>
          </w:tcPr>
          <w:p w:rsidR="00000000" w:rsidRDefault="00000000">
            <w:pPr>
              <w:spacing w:before="160" w:line="288" w:lineRule="auto"/>
              <w:jc w:val="center"/>
              <w:rPr>
                <w:sz w:val="21"/>
              </w:rPr>
            </w:pPr>
            <w:r>
              <w:rPr>
                <w:sz w:val="21"/>
              </w:rPr>
              <w:t>1995</w:t>
            </w:r>
          </w:p>
        </w:tc>
        <w:tc>
          <w:tcPr>
            <w:tcW w:w="1440" w:type="dxa"/>
          </w:tcPr>
          <w:p w:rsidR="00000000" w:rsidRDefault="00000000">
            <w:pPr>
              <w:spacing w:before="160" w:line="288" w:lineRule="auto"/>
              <w:jc w:val="center"/>
              <w:rPr>
                <w:sz w:val="21"/>
              </w:rPr>
            </w:pPr>
            <w:r>
              <w:rPr>
                <w:sz w:val="21"/>
              </w:rPr>
              <w:t>1996</w:t>
            </w:r>
          </w:p>
        </w:tc>
        <w:tc>
          <w:tcPr>
            <w:tcW w:w="1330" w:type="dxa"/>
          </w:tcPr>
          <w:p w:rsidR="00000000" w:rsidRDefault="00000000">
            <w:pPr>
              <w:spacing w:before="160" w:line="288" w:lineRule="auto"/>
              <w:jc w:val="center"/>
              <w:rPr>
                <w:sz w:val="21"/>
              </w:rPr>
            </w:pPr>
            <w:r>
              <w:rPr>
                <w:sz w:val="21"/>
              </w:rPr>
              <w:t>1997</w:t>
            </w:r>
          </w:p>
        </w:tc>
        <w:tc>
          <w:tcPr>
            <w:tcW w:w="1533" w:type="dxa"/>
          </w:tcPr>
          <w:p w:rsidR="00000000" w:rsidRDefault="00000000">
            <w:pPr>
              <w:spacing w:before="160" w:line="288" w:lineRule="auto"/>
              <w:jc w:val="center"/>
              <w:rPr>
                <w:sz w:val="21"/>
              </w:rPr>
            </w:pPr>
            <w:r>
              <w:rPr>
                <w:sz w:val="21"/>
              </w:rPr>
              <w:t>1998</w:t>
            </w:r>
          </w:p>
        </w:tc>
      </w:tr>
      <w:tr w:rsidR="00000000">
        <w:tblPrEx>
          <w:tblCellMar>
            <w:top w:w="0" w:type="dxa"/>
            <w:bottom w:w="0" w:type="dxa"/>
          </w:tblCellMar>
        </w:tblPrEx>
        <w:trPr>
          <w:trHeight w:val="607"/>
        </w:trPr>
        <w:tc>
          <w:tcPr>
            <w:tcW w:w="2628" w:type="dxa"/>
            <w:tcBorders>
              <w:bottom w:val="single" w:sz="4" w:space="0" w:color="auto"/>
            </w:tcBorders>
          </w:tcPr>
          <w:p w:rsidR="00000000" w:rsidRDefault="00000000">
            <w:pPr>
              <w:spacing w:before="160" w:line="288" w:lineRule="auto"/>
              <w:jc w:val="center"/>
              <w:rPr>
                <w:rFonts w:hint="eastAsia"/>
                <w:sz w:val="21"/>
                <w:lang w:val="fr-CH"/>
              </w:rPr>
            </w:pPr>
            <w:r>
              <w:rPr>
                <w:rFonts w:hint="eastAsia"/>
                <w:sz w:val="21"/>
              </w:rPr>
              <w:t>总盈余</w:t>
            </w:r>
            <w:r>
              <w:rPr>
                <w:sz w:val="21"/>
              </w:rPr>
              <w:t>(</w:t>
            </w:r>
            <w:r>
              <w:rPr>
                <w:rFonts w:hint="eastAsia"/>
                <w:sz w:val="21"/>
                <w:lang w:val="fr-CH"/>
              </w:rPr>
              <w:t>逆差</w:t>
            </w:r>
            <w:r>
              <w:rPr>
                <w:rFonts w:hint="eastAsia"/>
                <w:sz w:val="21"/>
                <w:lang w:val="fr-CH"/>
              </w:rPr>
              <w:t>)</w:t>
            </w:r>
          </w:p>
        </w:tc>
        <w:tc>
          <w:tcPr>
            <w:tcW w:w="1320" w:type="dxa"/>
            <w:tcBorders>
              <w:bottom w:val="single" w:sz="4" w:space="0" w:color="auto"/>
            </w:tcBorders>
          </w:tcPr>
          <w:p w:rsidR="00000000" w:rsidRDefault="00000000">
            <w:pPr>
              <w:spacing w:before="160" w:line="288" w:lineRule="auto"/>
              <w:jc w:val="center"/>
              <w:rPr>
                <w:sz w:val="21"/>
              </w:rPr>
            </w:pPr>
            <w:r>
              <w:rPr>
                <w:sz w:val="21"/>
              </w:rPr>
              <w:t>181.0</w:t>
            </w:r>
          </w:p>
        </w:tc>
        <w:tc>
          <w:tcPr>
            <w:tcW w:w="1320" w:type="dxa"/>
            <w:tcBorders>
              <w:bottom w:val="single" w:sz="4" w:space="0" w:color="auto"/>
            </w:tcBorders>
          </w:tcPr>
          <w:p w:rsidR="00000000" w:rsidRDefault="00000000">
            <w:pPr>
              <w:spacing w:before="160" w:line="288" w:lineRule="auto"/>
              <w:jc w:val="center"/>
              <w:rPr>
                <w:sz w:val="21"/>
              </w:rPr>
            </w:pPr>
            <w:r>
              <w:rPr>
                <w:sz w:val="21"/>
              </w:rPr>
              <w:t>32.5</w:t>
            </w:r>
          </w:p>
        </w:tc>
        <w:tc>
          <w:tcPr>
            <w:tcW w:w="1440" w:type="dxa"/>
            <w:tcBorders>
              <w:bottom w:val="single" w:sz="4" w:space="0" w:color="auto"/>
            </w:tcBorders>
          </w:tcPr>
          <w:p w:rsidR="00000000" w:rsidRDefault="00000000">
            <w:pPr>
              <w:spacing w:before="160" w:line="288" w:lineRule="auto"/>
              <w:jc w:val="center"/>
              <w:rPr>
                <w:sz w:val="21"/>
              </w:rPr>
            </w:pPr>
            <w:r>
              <w:rPr>
                <w:sz w:val="21"/>
              </w:rPr>
              <w:t>213.5</w:t>
            </w:r>
          </w:p>
        </w:tc>
        <w:tc>
          <w:tcPr>
            <w:tcW w:w="1330" w:type="dxa"/>
            <w:tcBorders>
              <w:bottom w:val="single" w:sz="4" w:space="0" w:color="auto"/>
            </w:tcBorders>
          </w:tcPr>
          <w:p w:rsidR="00000000" w:rsidRDefault="00000000">
            <w:pPr>
              <w:spacing w:before="160" w:line="288" w:lineRule="auto"/>
              <w:jc w:val="center"/>
              <w:rPr>
                <w:sz w:val="21"/>
              </w:rPr>
            </w:pPr>
            <w:r>
              <w:rPr>
                <w:sz w:val="21"/>
              </w:rPr>
              <w:t>175.3</w:t>
            </w:r>
          </w:p>
        </w:tc>
        <w:tc>
          <w:tcPr>
            <w:tcW w:w="1533" w:type="dxa"/>
            <w:tcBorders>
              <w:bottom w:val="single" w:sz="4" w:space="0" w:color="auto"/>
            </w:tcBorders>
          </w:tcPr>
          <w:p w:rsidR="00000000" w:rsidRDefault="00000000">
            <w:pPr>
              <w:spacing w:before="160" w:line="288" w:lineRule="auto"/>
              <w:jc w:val="center"/>
              <w:rPr>
                <w:sz w:val="21"/>
              </w:rPr>
            </w:pPr>
            <w:r>
              <w:rPr>
                <w:sz w:val="21"/>
              </w:rPr>
              <w:t>80.6</w:t>
            </w:r>
          </w:p>
        </w:tc>
      </w:tr>
    </w:tbl>
    <w:p w:rsidR="00000000" w:rsidRDefault="00000000">
      <w:pPr>
        <w:spacing w:before="320"/>
        <w:rPr>
          <w:rFonts w:hint="eastAsia"/>
        </w:rPr>
      </w:pPr>
      <w:r>
        <w:rPr>
          <w:rFonts w:hint="eastAsia"/>
        </w:rPr>
        <w:tab/>
        <w:t>21.  1993</w:t>
      </w:r>
      <w:r>
        <w:rPr>
          <w:rFonts w:hint="eastAsia"/>
        </w:rPr>
        <w:t>年</w:t>
      </w:r>
      <w:r>
        <w:rPr>
          <w:rFonts w:hint="eastAsia"/>
        </w:rPr>
        <w:t>4</w:t>
      </w:r>
      <w:r>
        <w:rPr>
          <w:rFonts w:hint="eastAsia"/>
        </w:rPr>
        <w:t>月，特立尼达和多巴哥政府取消了外汇管制制度，并采用了一种自由的外汇制度，允许特立尼达和多巴哥元浮动。</w:t>
      </w:r>
      <w:r>
        <w:rPr>
          <w:rFonts w:hint="eastAsia"/>
        </w:rPr>
        <w:t>1999</w:t>
      </w:r>
      <w:r>
        <w:rPr>
          <w:rFonts w:hint="eastAsia"/>
        </w:rPr>
        <w:t>年</w:t>
      </w:r>
      <w:r>
        <w:rPr>
          <w:rFonts w:hint="eastAsia"/>
        </w:rPr>
        <w:t>6</w:t>
      </w:r>
      <w:r>
        <w:rPr>
          <w:rFonts w:hint="eastAsia"/>
        </w:rPr>
        <w:t>月底，特立尼达和多巴哥元与美元的汇率为</w:t>
      </w:r>
      <w:r>
        <w:rPr>
          <w:rFonts w:hint="eastAsia"/>
        </w:rPr>
        <w:t>1</w:t>
      </w:r>
      <w:r>
        <w:rPr>
          <w:rFonts w:hint="eastAsia"/>
        </w:rPr>
        <w:t>美元</w:t>
      </w:r>
      <w:r>
        <w:rPr>
          <w:rFonts w:hint="eastAsia"/>
        </w:rPr>
        <w:t xml:space="preserve"> = 6.2997</w:t>
      </w:r>
      <w:r>
        <w:rPr>
          <w:rFonts w:hint="eastAsia"/>
        </w:rPr>
        <w:t>特立尼达和多巴哥元，</w:t>
      </w:r>
      <w:r>
        <w:rPr>
          <w:rFonts w:hint="eastAsia"/>
        </w:rPr>
        <w:t>(</w:t>
      </w:r>
      <w:r>
        <w:rPr>
          <w:rFonts w:hint="eastAsia"/>
        </w:rPr>
        <w:t>这是指加权平均售出汇率</w:t>
      </w:r>
      <w:r>
        <w:rPr>
          <w:rFonts w:hint="eastAsia"/>
        </w:rPr>
        <w:t>)</w:t>
      </w:r>
      <w:r>
        <w:rPr>
          <w:rFonts w:hint="eastAsia"/>
        </w:rPr>
        <w:t>。</w:t>
      </w:r>
    </w:p>
    <w:p w:rsidR="00000000" w:rsidRDefault="00000000">
      <w:pPr>
        <w:spacing w:after="320"/>
        <w:rPr>
          <w:rFonts w:hint="eastAsia"/>
        </w:rPr>
      </w:pPr>
      <w:r>
        <w:rPr>
          <w:rFonts w:hint="eastAsia"/>
        </w:rPr>
        <w:tab/>
        <w:t xml:space="preserve">22.  </w:t>
      </w:r>
      <w:r>
        <w:rPr>
          <w:rFonts w:hint="eastAsia"/>
        </w:rPr>
        <w:t>特立尼达和多巴哥共和国利用国际援助和合作促进充分实现人权。就</w:t>
      </w:r>
      <w:r>
        <w:rPr>
          <w:rFonts w:hint="eastAsia"/>
        </w:rPr>
        <w:t>1999/2000</w:t>
      </w:r>
      <w:r>
        <w:rPr>
          <w:rFonts w:hint="eastAsia"/>
        </w:rPr>
        <w:t>财政年度而言，用于为促进实现人权而采用的项目、方案和其他主动行动的国际筹资将达总预算的</w:t>
      </w:r>
      <w:r>
        <w:rPr>
          <w:rFonts w:hint="eastAsia"/>
        </w:rPr>
        <w:t>30.6%</w:t>
      </w:r>
      <w:r>
        <w:rPr>
          <w:rFonts w:hint="eastAsia"/>
        </w:rPr>
        <w:t>。</w:t>
      </w:r>
    </w:p>
    <w:p w:rsidR="00000000" w:rsidRDefault="00000000">
      <w:pPr>
        <w:pStyle w:val="Heading2"/>
        <w:rPr>
          <w:rFonts w:hint="eastAsia"/>
        </w:rPr>
      </w:pPr>
      <w:r>
        <w:rPr>
          <w:rFonts w:hint="eastAsia"/>
        </w:rPr>
        <w:t>二、总的政治结构</w:t>
      </w:r>
    </w:p>
    <w:p w:rsidR="00000000" w:rsidRDefault="00000000">
      <w:pPr>
        <w:rPr>
          <w:rFonts w:hint="eastAsia"/>
        </w:rPr>
      </w:pPr>
      <w:r>
        <w:rPr>
          <w:rFonts w:hint="eastAsia"/>
        </w:rPr>
        <w:tab/>
        <w:t xml:space="preserve">23.  </w:t>
      </w:r>
      <w:r>
        <w:rPr>
          <w:rFonts w:hint="eastAsia"/>
        </w:rPr>
        <w:t>特立尼达和多巴哥是建立在法治基础上的主权民主国家，《宪法》序言明确地提到了法治原则。特立尼达和多巴哥以前为英国直辖殖民地，于</w:t>
      </w:r>
      <w:r>
        <w:rPr>
          <w:rFonts w:hint="eastAsia"/>
        </w:rPr>
        <w:t>1956</w:t>
      </w:r>
      <w:r>
        <w:rPr>
          <w:rFonts w:hint="eastAsia"/>
        </w:rPr>
        <w:t>年自治。特立尼达和多巴哥于</w:t>
      </w:r>
      <w:r>
        <w:rPr>
          <w:rFonts w:hint="eastAsia"/>
        </w:rPr>
        <w:t>1962</w:t>
      </w:r>
      <w:r>
        <w:rPr>
          <w:rFonts w:hint="eastAsia"/>
        </w:rPr>
        <w:t>年</w:t>
      </w:r>
      <w:r>
        <w:rPr>
          <w:rFonts w:hint="eastAsia"/>
        </w:rPr>
        <w:t>8</w:t>
      </w:r>
      <w:r>
        <w:rPr>
          <w:rFonts w:hint="eastAsia"/>
        </w:rPr>
        <w:t>月</w:t>
      </w:r>
      <w:r>
        <w:rPr>
          <w:rFonts w:hint="eastAsia"/>
        </w:rPr>
        <w:t>31</w:t>
      </w:r>
      <w:r>
        <w:rPr>
          <w:rFonts w:hint="eastAsia"/>
        </w:rPr>
        <w:t>日正式脱离英国实现独立，并于</w:t>
      </w:r>
      <w:r>
        <w:rPr>
          <w:rFonts w:hint="eastAsia"/>
        </w:rPr>
        <w:t>1976</w:t>
      </w:r>
      <w:r>
        <w:rPr>
          <w:rFonts w:hint="eastAsia"/>
        </w:rPr>
        <w:t>年</w:t>
      </w:r>
      <w:r>
        <w:rPr>
          <w:rFonts w:hint="eastAsia"/>
        </w:rPr>
        <w:t>9</w:t>
      </w:r>
      <w:r>
        <w:rPr>
          <w:rFonts w:hint="eastAsia"/>
        </w:rPr>
        <w:t>月</w:t>
      </w:r>
      <w:r>
        <w:rPr>
          <w:rFonts w:hint="eastAsia"/>
        </w:rPr>
        <w:t>24</w:t>
      </w:r>
      <w:r>
        <w:rPr>
          <w:rFonts w:hint="eastAsia"/>
        </w:rPr>
        <w:t>日成为英联邦内的一个共和国。</w:t>
      </w:r>
    </w:p>
    <w:p w:rsidR="00000000" w:rsidRDefault="00000000">
      <w:pPr>
        <w:rPr>
          <w:rFonts w:hint="eastAsia"/>
        </w:rPr>
      </w:pPr>
      <w:r>
        <w:rPr>
          <w:rFonts w:hint="eastAsia"/>
        </w:rPr>
        <w:tab/>
        <w:t xml:space="preserve">24.  </w:t>
      </w:r>
      <w:r>
        <w:rPr>
          <w:rFonts w:hint="eastAsia"/>
        </w:rPr>
        <w:t>特立尼达和多巴哥人民通过其民选代表表达他们的意愿，因此他们是独立自主的。参加政党和表达政治观点的权利在《宪法》</w:t>
      </w:r>
      <w:r>
        <w:rPr>
          <w:rFonts w:hint="eastAsia"/>
        </w:rPr>
        <w:t>S.4(e)</w:t>
      </w:r>
      <w:r>
        <w:rPr>
          <w:rFonts w:hint="eastAsia"/>
        </w:rPr>
        <w:t>条中得到了明确的承认。为便于选举，特立尼达和多巴哥分为</w:t>
      </w:r>
      <w:r>
        <w:rPr>
          <w:rFonts w:hint="eastAsia"/>
        </w:rPr>
        <w:t>36</w:t>
      </w:r>
      <w:r>
        <w:rPr>
          <w:rFonts w:hint="eastAsia"/>
        </w:rPr>
        <w:t>个选区。其中两个在多巴哥。《宪法》设立了一个独立的选举和边界委员会，在进行议会选举之后，每个选区中获选的候选人成为众议院即议院下院的成员。除非提前解散，议会应在任何一次解散后的第一次开会之日起任期五年，然后处于解散状态。在议会每次解散之后</w:t>
      </w:r>
      <w:r>
        <w:rPr>
          <w:rFonts w:hint="eastAsia"/>
        </w:rPr>
        <w:t>3</w:t>
      </w:r>
      <w:r>
        <w:rPr>
          <w:rFonts w:hint="eastAsia"/>
        </w:rPr>
        <w:t>个月内应在议长根据总理的建议指定的时间举行众议院成员的大选。</w:t>
      </w:r>
    </w:p>
    <w:p w:rsidR="00000000" w:rsidRDefault="00000000">
      <w:pPr>
        <w:rPr>
          <w:rFonts w:hint="eastAsia"/>
        </w:rPr>
      </w:pPr>
      <w:r>
        <w:rPr>
          <w:rFonts w:hint="eastAsia"/>
        </w:rPr>
        <w:tab/>
        <w:t xml:space="preserve">25.  </w:t>
      </w:r>
      <w:r>
        <w:rPr>
          <w:rFonts w:hint="eastAsia"/>
        </w:rPr>
        <w:t>自</w:t>
      </w:r>
      <w:r>
        <w:rPr>
          <w:rFonts w:hint="eastAsia"/>
        </w:rPr>
        <w:t>1956</w:t>
      </w:r>
      <w:r>
        <w:rPr>
          <w:rFonts w:hint="eastAsia"/>
        </w:rPr>
        <w:t>年以来特立尼达和多巴哥已举行了自由和公正的选举。在其政治历史方面，人民民族运动党于</w:t>
      </w:r>
      <w:r>
        <w:rPr>
          <w:rFonts w:hint="eastAsia"/>
        </w:rPr>
        <w:t>1956</w:t>
      </w:r>
      <w:r>
        <w:rPr>
          <w:rFonts w:hint="eastAsia"/>
        </w:rPr>
        <w:t>年</w:t>
      </w:r>
      <w:r>
        <w:rPr>
          <w:rFonts w:hint="eastAsia"/>
        </w:rPr>
        <w:t>9</w:t>
      </w:r>
      <w:r>
        <w:rPr>
          <w:rFonts w:hint="eastAsia"/>
        </w:rPr>
        <w:t>月开始执政并维持不败的地位，直到</w:t>
      </w:r>
      <w:r>
        <w:rPr>
          <w:rFonts w:hint="eastAsia"/>
        </w:rPr>
        <w:t>1986</w:t>
      </w:r>
      <w:r>
        <w:rPr>
          <w:rFonts w:hint="eastAsia"/>
        </w:rPr>
        <w:t>年</w:t>
      </w:r>
      <w:r>
        <w:rPr>
          <w:rFonts w:hint="eastAsia"/>
        </w:rPr>
        <w:t>12</w:t>
      </w:r>
      <w:r>
        <w:rPr>
          <w:rFonts w:hint="eastAsia"/>
        </w:rPr>
        <w:t>月败于称为全国复兴联盟的一个联合政党。全国复兴联盟于</w:t>
      </w:r>
      <w:r>
        <w:rPr>
          <w:rFonts w:hint="eastAsia"/>
        </w:rPr>
        <w:t>1986</w:t>
      </w:r>
      <w:r>
        <w:rPr>
          <w:rFonts w:hint="eastAsia"/>
        </w:rPr>
        <w:t>年获得了重大胜利，结束了人民民族运动党为期三十年的首要地位。五年之后，人民民族运动党于</w:t>
      </w:r>
      <w:r>
        <w:rPr>
          <w:rFonts w:hint="eastAsia"/>
        </w:rPr>
        <w:t>1991</w:t>
      </w:r>
      <w:r>
        <w:rPr>
          <w:rFonts w:hint="eastAsia"/>
        </w:rPr>
        <w:t>年</w:t>
      </w:r>
      <w:r>
        <w:rPr>
          <w:rFonts w:hint="eastAsia"/>
        </w:rPr>
        <w:t>11</w:t>
      </w:r>
      <w:r>
        <w:rPr>
          <w:rFonts w:hint="eastAsia"/>
        </w:rPr>
        <w:t>月重新执政。在上一次于</w:t>
      </w:r>
      <w:r>
        <w:rPr>
          <w:rFonts w:hint="eastAsia"/>
        </w:rPr>
        <w:t>1995</w:t>
      </w:r>
      <w:r>
        <w:rPr>
          <w:rFonts w:hint="eastAsia"/>
        </w:rPr>
        <w:t>年进行的大选中，联合国民大会和人民民族运动党各获得</w:t>
      </w:r>
      <w:r>
        <w:rPr>
          <w:rFonts w:hint="eastAsia"/>
        </w:rPr>
        <w:t>17</w:t>
      </w:r>
      <w:r>
        <w:rPr>
          <w:rFonts w:hint="eastAsia"/>
        </w:rPr>
        <w:t>和</w:t>
      </w:r>
      <w:r>
        <w:rPr>
          <w:rFonts w:hint="eastAsia"/>
        </w:rPr>
        <w:t>36</w:t>
      </w:r>
      <w:r>
        <w:rPr>
          <w:rFonts w:hint="eastAsia"/>
        </w:rPr>
        <w:t>个选举席位。在多巴哥的其余两个席位由全国复兴联盟获得。联合国民大会和全国复兴联盟决定共同组成联合政府，该政府现仍然在总理巴斯德奥·潘戴先生的领导下执政。根据宪法，下一次议会选举应于</w:t>
      </w:r>
      <w:r>
        <w:rPr>
          <w:rFonts w:hint="eastAsia"/>
        </w:rPr>
        <w:t>2001</w:t>
      </w:r>
      <w:r>
        <w:rPr>
          <w:rFonts w:hint="eastAsia"/>
        </w:rPr>
        <w:t>年</w:t>
      </w:r>
      <w:r>
        <w:rPr>
          <w:rFonts w:hint="eastAsia"/>
        </w:rPr>
        <w:t>2</w:t>
      </w:r>
      <w:r>
        <w:rPr>
          <w:rFonts w:hint="eastAsia"/>
        </w:rPr>
        <w:t>月前举行。</w:t>
      </w:r>
    </w:p>
    <w:p w:rsidR="00000000" w:rsidRDefault="00000000">
      <w:pPr>
        <w:rPr>
          <w:rFonts w:hint="eastAsia"/>
        </w:rPr>
      </w:pPr>
      <w:r>
        <w:rPr>
          <w:rFonts w:hint="eastAsia"/>
        </w:rPr>
        <w:tab/>
        <w:t>26.  1976</w:t>
      </w:r>
      <w:r>
        <w:rPr>
          <w:rFonts w:hint="eastAsia"/>
        </w:rPr>
        <w:t>年，《共和国宪法》替代了特立尼达和多巴哥的独立《宪法》。该《宪法》宣布它是特立尼达和多巴哥的最高法律，任何不符合该《宪法》的其他法律中不符合之处应为无效。该《宪法》的根基在于政府三个部门即行政、立法和司法的三权分立。</w:t>
      </w:r>
    </w:p>
    <w:p w:rsidR="00000000" w:rsidRDefault="00000000">
      <w:pPr>
        <w:rPr>
          <w:rFonts w:hint="eastAsia"/>
        </w:rPr>
      </w:pPr>
      <w:r>
        <w:rPr>
          <w:rFonts w:hint="eastAsia"/>
        </w:rPr>
        <w:tab/>
        <w:t xml:space="preserve">27.  </w:t>
      </w:r>
      <w:r>
        <w:rPr>
          <w:rFonts w:hint="eastAsia"/>
        </w:rPr>
        <w:t>特立尼达和多巴哥的行政权力属于总统，并可根据《宪法》的规定，直接或通过他属下的官员予以行使。总统由两院制议会的所有成员选出。作为议会多数党领袖的总理是政府首脑。内阁由总理、检察总长以及总理从议员中任命的政府其他各部部长组成。《宪法》授权内阁全面指导和控制特立尼达和多巴哥政府，并责成内阁对议会集体负责。在行使《宪法》规定的职责时，要求总统根据内阁的建议行事，但《宪法》另有规定者除外。内阁可由立法机构成员投不信任票而解除职务。</w:t>
      </w:r>
    </w:p>
    <w:p w:rsidR="00000000" w:rsidRDefault="00000000">
      <w:pPr>
        <w:rPr>
          <w:rFonts w:hint="eastAsia"/>
        </w:rPr>
      </w:pPr>
      <w:r>
        <w:rPr>
          <w:rFonts w:hint="eastAsia"/>
        </w:rPr>
        <w:tab/>
        <w:t xml:space="preserve">28.  </w:t>
      </w:r>
      <w:r>
        <w:rPr>
          <w:rFonts w:hint="eastAsia"/>
        </w:rPr>
        <w:t>特立尼达和多巴哥的立法权属于议会，按照《宪章》，议会应由总统、称为参议院的上院以及称为众议院的下院组成。众议院由经成年人普选投票从特立尼达和多巴哥划分的</w:t>
      </w:r>
      <w:r>
        <w:rPr>
          <w:rFonts w:hint="eastAsia"/>
        </w:rPr>
        <w:t>36</w:t>
      </w:r>
      <w:r>
        <w:rPr>
          <w:rFonts w:hint="eastAsia"/>
        </w:rPr>
        <w:t>个选区中选出的</w:t>
      </w:r>
      <w:r>
        <w:rPr>
          <w:rFonts w:hint="eastAsia"/>
        </w:rPr>
        <w:t>36</w:t>
      </w:r>
      <w:r>
        <w:rPr>
          <w:rFonts w:hint="eastAsia"/>
        </w:rPr>
        <w:t>名成员组成。《宪法》第</w:t>
      </w:r>
      <w:r>
        <w:rPr>
          <w:rFonts w:hint="eastAsia"/>
        </w:rPr>
        <w:t>73</w:t>
      </w:r>
      <w:r>
        <w:rPr>
          <w:rFonts w:hint="eastAsia"/>
        </w:rPr>
        <w:t>节规定，应以无记名投票的方式，并按照首先过标的制度</w:t>
      </w:r>
      <w:r>
        <w:rPr>
          <w:rFonts w:hint="eastAsia"/>
        </w:rPr>
        <w:t>(</w:t>
      </w:r>
      <w:r>
        <w:rPr>
          <w:rFonts w:hint="eastAsia"/>
        </w:rPr>
        <w:t>相对多数制度</w:t>
      </w:r>
      <w:r>
        <w:rPr>
          <w:rFonts w:hint="eastAsia"/>
        </w:rPr>
        <w:t>)</w:t>
      </w:r>
      <w:r>
        <w:rPr>
          <w:rFonts w:hint="eastAsia"/>
        </w:rPr>
        <w:t>，选举众议院成员。参议院由</w:t>
      </w:r>
      <w:r>
        <w:rPr>
          <w:rFonts w:hint="eastAsia"/>
        </w:rPr>
        <w:t>31</w:t>
      </w:r>
      <w:r>
        <w:rPr>
          <w:rFonts w:hint="eastAsia"/>
        </w:rPr>
        <w:t>名经任命的成员组成。在这</w:t>
      </w:r>
      <w:r>
        <w:rPr>
          <w:rFonts w:hint="eastAsia"/>
        </w:rPr>
        <w:t>31</w:t>
      </w:r>
      <w:r>
        <w:rPr>
          <w:rFonts w:hint="eastAsia"/>
        </w:rPr>
        <w:t>名参议员中，</w:t>
      </w:r>
      <w:r>
        <w:rPr>
          <w:rFonts w:hint="eastAsia"/>
        </w:rPr>
        <w:t>16</w:t>
      </w:r>
      <w:r>
        <w:rPr>
          <w:rFonts w:hint="eastAsia"/>
        </w:rPr>
        <w:t>名为根据总理的建议所任命，</w:t>
      </w:r>
      <w:r>
        <w:rPr>
          <w:rFonts w:hint="eastAsia"/>
        </w:rPr>
        <w:t>6</w:t>
      </w:r>
      <w:r>
        <w:rPr>
          <w:rFonts w:hint="eastAsia"/>
        </w:rPr>
        <w:t>名为根据反对党领袖的建议所任命，</w:t>
      </w:r>
      <w:r>
        <w:rPr>
          <w:rFonts w:hint="eastAsia"/>
        </w:rPr>
        <w:t>9</w:t>
      </w:r>
      <w:r>
        <w:rPr>
          <w:rFonts w:hint="eastAsia"/>
        </w:rPr>
        <w:t>名为总统自行决定任命，他们都是来自经济、社会或社区组织或其他主要活动领域的杰出人士。《宪法》第</w:t>
      </w:r>
      <w:r>
        <w:rPr>
          <w:rFonts w:hint="eastAsia"/>
        </w:rPr>
        <w:t>S.53</w:t>
      </w:r>
      <w:r>
        <w:rPr>
          <w:rFonts w:hint="eastAsia"/>
        </w:rPr>
        <w:t>条授权议会为特立尼达和多巴哥的和平、秩序和善政制订法律。尽管议会可更改《宪法》，但它的某些部分，诸如根本性人权条款，都得到保障，只能在议会两院中都获得特别多数的情况下由议会予以更改。</w:t>
      </w:r>
    </w:p>
    <w:p w:rsidR="00000000" w:rsidRDefault="00000000">
      <w:pPr>
        <w:rPr>
          <w:rFonts w:hint="eastAsia"/>
        </w:rPr>
      </w:pPr>
      <w:r>
        <w:rPr>
          <w:rFonts w:hint="eastAsia"/>
        </w:rPr>
        <w:tab/>
        <w:t>29.  1888</w:t>
      </w:r>
      <w:r>
        <w:rPr>
          <w:rFonts w:hint="eastAsia"/>
        </w:rPr>
        <w:t>年，多巴哥岛在行政上与特立纳达合并，组成单一的特立尼达和多巴哥殖民地。直到</w:t>
      </w:r>
      <w:r>
        <w:rPr>
          <w:rFonts w:hint="eastAsia"/>
        </w:rPr>
        <w:t>1980</w:t>
      </w:r>
      <w:r>
        <w:rPr>
          <w:rFonts w:hint="eastAsia"/>
        </w:rPr>
        <w:t>年，这一较小的岛屿的事务完全是在特立尼达的首都西班牙港管理的。随着</w:t>
      </w:r>
      <w:r>
        <w:rPr>
          <w:rFonts w:hint="eastAsia"/>
        </w:rPr>
        <w:t>1980</w:t>
      </w:r>
      <w:r>
        <w:rPr>
          <w:rFonts w:hint="eastAsia"/>
        </w:rPr>
        <w:t>年通过的一项议会法令设立了多巴哥议会，用以更好地对多巴哥岛进行行政管理。</w:t>
      </w:r>
      <w:r>
        <w:rPr>
          <w:rFonts w:hint="eastAsia"/>
        </w:rPr>
        <w:t>1996</w:t>
      </w:r>
      <w:r>
        <w:rPr>
          <w:rFonts w:hint="eastAsia"/>
        </w:rPr>
        <w:t>年废除了</w:t>
      </w:r>
      <w:r>
        <w:rPr>
          <w:rFonts w:hint="eastAsia"/>
        </w:rPr>
        <w:t>1980</w:t>
      </w:r>
      <w:r>
        <w:rPr>
          <w:rFonts w:hint="eastAsia"/>
        </w:rPr>
        <w:t>年的《法令》，并代之以一项新的《多巴哥议会法令》。根据</w:t>
      </w:r>
      <w:r>
        <w:rPr>
          <w:rFonts w:hint="eastAsia"/>
        </w:rPr>
        <w:t>1996</w:t>
      </w:r>
      <w:r>
        <w:rPr>
          <w:rFonts w:hint="eastAsia"/>
        </w:rPr>
        <w:t>年的《法令》，该议会是一个法人团体，由经多巴哥人民选出的</w:t>
      </w:r>
      <w:r>
        <w:rPr>
          <w:rFonts w:hint="eastAsia"/>
        </w:rPr>
        <w:t>12</w:t>
      </w:r>
      <w:r>
        <w:rPr>
          <w:rFonts w:hint="eastAsia"/>
        </w:rPr>
        <w:t>名议员，</w:t>
      </w:r>
      <w:r>
        <w:rPr>
          <w:rFonts w:hint="eastAsia"/>
        </w:rPr>
        <w:t>4</w:t>
      </w:r>
      <w:r>
        <w:rPr>
          <w:rFonts w:hint="eastAsia"/>
        </w:rPr>
        <w:t>名委任的评议员和一名议长组成。议员从他们的成员中选出主任秘书和副主任秘书。议会自第一次开会之日起任期四年。《法令》规定，议会主要负责制订并执行关于包括以下各事项的政策：财政，即征税并支付用于执行议会职能的开支；国有土地；陆上和海上公园；旅游业；体育；文化和艺术；社区发展；农业；渔业；粮食生产；林业；城镇和农村规划；环境；海关和货物税；保健服务和住房。议会不负责国家安全，移民和司法等事项。特立尼达和多巴哥内阁按照《宪法》对该议会维持全面指导和控制。</w:t>
      </w:r>
    </w:p>
    <w:p w:rsidR="00000000" w:rsidRDefault="00000000">
      <w:pPr>
        <w:spacing w:after="320"/>
        <w:rPr>
          <w:rFonts w:hint="eastAsia"/>
        </w:rPr>
      </w:pPr>
      <w:r>
        <w:rPr>
          <w:rFonts w:hint="eastAsia"/>
        </w:rPr>
        <w:tab/>
        <w:t xml:space="preserve">30.  </w:t>
      </w:r>
      <w:r>
        <w:rPr>
          <w:rFonts w:hint="eastAsia"/>
        </w:rPr>
        <w:t>《宪法》设立了特立尼达和多巴哥最高法院，由高等法院和上诉法院组成。首席法官对特立尼达和多巴哥境内的司法全面责任，并领导独立的司法系统。司法系统包括高级司法系统</w:t>
      </w:r>
      <w:r>
        <w:rPr>
          <w:rFonts w:hint="eastAsia"/>
        </w:rPr>
        <w:t>(</w:t>
      </w:r>
      <w:r>
        <w:rPr>
          <w:rFonts w:hint="eastAsia"/>
        </w:rPr>
        <w:t>最高法院</w:t>
      </w:r>
      <w:r>
        <w:rPr>
          <w:rFonts w:hint="eastAsia"/>
        </w:rPr>
        <w:t>)</w:t>
      </w:r>
      <w:r>
        <w:rPr>
          <w:rFonts w:hint="eastAsia"/>
        </w:rPr>
        <w:t>和低级系统</w:t>
      </w:r>
      <w:r>
        <w:rPr>
          <w:rFonts w:hint="eastAsia"/>
        </w:rPr>
        <w:t>(</w:t>
      </w:r>
      <w:r>
        <w:rPr>
          <w:rFonts w:hint="eastAsia"/>
        </w:rPr>
        <w:t>地方法官办公室</w:t>
      </w:r>
      <w:r>
        <w:rPr>
          <w:rFonts w:hint="eastAsia"/>
        </w:rPr>
        <w:t>)</w:t>
      </w:r>
      <w:r>
        <w:rPr>
          <w:rFonts w:hint="eastAsia"/>
        </w:rPr>
        <w:t>。最高法院设在该国四个地点。地方法官办公室和高等法院在民事和刑事方面行使最初的司法权。地方法官办公室的小额民事庭处理涉及金额不足</w:t>
      </w:r>
      <w:r>
        <w:rPr>
          <w:rFonts w:hint="eastAsia"/>
        </w:rPr>
        <w:t>15,000</w:t>
      </w:r>
      <w:r>
        <w:rPr>
          <w:rFonts w:hint="eastAsia"/>
        </w:rPr>
        <w:t>特立尼达和多巴哥元的民事事项。它在刑事方面行使即决裁判权，并审理对可被起诉事项的预审，以确定是否将某一事项推迟到在大审中审理。高等法院审理可被起诉的刑事事项、家庭事项和涉及金额超过小额民事限额的民事事项。还有单独的工业法庭和税务上诉委员会，它们都是按法规设立的高级记录法院。从地方法官办公室和高等法院提出的上诉由上诉法院审理。首席法官为上诉法院院长。从上诉法院提出的上诉由英国枢密院司法委员会审理，此种审理有时是作为合法权利进行的，有时是在上诉法院同意下进行的。枢密院是特立尼达和多巴哥的最高上诉法院。</w:t>
      </w:r>
    </w:p>
    <w:p w:rsidR="00000000" w:rsidRDefault="00000000">
      <w:pPr>
        <w:pStyle w:val="Heading2"/>
        <w:rPr>
          <w:rFonts w:hint="eastAsia"/>
        </w:rPr>
      </w:pPr>
      <w:r>
        <w:rPr>
          <w:rFonts w:hint="eastAsia"/>
        </w:rPr>
        <w:t>三、有关保护人权的一般法律框架</w:t>
      </w:r>
    </w:p>
    <w:p w:rsidR="00000000" w:rsidRDefault="00000000">
      <w:pPr>
        <w:rPr>
          <w:rFonts w:hint="eastAsia"/>
        </w:rPr>
      </w:pPr>
      <w:r>
        <w:rPr>
          <w:rFonts w:hint="eastAsia"/>
        </w:rPr>
        <w:tab/>
        <w:t xml:space="preserve">31.  </w:t>
      </w:r>
      <w:r>
        <w:rPr>
          <w:rFonts w:hint="eastAsia"/>
        </w:rPr>
        <w:t>负责实现人权的司法机构是司法系统。尽管没有特别法院，但涉及侵犯人权行为的案件通常优先列入法院事务之中。</w:t>
      </w:r>
    </w:p>
    <w:p w:rsidR="00000000" w:rsidRDefault="00000000">
      <w:pPr>
        <w:rPr>
          <w:rFonts w:hint="eastAsia"/>
        </w:rPr>
      </w:pPr>
      <w:r>
        <w:rPr>
          <w:rFonts w:hint="eastAsia"/>
        </w:rPr>
        <w:tab/>
        <w:t xml:space="preserve">32.  </w:t>
      </w:r>
      <w:r>
        <w:rPr>
          <w:rFonts w:hint="eastAsia"/>
        </w:rPr>
        <w:t>下列权利受到《特立尼达和多巴哥宪法》的保护。《宪法》第一章题为“承认并保护基本人权和自由”。该章第</w:t>
      </w:r>
      <w:r>
        <w:rPr>
          <w:rFonts w:hint="eastAsia"/>
        </w:rPr>
        <w:t>4</w:t>
      </w:r>
      <w:r>
        <w:rPr>
          <w:rFonts w:hint="eastAsia"/>
        </w:rPr>
        <w:t>节规定如下：</w:t>
      </w:r>
    </w:p>
    <w:p w:rsidR="00000000" w:rsidRDefault="00000000">
      <w:pPr>
        <w:pStyle w:val="ad"/>
        <w:rPr>
          <w:rFonts w:hint="eastAsia"/>
        </w:rPr>
      </w:pPr>
      <w:r>
        <w:rPr>
          <w:rFonts w:hint="eastAsia"/>
        </w:rPr>
        <w:t>“兹承认并宣布特立尼达和多巴哥业已存在并将继续存在下列基本权利和自由，没有基于种族、血统、肤色、宗教或性别的歧视。</w:t>
      </w:r>
    </w:p>
    <w:p w:rsidR="00000000" w:rsidRDefault="00000000">
      <w:pPr>
        <w:numPr>
          <w:ilvl w:val="0"/>
          <w:numId w:val="26"/>
        </w:numPr>
        <w:ind w:left="2031"/>
        <w:rPr>
          <w:rFonts w:hint="eastAsia"/>
        </w:rPr>
      </w:pPr>
      <w:r>
        <w:rPr>
          <w:rFonts w:hint="eastAsia"/>
        </w:rPr>
        <w:t>个人享有生命、自由、人身安全和享受财产的权利，以及除了通过适当法律程序外不被剥夺这些权利的权利；</w:t>
      </w:r>
    </w:p>
    <w:p w:rsidR="00000000" w:rsidRDefault="00000000">
      <w:pPr>
        <w:numPr>
          <w:ilvl w:val="0"/>
          <w:numId w:val="26"/>
        </w:numPr>
        <w:ind w:left="2031"/>
        <w:rPr>
          <w:rFonts w:hint="eastAsia"/>
        </w:rPr>
      </w:pPr>
      <w:r>
        <w:rPr>
          <w:rFonts w:hint="eastAsia"/>
        </w:rPr>
        <w:t>享有个人在法律面前平等和受法律保护的权利；</w:t>
      </w:r>
    </w:p>
    <w:p w:rsidR="00000000" w:rsidRDefault="00000000">
      <w:pPr>
        <w:numPr>
          <w:ilvl w:val="0"/>
          <w:numId w:val="26"/>
        </w:numPr>
        <w:ind w:left="2031"/>
        <w:rPr>
          <w:rFonts w:hint="eastAsia"/>
        </w:rPr>
      </w:pPr>
      <w:r>
        <w:rPr>
          <w:rFonts w:hint="eastAsia"/>
        </w:rPr>
        <w:t>个人的私人和家庭生活受到尊重的权利；</w:t>
      </w:r>
    </w:p>
    <w:p w:rsidR="00000000" w:rsidRDefault="00000000">
      <w:pPr>
        <w:numPr>
          <w:ilvl w:val="0"/>
          <w:numId w:val="26"/>
        </w:numPr>
        <w:ind w:left="2031"/>
        <w:rPr>
          <w:rFonts w:hint="eastAsia"/>
        </w:rPr>
      </w:pPr>
      <w:r>
        <w:rPr>
          <w:rFonts w:hint="eastAsia"/>
        </w:rPr>
        <w:t>个人在行使其职务时受到任何公共当局平等待遇的权利；</w:t>
      </w:r>
    </w:p>
    <w:p w:rsidR="00000000" w:rsidRDefault="00000000">
      <w:pPr>
        <w:numPr>
          <w:ilvl w:val="0"/>
          <w:numId w:val="26"/>
        </w:numPr>
        <w:ind w:left="2031"/>
        <w:rPr>
          <w:rFonts w:hint="eastAsia"/>
        </w:rPr>
      </w:pPr>
      <w:r>
        <w:rPr>
          <w:rFonts w:hint="eastAsia"/>
        </w:rPr>
        <w:t>参加政党并表达政治观点的权利；</w:t>
      </w:r>
    </w:p>
    <w:p w:rsidR="00000000" w:rsidRDefault="00000000">
      <w:pPr>
        <w:numPr>
          <w:ilvl w:val="0"/>
          <w:numId w:val="26"/>
        </w:numPr>
        <w:ind w:left="2031"/>
        <w:rPr>
          <w:rFonts w:hint="eastAsia"/>
        </w:rPr>
      </w:pPr>
      <w:r>
        <w:rPr>
          <w:rFonts w:hint="eastAsia"/>
        </w:rPr>
        <w:t>家长或监护人有为教育其子女或被监护人提供其自己选定的学校的权利；</w:t>
      </w:r>
    </w:p>
    <w:p w:rsidR="00000000" w:rsidRDefault="00000000">
      <w:pPr>
        <w:numPr>
          <w:ilvl w:val="0"/>
          <w:numId w:val="26"/>
        </w:numPr>
        <w:ind w:left="2031"/>
        <w:rPr>
          <w:rFonts w:hint="eastAsia"/>
        </w:rPr>
      </w:pPr>
      <w:r>
        <w:rPr>
          <w:rFonts w:hint="eastAsia"/>
        </w:rPr>
        <w:t>行动自由；</w:t>
      </w:r>
    </w:p>
    <w:p w:rsidR="00000000" w:rsidRDefault="00000000">
      <w:pPr>
        <w:numPr>
          <w:ilvl w:val="0"/>
          <w:numId w:val="26"/>
        </w:numPr>
        <w:ind w:left="2031"/>
        <w:rPr>
          <w:rFonts w:hint="eastAsia"/>
        </w:rPr>
      </w:pPr>
      <w:r>
        <w:rPr>
          <w:rFonts w:hint="eastAsia"/>
        </w:rPr>
        <w:t>良心及宗教信仰及戒律的自由；</w:t>
      </w:r>
    </w:p>
    <w:p w:rsidR="00000000" w:rsidRDefault="00000000">
      <w:pPr>
        <w:numPr>
          <w:ilvl w:val="0"/>
          <w:numId w:val="26"/>
        </w:numPr>
        <w:ind w:left="2031"/>
        <w:rPr>
          <w:rFonts w:hint="eastAsia"/>
        </w:rPr>
      </w:pPr>
      <w:r>
        <w:rPr>
          <w:rFonts w:hint="eastAsia"/>
        </w:rPr>
        <w:t>思想和言论自由；</w:t>
      </w:r>
    </w:p>
    <w:p w:rsidR="00000000" w:rsidRDefault="00000000">
      <w:pPr>
        <w:numPr>
          <w:ilvl w:val="0"/>
          <w:numId w:val="26"/>
        </w:numPr>
        <w:ind w:left="2031"/>
        <w:rPr>
          <w:rFonts w:hint="eastAsia"/>
        </w:rPr>
      </w:pPr>
      <w:r>
        <w:rPr>
          <w:rFonts w:hint="eastAsia"/>
        </w:rPr>
        <w:t>结社和集会自由；以及</w:t>
      </w:r>
    </w:p>
    <w:p w:rsidR="00000000" w:rsidRDefault="00000000">
      <w:pPr>
        <w:numPr>
          <w:ilvl w:val="0"/>
          <w:numId w:val="26"/>
        </w:numPr>
        <w:ind w:left="2031"/>
        <w:rPr>
          <w:rFonts w:hint="eastAsia"/>
        </w:rPr>
      </w:pPr>
      <w:r>
        <w:rPr>
          <w:rFonts w:hint="eastAsia"/>
        </w:rPr>
        <w:t>出版自由。”</w:t>
      </w:r>
    </w:p>
    <w:p w:rsidR="00000000" w:rsidRDefault="00000000">
      <w:pPr>
        <w:rPr>
          <w:rFonts w:hint="eastAsia"/>
        </w:rPr>
      </w:pPr>
      <w:r>
        <w:rPr>
          <w:rFonts w:hint="eastAsia"/>
        </w:rPr>
        <w:t>《宪法》第</w:t>
      </w:r>
      <w:r>
        <w:rPr>
          <w:rFonts w:hint="eastAsia"/>
        </w:rPr>
        <w:t>5</w:t>
      </w:r>
      <w:r>
        <w:rPr>
          <w:rFonts w:hint="eastAsia"/>
        </w:rPr>
        <w:t>节更详尽地说明了《宪法》第</w:t>
      </w:r>
      <w:r>
        <w:rPr>
          <w:rFonts w:hint="eastAsia"/>
        </w:rPr>
        <w:t>4</w:t>
      </w:r>
      <w:r>
        <w:rPr>
          <w:rFonts w:hint="eastAsia"/>
        </w:rPr>
        <w:t>节所载的权利。</w:t>
      </w:r>
    </w:p>
    <w:p w:rsidR="00000000" w:rsidRDefault="00000000">
      <w:pPr>
        <w:rPr>
          <w:rFonts w:hint="eastAsia"/>
        </w:rPr>
      </w:pPr>
      <w:r>
        <w:rPr>
          <w:rFonts w:hint="eastAsia"/>
        </w:rPr>
        <w:tab/>
        <w:t xml:space="preserve">33.  </w:t>
      </w:r>
      <w:r>
        <w:rPr>
          <w:rFonts w:hint="eastAsia"/>
        </w:rPr>
        <w:t>《宪法》第</w:t>
      </w:r>
      <w:r>
        <w:rPr>
          <w:rFonts w:hint="eastAsia"/>
        </w:rPr>
        <w:t>2</w:t>
      </w:r>
      <w:r>
        <w:rPr>
          <w:rFonts w:hint="eastAsia"/>
        </w:rPr>
        <w:t>节宣布它是最高法律，任何与《宪法》不符的其他法律，其不符合部分无效。《宪法》第</w:t>
      </w:r>
      <w:r>
        <w:rPr>
          <w:rFonts w:hint="eastAsia"/>
        </w:rPr>
        <w:t>13</w:t>
      </w:r>
      <w:r>
        <w:rPr>
          <w:rFonts w:hint="eastAsia"/>
        </w:rPr>
        <w:t>节允许议会通过与《宪法》中关于基本人权的章节不符的法律。但在通过此种法律之前，必须得到不少于议会众参两院所有成员三分之二的支持。此外，即使以法定的议会多数通过了这样一项法律，该项立法仍然可受到高等法院的质疑，质疑的理由是，在适当尊重个人权利和自由的社会中，无法合理地证明这种立法是正当的，或无法合理地证明有正当的理由用它来对付社会紧急状态期间存在的局面。</w:t>
      </w:r>
    </w:p>
    <w:p w:rsidR="00000000" w:rsidRDefault="00000000">
      <w:pPr>
        <w:rPr>
          <w:rFonts w:hint="eastAsia"/>
        </w:rPr>
      </w:pPr>
      <w:r>
        <w:rPr>
          <w:rFonts w:hint="eastAsia"/>
        </w:rPr>
        <w:tab/>
        <w:t xml:space="preserve">34.  </w:t>
      </w:r>
      <w:r>
        <w:rPr>
          <w:rFonts w:hint="eastAsia"/>
        </w:rPr>
        <w:t>如果个人的宪法权利受到任何政府部门或国家的任何公务员或代理人的侵犯或有可能受到其侵犯，《宪法》第</w:t>
      </w:r>
      <w:r>
        <w:rPr>
          <w:rFonts w:hint="eastAsia"/>
        </w:rPr>
        <w:t>14</w:t>
      </w:r>
      <w:r>
        <w:rPr>
          <w:rFonts w:hint="eastAsia"/>
        </w:rPr>
        <w:t>节规定，该人士可向高等法院提出动议，申请采取补救办法。高等法院对《宪法》事项拥有最初裁判权，但在涉及有关《宪法》解释问题的任何诉讼程序中，《宪法》规定了向上诉法院上诉的权利，以及进一步向枢密院司法委员会上诉的权利。如果法律裁定对某一宪法权利有任何侵犯行为，它将通常作出此种宣布，并给予受侵害的人以经济补偿。《宪法》规定的权利不限于公民，而是为管辖范围内所有的个人所享受，其中包括来访者、正在监狱服刑的人员以及被判处死刑的人员。</w:t>
      </w:r>
    </w:p>
    <w:p w:rsidR="00000000" w:rsidRDefault="00000000">
      <w:pPr>
        <w:rPr>
          <w:rFonts w:hint="eastAsia"/>
        </w:rPr>
      </w:pPr>
      <w:r>
        <w:rPr>
          <w:rFonts w:hint="eastAsia"/>
        </w:rPr>
        <w:tab/>
        <w:t xml:space="preserve">35.  </w:t>
      </w:r>
      <w:r>
        <w:rPr>
          <w:rFonts w:hint="eastAsia"/>
        </w:rPr>
        <w:t>《宪法》第</w:t>
      </w:r>
      <w:r>
        <w:rPr>
          <w:rFonts w:hint="eastAsia"/>
        </w:rPr>
        <w:t>8</w:t>
      </w:r>
      <w:r>
        <w:rPr>
          <w:rFonts w:hint="eastAsia"/>
        </w:rPr>
        <w:t>节规定，总统有时可发布公告，宣布存在社会紧急状态。除非公告宣布总统确信因下列原因而出现了社会紧急状态，否则该公告不得生效：特立尼达和多巴哥与某一外国间迫在眉睫的战争状态；任何地震、飓风、水灾、火灾、瘟疫或传染病的暴发或其他灾害；或任何人员已经采取或紧迫威胁采取行动，其性质和规模之广泛有可能危及公共安全，或使社会或社会中任何可观的一部分丧失生活必须供应品或服务。</w:t>
      </w:r>
    </w:p>
    <w:p w:rsidR="00000000" w:rsidRDefault="00000000">
      <w:pPr>
        <w:rPr>
          <w:rFonts w:hint="eastAsia"/>
        </w:rPr>
      </w:pPr>
      <w:r>
        <w:rPr>
          <w:rFonts w:hint="eastAsia"/>
        </w:rPr>
        <w:tab/>
        <w:t xml:space="preserve">36.  </w:t>
      </w:r>
      <w:r>
        <w:rPr>
          <w:rFonts w:hint="eastAsia"/>
        </w:rPr>
        <w:t>《宪法》允许在紧急时期部分废除某些宪法权利。在存在任何紧急时期时，总统可制定规章对付此种局面，其中包括用于拘留人员的规定。在社会紧急状态期间通过的法令即使不符合《宪法》第</w:t>
      </w:r>
      <w:r>
        <w:rPr>
          <w:rFonts w:hint="eastAsia"/>
        </w:rPr>
        <w:t>4</w:t>
      </w:r>
      <w:r>
        <w:rPr>
          <w:rFonts w:hint="eastAsia"/>
        </w:rPr>
        <w:t>和第</w:t>
      </w:r>
      <w:r>
        <w:rPr>
          <w:rFonts w:hint="eastAsia"/>
        </w:rPr>
        <w:t>5</w:t>
      </w:r>
      <w:r>
        <w:rPr>
          <w:rFonts w:hint="eastAsia"/>
        </w:rPr>
        <w:t>节</w:t>
      </w:r>
      <w:r>
        <w:rPr>
          <w:rFonts w:hint="eastAsia"/>
        </w:rPr>
        <w:t>(</w:t>
      </w:r>
      <w:r>
        <w:rPr>
          <w:rFonts w:hint="eastAsia"/>
        </w:rPr>
        <w:t>关于基本权利的两节</w:t>
      </w:r>
      <w:r>
        <w:rPr>
          <w:rFonts w:hint="eastAsia"/>
        </w:rPr>
        <w:t>)</w:t>
      </w:r>
      <w:r>
        <w:rPr>
          <w:rFonts w:hint="eastAsia"/>
        </w:rPr>
        <w:t>，也应明确宣布它只在该期间有效，除非可表明可合理地证明其条款用于处理该期间存在的局势是正当的。如果任何人由于紧急状态期间通过的法令或条例而被非法拘留，他可在拘留期的任何时候要求根据法律设立并由首席法官任命的人主持的独立而公正的法庭对其案件进行复审。</w:t>
      </w:r>
    </w:p>
    <w:p w:rsidR="00000000" w:rsidRDefault="00000000">
      <w:pPr>
        <w:rPr>
          <w:rFonts w:hint="eastAsia"/>
        </w:rPr>
      </w:pPr>
      <w:r>
        <w:rPr>
          <w:rFonts w:hint="eastAsia"/>
        </w:rPr>
        <w:tab/>
        <w:t xml:space="preserve">37.  </w:t>
      </w:r>
      <w:r>
        <w:rPr>
          <w:rFonts w:hint="eastAsia"/>
        </w:rPr>
        <w:t>声称其权利遭到侵犯的个人可得到的另一种有效的国内补救办法，是根据《最高法院规则》提供的司法审查程序。只有在没有任何其他补救办法以及某人的权利受到行使公法性质职能的机构或当局侵犯时，才能提供此种程序。在采用司法审查程序之前，必须从高等法院获得单一方的同意。如已符合获得同意的要求，高等法院将对当局的决定或行为进行审查，确定该当局是否在其权限之内并按照自然司法的原则包括接受公正审理的权利行事。可以不合法、不合理和程序不恰当等理由撤消某一当局的决定。法院受权根据要求司法审查的申请给予损失赔偿，但这种损失应本来是可在通过命令或宪法动议而开始的普通行动中得以挽回的。同各种宪法案件一样，这些案件可向上诉法院和枢密院上诉。</w:t>
      </w:r>
    </w:p>
    <w:p w:rsidR="00000000" w:rsidRDefault="00000000">
      <w:pPr>
        <w:rPr>
          <w:rFonts w:hint="eastAsia"/>
        </w:rPr>
      </w:pPr>
      <w:r>
        <w:rPr>
          <w:rFonts w:hint="eastAsia"/>
        </w:rPr>
        <w:tab/>
        <w:t xml:space="preserve">38.  </w:t>
      </w:r>
      <w:r>
        <w:rPr>
          <w:rFonts w:hint="eastAsia"/>
        </w:rPr>
        <w:t>拥有调查指称侵犯人权行为职权的行政当局人员之一是监察员。他的作用是调查个人对政府机构的行政行为或决定提出的控诉。监察员任期五年，由总统与总理及反对党领袖协商后任命。</w:t>
      </w:r>
      <w:r>
        <w:rPr>
          <w:rFonts w:hint="eastAsia"/>
        </w:rPr>
        <w:t>1977</w:t>
      </w:r>
      <w:r>
        <w:rPr>
          <w:rFonts w:hint="eastAsia"/>
        </w:rPr>
        <w:t>年《第</w:t>
      </w:r>
      <w:r>
        <w:rPr>
          <w:rFonts w:hint="eastAsia"/>
        </w:rPr>
        <w:t>23</w:t>
      </w:r>
      <w:r>
        <w:rPr>
          <w:rFonts w:hint="eastAsia"/>
        </w:rPr>
        <w:t>号监察员法令》规定，应以书面向监察员提出控诉并要求调查，但实际上对以电话或传真提出的控诉也采取行动。该法令第</w:t>
      </w:r>
      <w:r>
        <w:rPr>
          <w:rFonts w:hint="eastAsia"/>
        </w:rPr>
        <w:t>3(4)</w:t>
      </w:r>
      <w:r>
        <w:rPr>
          <w:rFonts w:hint="eastAsia"/>
        </w:rPr>
        <w:t>节指出，如监察员认为有迹象表明任何部门或权力机构的官员或雇员渎职、行为不当或犯有刑事罪，他可将此事交由主管当局对其采取纪律或其他程序。监察员自</w:t>
      </w:r>
      <w:r>
        <w:rPr>
          <w:rFonts w:hint="eastAsia"/>
        </w:rPr>
        <w:t>1977</w:t>
      </w:r>
      <w:r>
        <w:rPr>
          <w:rFonts w:hint="eastAsia"/>
        </w:rPr>
        <w:t>年以来每年发表年度报告。每年平均向监察员提出</w:t>
      </w:r>
      <w:r>
        <w:rPr>
          <w:rFonts w:hint="eastAsia"/>
        </w:rPr>
        <w:t>1,000</w:t>
      </w:r>
      <w:r>
        <w:rPr>
          <w:rFonts w:hint="eastAsia"/>
        </w:rPr>
        <w:t>项新的控诉。监察员在其</w:t>
      </w:r>
      <w:r>
        <w:rPr>
          <w:rFonts w:hint="eastAsia"/>
        </w:rPr>
        <w:t>1997</w:t>
      </w:r>
      <w:r>
        <w:rPr>
          <w:rFonts w:hint="eastAsia"/>
        </w:rPr>
        <w:t>年的报告中指出，收到的控诉来自两个岛屿各地的公民以及每个社会群体、种族和阶层。</w:t>
      </w:r>
      <w:r>
        <w:rPr>
          <w:rFonts w:hint="eastAsia"/>
        </w:rPr>
        <w:t>1997</w:t>
      </w:r>
      <w:r>
        <w:rPr>
          <w:rFonts w:hint="eastAsia"/>
        </w:rPr>
        <w:t>年共向监察员提出了</w:t>
      </w:r>
      <w:r>
        <w:rPr>
          <w:rFonts w:hint="eastAsia"/>
        </w:rPr>
        <w:t>1,276</w:t>
      </w:r>
      <w:r>
        <w:rPr>
          <w:rFonts w:hint="eastAsia"/>
        </w:rPr>
        <w:t>项控诉，而在该年年底之前，监察员已完成了对这些控诉中的</w:t>
      </w:r>
      <w:r>
        <w:rPr>
          <w:rFonts w:hint="eastAsia"/>
        </w:rPr>
        <w:t>48%</w:t>
      </w:r>
      <w:r>
        <w:rPr>
          <w:rFonts w:hint="eastAsia"/>
        </w:rPr>
        <w:t>的调查。</w:t>
      </w:r>
    </w:p>
    <w:p w:rsidR="00000000" w:rsidRDefault="00000000">
      <w:pPr>
        <w:rPr>
          <w:rFonts w:hint="eastAsia"/>
        </w:rPr>
      </w:pPr>
      <w:r>
        <w:rPr>
          <w:rFonts w:hint="eastAsia"/>
        </w:rPr>
        <w:tab/>
        <w:t xml:space="preserve">39.  </w:t>
      </w:r>
      <w:r>
        <w:rPr>
          <w:rFonts w:hint="eastAsia"/>
        </w:rPr>
        <w:t>拥有影响人权的职权的另一个行政机构是控诉警方事项管理机构。这是于</w:t>
      </w:r>
      <w:r>
        <w:rPr>
          <w:rFonts w:hint="eastAsia"/>
        </w:rPr>
        <w:t>1995</w:t>
      </w:r>
      <w:r>
        <w:rPr>
          <w:rFonts w:hint="eastAsia"/>
        </w:rPr>
        <w:t>年设立的法定机构，由总统任命的五名成员组成。目前该机构主席是上诉法院的退休法官。《法令》规定该机构的职能是接受对于任何警官的行为的控诉，并监测控诉处对控诉的调查。由警察局长按照《法令》设立的控诉处的工作人员为警官。控诉事项管理机构记录所有的控诉，并将其交由控诉处调查和解决。该处以彻底和公平的方式调查所有的控诉，但如果该处处长认为控诉仅为琐碎问题时，则不应采取任何行动。控诉可以若干方式予以解决，其中包括进行劝告，采用惩戒性程序或采取刑事法院行动。</w:t>
      </w:r>
    </w:p>
    <w:p w:rsidR="00000000" w:rsidRDefault="00000000">
      <w:pPr>
        <w:pageBreakBefore/>
        <w:rPr>
          <w:rFonts w:hint="eastAsia"/>
        </w:rPr>
      </w:pPr>
      <w:r>
        <w:rPr>
          <w:rFonts w:hint="eastAsia"/>
        </w:rPr>
        <w:tab/>
        <w:t xml:space="preserve">40.  </w:t>
      </w:r>
      <w:r>
        <w:rPr>
          <w:rFonts w:hint="eastAsia"/>
        </w:rPr>
        <w:t>除《宪法》外，还有若干项国内立法适用于保护各种人权。最新的实例如下：</w:t>
      </w:r>
    </w:p>
    <w:p w:rsidR="00000000" w:rsidRDefault="00000000">
      <w:pPr>
        <w:ind w:left="1040"/>
        <w:rPr>
          <w:rFonts w:hint="eastAsia"/>
        </w:rPr>
      </w:pPr>
      <w:r>
        <w:rPr>
          <w:rFonts w:hint="eastAsia"/>
        </w:rPr>
        <w:tab/>
      </w:r>
      <w:r>
        <w:rPr>
          <w:rFonts w:hint="eastAsia"/>
        </w:rPr>
        <w:t>已颁布了《</w:t>
      </w:r>
      <w:r>
        <w:rPr>
          <w:rFonts w:hint="eastAsia"/>
        </w:rPr>
        <w:t>1999</w:t>
      </w:r>
      <w:r>
        <w:rPr>
          <w:rFonts w:hint="eastAsia"/>
        </w:rPr>
        <w:t>年家庭暴力行为法令》来替代《</w:t>
      </w:r>
      <w:r>
        <w:rPr>
          <w:rFonts w:hint="eastAsia"/>
        </w:rPr>
        <w:t>1991</w:t>
      </w:r>
      <w:r>
        <w:rPr>
          <w:rFonts w:hint="eastAsia"/>
        </w:rPr>
        <w:t>年家庭暴力行为法令》，其目的是确保为家庭暴力行为受害者提供迅速和公正的法律补救办法。新《法令》第</w:t>
      </w:r>
      <w:r>
        <w:rPr>
          <w:rFonts w:hint="eastAsia"/>
        </w:rPr>
        <w:t>23</w:t>
      </w:r>
      <w:r>
        <w:rPr>
          <w:rFonts w:hint="eastAsia"/>
        </w:rPr>
        <w:t>节授权警官，在他有合理的理由认为某人正在从事的行动即为对肉体的暴力行为，如不立即采取行动就可能造成身体的伤害或死亡时，可在无搜查证的情况下进入私人房舍。</w:t>
      </w:r>
    </w:p>
    <w:p w:rsidR="00000000" w:rsidRDefault="00000000">
      <w:pPr>
        <w:ind w:left="1040"/>
        <w:rPr>
          <w:rFonts w:hint="eastAsia"/>
        </w:rPr>
      </w:pPr>
      <w:r>
        <w:rPr>
          <w:rFonts w:hint="eastAsia"/>
        </w:rPr>
        <w:tab/>
      </w:r>
      <w:r>
        <w:rPr>
          <w:rFonts w:hint="eastAsia"/>
        </w:rPr>
        <w:t>最近颁布了《</w:t>
      </w:r>
      <w:r>
        <w:rPr>
          <w:rFonts w:hint="eastAsia"/>
        </w:rPr>
        <w:t>1999</w:t>
      </w:r>
      <w:r>
        <w:rPr>
          <w:rFonts w:hint="eastAsia"/>
        </w:rPr>
        <w:t>年法律援助和咨询</w:t>
      </w:r>
      <w:r>
        <w:rPr>
          <w:rFonts w:hint="eastAsia"/>
        </w:rPr>
        <w:t>(</w:t>
      </w:r>
      <w:r>
        <w:rPr>
          <w:rFonts w:hint="eastAsia"/>
        </w:rPr>
        <w:t>修正</w:t>
      </w:r>
      <w:r>
        <w:rPr>
          <w:rFonts w:hint="eastAsia"/>
        </w:rPr>
        <w:t>)</w:t>
      </w:r>
      <w:r>
        <w:rPr>
          <w:rFonts w:hint="eastAsia"/>
        </w:rPr>
        <w:t>法令》，用以订正现有的法律援助计划。例如该《法令》允许有更多的人符合获得法律援助的资格，并允许增加在法律援助事项中支付给律师的费用。此外，如有人希望在有关家庭暴力行为的诉讼方面得到紧急法律援助，法律援助管理机构主任有权签发紧急证书，使该人能迅速找到他人作为其代表。</w:t>
      </w:r>
    </w:p>
    <w:p w:rsidR="00000000" w:rsidRDefault="00000000">
      <w:pPr>
        <w:ind w:left="1040"/>
        <w:rPr>
          <w:rFonts w:hint="eastAsia"/>
        </w:rPr>
      </w:pPr>
      <w:r>
        <w:rPr>
          <w:rFonts w:hint="eastAsia"/>
        </w:rPr>
        <w:tab/>
      </w:r>
      <w:r>
        <w:rPr>
          <w:rFonts w:hint="eastAsia"/>
        </w:rPr>
        <w:t>已经执行《</w:t>
      </w:r>
      <w:r>
        <w:rPr>
          <w:rFonts w:hint="eastAsia"/>
        </w:rPr>
        <w:t>1998</w:t>
      </w:r>
      <w:r>
        <w:rPr>
          <w:rFonts w:hint="eastAsia"/>
        </w:rPr>
        <w:t>年孕妇保护法令》，用以防止雇主因妊娠而对妇女的歧视。</w:t>
      </w:r>
    </w:p>
    <w:p w:rsidR="00000000" w:rsidRDefault="00000000">
      <w:pPr>
        <w:ind w:left="1040"/>
        <w:rPr>
          <w:rFonts w:hint="eastAsia"/>
        </w:rPr>
      </w:pPr>
      <w:r>
        <w:rPr>
          <w:rFonts w:hint="eastAsia"/>
        </w:rPr>
        <w:tab/>
      </w:r>
      <w:r>
        <w:rPr>
          <w:rFonts w:hint="eastAsia"/>
        </w:rPr>
        <w:t>特立尼达和多巴哥允许各种促进宗教自由的立法规定的婚姻。这些立法包括《婚姻法》、《穆斯林婚姻法》和《印度教婚姻法》</w:t>
      </w:r>
      <w:r>
        <w:rPr>
          <w:rFonts w:hint="eastAsia"/>
        </w:rPr>
        <w:t>1999</w:t>
      </w:r>
      <w:r>
        <w:rPr>
          <w:rFonts w:hint="eastAsia"/>
        </w:rPr>
        <w:t>年，由于认识到约鲁巴教的人数日增而颁布了《约鲁巴教婚姻法》。</w:t>
      </w:r>
    </w:p>
    <w:p w:rsidR="00000000" w:rsidRDefault="00000000">
      <w:pPr>
        <w:ind w:left="1040"/>
        <w:rPr>
          <w:rFonts w:hint="eastAsia"/>
        </w:rPr>
      </w:pPr>
      <w:r>
        <w:rPr>
          <w:rFonts w:hint="eastAsia"/>
        </w:rPr>
        <w:tab/>
      </w:r>
      <w:r>
        <w:rPr>
          <w:rFonts w:hint="eastAsia"/>
        </w:rPr>
        <w:t>已执行了《</w:t>
      </w:r>
      <w:r>
        <w:rPr>
          <w:rFonts w:hint="eastAsia"/>
        </w:rPr>
        <w:t>1998</w:t>
      </w:r>
      <w:r>
        <w:rPr>
          <w:rFonts w:hint="eastAsia"/>
        </w:rPr>
        <w:t>年第</w:t>
      </w:r>
      <w:r>
        <w:rPr>
          <w:rFonts w:hint="eastAsia"/>
        </w:rPr>
        <w:t>30</w:t>
      </w:r>
      <w:r>
        <w:rPr>
          <w:rFonts w:hint="eastAsia"/>
        </w:rPr>
        <w:t>号同居关系法令》，承认同居的现象盛行，并承认同居配偶的权利。以往同居配偶没有任何权利，但估计以同居身份生活的人不少于</w:t>
      </w:r>
      <w:r>
        <w:rPr>
          <w:rFonts w:hint="eastAsia"/>
        </w:rPr>
        <w:t>40,724</w:t>
      </w:r>
      <w:r>
        <w:rPr>
          <w:rFonts w:hint="eastAsia"/>
        </w:rPr>
        <w:t>人</w:t>
      </w:r>
      <w:r>
        <w:rPr>
          <w:rFonts w:hint="eastAsia"/>
        </w:rPr>
        <w:t>(1990</w:t>
      </w:r>
      <w:r>
        <w:rPr>
          <w:rFonts w:hint="eastAsia"/>
        </w:rPr>
        <w:t>年人口普查</w:t>
      </w:r>
      <w:r>
        <w:rPr>
          <w:rFonts w:hint="eastAsia"/>
        </w:rPr>
        <w:t>)</w:t>
      </w:r>
      <w:r>
        <w:rPr>
          <w:rFonts w:hint="eastAsia"/>
        </w:rPr>
        <w:t>。根据这项立法，同居配偶如果已在同居关系中至少生活了五年，或已因此种关系生有一名子女，则他们有权向高等法院申请维持关系或调整财产。</w:t>
      </w:r>
    </w:p>
    <w:p w:rsidR="00000000" w:rsidRDefault="00000000">
      <w:pPr>
        <w:rPr>
          <w:rFonts w:hint="eastAsia"/>
        </w:rPr>
      </w:pPr>
      <w:r>
        <w:rPr>
          <w:rFonts w:hint="eastAsia"/>
        </w:rPr>
        <w:tab/>
        <w:t xml:space="preserve">41.  </w:t>
      </w:r>
      <w:r>
        <w:rPr>
          <w:rFonts w:hint="eastAsia"/>
        </w:rPr>
        <w:t>此外还草拟了其他一些立法，但尚待颁布为法律。一些较重要的拟议的改革包括如下：</w:t>
      </w:r>
    </w:p>
    <w:p w:rsidR="00000000" w:rsidRDefault="00000000">
      <w:pPr>
        <w:pStyle w:val="ad"/>
        <w:rPr>
          <w:rFonts w:hint="eastAsia"/>
        </w:rPr>
      </w:pPr>
      <w:r>
        <w:rPr>
          <w:rFonts w:hint="eastAsia"/>
        </w:rPr>
        <w:t>已草拟了平等机会法规，其目标是确保任何个人都不会因性别、种族、族裔或宗教的原因而无法获得国家的福利和资源。但这项拟议的立法并不禁止基于性取向的歧视。</w:t>
      </w:r>
    </w:p>
    <w:p w:rsidR="00000000" w:rsidRDefault="00000000">
      <w:pPr>
        <w:pStyle w:val="ad"/>
        <w:rPr>
          <w:rFonts w:hint="eastAsia"/>
        </w:rPr>
      </w:pPr>
      <w:r>
        <w:rPr>
          <w:rFonts w:hint="eastAsia"/>
        </w:rPr>
        <w:t>《</w:t>
      </w:r>
      <w:r>
        <w:rPr>
          <w:rFonts w:hint="eastAsia"/>
        </w:rPr>
        <w:t>1999</w:t>
      </w:r>
      <w:r>
        <w:rPr>
          <w:rFonts w:hint="eastAsia"/>
        </w:rPr>
        <w:t>年儿童管理机构法案》力图设立一个管理机构，作为特立尼达和多巴哥儿童的监护机构。该项立法将允许该管理机构接受因需要照顾而要它照料的任何儿童，并暂时拥有家长的权利和义务。</w:t>
      </w:r>
    </w:p>
    <w:p w:rsidR="00000000" w:rsidRDefault="00000000">
      <w:pPr>
        <w:pStyle w:val="ad"/>
        <w:rPr>
          <w:rFonts w:hint="eastAsia"/>
        </w:rPr>
      </w:pPr>
      <w:r>
        <w:rPr>
          <w:rFonts w:hint="eastAsia"/>
        </w:rPr>
        <w:t>《</w:t>
      </w:r>
      <w:r>
        <w:rPr>
          <w:rFonts w:hint="eastAsia"/>
        </w:rPr>
        <w:t>1999</w:t>
      </w:r>
      <w:r>
        <w:rPr>
          <w:rFonts w:hint="eastAsia"/>
        </w:rPr>
        <w:t>年儿童收养法案》将废除有关收养的现有法律。该项立法提议规定收养程序，并取消现有法律规定的国籍限制。</w:t>
      </w:r>
    </w:p>
    <w:p w:rsidR="00000000" w:rsidRDefault="00000000">
      <w:pPr>
        <w:pStyle w:val="ad"/>
        <w:rPr>
          <w:rFonts w:hint="eastAsia"/>
        </w:rPr>
      </w:pPr>
      <w:r>
        <w:rPr>
          <w:rFonts w:hint="eastAsia"/>
        </w:rPr>
        <w:t>《</w:t>
      </w:r>
      <w:r>
        <w:rPr>
          <w:rFonts w:hint="eastAsia"/>
        </w:rPr>
        <w:t>1999</w:t>
      </w:r>
      <w:r>
        <w:rPr>
          <w:rFonts w:hint="eastAsia"/>
        </w:rPr>
        <w:t>年儿童社区住所、寄养家庭和托儿所法案》力图对监测、批准和管理儿童之家、康复中心、寄养家庭和托儿所作出规定。</w:t>
      </w:r>
    </w:p>
    <w:p w:rsidR="00000000" w:rsidRDefault="00000000">
      <w:pPr>
        <w:pStyle w:val="ad"/>
        <w:rPr>
          <w:rFonts w:hint="eastAsia"/>
        </w:rPr>
      </w:pPr>
      <w:r>
        <w:rPr>
          <w:rFonts w:hint="eastAsia"/>
        </w:rPr>
        <w:t>《</w:t>
      </w:r>
      <w:r>
        <w:rPr>
          <w:rFonts w:hint="eastAsia"/>
        </w:rPr>
        <w:t>1999</w:t>
      </w:r>
      <w:r>
        <w:rPr>
          <w:rFonts w:hint="eastAsia"/>
        </w:rPr>
        <w:t>年职业安全和保健</w:t>
      </w:r>
      <w:r>
        <w:rPr>
          <w:rFonts w:hint="eastAsia"/>
        </w:rPr>
        <w:t>(</w:t>
      </w:r>
      <w:r>
        <w:rPr>
          <w:rFonts w:hint="eastAsia"/>
        </w:rPr>
        <w:t>第</w:t>
      </w:r>
      <w:r>
        <w:rPr>
          <w:rFonts w:hint="eastAsia"/>
        </w:rPr>
        <w:t>2</w:t>
      </w:r>
      <w:r>
        <w:rPr>
          <w:rFonts w:hint="eastAsia"/>
        </w:rPr>
        <w:t>号</w:t>
      </w:r>
      <w:r>
        <w:rPr>
          <w:rFonts w:hint="eastAsia"/>
        </w:rPr>
        <w:t>)</w:t>
      </w:r>
      <w:r>
        <w:rPr>
          <w:rFonts w:hint="eastAsia"/>
        </w:rPr>
        <w:t>法案》：这项拟议的法案的目标是以一项符合国际标准的立法取代过时的立法。</w:t>
      </w:r>
    </w:p>
    <w:p w:rsidR="00000000" w:rsidRDefault="00000000">
      <w:pPr>
        <w:spacing w:after="320"/>
        <w:rPr>
          <w:rFonts w:hint="eastAsia"/>
        </w:rPr>
      </w:pPr>
      <w:r>
        <w:rPr>
          <w:rFonts w:hint="eastAsia"/>
        </w:rPr>
        <w:tab/>
        <w:t xml:space="preserve">42.  </w:t>
      </w:r>
      <w:r>
        <w:rPr>
          <w:rFonts w:hint="eastAsia"/>
        </w:rPr>
        <w:t>在特立尼达和多巴哥，除非议会法令明确地将国际法条款转变成国内法，否则这些条款不会自动纳入国内法，也不在国内法中具有直接效力。特立尼达和多巴哥政府目前正在审查所有已加入的条约和公约，以确保必要时使各项国际义务在国内法中具有效力。现正在草拟立法供实施之用。</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43.  1998</w:t>
      </w:r>
      <w:r>
        <w:rPr>
          <w:rFonts w:hint="eastAsia"/>
        </w:rPr>
        <w:t>年成立了总检察部人权股，负责编写所有的定期报告，作为特立尼达和多巴哥按照它作为其缔约国的各项国际人权协定所规定的条约义务的组成部分。该股的其他一些职能如下：</w:t>
      </w:r>
    </w:p>
    <w:p w:rsidR="00000000" w:rsidRDefault="00000000">
      <w:pPr>
        <w:pStyle w:val="ad"/>
        <w:rPr>
          <w:rFonts w:hint="eastAsia"/>
        </w:rPr>
      </w:pPr>
      <w:r>
        <w:rPr>
          <w:rFonts w:hint="eastAsia"/>
        </w:rPr>
        <w:t>代表国家编写对提交给国际人权机构声称特立尼达和多巴哥违反条约义务的请愿书和来文的答复。</w:t>
      </w:r>
    </w:p>
    <w:p w:rsidR="00000000" w:rsidRDefault="00000000">
      <w:pPr>
        <w:pStyle w:val="ad"/>
        <w:rPr>
          <w:rFonts w:hint="eastAsia"/>
        </w:rPr>
      </w:pPr>
      <w:r>
        <w:rPr>
          <w:rFonts w:hint="eastAsia"/>
        </w:rPr>
        <w:t>提出关于特立尼达和多巴哥尚未批准的国际人权文书批准情况的报导。</w:t>
      </w:r>
    </w:p>
    <w:p w:rsidR="00000000" w:rsidRDefault="00000000">
      <w:pPr>
        <w:pStyle w:val="ad"/>
        <w:rPr>
          <w:rFonts w:hint="eastAsia"/>
        </w:rPr>
      </w:pPr>
      <w:r>
        <w:rPr>
          <w:rFonts w:hint="eastAsia"/>
        </w:rPr>
        <w:t>审查特立尼达和多巴哥对已批准的国际人权条约所提出的保留意见。</w:t>
      </w:r>
    </w:p>
    <w:p w:rsidR="00000000" w:rsidRDefault="00000000">
      <w:pPr>
        <w:pStyle w:val="ad"/>
        <w:rPr>
          <w:rFonts w:hint="eastAsia"/>
        </w:rPr>
      </w:pPr>
      <w:r>
        <w:rPr>
          <w:rFonts w:hint="eastAsia"/>
        </w:rPr>
        <w:t>审查特立尼达和多巴哥国内法与国际人权条约规定的义务的一致性。</w:t>
      </w:r>
    </w:p>
    <w:p w:rsidR="00000000" w:rsidRDefault="00000000">
      <w:pPr>
        <w:pStyle w:val="ad"/>
        <w:rPr>
          <w:rFonts w:hint="eastAsia"/>
        </w:rPr>
      </w:pPr>
      <w:r>
        <w:rPr>
          <w:rFonts w:hint="eastAsia"/>
        </w:rPr>
        <w:t>促进更大程度地认识人权文书以及它们所规定的特立尼达和多巴哥的法律义务。</w:t>
      </w:r>
    </w:p>
    <w:p w:rsidR="00000000" w:rsidRDefault="00000000">
      <w:pPr>
        <w:pStyle w:val="ad"/>
        <w:rPr>
          <w:rFonts w:hint="eastAsia"/>
        </w:rPr>
      </w:pPr>
      <w:r>
        <w:rPr>
          <w:rFonts w:hint="eastAsia"/>
        </w:rPr>
        <w:t>派代表出席监督委员会即人权事务委员会和消除一切形式种族歧视委员会的会议。</w:t>
      </w:r>
    </w:p>
    <w:p w:rsidR="00000000" w:rsidRDefault="00000000">
      <w:pPr>
        <w:rPr>
          <w:rFonts w:hint="eastAsia"/>
        </w:rPr>
      </w:pPr>
      <w:r>
        <w:rPr>
          <w:rFonts w:hint="eastAsia"/>
        </w:rPr>
        <w:tab/>
        <w:t xml:space="preserve">44.  </w:t>
      </w:r>
      <w:r>
        <w:rPr>
          <w:rFonts w:hint="eastAsia"/>
        </w:rPr>
        <w:t>除人权股外，目前正在设立一个由内阁任命的专门委员会，该委员会由政府各部的代表组成，以便组成一个常设部间机构，经常不断地向人权股提供最新的准确资料。</w:t>
      </w:r>
    </w:p>
    <w:p w:rsidR="00000000" w:rsidRDefault="00000000">
      <w:pPr>
        <w:rPr>
          <w:rFonts w:hint="eastAsia"/>
        </w:rPr>
      </w:pPr>
      <w:r>
        <w:rPr>
          <w:rFonts w:hint="eastAsia"/>
        </w:rPr>
        <w:tab/>
        <w:t xml:space="preserve">45.  </w:t>
      </w:r>
      <w:r>
        <w:rPr>
          <w:rFonts w:hint="eastAsia"/>
        </w:rPr>
        <w:t>虽然过去未将报告广为分发，但政府正在采取措施纠正这种情况。</w:t>
      </w:r>
      <w:r>
        <w:rPr>
          <w:rFonts w:hint="eastAsia"/>
        </w:rPr>
        <w:t>1999</w:t>
      </w:r>
      <w:r>
        <w:rPr>
          <w:rFonts w:hint="eastAsia"/>
        </w:rPr>
        <w:t>年编写的特立尼达和多巴哥共和国关于《公民权利和政治权利国际公约》的第三次定期报告已提交议会，检察总长在提交报告时还发了言。后来将该报告的复印件分发给了特立尼达和多巴哥驻外使团、特立尼达和多巴哥境内的外国使团、国际人权组织以及特立尼达和多巴哥境内的所有非政府组织。已请各组织就该报告的内容提出意见。目前正在采取措施，将报告发表在总检察和法律事务部的网页上，并使公众可以象征性的费用购买报告复印件。该报告还载有《公约》。政府打算继续向议会提交这些报告，并向公众提供报告的复印件。</w:t>
      </w:r>
    </w:p>
    <w:p w:rsidR="00000000" w:rsidRDefault="00000000">
      <w:pPr>
        <w:rPr>
          <w:rFonts w:hint="eastAsia"/>
        </w:rPr>
      </w:pPr>
      <w:r>
        <w:rPr>
          <w:rFonts w:hint="eastAsia"/>
        </w:rPr>
        <w:tab/>
        <w:t xml:space="preserve">46.  </w:t>
      </w:r>
      <w:r>
        <w:rPr>
          <w:rFonts w:hint="eastAsia"/>
        </w:rPr>
        <w:t>总理办公室新闻司受权处理政府的通信政策，并特别负责与公众沟通以及提供获取政府资料的途径和提供更好的公共教育设施。新闻司设有电视股，该股制作有关国家、社会和文化问题的电视节目和记录片，并报导政府的活动。新闻司的广播股使人民了解政府的活动、项目和政策，并播送有关国家和国际事件的特别节目。研究</w:t>
      </w:r>
      <w:r>
        <w:rPr>
          <w:rFonts w:hint="eastAsia"/>
        </w:rPr>
        <w:t>/</w:t>
      </w:r>
      <w:r>
        <w:rPr>
          <w:rFonts w:hint="eastAsia"/>
        </w:rPr>
        <w:t>图书馆股的研究分部负责印制关于包括人权问题在内的公众关心的国家问题的传单、小册子、宣传画等。</w:t>
      </w:r>
      <w:r>
        <w:rPr>
          <w:rFonts w:hint="eastAsia"/>
        </w:rPr>
        <w:t>1996</w:t>
      </w:r>
      <w:r>
        <w:rPr>
          <w:rFonts w:hint="eastAsia"/>
        </w:rPr>
        <w:t>至</w:t>
      </w:r>
      <w:r>
        <w:rPr>
          <w:rFonts w:hint="eastAsia"/>
        </w:rPr>
        <w:t>1999</w:t>
      </w:r>
      <w:r>
        <w:rPr>
          <w:rFonts w:hint="eastAsia"/>
        </w:rPr>
        <w:t>年期间，总理办公室新闻司制作了</w:t>
      </w:r>
      <w:r>
        <w:rPr>
          <w:rFonts w:hint="eastAsia"/>
        </w:rPr>
        <w:t>25</w:t>
      </w:r>
      <w:r>
        <w:rPr>
          <w:rFonts w:hint="eastAsia"/>
        </w:rPr>
        <w:t>种以上旨在教育公众了解其公民权利的节目，其中包括关于司法问题的系列节目。在电视股方面，自</w:t>
      </w:r>
      <w:r>
        <w:rPr>
          <w:rFonts w:hint="eastAsia"/>
        </w:rPr>
        <w:t>1996</w:t>
      </w:r>
      <w:r>
        <w:rPr>
          <w:rFonts w:hint="eastAsia"/>
        </w:rPr>
        <w:t>年以来已制作了</w:t>
      </w:r>
      <w:r>
        <w:rPr>
          <w:rFonts w:hint="eastAsia"/>
        </w:rPr>
        <w:t>11</w:t>
      </w:r>
      <w:r>
        <w:rPr>
          <w:rFonts w:hint="eastAsia"/>
        </w:rPr>
        <w:t>个特别节目，用以传播关于影响公众的新的和现有立法的资料。它们包括：</w:t>
      </w:r>
    </w:p>
    <w:p w:rsidR="00000000" w:rsidRDefault="00000000">
      <w:pPr>
        <w:pStyle w:val="ad"/>
        <w:ind w:left="521"/>
        <w:rPr>
          <w:rFonts w:hint="eastAsia"/>
        </w:rPr>
      </w:pPr>
      <w:r>
        <w:rPr>
          <w:rFonts w:hint="eastAsia"/>
        </w:rPr>
        <w:t>平等机会法案</w:t>
      </w:r>
    </w:p>
    <w:p w:rsidR="00000000" w:rsidRDefault="00000000">
      <w:pPr>
        <w:pStyle w:val="ad"/>
        <w:ind w:left="521"/>
        <w:rPr>
          <w:rFonts w:hint="eastAsia"/>
        </w:rPr>
      </w:pPr>
      <w:r>
        <w:rPr>
          <w:rFonts w:hint="eastAsia"/>
        </w:rPr>
        <w:t>宪法修正法案</w:t>
      </w:r>
    </w:p>
    <w:p w:rsidR="00000000" w:rsidRDefault="00000000">
      <w:pPr>
        <w:pStyle w:val="ad"/>
        <w:ind w:left="521"/>
        <w:rPr>
          <w:rFonts w:hint="eastAsia"/>
        </w:rPr>
      </w:pPr>
      <w:r>
        <w:rPr>
          <w:rFonts w:hint="eastAsia"/>
        </w:rPr>
        <w:t>刑事司法</w:t>
      </w:r>
    </w:p>
    <w:p w:rsidR="00000000" w:rsidRDefault="00000000">
      <w:pPr>
        <w:pStyle w:val="ad"/>
        <w:ind w:left="521"/>
        <w:rPr>
          <w:rFonts w:hint="eastAsia"/>
        </w:rPr>
      </w:pPr>
      <w:r>
        <w:rPr>
          <w:rFonts w:hint="eastAsia"/>
        </w:rPr>
        <w:t>家庭暴力行为法案</w:t>
      </w:r>
    </w:p>
    <w:p w:rsidR="00000000" w:rsidRDefault="00000000">
      <w:pPr>
        <w:pStyle w:val="ad"/>
        <w:ind w:left="521"/>
        <w:rPr>
          <w:rFonts w:hint="eastAsia"/>
        </w:rPr>
      </w:pPr>
      <w:r>
        <w:rPr>
          <w:rFonts w:hint="eastAsia"/>
        </w:rPr>
        <w:t>国际刑事法院</w:t>
      </w:r>
    </w:p>
    <w:p w:rsidR="00000000" w:rsidRDefault="00000000">
      <w:pPr>
        <w:pStyle w:val="ad"/>
        <w:ind w:left="521"/>
        <w:rPr>
          <w:rFonts w:hint="eastAsia"/>
        </w:rPr>
      </w:pPr>
      <w:r>
        <w:rPr>
          <w:rFonts w:hint="eastAsia"/>
        </w:rPr>
        <w:t>地方法官区域会议</w:t>
      </w:r>
    </w:p>
    <w:p w:rsidR="00000000" w:rsidRDefault="00000000">
      <w:pPr>
        <w:pStyle w:val="ad"/>
        <w:ind w:left="521"/>
        <w:rPr>
          <w:rFonts w:hint="eastAsia"/>
        </w:rPr>
      </w:pPr>
      <w:r>
        <w:rPr>
          <w:rFonts w:hint="eastAsia"/>
        </w:rPr>
        <w:t>危险药物法案</w:t>
      </w:r>
    </w:p>
    <w:p w:rsidR="00000000" w:rsidRDefault="00000000">
      <w:pPr>
        <w:pStyle w:val="ad"/>
        <w:ind w:left="521"/>
        <w:rPr>
          <w:rFonts w:hint="eastAsia"/>
        </w:rPr>
      </w:pPr>
      <w:r>
        <w:rPr>
          <w:rFonts w:hint="eastAsia"/>
        </w:rPr>
        <w:t>人权日发言</w:t>
      </w:r>
    </w:p>
    <w:p w:rsidR="00000000" w:rsidRDefault="00000000">
      <w:pPr>
        <w:rPr>
          <w:rFonts w:hint="eastAsia"/>
        </w:rPr>
      </w:pPr>
      <w:r>
        <w:rPr>
          <w:rFonts w:hint="eastAsia"/>
        </w:rPr>
        <w:tab/>
        <w:t xml:space="preserve">47.  </w:t>
      </w:r>
      <w:r>
        <w:rPr>
          <w:rFonts w:hint="eastAsia"/>
        </w:rPr>
        <w:t>不久之前向</w:t>
      </w:r>
      <w:r>
        <w:rPr>
          <w:rFonts w:hint="eastAsia"/>
        </w:rPr>
        <w:t>600</w:t>
      </w:r>
      <w:r>
        <w:rPr>
          <w:rFonts w:hint="eastAsia"/>
        </w:rPr>
        <w:t>所学校的图书馆、</w:t>
      </w:r>
      <w:r>
        <w:rPr>
          <w:rFonts w:hint="eastAsia"/>
        </w:rPr>
        <w:t>100</w:t>
      </w:r>
      <w:r>
        <w:rPr>
          <w:rFonts w:hint="eastAsia"/>
        </w:rPr>
        <w:t>所农村学校、</w:t>
      </w:r>
      <w:r>
        <w:rPr>
          <w:rFonts w:hint="eastAsia"/>
        </w:rPr>
        <w:t>68</w:t>
      </w:r>
      <w:r>
        <w:rPr>
          <w:rFonts w:hint="eastAsia"/>
        </w:rPr>
        <w:t>所私立学校、</w:t>
      </w:r>
      <w:r>
        <w:rPr>
          <w:rFonts w:hint="eastAsia"/>
        </w:rPr>
        <w:t>78</w:t>
      </w:r>
      <w:r>
        <w:rPr>
          <w:rFonts w:hint="eastAsia"/>
        </w:rPr>
        <w:t>个大使馆、</w:t>
      </w:r>
      <w:r>
        <w:rPr>
          <w:rFonts w:hint="eastAsia"/>
        </w:rPr>
        <w:t>90</w:t>
      </w:r>
      <w:r>
        <w:rPr>
          <w:rFonts w:hint="eastAsia"/>
        </w:rPr>
        <w:t>个特别图书馆以及</w:t>
      </w:r>
      <w:r>
        <w:rPr>
          <w:rFonts w:hint="eastAsia"/>
        </w:rPr>
        <w:t>30</w:t>
      </w:r>
      <w:r>
        <w:rPr>
          <w:rFonts w:hint="eastAsia"/>
        </w:rPr>
        <w:t>个外国使团分发了由总检察部印制的题为“公民宪法指南”的小册子。另外分发的一本小册子题为“政府的基础”，该小册子提供了关于共和国《宪法》以及政府结构的资料。此外还根据可得到的材料分发关于联合国的资料。新闻部还举办展览，庆祝联合国纪念的包括人权日在内的国际日。</w:t>
      </w:r>
    </w:p>
    <w:p w:rsidR="00000000" w:rsidRDefault="00000000">
      <w:pPr>
        <w:rPr>
          <w:rFonts w:hint="eastAsia"/>
        </w:rPr>
      </w:pPr>
    </w:p>
    <w:p w:rsidR="00000000" w:rsidRDefault="00000000">
      <w:pPr>
        <w:jc w:val="center"/>
      </w:pPr>
      <w:r>
        <w:t>--  --  --  --  --</w:t>
      </w: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 xml:space="preserve">GE. </w:t>
    </w:r>
    <w:r>
      <w:rPr>
        <w:rFonts w:hint="eastAsia"/>
      </w:rPr>
      <w:t>00</w:t>
    </w:r>
    <w:r>
      <w:t>-</w:t>
    </w:r>
    <w:r>
      <w:rPr>
        <w:rFonts w:hint="eastAsia"/>
      </w:rPr>
      <w:t>42815</w:t>
    </w:r>
    <w:r>
      <w:t xml:space="preserve">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rPr>
        <w:lang w:val="fr-FR"/>
      </w:rPr>
      <w:t>HRI/</w:t>
    </w:r>
    <w:r>
      <w:rPr>
        <w:rFonts w:hint="eastAsia"/>
        <w:lang w:val="fr-FR"/>
      </w:rPr>
      <w:t>CORE</w:t>
    </w:r>
    <w:r>
      <w:rPr>
        <w:lang w:val="fr-FR"/>
      </w:rPr>
      <w:t>/</w:t>
    </w:r>
    <w:r>
      <w:rPr>
        <w:rFonts w:hint="eastAsia"/>
        <w:lang w:val="fr-FR"/>
      </w:rPr>
      <w:t>1/</w:t>
    </w:r>
    <w:r>
      <w:rPr>
        <w:lang w:val="fr-FR"/>
      </w:rPr>
      <w:t>Add.1</w:t>
    </w:r>
    <w:r>
      <w:rPr>
        <w:rFonts w:hint="eastAsia"/>
        <w:lang w:val="fr-FR"/>
      </w:rPr>
      <w:t>10</w:t>
    </w:r>
  </w:p>
  <w:p w:rsidR="00000000" w:rsidRDefault="00000000">
    <w:pPr>
      <w:pStyle w:val="1R2"/>
      <w:framePr w:w="0" w:hRule="auto" w:hSpace="0" w:wrap="auto" w:vAnchor="margin" w:hAnchor="text" w:xAlign="left" w:yAlign="inline"/>
      <w:tabs>
        <w:tab w:val="clear" w:pos="1202"/>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tab/>
    </w:r>
    <w:r>
      <w:tab/>
    </w:r>
    <w:r>
      <w:tab/>
    </w:r>
    <w:r>
      <w:rPr>
        <w:lang w:val="fr-FR"/>
      </w:rPr>
      <w:t>HRI/</w:t>
    </w:r>
    <w:r>
      <w:rPr>
        <w:rFonts w:hint="eastAsia"/>
        <w:lang w:val="fr-FR"/>
      </w:rPr>
      <w:t>CORE</w:t>
    </w:r>
    <w:r>
      <w:rPr>
        <w:lang w:val="fr-FR"/>
      </w:rPr>
      <w:t>/</w:t>
    </w:r>
    <w:r>
      <w:rPr>
        <w:rFonts w:hint="eastAsia"/>
        <w:lang w:val="fr-FR"/>
      </w:rPr>
      <w:t>1/</w:t>
    </w:r>
    <w:r>
      <w:rPr>
        <w:lang w:val="fr-FR"/>
      </w:rPr>
      <w:t>Add.1</w:t>
    </w:r>
    <w:r>
      <w:rPr>
        <w:rFonts w:hint="eastAsia"/>
        <w:lang w:val="fr-FR"/>
      </w:rPr>
      <w:t>10</w:t>
    </w:r>
  </w:p>
  <w:p w:rsidR="00000000" w:rsidRDefault="00000000">
    <w:pPr>
      <w:pStyle w:val="1R2"/>
      <w:framePr w:w="0" w:hRule="auto" w:hSpace="0" w:wrap="auto" w:vAnchor="margin" w:hAnchor="text" w:xAlign="left" w:yAlign="inline"/>
      <w:tabs>
        <w:tab w:val="clear" w:pos="1202"/>
        <w:tab w:val="left" w:pos="6124"/>
        <w:tab w:val="left" w:pos="6634"/>
        <w:tab w:val="left" w:pos="7144"/>
        <w:tab w:val="left" w:pos="7655"/>
        <w:tab w:val="left" w:pos="8165"/>
      </w:tabs>
    </w:pPr>
    <w:r>
      <w:rPr>
        <w:lang w:val="fr-FR"/>
      </w:rPr>
      <w:tab/>
    </w:r>
    <w:r>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p>
  <w:p w:rsidR="00000000" w:rsidRDefault="00000000">
    <w:pPr>
      <w:pStyle w:val="a1"/>
      <w:spacing w:after="160"/>
    </w:pPr>
    <w:r>
      <w:rPr>
        <w:noProof/>
      </w:rPr>
      <w:pict>
        <v:rect id="_x0000_s1025" style="position:absolute;margin-left:499.05pt;margin-top:57.65pt;width:66.05pt;height:31.25pt;z-index:-5;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p>
  <w:p w:rsidR="00000000" w:rsidRDefault="00000000">
    <w:pPr>
      <w:pStyle w:val="a1"/>
    </w:pPr>
    <w:r>
      <w:pict>
        <v:rect id="_x0000_s1029" style="position:absolute;margin-left:73.05pt;margin-top:109.6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r>
      <w:pict>
        <v:rect id="_x0000_s1027" style="position:absolute;margin-left:151.05pt;margin-top:120.05pt;width:156.05pt;height:31.25pt;z-index:-3;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a1"/>
    </w:pPr>
  </w:p>
  <w:p w:rsidR="00000000" w:rsidRDefault="00000000">
    <w:pPr>
      <w:pStyle w:val="1R2"/>
      <w:framePr w:wrap="around" w:x="8538"/>
    </w:pPr>
    <w:r>
      <w:t>Distr.</w:t>
    </w:r>
  </w:p>
  <w:p w:rsidR="00000000" w:rsidRDefault="00000000">
    <w:pPr>
      <w:pStyle w:val="1R2"/>
      <w:framePr w:wrap="around" w:x="8538"/>
    </w:pPr>
    <w:r>
      <w:t>GENERAL</w:t>
    </w:r>
  </w:p>
  <w:p w:rsidR="00000000" w:rsidRDefault="00000000">
    <w:pPr>
      <w:pStyle w:val="1R2"/>
      <w:framePr w:wrap="around" w:x="8538"/>
    </w:pPr>
  </w:p>
  <w:p w:rsidR="00000000" w:rsidRDefault="00000000">
    <w:pPr>
      <w:pStyle w:val="1R2"/>
      <w:framePr w:wrap="around" w:x="8538"/>
      <w:rPr>
        <w:rFonts w:hint="eastAsia"/>
      </w:rPr>
    </w:pPr>
    <w:r>
      <w:t>HRI/</w:t>
    </w:r>
    <w:r>
      <w:rPr>
        <w:rFonts w:hint="eastAsia"/>
      </w:rPr>
      <w:t>CORE</w:t>
    </w:r>
    <w:r>
      <w:t>/</w:t>
    </w:r>
    <w:r>
      <w:rPr>
        <w:rFonts w:hint="eastAsia"/>
      </w:rPr>
      <w:t>1/</w:t>
    </w:r>
    <w:r>
      <w:t>Add.1</w:t>
    </w:r>
    <w:r>
      <w:rPr>
        <w:rFonts w:hint="eastAsia"/>
      </w:rPr>
      <w:t>10</w:t>
    </w:r>
  </w:p>
  <w:p w:rsidR="00000000" w:rsidRDefault="00000000">
    <w:pPr>
      <w:pStyle w:val="1R2"/>
      <w:framePr w:wrap="around" w:x="8538"/>
    </w:pPr>
    <w:r>
      <w:rPr>
        <w:rFonts w:hint="eastAsia"/>
      </w:rPr>
      <w:t xml:space="preserve">20 </w:t>
    </w:r>
    <w:r>
      <w:t>June 2000</w:t>
    </w:r>
  </w:p>
  <w:p w:rsidR="00000000" w:rsidRDefault="00000000">
    <w:pPr>
      <w:pStyle w:val="1R2"/>
      <w:framePr w:wrap="around" w:x="8538"/>
    </w:pPr>
    <w:r>
      <w:t>CHINESE</w:t>
    </w:r>
  </w:p>
  <w:p w:rsidR="00000000" w:rsidRDefault="00000000">
    <w:pPr>
      <w:pStyle w:val="1R2"/>
      <w:framePr w:wrap="around" w:x="8538"/>
    </w:pPr>
    <w:r>
      <w:t>Original:</w:t>
    </w:r>
    <w:r>
      <w:tab/>
      <w:t>ENGLISH</w: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9FACFBD0"/>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1F3C97A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77F90"/>
    <w:multiLevelType w:val="hybridMultilevel"/>
    <w:tmpl w:val="219E1E60"/>
    <w:lvl w:ilvl="0" w:tplc="29ECC68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95CC5"/>
    <w:multiLevelType w:val="singleLevel"/>
    <w:tmpl w:val="4B6A883A"/>
    <w:lvl w:ilvl="0">
      <w:start w:val="1"/>
      <w:numFmt w:val="lowerLetter"/>
      <w:lvlText w:val="(%1)"/>
      <w:legacy w:legacy="1" w:legacySpace="0" w:legacyIndent="425"/>
      <w:lvlJc w:val="left"/>
      <w:pPr>
        <w:ind w:left="1446" w:hanging="425"/>
      </w:pPr>
    </w:lvl>
  </w:abstractNum>
  <w:abstractNum w:abstractNumId="4">
    <w:nsid w:val="33BF5892"/>
    <w:multiLevelType w:val="singleLevel"/>
    <w:tmpl w:val="8A2676A0"/>
    <w:lvl w:ilvl="0">
      <w:start w:val="1"/>
      <w:numFmt w:val="chineseCountingThousand"/>
      <w:lvlText w:val="(%1)"/>
      <w:lvlJc w:val="left"/>
      <w:pPr>
        <w:tabs>
          <w:tab w:val="num" w:pos="1021"/>
        </w:tabs>
        <w:ind w:left="1021" w:hanging="511"/>
      </w:pPr>
      <w:rPr>
        <w:rFonts w:hint="eastAsia"/>
        <w:sz w:val="21"/>
      </w:rPr>
    </w:lvl>
  </w:abstractNum>
  <w:abstractNum w:abstractNumId="5">
    <w:nsid w:val="39D90235"/>
    <w:multiLevelType w:val="singleLevel"/>
    <w:tmpl w:val="FCBA2D34"/>
    <w:lvl w:ilvl="0">
      <w:start w:val="1"/>
      <w:numFmt w:val="bullet"/>
      <w:pStyle w:val="a"/>
      <w:lvlText w:val=""/>
      <w:lvlJc w:val="left"/>
      <w:pPr>
        <w:tabs>
          <w:tab w:val="num" w:pos="510"/>
        </w:tabs>
        <w:ind w:left="510" w:hanging="510"/>
      </w:pPr>
      <w:rPr>
        <w:rFonts w:ascii="Symbol" w:hAnsi="Symbol" w:hint="default"/>
      </w:rPr>
    </w:lvl>
  </w:abstractNum>
  <w:abstractNum w:abstractNumId="6">
    <w:nsid w:val="507317FD"/>
    <w:multiLevelType w:val="singleLevel"/>
    <w:tmpl w:val="5686E45A"/>
    <w:lvl w:ilvl="0">
      <w:start w:val="1"/>
      <w:numFmt w:val="bullet"/>
      <w:pStyle w:val="a0"/>
      <w:lvlText w:val=""/>
      <w:lvlJc w:val="left"/>
      <w:pPr>
        <w:tabs>
          <w:tab w:val="num" w:pos="510"/>
        </w:tabs>
        <w:ind w:left="510" w:hanging="510"/>
      </w:pPr>
      <w:rPr>
        <w:rFonts w:ascii="Symbol" w:hAnsi="Symbol" w:hint="default"/>
        <w:sz w:val="16"/>
      </w:rPr>
    </w:lvl>
  </w:abstractNum>
  <w:abstractNum w:abstractNumId="7">
    <w:nsid w:val="77350EFD"/>
    <w:multiLevelType w:val="hybridMultilevel"/>
    <w:tmpl w:val="D8F6D84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4"/>
  </w:num>
  <w:num w:numId="6">
    <w:abstractNumId w:val="6"/>
  </w:num>
  <w:num w:numId="7">
    <w:abstractNumId w:val="5"/>
  </w:num>
  <w:num w:numId="8">
    <w:abstractNumId w:val="3"/>
  </w:num>
  <w:num w:numId="9">
    <w:abstractNumId w:val="4"/>
  </w:num>
  <w:num w:numId="10">
    <w:abstractNumId w:val="6"/>
  </w:num>
  <w:num w:numId="11">
    <w:abstractNumId w:val="5"/>
  </w:num>
  <w:num w:numId="12">
    <w:abstractNumId w:val="3"/>
  </w:num>
  <w:num w:numId="13">
    <w:abstractNumId w:val="4"/>
  </w:num>
  <w:num w:numId="14">
    <w:abstractNumId w:val="6"/>
  </w:num>
  <w:num w:numId="15">
    <w:abstractNumId w:val="5"/>
  </w:num>
  <w:num w:numId="16">
    <w:abstractNumId w:val="6"/>
  </w:num>
  <w:num w:numId="17">
    <w:abstractNumId w:val="5"/>
  </w:num>
  <w:num w:numId="18">
    <w:abstractNumId w:val="0"/>
  </w:num>
  <w:num w:numId="19">
    <w:abstractNumId w:val="6"/>
  </w:num>
  <w:num w:numId="20">
    <w:abstractNumId w:val="5"/>
  </w:num>
  <w:num w:numId="21">
    <w:abstractNumId w:val="7"/>
  </w:num>
  <w:num w:numId="22">
    <w:abstractNumId w:val="1"/>
  </w:num>
  <w:num w:numId="23">
    <w:abstractNumId w:val="1"/>
  </w:num>
  <w:num w:numId="24">
    <w:abstractNumId w:val="6"/>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a7">
    <w:name w:val="表中文字"/>
    <w:basedOn w:val="Normal"/>
    <w:pPr>
      <w:spacing w:line="320" w:lineRule="exact"/>
    </w:pPr>
    <w:rPr>
      <w:spacing w:val="0"/>
      <w:sz w:val="21"/>
    </w:r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
    <w:name w:val="Body Text"/>
    <w:basedOn w:val="Normal"/>
    <w:semiHidden/>
    <w:pPr>
      <w:widowControl w:val="0"/>
    </w:pPr>
    <w:rPr>
      <w:snapToGrid/>
    </w:r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9">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a">
    <w:name w:val="楷体"/>
    <w:basedOn w:val="Normal"/>
    <w:pPr>
      <w:widowControl w:val="0"/>
    </w:pPr>
    <w:rPr>
      <w:rFonts w:eastAsia="KaiTi_GB2312"/>
      <w:snapToGrid/>
      <w:spacing w:val="0"/>
    </w:rPr>
  </w:style>
  <w:style w:type="paragraph" w:customStyle="1" w:styleId="ab">
    <w:name w:val="横眉"/>
    <w:basedOn w:val="Header"/>
    <w:autoRedefine/>
    <w:pPr>
      <w:tabs>
        <w:tab w:val="left" w:pos="1202"/>
      </w:tabs>
      <w:snapToGrid/>
      <w:spacing w:line="160" w:lineRule="exact"/>
    </w:p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228</TotalTime>
  <Pages>1</Pages>
  <Words>900</Words>
  <Characters>990</Characters>
  <Application>Microsoft Office Word</Application>
  <DocSecurity>4</DocSecurity>
  <Lines>52</Lines>
  <Paragraphs>29</Paragraphs>
  <ScaleCrop>false</ScaleCrop>
  <HeadingPairs>
    <vt:vector size="4" baseType="variant">
      <vt:variant>
        <vt:lpstr>题目</vt:lpstr>
      </vt:variant>
      <vt:variant>
        <vt:i4>1</vt:i4>
      </vt:variant>
      <vt:variant>
        <vt:lpstr>标题</vt:lpstr>
      </vt:variant>
      <vt:variant>
        <vt:i4>6</vt:i4>
      </vt:variant>
    </vt:vector>
  </HeadingPairs>
  <TitlesOfParts>
    <vt:vector size="7" baseType="lpstr">
      <vt:lpstr>HRI.dot</vt:lpstr>
      <vt:lpstr>    构成缔约国报告组成部分的基本文件</vt:lpstr>
      <vt:lpstr>    特立尼达和多巴哥</vt:lpstr>
      <vt:lpstr>    一、领土和人口</vt:lpstr>
      <vt:lpstr>    二、总的政治结构</vt:lpstr>
      <vt:lpstr>    三、有关保护人权的一般法律框架</vt:lpstr>
      <vt:lpstr>    四、新闻和宣传</vt:lpstr>
    </vt:vector>
  </TitlesOfParts>
  <Company>ONU</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HRI.dot</dc:title>
  <dc:subject/>
  <dc:creator>TPS</dc:creator>
  <cp:keywords/>
  <cp:lastModifiedBy>TPS</cp:lastModifiedBy>
  <cp:revision>14</cp:revision>
  <cp:lastPrinted>2000-07-13T15:30:00Z</cp:lastPrinted>
  <dcterms:created xsi:type="dcterms:W3CDTF">2000-07-13T09:02:00Z</dcterms:created>
  <dcterms:modified xsi:type="dcterms:W3CDTF">2000-07-14T06:50:00Z</dcterms:modified>
</cp:coreProperties>
</file>