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C3792" w:rsidRPr="00DB58B5" w14:paraId="17692ED8" w14:textId="77777777" w:rsidTr="00702DC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78D46F" w14:textId="77777777" w:rsidR="009C3792" w:rsidRPr="00DB58B5" w:rsidRDefault="009C3792" w:rsidP="00425E6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7A50E2" w14:textId="31BEA4D3" w:rsidR="009C3792" w:rsidRPr="00DB58B5" w:rsidRDefault="009C3792" w:rsidP="00702DC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C75340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7DCE8A" w14:textId="29233052" w:rsidR="009C3792" w:rsidRPr="00DB58B5" w:rsidRDefault="00425E6D" w:rsidP="00425E6D">
            <w:pPr>
              <w:jc w:val="right"/>
            </w:pPr>
            <w:r w:rsidRPr="00425E6D">
              <w:rPr>
                <w:sz w:val="40"/>
              </w:rPr>
              <w:t>HRI</w:t>
            </w:r>
            <w:r>
              <w:t>/CORE/THA/2021</w:t>
            </w:r>
          </w:p>
        </w:tc>
      </w:tr>
      <w:tr w:rsidR="009C3792" w:rsidRPr="00DB58B5" w14:paraId="6C980AE2" w14:textId="77777777" w:rsidTr="00702DC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36DC7A" w14:textId="77777777" w:rsidR="009C3792" w:rsidRPr="00DB58B5" w:rsidRDefault="009C3792" w:rsidP="00702DC1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D8647B" wp14:editId="3993B91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B4FD28" w14:textId="388ECB13" w:rsidR="009C3792" w:rsidRPr="00740562" w:rsidRDefault="009C3792" w:rsidP="00702DC1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Instruments</w:t>
            </w:r>
            <w:r w:rsidR="00C7534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internationaux</w:t>
            </w:r>
            <w:r>
              <w:rPr>
                <w:b/>
                <w:sz w:val="34"/>
                <w:szCs w:val="34"/>
              </w:rPr>
              <w:br/>
              <w:t>relatifs</w:t>
            </w:r>
            <w:r w:rsidR="00C7534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aux</w:t>
            </w:r>
            <w:r w:rsidR="00C7534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droits</w:t>
            </w:r>
            <w:r w:rsidR="00C7534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de</w:t>
            </w:r>
            <w:r w:rsidR="00C75340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l’homme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B92268" w14:textId="0BA76A52" w:rsidR="009C3792" w:rsidRDefault="00425E6D" w:rsidP="00702DC1">
            <w:pPr>
              <w:spacing w:before="240"/>
            </w:pPr>
            <w:r>
              <w:t>Distr.</w:t>
            </w:r>
            <w:r w:rsidR="00C75340">
              <w:t xml:space="preserve"> </w:t>
            </w:r>
            <w:r>
              <w:t>générale</w:t>
            </w:r>
          </w:p>
          <w:p w14:paraId="2E41C37D" w14:textId="75A82760" w:rsidR="00425E6D" w:rsidRDefault="00425E6D" w:rsidP="00425E6D">
            <w:pPr>
              <w:spacing w:line="240" w:lineRule="exact"/>
            </w:pPr>
            <w:r>
              <w:t>7</w:t>
            </w:r>
            <w:r w:rsidR="00C75340">
              <w:t xml:space="preserve"> </w:t>
            </w:r>
            <w:r>
              <w:t>décembre</w:t>
            </w:r>
            <w:r w:rsidR="00C75340">
              <w:t xml:space="preserve"> </w:t>
            </w:r>
            <w:r>
              <w:t>2021</w:t>
            </w:r>
          </w:p>
          <w:p w14:paraId="2454BAE6" w14:textId="77777777" w:rsidR="00425E6D" w:rsidRDefault="00425E6D" w:rsidP="00425E6D">
            <w:pPr>
              <w:spacing w:line="240" w:lineRule="exact"/>
            </w:pPr>
            <w:r>
              <w:t>Français</w:t>
            </w:r>
          </w:p>
          <w:p w14:paraId="226089ED" w14:textId="41CCBCF1" w:rsidR="00425E6D" w:rsidRPr="00DB58B5" w:rsidRDefault="00425E6D" w:rsidP="00425E6D">
            <w:pPr>
              <w:spacing w:line="240" w:lineRule="exact"/>
            </w:pPr>
            <w:r>
              <w:t>Original</w:t>
            </w:r>
            <w:r w:rsidR="000E46EC">
              <w:t> :</w:t>
            </w:r>
            <w:r w:rsidR="00C75340">
              <w:t xml:space="preserve"> </w:t>
            </w:r>
            <w:r>
              <w:t>anglais</w:t>
            </w:r>
          </w:p>
        </w:tc>
      </w:tr>
    </w:tbl>
    <w:p w14:paraId="5F21742A" w14:textId="36782710" w:rsidR="00C3295C" w:rsidRPr="00D86974" w:rsidRDefault="00C3295C" w:rsidP="00987D41">
      <w:pPr>
        <w:pStyle w:val="HMG"/>
        <w:ind w:right="2834"/>
      </w:pPr>
      <w:bookmarkStart w:id="0" w:name="_Hlk97727530"/>
      <w:r w:rsidRPr="00D86974">
        <w:tab/>
      </w:r>
      <w:r w:rsidRPr="00D86974">
        <w:tab/>
      </w:r>
      <w:r w:rsidRPr="00987D41">
        <w:t>Document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commun</w:t>
      </w:r>
      <w:r w:rsidR="00C75340">
        <w:t xml:space="preserve"> </w:t>
      </w:r>
      <w:r w:rsidRPr="00D86974">
        <w:t>faisant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intégrante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présentés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États</w:t>
      </w:r>
      <w:r w:rsidR="00C75340">
        <w:t xml:space="preserve"> </w:t>
      </w:r>
      <w:r w:rsidRPr="00D86974">
        <w:t>parties</w:t>
      </w:r>
    </w:p>
    <w:p w14:paraId="21724A26" w14:textId="77777777" w:rsidR="00C3295C" w:rsidRPr="00D86974" w:rsidRDefault="00C3295C" w:rsidP="00987D41">
      <w:pPr>
        <w:pStyle w:val="HMG"/>
      </w:pPr>
      <w:r w:rsidRPr="00D86974">
        <w:tab/>
      </w:r>
      <w:r w:rsidRPr="00D86974">
        <w:tab/>
      </w:r>
      <w:r w:rsidRPr="00987D41">
        <w:t>Thaïlande</w:t>
      </w:r>
      <w:r w:rsidRPr="00D86974">
        <w:rPr>
          <w:b w:val="0"/>
          <w:sz w:val="20"/>
        </w:rPr>
        <w:footnoteReference w:customMarkFollows="1" w:id="2"/>
        <w:t>*</w:t>
      </w:r>
    </w:p>
    <w:p w14:paraId="389353F2" w14:textId="570F4E7F" w:rsidR="00C3295C" w:rsidRPr="00D86974" w:rsidRDefault="00C3295C" w:rsidP="00987D41">
      <w:pPr>
        <w:pStyle w:val="SingleTxtG"/>
        <w:jc w:val="right"/>
      </w:pPr>
      <w:r w:rsidRPr="00D86974">
        <w:t>[Date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réception</w:t>
      </w:r>
      <w:r w:rsidR="000E46EC">
        <w:t> :</w:t>
      </w:r>
      <w:r w:rsidR="00C75340">
        <w:t xml:space="preserve"> </w:t>
      </w:r>
      <w:r w:rsidRPr="00D86974">
        <w:t>15</w:t>
      </w:r>
      <w:r w:rsidR="00C75340">
        <w:t xml:space="preserve"> </w:t>
      </w:r>
      <w:r w:rsidRPr="00D86974">
        <w:t>novembre</w:t>
      </w:r>
      <w:r w:rsidR="00C75340">
        <w:t xml:space="preserve"> </w:t>
      </w:r>
      <w:r w:rsidRPr="00D86974">
        <w:t>2021]</w:t>
      </w:r>
    </w:p>
    <w:p w14:paraId="070830FA" w14:textId="77777777" w:rsidR="00C3295C" w:rsidRPr="00D86974" w:rsidRDefault="00C3295C" w:rsidP="00C3295C">
      <w:pPr>
        <w:suppressAutoHyphens w:val="0"/>
        <w:spacing w:line="240" w:lineRule="auto"/>
      </w:pPr>
      <w:r w:rsidRPr="00D86974">
        <w:br w:type="page"/>
      </w:r>
    </w:p>
    <w:p w14:paraId="5DD44EF6" w14:textId="7B94F964" w:rsidR="00987D41" w:rsidRPr="00987D41" w:rsidRDefault="00987D41" w:rsidP="00987D41">
      <w:pPr>
        <w:spacing w:after="120"/>
        <w:rPr>
          <w:sz w:val="28"/>
        </w:rPr>
      </w:pPr>
      <w:r w:rsidRPr="00987D41">
        <w:rPr>
          <w:sz w:val="28"/>
        </w:rPr>
        <w:lastRenderedPageBreak/>
        <w:t>Table des matières</w:t>
      </w:r>
    </w:p>
    <w:p w14:paraId="1D307D4C" w14:textId="77392335" w:rsidR="00987D41" w:rsidRPr="00987D41" w:rsidRDefault="00987D41" w:rsidP="00987D41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987D41">
        <w:rPr>
          <w:i/>
          <w:sz w:val="18"/>
        </w:rPr>
        <w:tab/>
        <w:t>Page</w:t>
      </w:r>
    </w:p>
    <w:p w14:paraId="3F6DA5D7" w14:textId="3DEA6CAD" w:rsidR="00C3295C" w:rsidRPr="00D86974" w:rsidRDefault="00C3295C" w:rsidP="00987D4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86974">
        <w:tab/>
        <w:t>I.</w:t>
      </w:r>
      <w:r w:rsidRPr="00D86974">
        <w:tab/>
        <w:t>Renseignements</w:t>
      </w:r>
      <w:r w:rsidR="00C75340">
        <w:t xml:space="preserve"> </w:t>
      </w:r>
      <w:r w:rsidRPr="00D86974">
        <w:t>d’ordre</w:t>
      </w:r>
      <w:r w:rsidR="00C75340">
        <w:t xml:space="preserve"> </w:t>
      </w:r>
      <w:r w:rsidRPr="00D86974">
        <w:t>général</w:t>
      </w:r>
      <w:r w:rsidRPr="00D86974">
        <w:tab/>
      </w:r>
      <w:r w:rsidRPr="00D86974">
        <w:tab/>
        <w:t>3</w:t>
      </w:r>
    </w:p>
    <w:p w14:paraId="6C7FFDD9" w14:textId="27CC8B55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A.</w:t>
      </w:r>
      <w:r w:rsidRPr="00D86974">
        <w:tab/>
        <w:t>Caractéristiques</w:t>
      </w:r>
      <w:r w:rsidR="00C75340">
        <w:t xml:space="preserve"> </w:t>
      </w:r>
      <w:r w:rsidRPr="00D86974">
        <w:t>démographiques,</w:t>
      </w:r>
      <w:r w:rsidR="00C75340">
        <w:t xml:space="preserve"> </w:t>
      </w:r>
      <w:r w:rsidRPr="00D86974">
        <w:t>économiques,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culturelles</w:t>
      </w:r>
      <w:r w:rsidRPr="00D86974">
        <w:tab/>
      </w:r>
      <w:r w:rsidRPr="00D86974">
        <w:tab/>
        <w:t>3</w:t>
      </w:r>
    </w:p>
    <w:p w14:paraId="053A5862" w14:textId="33F927A9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B.</w:t>
      </w:r>
      <w:r w:rsidRPr="00D86974">
        <w:tab/>
        <w:t>Structure</w:t>
      </w:r>
      <w:r w:rsidR="00C75340">
        <w:t xml:space="preserve"> </w:t>
      </w:r>
      <w:r w:rsidRPr="00D86974">
        <w:t>constitutionnelle,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juridique</w:t>
      </w:r>
      <w:r w:rsidRPr="00D86974">
        <w:tab/>
      </w:r>
      <w:r w:rsidRPr="00D86974">
        <w:tab/>
        <w:t>8</w:t>
      </w:r>
    </w:p>
    <w:p w14:paraId="2A5D6678" w14:textId="5F681BC9" w:rsidR="00C3295C" w:rsidRPr="00D86974" w:rsidRDefault="00C3295C" w:rsidP="00987D4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86974">
        <w:tab/>
        <w:t>II.</w:t>
      </w:r>
      <w:r w:rsidRPr="00D86974">
        <w:tab/>
        <w:t>Cadre</w:t>
      </w:r>
      <w:r w:rsidR="00C75340">
        <w:t xml:space="preserve"> </w:t>
      </w:r>
      <w:r w:rsidRPr="00D86974">
        <w:t>général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Pr="00D86974">
        <w:tab/>
      </w:r>
      <w:r w:rsidRPr="00D86974">
        <w:tab/>
        <w:t>14</w:t>
      </w:r>
    </w:p>
    <w:p w14:paraId="5C30CC47" w14:textId="78527267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A.</w:t>
      </w:r>
      <w:r w:rsidRPr="00D86974">
        <w:tab/>
        <w:t>Acceptation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Pr="00D86974">
        <w:tab/>
      </w:r>
      <w:r w:rsidRPr="00D86974">
        <w:tab/>
        <w:t>14</w:t>
      </w:r>
    </w:p>
    <w:p w14:paraId="5719B2F5" w14:textId="0FDE9146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B.</w:t>
      </w:r>
      <w:r w:rsidRPr="00D86974">
        <w:tab/>
        <w:t>Cadre</w:t>
      </w:r>
      <w:r w:rsidR="00C75340">
        <w:t xml:space="preserve"> </w:t>
      </w:r>
      <w:r w:rsidRPr="00D86974">
        <w:t>juridique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national</w:t>
      </w:r>
      <w:r w:rsidRPr="00D86974">
        <w:tab/>
      </w:r>
      <w:r w:rsidRPr="00D86974">
        <w:tab/>
        <w:t>18</w:t>
      </w:r>
    </w:p>
    <w:p w14:paraId="0FF341D1" w14:textId="7811CC9A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C.</w:t>
      </w:r>
      <w:r w:rsidRPr="00D86974">
        <w:tab/>
        <w:t>Cadre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national</w:t>
      </w:r>
      <w:r w:rsidRPr="00D86974">
        <w:tab/>
      </w:r>
      <w:r w:rsidRPr="00D86974">
        <w:tab/>
        <w:t>2</w:t>
      </w:r>
      <w:r w:rsidR="000C6F67">
        <w:t>6</w:t>
      </w:r>
    </w:p>
    <w:p w14:paraId="0230961E" w14:textId="6BB8C1CB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D.</w:t>
      </w:r>
      <w:r w:rsidRPr="00D86974">
        <w:tab/>
        <w:t>Processus</w:t>
      </w:r>
      <w:r w:rsidR="00C75340">
        <w:t xml:space="preserve"> </w:t>
      </w:r>
      <w:r w:rsidRPr="00D86974">
        <w:t>d’établissement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l’Organisation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Pr="00D86974">
        <w:tab/>
      </w:r>
      <w:r w:rsidRPr="00D86974">
        <w:tab/>
        <w:t>3</w:t>
      </w:r>
      <w:r w:rsidR="000C6F67">
        <w:t>1</w:t>
      </w:r>
    </w:p>
    <w:p w14:paraId="1CFBB04D" w14:textId="63ADD7E2" w:rsidR="00C3295C" w:rsidRPr="00D86974" w:rsidRDefault="00C3295C" w:rsidP="00987D41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D86974">
        <w:tab/>
        <w:t>III.</w:t>
      </w:r>
      <w:r w:rsidRPr="00D86974">
        <w:tab/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dispositions</w:t>
      </w:r>
      <w:r w:rsidR="00C75340">
        <w:t xml:space="preserve"> </w:t>
      </w:r>
      <w:r w:rsidRPr="00D86974">
        <w:t>concrètes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Pr="00D86974">
        <w:tab/>
      </w:r>
      <w:r w:rsidRPr="00D86974">
        <w:tab/>
        <w:t>3</w:t>
      </w:r>
      <w:r w:rsidR="000C6F67">
        <w:t>3</w:t>
      </w:r>
    </w:p>
    <w:p w14:paraId="7EA744AD" w14:textId="7312A51A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A.</w:t>
      </w:r>
      <w:r w:rsidRPr="00D86974">
        <w:tab/>
        <w:t>Non-discrimination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égalité</w:t>
      </w:r>
      <w:r w:rsidRPr="00D86974">
        <w:tab/>
      </w:r>
      <w:r w:rsidRPr="00D86974">
        <w:tab/>
        <w:t>3</w:t>
      </w:r>
      <w:r w:rsidR="000C6F67">
        <w:t>3</w:t>
      </w:r>
    </w:p>
    <w:p w14:paraId="7202955C" w14:textId="5DA0BBC1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B.</w:t>
      </w:r>
      <w:r w:rsidRPr="00D86974">
        <w:tab/>
        <w:t>Recours</w:t>
      </w:r>
      <w:r w:rsidR="00C75340">
        <w:t xml:space="preserve"> </w:t>
      </w:r>
      <w:r w:rsidRPr="00D86974">
        <w:t>utiles</w:t>
      </w:r>
      <w:r w:rsidRPr="00D86974">
        <w:tab/>
      </w:r>
      <w:r w:rsidRPr="00D86974">
        <w:tab/>
        <w:t>3</w:t>
      </w:r>
      <w:r w:rsidR="000C6F67">
        <w:t>4</w:t>
      </w:r>
    </w:p>
    <w:p w14:paraId="6828D5A4" w14:textId="62393FA4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C.</w:t>
      </w:r>
      <w:r w:rsidRPr="00D86974">
        <w:tab/>
        <w:t>Garanties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procédure</w:t>
      </w:r>
      <w:r w:rsidRPr="00D86974">
        <w:tab/>
      </w:r>
      <w:r w:rsidRPr="00D86974">
        <w:tab/>
        <w:t>3</w:t>
      </w:r>
      <w:r w:rsidR="000C6F67">
        <w:t>4</w:t>
      </w:r>
    </w:p>
    <w:p w14:paraId="0198F216" w14:textId="6E5AF0DC" w:rsidR="00C3295C" w:rsidRPr="00D86974" w:rsidRDefault="00C3295C" w:rsidP="00987D41">
      <w:pPr>
        <w:tabs>
          <w:tab w:val="right" w:leader="dot" w:pos="8787"/>
          <w:tab w:val="right" w:pos="9638"/>
        </w:tabs>
        <w:spacing w:after="120"/>
        <w:ind w:left="1559" w:hanging="425"/>
      </w:pPr>
      <w:r w:rsidRPr="00D86974">
        <w:t>D.</w:t>
      </w:r>
      <w:r w:rsidRPr="00D86974">
        <w:tab/>
        <w:t>Participation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publique</w:t>
      </w:r>
      <w:r w:rsidRPr="00D86974">
        <w:tab/>
      </w:r>
      <w:r w:rsidRPr="00D86974">
        <w:tab/>
        <w:t>3</w:t>
      </w:r>
      <w:r w:rsidR="000C6F67">
        <w:t>4</w:t>
      </w:r>
    </w:p>
    <w:p w14:paraId="638BF2FB" w14:textId="77777777" w:rsidR="00C3295C" w:rsidRPr="00D86974" w:rsidRDefault="00C3295C" w:rsidP="00C3295C">
      <w:pPr>
        <w:suppressAutoHyphens w:val="0"/>
        <w:spacing w:line="240" w:lineRule="auto"/>
      </w:pPr>
      <w:r w:rsidRPr="00D86974">
        <w:br w:type="page"/>
      </w:r>
    </w:p>
    <w:p w14:paraId="0AF581D9" w14:textId="41E42CEE" w:rsidR="00C3295C" w:rsidRPr="00D86974" w:rsidRDefault="00C3295C" w:rsidP="00C3295C">
      <w:pPr>
        <w:pStyle w:val="HChG"/>
      </w:pPr>
      <w:r w:rsidRPr="00D86974">
        <w:lastRenderedPageBreak/>
        <w:tab/>
        <w:t>I.</w:t>
      </w:r>
      <w:r w:rsidRPr="00D86974">
        <w:tab/>
      </w:r>
      <w:r w:rsidRPr="00D86974">
        <w:tab/>
        <w:t>Renseignements</w:t>
      </w:r>
      <w:r w:rsidR="00C75340">
        <w:t xml:space="preserve"> </w:t>
      </w:r>
      <w:r w:rsidRPr="00D86974">
        <w:t>d’ordre</w:t>
      </w:r>
      <w:r w:rsidR="00C75340">
        <w:t xml:space="preserve"> </w:t>
      </w:r>
      <w:r w:rsidRPr="00D86974">
        <w:t>général</w:t>
      </w:r>
      <w:bookmarkStart w:id="1" w:name="_Toc89701532"/>
      <w:bookmarkEnd w:id="1"/>
    </w:p>
    <w:p w14:paraId="078307AD" w14:textId="59045C08" w:rsidR="00C3295C" w:rsidRPr="00D86974" w:rsidRDefault="00C3295C" w:rsidP="00C3295C">
      <w:pPr>
        <w:pStyle w:val="SingleTxtG"/>
      </w:pPr>
      <w:r w:rsidRPr="00D86974">
        <w:t>1.</w:t>
      </w:r>
      <w:r w:rsidRPr="00D86974">
        <w:tab/>
        <w:t>Le</w:t>
      </w:r>
      <w:r w:rsidR="00C75340">
        <w:t xml:space="preserve"> </w:t>
      </w:r>
      <w:r w:rsidRPr="00D86974">
        <w:t>présent</w:t>
      </w:r>
      <w:r w:rsidR="00C75340">
        <w:t xml:space="preserve"> </w:t>
      </w:r>
      <w:r w:rsidRPr="00D86974">
        <w:t>document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version</w:t>
      </w:r>
      <w:r w:rsidR="00C75340">
        <w:t xml:space="preserve"> </w:t>
      </w:r>
      <w:r w:rsidRPr="00D86974">
        <w:t>actualisée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précédent</w:t>
      </w:r>
      <w:r w:rsidR="00C75340">
        <w:t xml:space="preserve"> </w:t>
      </w:r>
      <w:r w:rsidRPr="00D86974">
        <w:t>document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commun</w:t>
      </w:r>
      <w:r w:rsidR="00C75340">
        <w:t xml:space="preserve"> </w:t>
      </w:r>
      <w:r w:rsidRPr="00D86974">
        <w:t>faisant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intégrante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présentés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(HRI/CORE/THA/2012).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élaboré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harmonisées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titre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document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documents</w:t>
      </w:r>
      <w:r w:rsidR="00C75340">
        <w:t xml:space="preserve"> </w:t>
      </w:r>
      <w:r w:rsidRPr="00D86974">
        <w:t>spécifiques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différents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(HRI/GEN/2/Rev.6).</w:t>
      </w:r>
    </w:p>
    <w:p w14:paraId="48CA20E8" w14:textId="209D1807" w:rsidR="00C3295C" w:rsidRPr="00D86974" w:rsidRDefault="00C3295C" w:rsidP="00C3295C">
      <w:pPr>
        <w:pStyle w:val="SingleTxtG"/>
      </w:pPr>
      <w:r w:rsidRPr="00D86974">
        <w:t>2.</w:t>
      </w:r>
      <w:r w:rsidRPr="00D86974">
        <w:tab/>
        <w:t>Le</w:t>
      </w:r>
      <w:r w:rsidR="00C75340">
        <w:t xml:space="preserve"> </w:t>
      </w:r>
      <w:r w:rsidRPr="00D86974">
        <w:t>groupe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document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commun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créé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comprend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Thaïlande,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experts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groupe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tenu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série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réunions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compter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mars</w:t>
      </w:r>
      <w:r w:rsidR="00C75340">
        <w:t xml:space="preserve"> </w:t>
      </w:r>
      <w:r w:rsidRPr="00D86974">
        <w:t>2019.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présent</w:t>
      </w:r>
      <w:r w:rsidR="00C75340">
        <w:t xml:space="preserve"> </w:t>
      </w:r>
      <w:r w:rsidRPr="00D86974">
        <w:t>document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achevé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juillet</w:t>
      </w:r>
      <w:r w:rsidR="00C75340">
        <w:t xml:space="preserve"> </w:t>
      </w:r>
      <w:r w:rsidRPr="00D86974">
        <w:t>2020.</w:t>
      </w:r>
    </w:p>
    <w:p w14:paraId="0D5D52CE" w14:textId="258255DB" w:rsidR="00C3295C" w:rsidRPr="00D86974" w:rsidRDefault="00C3295C" w:rsidP="00C3295C">
      <w:pPr>
        <w:pStyle w:val="H1G"/>
      </w:pPr>
      <w:r w:rsidRPr="00D86974">
        <w:tab/>
        <w:t>A.</w:t>
      </w:r>
      <w:r w:rsidRPr="00D86974">
        <w:tab/>
        <w:t>Caractéristiques</w:t>
      </w:r>
      <w:r w:rsidR="00C75340">
        <w:t xml:space="preserve"> </w:t>
      </w:r>
      <w:r w:rsidRPr="00D86974">
        <w:t>démographiques,</w:t>
      </w:r>
      <w:r w:rsidR="00C75340">
        <w:t xml:space="preserve"> </w:t>
      </w:r>
      <w:r w:rsidRPr="00D86974">
        <w:t>économiques,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culturelles</w:t>
      </w:r>
      <w:bookmarkStart w:id="2" w:name="_Toc89701533"/>
      <w:bookmarkEnd w:id="2"/>
    </w:p>
    <w:p w14:paraId="503E593D" w14:textId="7777777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Géographie</w:t>
      </w:r>
    </w:p>
    <w:p w14:paraId="02F2600A" w14:textId="6FFC445E" w:rsidR="00C3295C" w:rsidRDefault="00C3295C" w:rsidP="00C3295C">
      <w:pPr>
        <w:pStyle w:val="SingleTxtG"/>
      </w:pPr>
      <w:r w:rsidRPr="00D86974">
        <w:t>3.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située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continentale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Sud-Est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s’étend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513</w:t>
      </w:r>
      <w:r w:rsidR="00987D41">
        <w:t> </w:t>
      </w:r>
      <w:r w:rsidRPr="00D86974">
        <w:t>120</w:t>
      </w:r>
      <w:r w:rsidR="00987D41">
        <w:t xml:space="preserve"> </w:t>
      </w:r>
      <w:r w:rsidRPr="00D86974">
        <w:t>kilomètres</w:t>
      </w:r>
      <w:r w:rsidR="00C75340">
        <w:t xml:space="preserve"> </w:t>
      </w:r>
      <w:r w:rsidRPr="00D86974">
        <w:t>carrés.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bordée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Myanmar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République</w:t>
      </w:r>
      <w:r w:rsidR="00C75340">
        <w:t xml:space="preserve"> </w:t>
      </w:r>
      <w:r w:rsidRPr="00D86974">
        <w:t>démocratique</w:t>
      </w:r>
      <w:r w:rsidR="00C75340">
        <w:t xml:space="preserve"> </w:t>
      </w:r>
      <w:r w:rsidRPr="00D86974">
        <w:t>populaire</w:t>
      </w:r>
      <w:r w:rsidR="00C75340">
        <w:t xml:space="preserve"> </w:t>
      </w:r>
      <w:r w:rsidRPr="00D86974">
        <w:t>lao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nord,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dernière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Cambodge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golfe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l’est,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Myanmar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l’océan</w:t>
      </w:r>
      <w:r w:rsidR="00C75340">
        <w:t xml:space="preserve"> </w:t>
      </w:r>
      <w:r w:rsidRPr="00D86974">
        <w:t>Indien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l’ouest,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Malaisie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sud.</w:t>
      </w:r>
    </w:p>
    <w:p w14:paraId="275B222C" w14:textId="41943216" w:rsidR="00C3295C" w:rsidRDefault="00C3295C" w:rsidP="00C3295C">
      <w:pPr>
        <w:pStyle w:val="SingleTxtG"/>
      </w:pPr>
      <w:r w:rsidRPr="00D86974">
        <w:t>4.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grandes</w:t>
      </w:r>
      <w:r w:rsidR="00C75340">
        <w:t xml:space="preserve"> </w:t>
      </w:r>
      <w:r w:rsidRPr="00D86974">
        <w:t>régions</w:t>
      </w:r>
      <w:r w:rsidR="00C75340">
        <w:t xml:space="preserve"> </w:t>
      </w:r>
      <w:r w:rsidRPr="00D86974">
        <w:t>géographiques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présentent</w:t>
      </w:r>
      <w:r w:rsidR="00C75340">
        <w:t xml:space="preserve"> </w:t>
      </w:r>
      <w:r w:rsidRPr="00D86974">
        <w:t>chacune,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certaine</w:t>
      </w:r>
      <w:r w:rsidR="00C75340">
        <w:t xml:space="preserve"> </w:t>
      </w:r>
      <w:r w:rsidRPr="00D86974">
        <w:t>mesure,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caractéristiques</w:t>
      </w:r>
      <w:r w:rsidR="00C75340">
        <w:t xml:space="preserve"> </w:t>
      </w:r>
      <w:r w:rsidRPr="00D86974">
        <w:t>naturelles</w:t>
      </w:r>
      <w:r w:rsidR="00C75340">
        <w:t xml:space="preserve"> </w:t>
      </w:r>
      <w:r w:rsidRPr="00D86974">
        <w:t>particulières</w:t>
      </w:r>
      <w:r w:rsidR="000E46EC">
        <w:t> :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montagnes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Nord,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hauts</w:t>
      </w:r>
      <w:r w:rsidR="00C75340">
        <w:t xml:space="preserve"> </w:t>
      </w:r>
      <w:r w:rsidRPr="00D86974">
        <w:t>plateaux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Nord-Est,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plaine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l’étroite</w:t>
      </w:r>
      <w:r w:rsidR="00C75340">
        <w:t xml:space="preserve"> </w:t>
      </w:r>
      <w:r w:rsidRPr="00D86974">
        <w:t>bande</w:t>
      </w:r>
      <w:r w:rsidR="00C75340">
        <w:t xml:space="preserve"> </w:t>
      </w:r>
      <w:r w:rsidRPr="00D86974">
        <w:t>côtière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Sud,</w:t>
      </w:r>
      <w:r w:rsidR="00C75340">
        <w:t xml:space="preserve"> </w:t>
      </w:r>
      <w:r w:rsidRPr="00D86974">
        <w:t>bordée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longue</w:t>
      </w:r>
      <w:r w:rsidR="00C75340">
        <w:t xml:space="preserve"> </w:t>
      </w:r>
      <w:r w:rsidRPr="00D86974">
        <w:t>chaîne</w:t>
      </w:r>
      <w:r w:rsidR="00C75340">
        <w:t xml:space="preserve"> </w:t>
      </w:r>
      <w:r w:rsidRPr="00D86974">
        <w:t>montagneuse.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capitale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Bangkok.</w:t>
      </w:r>
    </w:p>
    <w:p w14:paraId="6E3AB0D9" w14:textId="66723C6C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Nombre</w:t>
      </w:r>
      <w:r w:rsidR="00C75340">
        <w:rPr>
          <w:bCs/>
        </w:rPr>
        <w:t xml:space="preserve"> </w:t>
      </w:r>
      <w:r w:rsidRPr="00D86974">
        <w:rPr>
          <w:bCs/>
        </w:rPr>
        <w:t>d’habitants</w:t>
      </w:r>
    </w:p>
    <w:p w14:paraId="5C9F74E2" w14:textId="3AE80FDF" w:rsidR="00C3295C" w:rsidRPr="00D86974" w:rsidRDefault="00C3295C" w:rsidP="00C3295C">
      <w:pPr>
        <w:pStyle w:val="SingleTxtG"/>
      </w:pPr>
      <w:r w:rsidRPr="00D86974">
        <w:t>5.</w:t>
      </w:r>
      <w:r w:rsidRPr="00D86974">
        <w:tab/>
        <w:t>Au</w:t>
      </w:r>
      <w:r w:rsidR="00C75340">
        <w:t xml:space="preserve"> </w:t>
      </w:r>
      <w:r w:rsidRPr="00D86974">
        <w:t>31</w:t>
      </w:r>
      <w:r w:rsidR="00987D41">
        <w:t> </w:t>
      </w:r>
      <w:r w:rsidRPr="00D86974">
        <w:t>décembre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comptait</w:t>
      </w:r>
      <w:r w:rsidR="00C75340">
        <w:t xml:space="preserve"> </w:t>
      </w:r>
      <w:r w:rsidRPr="00D86974">
        <w:t>environ</w:t>
      </w:r>
      <w:r w:rsidR="00C75340">
        <w:t xml:space="preserve"> </w:t>
      </w:r>
      <w:r w:rsidRPr="00D86974">
        <w:t>66,41</w:t>
      </w:r>
      <w:r w:rsidR="00C75340">
        <w:t xml:space="preserve"> </w:t>
      </w:r>
      <w:r w:rsidRPr="00D86974">
        <w:t>millions</w:t>
      </w:r>
      <w:r w:rsidR="00C75340">
        <w:t xml:space="preserve"> </w:t>
      </w:r>
      <w:r w:rsidRPr="00D86974">
        <w:t>d’habitants,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98,62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Thaïlandais,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étant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ressortissants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Myanmar,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Cambodge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République</w:t>
      </w:r>
      <w:r w:rsidR="00C75340">
        <w:t xml:space="preserve"> </w:t>
      </w:r>
      <w:r w:rsidRPr="00D86974">
        <w:t>démocratique</w:t>
      </w:r>
      <w:r w:rsidR="00C75340">
        <w:t xml:space="preserve"> </w:t>
      </w:r>
      <w:r w:rsidRPr="00D86974">
        <w:t>populaire</w:t>
      </w:r>
      <w:r w:rsidR="00C75340">
        <w:t xml:space="preserve"> </w:t>
      </w:r>
      <w:r w:rsidRPr="00D86974">
        <w:t>lao.</w:t>
      </w:r>
    </w:p>
    <w:p w14:paraId="6C53EC46" w14:textId="6FDFA13D" w:rsidR="00C3295C" w:rsidRPr="00D86974" w:rsidRDefault="00C3295C" w:rsidP="00C3295C">
      <w:pPr>
        <w:pStyle w:val="SingleTxtG"/>
      </w:pPr>
      <w:r w:rsidRPr="00D86974">
        <w:t>6.</w:t>
      </w:r>
      <w:r w:rsidRPr="00D86974">
        <w:tab/>
        <w:t>Les</w:t>
      </w:r>
      <w:r w:rsidR="00C75340">
        <w:t xml:space="preserve"> </w:t>
      </w:r>
      <w:r w:rsidRPr="00D86974">
        <w:t>bouddhistes</w:t>
      </w:r>
      <w:r w:rsidR="00C75340">
        <w:t xml:space="preserve"> </w:t>
      </w:r>
      <w:r w:rsidRPr="00D86974">
        <w:t>représentaient</w:t>
      </w:r>
      <w:r w:rsidR="00C75340">
        <w:t xml:space="preserve"> </w:t>
      </w:r>
      <w:r w:rsidRPr="00D86974">
        <w:t>93,6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totale,</w:t>
      </w:r>
      <w:r w:rsidR="00C75340">
        <w:t xml:space="preserve"> </w:t>
      </w:r>
      <w:r w:rsidRPr="00D86974">
        <w:t>tandis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4,9</w:t>
      </w:r>
      <w:r w:rsidR="00C75340">
        <w:t xml:space="preserve"> % </w:t>
      </w:r>
      <w:r w:rsidRPr="00D86974">
        <w:t>étaient</w:t>
      </w:r>
      <w:r w:rsidR="00C75340">
        <w:t xml:space="preserve"> </w:t>
      </w:r>
      <w:r w:rsidRPr="00D86974">
        <w:t>musulmans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1,5</w:t>
      </w:r>
      <w:r w:rsidR="00C75340">
        <w:t xml:space="preserve"> % </w:t>
      </w:r>
      <w:r w:rsidRPr="00D86974">
        <w:t>restants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confession</w:t>
      </w:r>
      <w:r w:rsidR="00C75340">
        <w:t xml:space="preserve"> </w:t>
      </w:r>
      <w:r w:rsidRPr="00D86974">
        <w:t>chrétienne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autre.</w:t>
      </w:r>
    </w:p>
    <w:p w14:paraId="6A9C2207" w14:textId="57FDB84C" w:rsidR="00C3295C" w:rsidRDefault="00C3295C" w:rsidP="00C3295C">
      <w:pPr>
        <w:pStyle w:val="SingleTxtG"/>
      </w:pPr>
      <w:r w:rsidRPr="00D86974">
        <w:t>7.</w:t>
      </w:r>
      <w:r w:rsidRPr="00D86974">
        <w:tab/>
        <w:t>S’agissant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structure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âge,</w:t>
      </w:r>
      <w:r w:rsidR="00C75340">
        <w:t xml:space="preserve"> </w:t>
      </w:r>
      <w:r w:rsidRPr="00D86974">
        <w:t>17,48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appartenait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catégorie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0-14</w:t>
      </w:r>
      <w:r w:rsidR="00987D41">
        <w:t> </w:t>
      </w:r>
      <w:r w:rsidRPr="00D86974">
        <w:t>ans,</w:t>
      </w:r>
      <w:r w:rsidR="00C75340">
        <w:t xml:space="preserve"> </w:t>
      </w:r>
      <w:r w:rsidRPr="00D86974">
        <w:t>65,87</w:t>
      </w:r>
      <w:r w:rsidR="00C75340">
        <w:t xml:space="preserve"> % </w:t>
      </w:r>
      <w:r w:rsidRPr="00D86974">
        <w:t>à</w:t>
      </w:r>
      <w:r w:rsidR="00C75340">
        <w:t xml:space="preserve"> </w:t>
      </w:r>
      <w:r w:rsidRPr="00D86974">
        <w:t>celle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15-59</w:t>
      </w:r>
      <w:r w:rsidR="00987D41">
        <w:t> </w:t>
      </w:r>
      <w:r w:rsidRPr="00D86974">
        <w:t>ans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16,65</w:t>
      </w:r>
      <w:r w:rsidR="00C75340">
        <w:t xml:space="preserve"> % </w:t>
      </w:r>
      <w:r w:rsidRPr="00D86974">
        <w:t>à</w:t>
      </w:r>
      <w:r w:rsidR="00C75340">
        <w:t xml:space="preserve"> </w:t>
      </w:r>
      <w:r w:rsidRPr="00D86974">
        <w:t>celle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60</w:t>
      </w:r>
      <w:r w:rsidR="00987D41">
        <w:t> </w:t>
      </w:r>
      <w:r w:rsidRPr="00D86974">
        <w:t>ans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plus.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démographique</w:t>
      </w:r>
      <w:r w:rsidR="00C75340">
        <w:t xml:space="preserve"> </w:t>
      </w:r>
      <w:r w:rsidRPr="00D86974">
        <w:t>naturelle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enregistrée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avait</w:t>
      </w:r>
      <w:r w:rsidR="00C75340">
        <w:t xml:space="preserve"> </w:t>
      </w:r>
      <w:r w:rsidRPr="00D86974">
        <w:t>reculé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0,4</w:t>
      </w:r>
      <w:r w:rsidR="00C75340">
        <w:t> %</w:t>
      </w:r>
      <w:r w:rsidRPr="00D86974">
        <w:t>.</w:t>
      </w:r>
      <w:r w:rsidR="00C75340">
        <w:t xml:space="preserve"> </w:t>
      </w:r>
      <w:r w:rsidRPr="00D86974">
        <w:t>L’espérance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devrait</w:t>
      </w:r>
      <w:r w:rsidR="00C75340">
        <w:t xml:space="preserve"> </w:t>
      </w:r>
      <w:r w:rsidRPr="00D86974">
        <w:t>augmenter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76,3</w:t>
      </w:r>
      <w:r w:rsidR="00987D41">
        <w:t> </w:t>
      </w:r>
      <w:r w:rsidRPr="00D86974">
        <w:t>ans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69,5</w:t>
      </w:r>
      <w:r w:rsidR="00987D41">
        <w:t> </w:t>
      </w:r>
      <w:r w:rsidRPr="00D86974">
        <w:t>ans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987D41">
        <w:t> </w:t>
      </w:r>
      <w:r w:rsidRPr="00D86974">
        <w:t>hommes.</w:t>
      </w:r>
    </w:p>
    <w:p w14:paraId="5A441B82" w14:textId="5DF82CAA" w:rsidR="00C3295C" w:rsidRPr="00D86974" w:rsidRDefault="00C3295C" w:rsidP="00C3295C">
      <w:pPr>
        <w:pStyle w:val="H23G"/>
      </w:pPr>
      <w:r w:rsidRPr="00D86974">
        <w:lastRenderedPageBreak/>
        <w:tab/>
      </w:r>
      <w:r w:rsidRPr="00D86974">
        <w:tab/>
      </w:r>
      <w:r w:rsidRPr="00D86974">
        <w:rPr>
          <w:bCs/>
        </w:rPr>
        <w:t>Pyramide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âges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population</w:t>
      </w:r>
      <w:r w:rsidR="00C75340">
        <w:rPr>
          <w:bCs/>
        </w:rPr>
        <w:t xml:space="preserve"> </w:t>
      </w:r>
      <w:r w:rsidRPr="00D86974">
        <w:rPr>
          <w:bCs/>
        </w:rPr>
        <w:t>thaïlandaise</w:t>
      </w:r>
      <w:r w:rsidR="00C75340">
        <w:rPr>
          <w:bCs/>
        </w:rPr>
        <w:t xml:space="preserve"> </w:t>
      </w:r>
      <w:r w:rsidRPr="00D86974">
        <w:rPr>
          <w:bCs/>
        </w:rPr>
        <w:t>en</w:t>
      </w:r>
      <w:r w:rsidR="00C75340">
        <w:rPr>
          <w:bCs/>
        </w:rPr>
        <w:t xml:space="preserve"> </w:t>
      </w:r>
      <w:r w:rsidRPr="00D86974">
        <w:rPr>
          <w:bCs/>
        </w:rPr>
        <w:t>2017</w:t>
      </w:r>
      <w:r w:rsidRPr="00987D41">
        <w:rPr>
          <w:rStyle w:val="FootnoteReference"/>
          <w:b w:val="0"/>
        </w:rPr>
        <w:footnoteReference w:id="3"/>
      </w:r>
    </w:p>
    <w:p w14:paraId="01E03BE6" w14:textId="77777777" w:rsidR="00C3295C" w:rsidRPr="00D86974" w:rsidRDefault="00C3295C" w:rsidP="00987D41">
      <w:pPr>
        <w:pStyle w:val="SingleTxtG"/>
      </w:pPr>
      <w:r w:rsidRPr="00D86974">
        <w:rPr>
          <w:noProof/>
          <w:lang w:eastAsia="en-GB"/>
        </w:rPr>
        <w:drawing>
          <wp:inline distT="0" distB="0" distL="0" distR="0" wp14:anchorId="276D61DB" wp14:editId="54CD77D4">
            <wp:extent cx="5400000" cy="3536442"/>
            <wp:effectExtent l="0" t="0" r="10795" b="6985"/>
            <wp:docPr id="4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669FBA" w14:textId="2C03F5B4" w:rsidR="00C3295C" w:rsidRDefault="00C3295C" w:rsidP="00987D41">
      <w:pPr>
        <w:pStyle w:val="SingleTxtG"/>
      </w:pPr>
      <w:r w:rsidRPr="00D86974">
        <w:t>8.</w:t>
      </w:r>
      <w:r w:rsidRPr="00D86974">
        <w:tab/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répartie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régions,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fortes</w:t>
      </w:r>
      <w:r w:rsidR="00C75340">
        <w:t xml:space="preserve"> </w:t>
      </w:r>
      <w:r w:rsidRPr="00D86974">
        <w:t>densités</w:t>
      </w:r>
      <w:r w:rsidR="00C75340">
        <w:t xml:space="preserve"> </w:t>
      </w:r>
      <w:r w:rsidRPr="00D86974">
        <w:t>étant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relevées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Bangkok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environs,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région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région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l’Est.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régions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fécondité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élevé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celles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l’Est,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Bangkok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environs,</w:t>
      </w:r>
      <w:r w:rsidR="00C75340">
        <w:t xml:space="preserve"> </w:t>
      </w:r>
      <w:r w:rsidRPr="00D86974">
        <w:t>tandis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régions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mortalité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élevé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celles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Centre,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Nord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l’Ouest,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indiqué</w:t>
      </w:r>
      <w:r w:rsidR="00C75340">
        <w:t xml:space="preserve"> </w:t>
      </w:r>
      <w:r w:rsidRPr="00D86974">
        <w:t>ci</w:t>
      </w:r>
      <w:r w:rsidR="0039022D">
        <w:noBreakHyphen/>
      </w:r>
      <w:r w:rsidRPr="00D86974">
        <w:t>dessous</w:t>
      </w:r>
      <w:r w:rsidR="000E46EC">
        <w:t> :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79"/>
        <w:gridCol w:w="1134"/>
        <w:gridCol w:w="1078"/>
        <w:gridCol w:w="765"/>
        <w:gridCol w:w="1578"/>
        <w:gridCol w:w="1540"/>
        <w:gridCol w:w="1558"/>
      </w:tblGrid>
      <w:tr w:rsidR="005349F4" w:rsidRPr="005349F4" w14:paraId="6CC70B82" w14:textId="77777777" w:rsidTr="00987D41">
        <w:trPr>
          <w:tblHeader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0A6CC1" w14:textId="77777777" w:rsidR="005349F4" w:rsidRPr="005349F4" w:rsidRDefault="005349F4" w:rsidP="005349F4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Région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36C577" w14:textId="263A6F25" w:rsidR="005349F4" w:rsidRPr="005349F4" w:rsidRDefault="005349F4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Nombre d’habitants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4233B5" w14:textId="234B02D5" w:rsidR="005349F4" w:rsidRPr="005349F4" w:rsidRDefault="005349F4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Densité</w:t>
            </w:r>
            <w:r w:rsidRPr="005349F4">
              <w:rPr>
                <w:i/>
                <w:sz w:val="16"/>
              </w:rPr>
              <w:br/>
              <w:t>(par km²)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C6798C" w14:textId="31E8A578" w:rsidR="005349F4" w:rsidRPr="005349F4" w:rsidRDefault="005349F4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 xml:space="preserve">Taux de fécondité </w:t>
            </w:r>
            <w:r>
              <w:rPr>
                <w:i/>
                <w:sz w:val="16"/>
              </w:rPr>
              <w:br/>
            </w:r>
            <w:r w:rsidRPr="005349F4">
              <w:rPr>
                <w:i/>
                <w:sz w:val="16"/>
              </w:rPr>
              <w:t>(pour 1 000 habitants)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31E50C" w14:textId="07D9D3AA" w:rsidR="005349F4" w:rsidRPr="005349F4" w:rsidRDefault="005349F4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Taux</w:t>
            </w:r>
            <w:r w:rsidRPr="005349F4">
              <w:rPr>
                <w:i/>
                <w:sz w:val="16"/>
              </w:rPr>
              <w:br/>
              <w:t>de mortalité</w:t>
            </w:r>
            <w:r w:rsidRPr="005349F4">
              <w:rPr>
                <w:i/>
                <w:sz w:val="16"/>
              </w:rPr>
              <w:br/>
              <w:t>(pour 1 000 habitants)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2CDA7E" w14:textId="07D3DC1F" w:rsidR="005349F4" w:rsidRPr="005349F4" w:rsidRDefault="005349F4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Taux de</w:t>
            </w:r>
            <w:r w:rsidR="00987D41">
              <w:rPr>
                <w:i/>
                <w:sz w:val="16"/>
              </w:rPr>
              <w:t xml:space="preserve"> </w:t>
            </w:r>
            <w:r w:rsidR="00987D41">
              <w:rPr>
                <w:i/>
                <w:sz w:val="16"/>
              </w:rPr>
              <w:br/>
            </w:r>
            <w:r w:rsidRPr="005349F4">
              <w:rPr>
                <w:i/>
                <w:sz w:val="16"/>
              </w:rPr>
              <w:t xml:space="preserve">mortalité infantile </w:t>
            </w:r>
            <w:r>
              <w:rPr>
                <w:i/>
                <w:sz w:val="16"/>
              </w:rPr>
              <w:br/>
            </w:r>
            <w:r w:rsidRPr="005349F4">
              <w:rPr>
                <w:i/>
                <w:sz w:val="16"/>
              </w:rPr>
              <w:t>(pour 1 000 naissances vivantes)</w:t>
            </w:r>
          </w:p>
        </w:tc>
      </w:tr>
      <w:tr w:rsidR="005349F4" w:rsidRPr="005349F4" w14:paraId="5838CF5E" w14:textId="77777777" w:rsidTr="00987D41"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B115E42" w14:textId="57F45E8F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Total national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49A3C3A" w14:textId="12B9CE4B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66 413 979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052D65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129,0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DAB81F6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19,8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7A5A76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7,0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1365E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5,9</w:t>
            </w:r>
          </w:p>
        </w:tc>
      </w:tr>
      <w:tr w:rsidR="005349F4" w:rsidRPr="005349F4" w14:paraId="1E10D871" w14:textId="77777777" w:rsidTr="00987D41">
        <w:tc>
          <w:tcPr>
            <w:tcW w:w="272" w:type="dxa"/>
            <w:shd w:val="clear" w:color="auto" w:fill="auto"/>
          </w:tcPr>
          <w:p w14:paraId="1678267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1A674FA3" w14:textId="126B04C8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 xml:space="preserve">Femmes 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C18FBDE" w14:textId="68D640DD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33 857 708</w:t>
            </w:r>
            <w:r w:rsidRPr="005349F4">
              <w:rPr>
                <w:sz w:val="18"/>
              </w:rPr>
              <w:br/>
              <w:t>(50,98 %)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15835D3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6B9C2AF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12A69E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bottom"/>
          </w:tcPr>
          <w:p w14:paraId="332E9B8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731C3BAD" w14:textId="77777777" w:rsidTr="00987D41">
        <w:tc>
          <w:tcPr>
            <w:tcW w:w="272" w:type="dxa"/>
            <w:shd w:val="clear" w:color="auto" w:fill="auto"/>
          </w:tcPr>
          <w:p w14:paraId="074C377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11F80CC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9B92682" w14:textId="1068179D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32 556 271</w:t>
            </w:r>
            <w:r w:rsidRPr="005349F4">
              <w:rPr>
                <w:sz w:val="18"/>
              </w:rPr>
              <w:br/>
              <w:t>(49,02 %)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6F07047E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7B44499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05C8DEF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061F2006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13B9C3C8" w14:textId="77777777" w:rsidTr="00987D41">
        <w:tc>
          <w:tcPr>
            <w:tcW w:w="1985" w:type="dxa"/>
            <w:gridSpan w:val="3"/>
            <w:shd w:val="clear" w:color="auto" w:fill="auto"/>
          </w:tcPr>
          <w:p w14:paraId="1D2A5037" w14:textId="2769FD4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Bangkok et ses environs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14CF13A" w14:textId="350ABBB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10 831 988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5FCF19B5" w14:textId="0747573C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1 395,6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271A143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12,6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2E86453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7,1</w:t>
            </w:r>
          </w:p>
        </w:tc>
        <w:tc>
          <w:tcPr>
            <w:tcW w:w="1558" w:type="dxa"/>
            <w:vMerge w:val="restart"/>
            <w:shd w:val="clear" w:color="auto" w:fill="auto"/>
            <w:vAlign w:val="bottom"/>
          </w:tcPr>
          <w:p w14:paraId="70194004" w14:textId="76CA5C19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n. d.</w:t>
            </w:r>
          </w:p>
        </w:tc>
      </w:tr>
      <w:tr w:rsidR="005349F4" w:rsidRPr="005349F4" w14:paraId="235F49AB" w14:textId="77777777" w:rsidTr="00987D41">
        <w:tc>
          <w:tcPr>
            <w:tcW w:w="851" w:type="dxa"/>
            <w:gridSpan w:val="2"/>
            <w:shd w:val="clear" w:color="auto" w:fill="auto"/>
          </w:tcPr>
          <w:p w14:paraId="5898798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7B919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E784163" w14:textId="3E78B4D9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5 699 1255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26713C1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611B495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6ED9B2F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30B4CE6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80CB45B" w14:textId="77777777" w:rsidTr="00987D41">
        <w:tc>
          <w:tcPr>
            <w:tcW w:w="851" w:type="dxa"/>
            <w:gridSpan w:val="2"/>
            <w:shd w:val="clear" w:color="auto" w:fill="auto"/>
          </w:tcPr>
          <w:p w14:paraId="1999EF7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83EFC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76C8C6F" w14:textId="07FE8A29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5 132 863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0A544A3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5EB06CF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151D83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2BDF7EB5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06D448B" w14:textId="77777777" w:rsidTr="00987D41">
        <w:tc>
          <w:tcPr>
            <w:tcW w:w="1985" w:type="dxa"/>
            <w:gridSpan w:val="3"/>
            <w:shd w:val="clear" w:color="auto" w:fill="auto"/>
          </w:tcPr>
          <w:p w14:paraId="5A6FCF4A" w14:textId="4530EA21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Région du Centre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FACBB26" w14:textId="32BE958D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3 034 162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2094B07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182,9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0341C0D6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9,1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0C8F86C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8,7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7932E44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A9FC031" w14:textId="77777777" w:rsidTr="00987D41">
        <w:tc>
          <w:tcPr>
            <w:tcW w:w="851" w:type="dxa"/>
            <w:gridSpan w:val="2"/>
            <w:shd w:val="clear" w:color="auto" w:fill="auto"/>
          </w:tcPr>
          <w:p w14:paraId="6AEB464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F53F4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4FE2B73" w14:textId="5DECC469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1 552 237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75D58CE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1C8B731E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2CCC051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29EB156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18A68BB9" w14:textId="77777777" w:rsidTr="00987D41">
        <w:tc>
          <w:tcPr>
            <w:tcW w:w="851" w:type="dxa"/>
            <w:gridSpan w:val="2"/>
            <w:shd w:val="clear" w:color="auto" w:fill="auto"/>
          </w:tcPr>
          <w:p w14:paraId="1D9CFA1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33C3A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5E17AB7" w14:textId="29DB3EF1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1 481 925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462DA24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5FB7A24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22D8B2B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6E4CF02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4D9BEB56" w14:textId="77777777" w:rsidTr="00987D41">
        <w:tc>
          <w:tcPr>
            <w:tcW w:w="1985" w:type="dxa"/>
            <w:gridSpan w:val="3"/>
            <w:shd w:val="clear" w:color="auto" w:fill="auto"/>
          </w:tcPr>
          <w:p w14:paraId="484AF37A" w14:textId="4B928DBE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Région de l’Est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7D3D0E7" w14:textId="183F9EEB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5 003 182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1402232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137,1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310C7FE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13,6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4793220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7,4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728E067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A16492D" w14:textId="77777777" w:rsidTr="00987D41">
        <w:tc>
          <w:tcPr>
            <w:tcW w:w="851" w:type="dxa"/>
            <w:gridSpan w:val="2"/>
            <w:shd w:val="clear" w:color="auto" w:fill="auto"/>
          </w:tcPr>
          <w:p w14:paraId="71A01AE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34255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0CDEC83" w14:textId="5B88D99C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2 539 439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46F70CB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0EAFD25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0A25829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5C0EAD2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02DB9340" w14:textId="77777777" w:rsidTr="00987D41">
        <w:tc>
          <w:tcPr>
            <w:tcW w:w="851" w:type="dxa"/>
            <w:gridSpan w:val="2"/>
            <w:shd w:val="clear" w:color="auto" w:fill="auto"/>
          </w:tcPr>
          <w:p w14:paraId="0402152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F2F9F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EAFC7D7" w14:textId="70EDC8DC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2 463 743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38926E6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64A2437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4002916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3D911B9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5CA9C3EF" w14:textId="77777777" w:rsidTr="00987D41">
        <w:tc>
          <w:tcPr>
            <w:tcW w:w="1985" w:type="dxa"/>
            <w:gridSpan w:val="3"/>
            <w:shd w:val="clear" w:color="auto" w:fill="auto"/>
          </w:tcPr>
          <w:p w14:paraId="3CAC9E3F" w14:textId="0A3CD4FF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lastRenderedPageBreak/>
              <w:t>Région de l’Ouest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4E4F558" w14:textId="18952F67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3 831 952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EA507CF" w14:textId="77777777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14:paraId="2C297E0C" w14:textId="77777777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ED550C6" w14:textId="77777777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6888A188" w14:textId="77777777" w:rsidR="005349F4" w:rsidRPr="005349F4" w:rsidRDefault="005349F4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987D41" w:rsidRPr="005349F4" w14:paraId="3826176A" w14:textId="77777777" w:rsidTr="00987D41">
        <w:tc>
          <w:tcPr>
            <w:tcW w:w="851" w:type="dxa"/>
            <w:gridSpan w:val="2"/>
            <w:shd w:val="clear" w:color="auto" w:fill="auto"/>
          </w:tcPr>
          <w:p w14:paraId="6B1B965F" w14:textId="2E19940A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CE8661" w14:textId="2650FCE1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FDCEC8A" w14:textId="41E87EEF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1 952 591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296B3091" w14:textId="77777777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89,0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1032FAA1" w14:textId="77777777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9,4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0EC59EB3" w14:textId="77777777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7,5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4E65F2F2" w14:textId="77777777" w:rsidR="00987D41" w:rsidRPr="005349F4" w:rsidRDefault="00987D41" w:rsidP="00987D41">
            <w:pPr>
              <w:keepNext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12C7A547" w14:textId="77777777" w:rsidTr="00987D41">
        <w:tc>
          <w:tcPr>
            <w:tcW w:w="851" w:type="dxa"/>
            <w:gridSpan w:val="2"/>
            <w:shd w:val="clear" w:color="auto" w:fill="auto"/>
          </w:tcPr>
          <w:p w14:paraId="285D0DC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E5938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E6F1E63" w14:textId="2581A6AA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1 879 361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27ED7E2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5D0C7A6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42BF8C2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4971188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470F8A78" w14:textId="77777777" w:rsidTr="00987D41">
        <w:tc>
          <w:tcPr>
            <w:tcW w:w="1985" w:type="dxa"/>
            <w:gridSpan w:val="3"/>
            <w:shd w:val="clear" w:color="auto" w:fill="auto"/>
          </w:tcPr>
          <w:p w14:paraId="101C5649" w14:textId="0C260606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Région du Nord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F4E959B" w14:textId="0382E1EC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12 098 164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74CE22D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71,3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231C640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8,3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1336688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8,3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2955439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024A14F5" w14:textId="77777777" w:rsidTr="00987D41">
        <w:tc>
          <w:tcPr>
            <w:tcW w:w="851" w:type="dxa"/>
            <w:gridSpan w:val="2"/>
            <w:shd w:val="clear" w:color="auto" w:fill="auto"/>
          </w:tcPr>
          <w:p w14:paraId="3A3FEC6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5DA20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266BAF6" w14:textId="29B7C072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6 159 265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2A1F4E1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0E031F86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28DD0B6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430A6ED1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87B9F70" w14:textId="77777777" w:rsidTr="00987D41">
        <w:tc>
          <w:tcPr>
            <w:tcW w:w="851" w:type="dxa"/>
            <w:gridSpan w:val="2"/>
            <w:shd w:val="clear" w:color="auto" w:fill="auto"/>
          </w:tcPr>
          <w:p w14:paraId="6F12A3F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92A087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2F537C8" w14:textId="7782B09A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5 938 899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7469DCC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1C47B86E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067B0A7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394C203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3014D2ED" w14:textId="77777777" w:rsidTr="00987D41">
        <w:tc>
          <w:tcPr>
            <w:tcW w:w="1985" w:type="dxa"/>
            <w:gridSpan w:val="3"/>
            <w:shd w:val="clear" w:color="auto" w:fill="auto"/>
          </w:tcPr>
          <w:p w14:paraId="79A068E5" w14:textId="53782691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Région du Nord-Est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4D28C07" w14:textId="537CAA30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21 989 477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1C52A83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130,2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2A0CC86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8,6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477129F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6,8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5B6440BF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151A6FF9" w14:textId="77777777" w:rsidTr="00987D41">
        <w:tc>
          <w:tcPr>
            <w:tcW w:w="851" w:type="dxa"/>
            <w:gridSpan w:val="2"/>
            <w:shd w:val="clear" w:color="auto" w:fill="auto"/>
          </w:tcPr>
          <w:p w14:paraId="29ECAB6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77ADE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866CB0" w14:textId="7F044268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11 051 715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39048C7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7E8E1DC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2D1945FE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3D9EEDED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60A3CDE6" w14:textId="77777777" w:rsidTr="00987D41">
        <w:tc>
          <w:tcPr>
            <w:tcW w:w="851" w:type="dxa"/>
            <w:gridSpan w:val="2"/>
            <w:shd w:val="clear" w:color="auto" w:fill="auto"/>
          </w:tcPr>
          <w:p w14:paraId="324652E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E6A77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E5BBB51" w14:textId="4A091E56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10 937 762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502E02E5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1031EE53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6690A58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562B9299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574268EC" w14:textId="77777777" w:rsidTr="00987D41">
        <w:tc>
          <w:tcPr>
            <w:tcW w:w="1985" w:type="dxa"/>
            <w:gridSpan w:val="3"/>
            <w:shd w:val="clear" w:color="auto" w:fill="auto"/>
          </w:tcPr>
          <w:p w14:paraId="071ED3FD" w14:textId="0CB539DA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Région du Sud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5FDF92E" w14:textId="14B8792C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9 399 578</w:t>
            </w:r>
          </w:p>
        </w:tc>
        <w:tc>
          <w:tcPr>
            <w:tcW w:w="765" w:type="dxa"/>
            <w:vMerge w:val="restart"/>
            <w:shd w:val="clear" w:color="auto" w:fill="auto"/>
            <w:vAlign w:val="bottom"/>
          </w:tcPr>
          <w:p w14:paraId="3B4D318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132,9</w:t>
            </w:r>
          </w:p>
        </w:tc>
        <w:tc>
          <w:tcPr>
            <w:tcW w:w="1578" w:type="dxa"/>
            <w:vMerge w:val="restart"/>
            <w:shd w:val="clear" w:color="auto" w:fill="auto"/>
            <w:vAlign w:val="bottom"/>
          </w:tcPr>
          <w:p w14:paraId="1B71DD6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13,0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7A46F48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6,1</w:t>
            </w: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0F1FEFE2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110A7C0A" w14:textId="77777777" w:rsidTr="00987D41">
        <w:tc>
          <w:tcPr>
            <w:tcW w:w="851" w:type="dxa"/>
            <w:gridSpan w:val="2"/>
            <w:shd w:val="clear" w:color="auto" w:fill="auto"/>
          </w:tcPr>
          <w:p w14:paraId="29C00BF0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96C6BC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Femmes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0F0C2ED" w14:textId="4BD21C10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4 769 225</w:t>
            </w:r>
          </w:p>
        </w:tc>
        <w:tc>
          <w:tcPr>
            <w:tcW w:w="765" w:type="dxa"/>
            <w:vMerge/>
            <w:shd w:val="clear" w:color="auto" w:fill="auto"/>
            <w:vAlign w:val="bottom"/>
          </w:tcPr>
          <w:p w14:paraId="3F72EAA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shd w:val="clear" w:color="auto" w:fill="auto"/>
            <w:vAlign w:val="bottom"/>
          </w:tcPr>
          <w:p w14:paraId="36A18387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6D3FB0FA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shd w:val="clear" w:color="auto" w:fill="auto"/>
            <w:vAlign w:val="bottom"/>
          </w:tcPr>
          <w:p w14:paraId="3F7545F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5349F4" w:rsidRPr="005349F4" w14:paraId="0A68838B" w14:textId="77777777" w:rsidTr="00987D41"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45348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BFD9915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Hommes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E12A8F" w14:textId="19876FDB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4 630 353</w:t>
            </w:r>
          </w:p>
        </w:tc>
        <w:tc>
          <w:tcPr>
            <w:tcW w:w="76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2A7988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7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A85181E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EFB1C34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75C08B" w14:textId="77777777" w:rsidR="005349F4" w:rsidRPr="005349F4" w:rsidRDefault="005349F4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</w:tbl>
    <w:p w14:paraId="668B2650" w14:textId="37DDA39F" w:rsidR="00C3295C" w:rsidRPr="00D86974" w:rsidRDefault="00C3295C" w:rsidP="00C3295C">
      <w:pPr>
        <w:pStyle w:val="SingleTxtG"/>
        <w:spacing w:before="240"/>
      </w:pPr>
      <w:r w:rsidRPr="00D86974">
        <w:t>9.</w:t>
      </w:r>
      <w:r w:rsidRPr="00D86974">
        <w:tab/>
        <w:t>En</w:t>
      </w:r>
      <w:r w:rsidR="00C75340">
        <w:t xml:space="preserve"> </w:t>
      </w:r>
      <w:r w:rsidRPr="00D86974">
        <w:t>décembre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comptait</w:t>
      </w:r>
      <w:r w:rsidR="00C75340">
        <w:t xml:space="preserve"> </w:t>
      </w:r>
      <w:r w:rsidRPr="00D86974">
        <w:t>2</w:t>
      </w:r>
      <w:r w:rsidR="005349F4">
        <w:t> </w:t>
      </w:r>
      <w:r w:rsidRPr="00D86974">
        <w:t>015</w:t>
      </w:r>
      <w:r w:rsidR="005349F4">
        <w:t> </w:t>
      </w:r>
      <w:r w:rsidRPr="00D86974">
        <w:t>385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963</w:t>
      </w:r>
      <w:r w:rsidR="005349F4">
        <w:t> </w:t>
      </w:r>
      <w:r w:rsidRPr="00D86974">
        <w:t>507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</w:t>
      </w:r>
      <w:r w:rsidR="005349F4">
        <w:t> </w:t>
      </w:r>
      <w:r w:rsidRPr="00D86974">
        <w:t>051</w:t>
      </w:r>
      <w:r w:rsidR="005349F4">
        <w:t> </w:t>
      </w:r>
      <w:r w:rsidRPr="00D86974">
        <w:t>878</w:t>
      </w:r>
      <w:r w:rsidR="00C75340">
        <w:t xml:space="preserve"> </w:t>
      </w:r>
      <w:r w:rsidRPr="00D86974">
        <w:t>hommes.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14</w:t>
      </w:r>
      <w:r w:rsidR="005349F4">
        <w:t> </w:t>
      </w:r>
      <w:r w:rsidRPr="00D86974">
        <w:t>ans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nombre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83</w:t>
      </w:r>
      <w:r w:rsidR="005349F4">
        <w:t> </w:t>
      </w:r>
      <w:r w:rsidRPr="00D86974">
        <w:t>543</w:t>
      </w:r>
      <w:r w:rsidR="005349F4">
        <w:t xml:space="preserve"> </w:t>
      </w:r>
      <w:r w:rsidRPr="00D86974">
        <w:t>(4,14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tandis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850</w:t>
      </w:r>
      <w:r w:rsidR="005349F4">
        <w:t> </w:t>
      </w:r>
      <w:r w:rsidRPr="00D86974">
        <w:t>270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(42,19</w:t>
      </w:r>
      <w:r w:rsidR="00C75340">
        <w:t> %</w:t>
      </w:r>
      <w:r w:rsidRPr="00D86974">
        <w:t>)</w:t>
      </w:r>
      <w:r w:rsidR="00C75340">
        <w:t xml:space="preserve"> </w:t>
      </w:r>
      <w:r w:rsidRPr="00D86974">
        <w:t>avaient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15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59</w:t>
      </w:r>
      <w:r w:rsidR="005349F4">
        <w:t> </w:t>
      </w:r>
      <w:r w:rsidRPr="00D86974">
        <w:t>ans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</w:t>
      </w:r>
      <w:r w:rsidR="005349F4">
        <w:t> </w:t>
      </w:r>
      <w:r w:rsidRPr="00D86974">
        <w:t>081</w:t>
      </w:r>
      <w:r w:rsidR="005349F4">
        <w:t> </w:t>
      </w:r>
      <w:r w:rsidRPr="00D86974">
        <w:t>572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(53,67</w:t>
      </w:r>
      <w:r w:rsidR="00C75340">
        <w:t> %</w:t>
      </w:r>
      <w:r w:rsidRPr="00D86974">
        <w:t>)</w:t>
      </w:r>
      <w:r w:rsidR="00C75340">
        <w:t xml:space="preserve"> </w:t>
      </w:r>
      <w:r w:rsidRPr="00D86974">
        <w:t>avaient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60</w:t>
      </w:r>
      <w:r w:rsidR="005349F4">
        <w:t> </w:t>
      </w:r>
      <w:r w:rsidRPr="00D86974">
        <w:t>ans.</w:t>
      </w:r>
    </w:p>
    <w:p w14:paraId="0349BB75" w14:textId="7777777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Langues</w:t>
      </w:r>
    </w:p>
    <w:p w14:paraId="3EA93CAA" w14:textId="2376A4B8" w:rsidR="00C3295C" w:rsidRPr="00D86974" w:rsidRDefault="00C3295C" w:rsidP="00C3295C">
      <w:pPr>
        <w:pStyle w:val="SingleTxtG"/>
      </w:pPr>
      <w:r w:rsidRPr="002F509B">
        <w:t>10.</w:t>
      </w:r>
      <w:r w:rsidRPr="002F509B">
        <w:tab/>
        <w:t>Le</w:t>
      </w:r>
      <w:r w:rsidR="00C75340" w:rsidRPr="002F509B">
        <w:t xml:space="preserve"> </w:t>
      </w:r>
      <w:r w:rsidRPr="002F509B">
        <w:t>thaï</w:t>
      </w:r>
      <w:r w:rsidR="00C75340" w:rsidRPr="002F509B">
        <w:t xml:space="preserve"> </w:t>
      </w:r>
      <w:r w:rsidRPr="002F509B">
        <w:t>est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langue</w:t>
      </w:r>
      <w:r w:rsidR="00C75340" w:rsidRPr="002F509B">
        <w:t xml:space="preserve"> </w:t>
      </w:r>
      <w:r w:rsidRPr="002F509B">
        <w:t>officielle</w:t>
      </w:r>
      <w:r w:rsidR="00C75340" w:rsidRPr="002F509B">
        <w:t xml:space="preserve"> </w:t>
      </w:r>
      <w:r w:rsidRPr="002F509B">
        <w:t>de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Thaïlande.</w:t>
      </w:r>
      <w:r w:rsidR="00C75340" w:rsidRPr="002F509B">
        <w:t xml:space="preserve"> </w:t>
      </w:r>
      <w:r w:rsidRPr="002F509B">
        <w:t>Si</w:t>
      </w:r>
      <w:r w:rsidR="00C75340" w:rsidRPr="002F509B">
        <w:t xml:space="preserve"> </w:t>
      </w:r>
      <w:r w:rsidRPr="002F509B">
        <w:t>le</w:t>
      </w:r>
      <w:r w:rsidR="00C75340" w:rsidRPr="002F509B">
        <w:t xml:space="preserve"> </w:t>
      </w:r>
      <w:r w:rsidRPr="002F509B">
        <w:t>dialecte</w:t>
      </w:r>
      <w:r w:rsidR="00C75340" w:rsidRPr="002F509B">
        <w:t xml:space="preserve"> </w:t>
      </w:r>
      <w:r w:rsidRPr="002F509B">
        <w:t>parlé</w:t>
      </w:r>
      <w:r w:rsidR="00C75340" w:rsidRPr="002F509B">
        <w:t xml:space="preserve"> </w:t>
      </w:r>
      <w:r w:rsidRPr="002F509B">
        <w:t>dans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région</w:t>
      </w:r>
      <w:r w:rsidR="00C75340" w:rsidRPr="002F509B">
        <w:t xml:space="preserve"> </w:t>
      </w:r>
      <w:r w:rsidRPr="002F509B">
        <w:t>du</w:t>
      </w:r>
      <w:r w:rsidR="00C75340" w:rsidRPr="002F509B">
        <w:t xml:space="preserve"> </w:t>
      </w:r>
      <w:r w:rsidRPr="002F509B">
        <w:t>Centre</w:t>
      </w:r>
      <w:r w:rsidR="00C75340" w:rsidRPr="002F509B">
        <w:t xml:space="preserve"> </w:t>
      </w:r>
      <w:r w:rsidRPr="002F509B">
        <w:t>est</w:t>
      </w:r>
      <w:r w:rsidR="00C75340" w:rsidRPr="002F509B">
        <w:t xml:space="preserve"> </w:t>
      </w:r>
      <w:r w:rsidRPr="002F509B">
        <w:t>le</w:t>
      </w:r>
      <w:r w:rsidR="00C75340" w:rsidRPr="002F509B">
        <w:t xml:space="preserve"> </w:t>
      </w:r>
      <w:r w:rsidRPr="002F509B">
        <w:t>dialecte</w:t>
      </w:r>
      <w:r w:rsidR="00C75340" w:rsidRPr="002F509B">
        <w:t xml:space="preserve"> </w:t>
      </w:r>
      <w:r w:rsidRPr="002F509B">
        <w:t>standard,</w:t>
      </w:r>
      <w:r w:rsidR="00C75340" w:rsidRPr="002F509B">
        <w:t xml:space="preserve"> </w:t>
      </w:r>
      <w:r w:rsidRPr="002F509B">
        <w:t>d’autres</w:t>
      </w:r>
      <w:r w:rsidR="00C75340" w:rsidRPr="002F509B">
        <w:t xml:space="preserve"> </w:t>
      </w:r>
      <w:r w:rsidRPr="002F509B">
        <w:t>dialectes</w:t>
      </w:r>
      <w:r w:rsidR="00C75340" w:rsidRPr="002F509B">
        <w:t xml:space="preserve"> </w:t>
      </w:r>
      <w:r w:rsidRPr="002F509B">
        <w:t>locaux</w:t>
      </w:r>
      <w:r w:rsidR="00C75340" w:rsidRPr="002F509B">
        <w:t xml:space="preserve"> </w:t>
      </w:r>
      <w:r w:rsidRPr="002F509B">
        <w:t>sont</w:t>
      </w:r>
      <w:r w:rsidR="00C75340" w:rsidRPr="002F509B">
        <w:t xml:space="preserve"> </w:t>
      </w:r>
      <w:r w:rsidRPr="002F509B">
        <w:t>parlés</w:t>
      </w:r>
      <w:r w:rsidR="00C75340" w:rsidRPr="002F509B">
        <w:t xml:space="preserve"> </w:t>
      </w:r>
      <w:r w:rsidRPr="002F509B">
        <w:t>dans</w:t>
      </w:r>
      <w:r w:rsidR="00C75340" w:rsidRPr="002F509B">
        <w:t xml:space="preserve"> </w:t>
      </w:r>
      <w:r w:rsidRPr="002F509B">
        <w:t>les</w:t>
      </w:r>
      <w:r w:rsidR="00C75340" w:rsidRPr="002F509B">
        <w:t xml:space="preserve"> </w:t>
      </w:r>
      <w:r w:rsidRPr="002F509B">
        <w:t>différentes</w:t>
      </w:r>
      <w:r w:rsidR="00C75340" w:rsidRPr="002F509B">
        <w:t xml:space="preserve"> </w:t>
      </w:r>
      <w:r w:rsidRPr="002F509B">
        <w:t>régions.</w:t>
      </w:r>
      <w:r w:rsidR="00C75340" w:rsidRPr="002F509B">
        <w:t xml:space="preserve"> </w:t>
      </w:r>
      <w:r w:rsidRPr="002F509B">
        <w:t>En</w:t>
      </w:r>
      <w:r w:rsidR="00C75340" w:rsidRPr="002F509B">
        <w:t xml:space="preserve"> </w:t>
      </w:r>
      <w:r w:rsidRPr="002F509B">
        <w:t>plus</w:t>
      </w:r>
      <w:r w:rsidR="00C75340" w:rsidRPr="002F509B">
        <w:t xml:space="preserve"> </w:t>
      </w:r>
      <w:r w:rsidRPr="002F509B">
        <w:t>de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langue</w:t>
      </w:r>
      <w:r w:rsidR="00C75340" w:rsidRPr="002F509B">
        <w:t xml:space="preserve"> </w:t>
      </w:r>
      <w:r w:rsidRPr="002F509B">
        <w:t>thaï,</w:t>
      </w:r>
      <w:r w:rsidR="00C75340" w:rsidRPr="002F509B">
        <w:t xml:space="preserve"> </w:t>
      </w:r>
      <w:r w:rsidRPr="002F509B">
        <w:t>certains</w:t>
      </w:r>
      <w:r w:rsidR="00C75340" w:rsidRPr="002F509B">
        <w:t xml:space="preserve"> </w:t>
      </w:r>
      <w:r w:rsidRPr="002F509B">
        <w:t>groupes</w:t>
      </w:r>
      <w:r w:rsidR="00C75340" w:rsidRPr="002F509B">
        <w:t xml:space="preserve"> </w:t>
      </w:r>
      <w:r w:rsidRPr="002F509B">
        <w:t>ethniques</w:t>
      </w:r>
      <w:r w:rsidR="00C75340" w:rsidRPr="002F509B">
        <w:t xml:space="preserve"> </w:t>
      </w:r>
      <w:r w:rsidRPr="002F509B">
        <w:t>parlent</w:t>
      </w:r>
      <w:r w:rsidR="00C75340" w:rsidRPr="002F509B">
        <w:t xml:space="preserve"> </w:t>
      </w:r>
      <w:r w:rsidRPr="002F509B">
        <w:t>leur</w:t>
      </w:r>
      <w:r w:rsidR="00C75340" w:rsidRPr="002F509B">
        <w:t xml:space="preserve"> </w:t>
      </w:r>
      <w:r w:rsidRPr="002F509B">
        <w:t>propre</w:t>
      </w:r>
      <w:r w:rsidR="00C75340" w:rsidRPr="002F509B">
        <w:t xml:space="preserve"> </w:t>
      </w:r>
      <w:r w:rsidRPr="002F509B">
        <w:t>langue.</w:t>
      </w:r>
      <w:r w:rsidR="00C75340" w:rsidRPr="002F509B">
        <w:t xml:space="preserve"> </w:t>
      </w:r>
      <w:r w:rsidRPr="002F509B">
        <w:t>Par</w:t>
      </w:r>
      <w:r w:rsidR="00C75340" w:rsidRPr="002F509B">
        <w:t xml:space="preserve"> </w:t>
      </w:r>
      <w:r w:rsidRPr="002F509B">
        <w:t>exemple,</w:t>
      </w:r>
      <w:r w:rsidR="00C75340" w:rsidRPr="002F509B">
        <w:t xml:space="preserve"> </w:t>
      </w:r>
      <w:r w:rsidRPr="002F509B">
        <w:t>les</w:t>
      </w:r>
      <w:r w:rsidR="00C75340" w:rsidRPr="002F509B">
        <w:t xml:space="preserve"> </w:t>
      </w:r>
      <w:r w:rsidRPr="002F509B">
        <w:t>musulmans</w:t>
      </w:r>
      <w:r w:rsidR="00C75340" w:rsidRPr="002F509B">
        <w:t xml:space="preserve"> </w:t>
      </w:r>
      <w:r w:rsidRPr="002F509B">
        <w:t>d’origine</w:t>
      </w:r>
      <w:r w:rsidR="00C75340" w:rsidRPr="002F509B">
        <w:t xml:space="preserve"> </w:t>
      </w:r>
      <w:r w:rsidRPr="002F509B">
        <w:t>malaise</w:t>
      </w:r>
      <w:r w:rsidR="00C75340" w:rsidRPr="002F509B">
        <w:t xml:space="preserve"> </w:t>
      </w:r>
      <w:r w:rsidRPr="002F509B">
        <w:t>de</w:t>
      </w:r>
      <w:r w:rsidR="00C75340" w:rsidRPr="002F509B">
        <w:t xml:space="preserve"> </w:t>
      </w:r>
      <w:proofErr w:type="spellStart"/>
      <w:r w:rsidRPr="002F509B">
        <w:t>Pattani</w:t>
      </w:r>
      <w:proofErr w:type="spellEnd"/>
      <w:r w:rsidRPr="002F509B">
        <w:t>,</w:t>
      </w:r>
      <w:r w:rsidR="00C75340" w:rsidRPr="002F509B">
        <w:t xml:space="preserve"> </w:t>
      </w:r>
      <w:r w:rsidRPr="002F509B">
        <w:t>Yala</w:t>
      </w:r>
      <w:r w:rsidR="00C75340" w:rsidRPr="002F509B">
        <w:t xml:space="preserve"> </w:t>
      </w:r>
      <w:r w:rsidRPr="002F509B">
        <w:t>et</w:t>
      </w:r>
      <w:r w:rsidR="00C75340" w:rsidRPr="002F509B">
        <w:t xml:space="preserve"> </w:t>
      </w:r>
      <w:proofErr w:type="spellStart"/>
      <w:r w:rsidRPr="002F509B">
        <w:t>Narathiwat</w:t>
      </w:r>
      <w:proofErr w:type="spellEnd"/>
      <w:r w:rsidR="00C75340" w:rsidRPr="002F509B">
        <w:t xml:space="preserve"> </w:t>
      </w:r>
      <w:r w:rsidRPr="002F509B">
        <w:t>parlent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langue</w:t>
      </w:r>
      <w:r w:rsidR="00C75340" w:rsidRPr="002F509B">
        <w:t xml:space="preserve"> </w:t>
      </w:r>
      <w:r w:rsidRPr="002F509B">
        <w:t>malaise</w:t>
      </w:r>
      <w:r w:rsidR="00C75340" w:rsidRPr="002F509B">
        <w:t xml:space="preserve"> </w:t>
      </w:r>
      <w:r w:rsidRPr="002F509B">
        <w:t>locale,</w:t>
      </w:r>
      <w:r w:rsidR="00C75340" w:rsidRPr="002F509B">
        <w:t xml:space="preserve"> </w:t>
      </w:r>
      <w:r w:rsidRPr="002F509B">
        <w:t>tandis</w:t>
      </w:r>
      <w:r w:rsidR="00C75340" w:rsidRPr="002F509B">
        <w:t xml:space="preserve"> </w:t>
      </w:r>
      <w:r w:rsidRPr="002F509B">
        <w:t>que</w:t>
      </w:r>
      <w:r w:rsidR="00C75340" w:rsidRPr="002F509B">
        <w:t xml:space="preserve"> </w:t>
      </w:r>
      <w:r w:rsidRPr="002F509B">
        <w:t>le</w:t>
      </w:r>
      <w:r w:rsidR="00C75340" w:rsidRPr="002F509B">
        <w:t xml:space="preserve"> </w:t>
      </w:r>
      <w:r w:rsidRPr="002F509B">
        <w:t>groupe</w:t>
      </w:r>
      <w:r w:rsidR="00C75340" w:rsidRPr="002F509B">
        <w:t xml:space="preserve"> </w:t>
      </w:r>
      <w:r w:rsidRPr="002F509B">
        <w:t>ethnique</w:t>
      </w:r>
      <w:r w:rsidR="00C75340" w:rsidRPr="002F509B">
        <w:t xml:space="preserve"> </w:t>
      </w:r>
      <w:r w:rsidRPr="002F509B">
        <w:t>karen</w:t>
      </w:r>
      <w:r w:rsidR="00C75340" w:rsidRPr="002F509B">
        <w:t xml:space="preserve"> </w:t>
      </w:r>
      <w:r w:rsidRPr="002F509B">
        <w:t>parle</w:t>
      </w:r>
      <w:r w:rsidR="00C75340" w:rsidRPr="002F509B">
        <w:t xml:space="preserve"> </w:t>
      </w:r>
      <w:r w:rsidRPr="002F509B">
        <w:t>les</w:t>
      </w:r>
      <w:r w:rsidR="00C75340" w:rsidRPr="002F509B">
        <w:t xml:space="preserve"> </w:t>
      </w:r>
      <w:r w:rsidRPr="002F509B">
        <w:t>langues</w:t>
      </w:r>
      <w:r w:rsidR="00C75340" w:rsidRPr="002F509B">
        <w:t xml:space="preserve"> </w:t>
      </w:r>
      <w:r w:rsidRPr="002F509B">
        <w:t>de</w:t>
      </w:r>
      <w:r w:rsidR="00C75340" w:rsidRPr="002F509B">
        <w:t xml:space="preserve"> </w:t>
      </w:r>
      <w:r w:rsidRPr="002F509B">
        <w:t>ses</w:t>
      </w:r>
      <w:r w:rsidR="00C75340" w:rsidRPr="002F509B">
        <w:t xml:space="preserve"> </w:t>
      </w:r>
      <w:r w:rsidRPr="002F509B">
        <w:t>propres</w:t>
      </w:r>
      <w:r w:rsidR="00C75340" w:rsidRPr="002F509B">
        <w:t xml:space="preserve"> </w:t>
      </w:r>
      <w:r w:rsidRPr="002F509B">
        <w:t>tribus</w:t>
      </w:r>
      <w:r w:rsidR="00C75340" w:rsidRPr="002F509B">
        <w:t xml:space="preserve"> </w:t>
      </w:r>
      <w:r w:rsidRPr="002F509B">
        <w:t>et</w:t>
      </w:r>
      <w:r w:rsidR="00C75340" w:rsidRPr="002F509B">
        <w:t xml:space="preserve"> </w:t>
      </w:r>
      <w:r w:rsidRPr="002F509B">
        <w:t>le</w:t>
      </w:r>
      <w:r w:rsidR="00C75340" w:rsidRPr="002F509B">
        <w:t xml:space="preserve"> </w:t>
      </w:r>
      <w:r w:rsidRPr="002F509B">
        <w:t>groupe</w:t>
      </w:r>
      <w:r w:rsidR="00C75340" w:rsidRPr="002F509B">
        <w:t xml:space="preserve"> </w:t>
      </w:r>
      <w:r w:rsidRPr="002F509B">
        <w:t>ethnique</w:t>
      </w:r>
      <w:r w:rsidR="00C75340" w:rsidRPr="002F509B">
        <w:t xml:space="preserve"> </w:t>
      </w:r>
      <w:r w:rsidRPr="002F509B">
        <w:t>Hmong</w:t>
      </w:r>
      <w:r w:rsidR="00C75340" w:rsidRPr="002F509B">
        <w:t xml:space="preserve"> </w:t>
      </w:r>
      <w:r w:rsidRPr="002F509B">
        <w:t>parle</w:t>
      </w:r>
      <w:r w:rsidR="00C75340" w:rsidRPr="002F509B">
        <w:t xml:space="preserve"> </w:t>
      </w:r>
      <w:r w:rsidRPr="002F509B">
        <w:t>la</w:t>
      </w:r>
      <w:r w:rsidR="00C75340" w:rsidRPr="002F509B">
        <w:t xml:space="preserve"> </w:t>
      </w:r>
      <w:r w:rsidRPr="002F509B">
        <w:t>langue</w:t>
      </w:r>
      <w:r w:rsidR="00C75340" w:rsidRPr="002F509B">
        <w:t xml:space="preserve"> </w:t>
      </w:r>
      <w:r w:rsidRPr="002F509B">
        <w:t>hmong.</w:t>
      </w:r>
    </w:p>
    <w:p w14:paraId="7D891255" w14:textId="7777777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Économie</w:t>
      </w:r>
    </w:p>
    <w:p w14:paraId="0E915027" w14:textId="26FFF573" w:rsidR="00C3295C" w:rsidRPr="00D86974" w:rsidRDefault="00C3295C" w:rsidP="00C3295C">
      <w:pPr>
        <w:pStyle w:val="SingleTxtG"/>
      </w:pPr>
      <w:r w:rsidRPr="00D86974">
        <w:t>11.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revenu</w:t>
      </w:r>
      <w:r w:rsidR="00C75340">
        <w:t xml:space="preserve"> </w:t>
      </w:r>
      <w:r w:rsidRPr="00D86974">
        <w:t>intermédiaire</w:t>
      </w:r>
      <w:r w:rsidR="00C75340">
        <w:t xml:space="preserve"> </w:t>
      </w:r>
      <w:r w:rsidRPr="00D86974">
        <w:t>supérieur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2011.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valeur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produit</w:t>
      </w:r>
      <w:r w:rsidR="00C75340">
        <w:t xml:space="preserve"> </w:t>
      </w:r>
      <w:r w:rsidRPr="00D86974">
        <w:t>intérieur</w:t>
      </w:r>
      <w:r w:rsidR="00C75340">
        <w:t xml:space="preserve"> </w:t>
      </w:r>
      <w:r w:rsidRPr="00D86974">
        <w:t>brut</w:t>
      </w:r>
      <w:r w:rsidR="00C75340">
        <w:t xml:space="preserve"> </w:t>
      </w:r>
      <w:r w:rsidRPr="00D86974">
        <w:t>(PIB)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prix</w:t>
      </w:r>
      <w:r w:rsidR="00C75340">
        <w:t xml:space="preserve"> </w:t>
      </w:r>
      <w:r w:rsidRPr="00D86974">
        <w:t>courants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16</w:t>
      </w:r>
      <w:r w:rsidR="00470D5A">
        <w:t> </w:t>
      </w:r>
      <w:r w:rsidRPr="00D86974">
        <w:t>879</w:t>
      </w:r>
      <w:r w:rsidR="00C75340">
        <w:t xml:space="preserve"> </w:t>
      </w:r>
      <w:r w:rsidRPr="00D86974">
        <w:t>milliards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baht</w:t>
      </w:r>
      <w:r w:rsidR="00C75340">
        <w:t xml:space="preserve"> </w:t>
      </w:r>
      <w:r w:rsidRPr="00D86974">
        <w:t>(THB)</w:t>
      </w:r>
      <w:r w:rsidR="00C75340">
        <w:t xml:space="preserve"> </w:t>
      </w:r>
      <w:r w:rsidR="005349F4">
        <w:t>(</w:t>
      </w:r>
      <w:r w:rsidRPr="00D86974">
        <w:t>soit</w:t>
      </w:r>
      <w:r w:rsidR="00C75340">
        <w:t xml:space="preserve"> </w:t>
      </w:r>
      <w:r w:rsidRPr="00D86974">
        <w:t>543,7</w:t>
      </w:r>
      <w:r w:rsidR="005349F4">
        <w:t> </w:t>
      </w:r>
      <w:r w:rsidRPr="00D86974">
        <w:t>milliards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dollars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États-Unis</w:t>
      </w:r>
      <w:r w:rsidR="005349F4">
        <w:t>)</w:t>
      </w:r>
      <w:r w:rsidRPr="00D86974">
        <w:t>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PIB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habitant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248</w:t>
      </w:r>
      <w:r w:rsidR="005349F4">
        <w:t> </w:t>
      </w:r>
      <w:r w:rsidRPr="00D86974">
        <w:t>257,4</w:t>
      </w:r>
      <w:r w:rsidR="00C75340">
        <w:t xml:space="preserve"> </w:t>
      </w:r>
      <w:r w:rsidRPr="00D86974">
        <w:t>baht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an</w:t>
      </w:r>
      <w:r w:rsidR="00C75340">
        <w:t xml:space="preserve"> </w:t>
      </w:r>
      <w:r w:rsidRPr="00D86974">
        <w:t>(7</w:t>
      </w:r>
      <w:r w:rsidR="005349F4">
        <w:t> </w:t>
      </w:r>
      <w:r w:rsidRPr="00D86974">
        <w:t>996,2</w:t>
      </w:r>
      <w:r w:rsidR="00C75340">
        <w:t xml:space="preserve"> </w:t>
      </w:r>
      <w:r w:rsidRPr="00D86974">
        <w:t>dollars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an),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hausse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précédente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241</w:t>
      </w:r>
      <w:r w:rsidR="005349F4">
        <w:t> </w:t>
      </w:r>
      <w:r w:rsidRPr="00D86974">
        <w:t>269,6</w:t>
      </w:r>
      <w:r w:rsidR="00C75340">
        <w:t xml:space="preserve"> </w:t>
      </w:r>
      <w:r w:rsidRPr="00D86974">
        <w:t>baht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an</w:t>
      </w:r>
      <w:r w:rsidR="00C75340">
        <w:t xml:space="preserve"> </w:t>
      </w:r>
      <w:r w:rsidRPr="00D86974">
        <w:t>(7</w:t>
      </w:r>
      <w:r w:rsidR="005349F4">
        <w:t> </w:t>
      </w:r>
      <w:r w:rsidRPr="00D86974">
        <w:t>467,1</w:t>
      </w:r>
      <w:r w:rsidR="00C75340">
        <w:t xml:space="preserve"> </w:t>
      </w:r>
      <w:r w:rsidRPr="00D86974">
        <w:t>dollars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an).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vivant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seuil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pauvreté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9,85</w:t>
      </w:r>
      <w:r w:rsidR="00C75340">
        <w:t xml:space="preserve"> % </w:t>
      </w:r>
      <w:r w:rsidRPr="00D86974">
        <w:t>en</w:t>
      </w:r>
      <w:r w:rsidR="00C75340">
        <w:t xml:space="preserve"> </w:t>
      </w:r>
      <w:r w:rsidRPr="00D86974">
        <w:t>2018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8,61</w:t>
      </w:r>
      <w:r w:rsidR="00C75340">
        <w:t xml:space="preserve"> % </w:t>
      </w:r>
      <w:r w:rsidRPr="00D86974"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recul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12,59</w:t>
      </w:r>
      <w:r w:rsidR="00C75340">
        <w:t> %</w:t>
      </w:r>
      <w:r w:rsidRPr="00D86974">
        <w:t>.</w:t>
      </w:r>
    </w:p>
    <w:p w14:paraId="77BC92A6" w14:textId="737D0E0A" w:rsidR="00C3295C" w:rsidRDefault="00C3295C" w:rsidP="00C3295C">
      <w:pPr>
        <w:pStyle w:val="SingleTxtG"/>
      </w:pPr>
      <w:r w:rsidRPr="00D86974">
        <w:t>12.</w:t>
      </w:r>
      <w:r w:rsidRPr="00D86974">
        <w:tab/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l’économie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progressé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2,4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4,2</w:t>
      </w:r>
      <w:r w:rsidR="00C75340">
        <w:t xml:space="preserve"> % </w:t>
      </w:r>
      <w:r w:rsidRPr="00D86974">
        <w:t>en</w:t>
      </w:r>
      <w:r w:rsidR="00C75340">
        <w:t xml:space="preserve"> </w:t>
      </w:r>
      <w:r w:rsidRPr="00D86974">
        <w:t>2018.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côté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dépenses,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consommation</w:t>
      </w:r>
      <w:r w:rsidR="00C75340">
        <w:t xml:space="preserve"> </w:t>
      </w:r>
      <w:r w:rsidRPr="00D86974">
        <w:t>privée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investissements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augmenté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4,5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2,8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enregistrant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continue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chiffres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4,6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4,1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précédente.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consommation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investissements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augmenté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1,4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0,2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2,6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2,9</w:t>
      </w:r>
      <w:r w:rsidR="00C75340">
        <w:t xml:space="preserve"> % </w:t>
      </w:r>
      <w:r w:rsidRPr="00D86974">
        <w:t>l’année</w:t>
      </w:r>
      <w:r w:rsidR="00C75340">
        <w:t xml:space="preserve"> </w:t>
      </w:r>
      <w:r w:rsidRPr="00D86974">
        <w:t>précédente.</w:t>
      </w:r>
      <w:r w:rsidR="00C75340">
        <w:t xml:space="preserve"> </w:t>
      </w:r>
      <w:r w:rsidRPr="00D86974">
        <w:t>Toutefois,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exportations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diminué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3,2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après</w:t>
      </w:r>
      <w:r w:rsidR="00C75340">
        <w:t xml:space="preserve"> </w:t>
      </w:r>
      <w:r w:rsidRPr="00D86974">
        <w:t>avoir</w:t>
      </w:r>
      <w:r w:rsidR="00C75340">
        <w:t xml:space="preserve"> </w:t>
      </w:r>
      <w:r w:rsidRPr="00D86974">
        <w:t>enregistré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7,5</w:t>
      </w:r>
      <w:r w:rsidR="00C75340">
        <w:t xml:space="preserve"> % </w:t>
      </w:r>
      <w:r w:rsidRPr="00D86974">
        <w:t>l’année</w:t>
      </w:r>
      <w:r w:rsidR="00C75340">
        <w:t xml:space="preserve"> </w:t>
      </w:r>
      <w:r w:rsidRPr="00D86974">
        <w:t>précédente.</w:t>
      </w:r>
    </w:p>
    <w:p w14:paraId="1852EA23" w14:textId="4F6A4FE2" w:rsidR="00C3295C" w:rsidRDefault="00C3295C" w:rsidP="00C3295C">
      <w:pPr>
        <w:pStyle w:val="SingleTxtG"/>
      </w:pPr>
      <w:r w:rsidRPr="00D86974">
        <w:t>13.</w:t>
      </w:r>
      <w:r w:rsidRPr="00D86974">
        <w:tab/>
        <w:t>S’agissant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production,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agricole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agricole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représenté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6,16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93,84</w:t>
      </w:r>
      <w:r w:rsidR="00C75340">
        <w:t xml:space="preserve"> % </w:t>
      </w:r>
      <w:r w:rsidRPr="00D86974">
        <w:t>du</w:t>
      </w:r>
      <w:r w:rsidR="00C75340">
        <w:t xml:space="preserve"> </w:t>
      </w:r>
      <w:r w:rsidRPr="00D86974">
        <w:t>PIB.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production</w:t>
      </w:r>
      <w:r w:rsidR="00C75340">
        <w:t xml:space="preserve"> </w:t>
      </w:r>
      <w:r w:rsidRPr="00D86974">
        <w:t>agricole,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production</w:t>
      </w:r>
      <w:r w:rsidR="00C75340">
        <w:t xml:space="preserve"> </w:t>
      </w:r>
      <w:r w:rsidRPr="00D86974">
        <w:t>forestière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pêche,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l’hébergement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restauration,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commerce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gros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détail,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réparation</w:t>
      </w:r>
      <w:r w:rsidR="00C75340">
        <w:t xml:space="preserve"> </w:t>
      </w:r>
      <w:r w:rsidRPr="00D86974">
        <w:t>d’automobiles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motocycles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transport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l’entreposage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connu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expansion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0,1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5,5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5,7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3,4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recul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croissances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5,5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7,6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6,6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4,4</w:t>
      </w:r>
      <w:r w:rsidR="00C75340">
        <w:t xml:space="preserve"> % </w:t>
      </w:r>
      <w:r w:rsidRPr="00D86974">
        <w:t>enregistrées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précédente.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manufacturier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reculé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0,7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après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3,2</w:t>
      </w:r>
      <w:r w:rsidR="00C75340">
        <w:t xml:space="preserve"> % </w:t>
      </w:r>
      <w:r w:rsidRPr="00D86974">
        <w:t>en</w:t>
      </w:r>
      <w:r w:rsidR="00C75340">
        <w:t xml:space="preserve"> </w:t>
      </w:r>
      <w:r w:rsidRPr="00D86974">
        <w:t>2018.</w:t>
      </w:r>
    </w:p>
    <w:p w14:paraId="3FECEFB2" w14:textId="3A3B6FD3" w:rsidR="00C3295C" w:rsidRDefault="00C3295C" w:rsidP="00C3295C">
      <w:pPr>
        <w:pStyle w:val="SingleTxtG"/>
      </w:pPr>
      <w:r w:rsidRPr="00D86974">
        <w:lastRenderedPageBreak/>
        <w:t>14.</w:t>
      </w:r>
      <w:r w:rsidRPr="00D86974">
        <w:tab/>
        <w:t>Le</w:t>
      </w:r>
      <w:r w:rsidR="00C75340">
        <w:t xml:space="preserve"> </w:t>
      </w:r>
      <w:r w:rsidRPr="00D86974">
        <w:t>budget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total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2019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fixé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3</w:t>
      </w:r>
      <w:r w:rsidR="005349F4">
        <w:t> </w:t>
      </w:r>
      <w:r w:rsidRPr="00D86974">
        <w:t>000</w:t>
      </w:r>
      <w:r w:rsidR="00C75340">
        <w:t xml:space="preserve"> </w:t>
      </w:r>
      <w:r w:rsidRPr="00D86974">
        <w:t>milliards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baht,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hausse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</w:t>
      </w:r>
      <w:r w:rsidR="00C75340">
        <w:t xml:space="preserve"> % </w:t>
      </w:r>
      <w:r w:rsidRPr="00D86974">
        <w:t>par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budget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2018.</w:t>
      </w:r>
    </w:p>
    <w:p w14:paraId="7FB4553B" w14:textId="3516D904" w:rsidR="00C3295C" w:rsidRPr="00D86974" w:rsidRDefault="00C3295C" w:rsidP="00C3295C">
      <w:pPr>
        <w:pStyle w:val="SingleTxtG"/>
      </w:pPr>
      <w:r w:rsidRPr="00D86974">
        <w:t>15.</w:t>
      </w:r>
      <w:r w:rsidRPr="00D86974">
        <w:tab/>
        <w:t>Dans</w:t>
      </w:r>
      <w:r w:rsidR="00C75340">
        <w:t xml:space="preserve"> </w:t>
      </w:r>
      <w:r w:rsidRPr="00D86974">
        <w:t>l’ensemble,</w:t>
      </w:r>
      <w:r w:rsidR="00C75340">
        <w:t xml:space="preserve"> </w:t>
      </w:r>
      <w:r w:rsidRPr="00D86974">
        <w:t>l’activité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restée</w:t>
      </w:r>
      <w:r w:rsidR="00C75340">
        <w:t xml:space="preserve"> </w:t>
      </w:r>
      <w:r w:rsidRPr="00D86974">
        <w:t>stable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favorable.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taux</w:t>
      </w:r>
      <w:r w:rsidR="00C75340">
        <w:t xml:space="preserve"> </w:t>
      </w:r>
      <w:r w:rsidRPr="00D86974">
        <w:t>d’inflation</w:t>
      </w:r>
      <w:r w:rsidR="00C75340">
        <w:t xml:space="preserve"> </w:t>
      </w:r>
      <w:r w:rsidRPr="00D86974">
        <w:t>globale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0,7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balance</w:t>
      </w:r>
      <w:r w:rsidR="00C75340">
        <w:t xml:space="preserve"> </w:t>
      </w:r>
      <w:r w:rsidRPr="00D86974">
        <w:t>courante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présenté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excédent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6,8</w:t>
      </w:r>
      <w:r w:rsidR="00C75340">
        <w:t xml:space="preserve"> % </w:t>
      </w:r>
      <w:r w:rsidRPr="00D86974">
        <w:t>du</w:t>
      </w:r>
      <w:r w:rsidR="005349F4">
        <w:t> </w:t>
      </w:r>
      <w:r w:rsidRPr="00D86974">
        <w:t>PIB.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850"/>
        <w:gridCol w:w="583"/>
        <w:gridCol w:w="865"/>
        <w:gridCol w:w="677"/>
      </w:tblGrid>
      <w:tr w:rsidR="00C3295C" w:rsidRPr="005349F4" w14:paraId="4FF7C76F" w14:textId="77777777" w:rsidTr="005349F4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6A2E8" w14:textId="1C3E382B" w:rsidR="00C3295C" w:rsidRPr="005349F4" w:rsidRDefault="00C3295C" w:rsidP="005349F4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Revenu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par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habitant</w:t>
            </w:r>
            <w:r w:rsidR="00C75340" w:rsidRPr="005349F4">
              <w:rPr>
                <w:i/>
                <w:sz w:val="16"/>
              </w:rPr>
              <w:t xml:space="preserve"> 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147C76" w14:textId="0AE8DC0B" w:rsidR="00C3295C" w:rsidRPr="005349F4" w:rsidRDefault="00C3295C" w:rsidP="005349F4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5349F4">
              <w:rPr>
                <w:i/>
                <w:sz w:val="16"/>
              </w:rPr>
              <w:t>4615,24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USD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(147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088</w:t>
            </w:r>
            <w:r w:rsidR="00C75340" w:rsidRPr="005349F4">
              <w:rPr>
                <w:i/>
                <w:sz w:val="16"/>
              </w:rPr>
              <w:t xml:space="preserve"> </w:t>
            </w:r>
            <w:r w:rsidRPr="005349F4">
              <w:rPr>
                <w:i/>
                <w:sz w:val="16"/>
              </w:rPr>
              <w:t>THB)</w:t>
            </w:r>
            <w:r w:rsidRPr="00987D41">
              <w:rPr>
                <w:rStyle w:val="FootnoteReference"/>
                <w:i/>
                <w:sz w:val="16"/>
                <w:rtl/>
              </w:rPr>
              <w:footnoteReference w:id="4"/>
            </w:r>
          </w:p>
        </w:tc>
      </w:tr>
      <w:tr w:rsidR="00C3295C" w:rsidRPr="005349F4" w14:paraId="182FA490" w14:textId="77777777" w:rsidTr="005349F4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FAABDDF" w14:textId="74EF8C5D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PIB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millions</w:t>
            </w:r>
          </w:p>
        </w:tc>
        <w:tc>
          <w:tcPr>
            <w:tcW w:w="4818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42F7F8" w14:textId="531A4CD3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313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701,53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USD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(9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997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668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THB)</w:t>
            </w:r>
          </w:p>
        </w:tc>
      </w:tr>
      <w:tr w:rsidR="00C3295C" w:rsidRPr="005349F4" w14:paraId="265566F9" w14:textId="77777777" w:rsidTr="005349F4">
        <w:tc>
          <w:tcPr>
            <w:tcW w:w="2552" w:type="dxa"/>
            <w:shd w:val="clear" w:color="auto" w:fill="auto"/>
          </w:tcPr>
          <w:p w14:paraId="76C8D604" w14:textId="5448833B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Taux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de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croissance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annuel</w:t>
            </w:r>
          </w:p>
        </w:tc>
        <w:tc>
          <w:tcPr>
            <w:tcW w:w="4818" w:type="dxa"/>
            <w:gridSpan w:val="5"/>
            <w:shd w:val="clear" w:color="auto" w:fill="auto"/>
            <w:vAlign w:val="bottom"/>
          </w:tcPr>
          <w:p w14:paraId="11C75004" w14:textId="564E1CA4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3,3</w:t>
            </w:r>
            <w:r w:rsidR="00C75340" w:rsidRPr="005349F4">
              <w:rPr>
                <w:sz w:val="18"/>
              </w:rPr>
              <w:t> %</w:t>
            </w:r>
          </w:p>
        </w:tc>
      </w:tr>
      <w:tr w:rsidR="00C3295C" w:rsidRPr="005349F4" w14:paraId="408DF76B" w14:textId="77777777" w:rsidTr="005349F4">
        <w:tc>
          <w:tcPr>
            <w:tcW w:w="2552" w:type="dxa"/>
            <w:shd w:val="clear" w:color="auto" w:fill="auto"/>
          </w:tcPr>
          <w:p w14:paraId="355C16CE" w14:textId="3B32AC5B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Revenu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national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brut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(RNB)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millions</w:t>
            </w:r>
          </w:p>
        </w:tc>
        <w:tc>
          <w:tcPr>
            <w:tcW w:w="4818" w:type="dxa"/>
            <w:gridSpan w:val="5"/>
            <w:shd w:val="clear" w:color="auto" w:fill="auto"/>
            <w:vAlign w:val="bottom"/>
          </w:tcPr>
          <w:p w14:paraId="28E3A717" w14:textId="4ABC7A6F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434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612,83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USD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(13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851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111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THB)</w:t>
            </w:r>
          </w:p>
        </w:tc>
      </w:tr>
      <w:tr w:rsidR="00C3295C" w:rsidRPr="005349F4" w14:paraId="710CE946" w14:textId="77777777" w:rsidTr="005349F4">
        <w:tc>
          <w:tcPr>
            <w:tcW w:w="2552" w:type="dxa"/>
            <w:vMerge w:val="restart"/>
            <w:shd w:val="clear" w:color="auto" w:fill="auto"/>
          </w:tcPr>
          <w:p w14:paraId="2159AA73" w14:textId="7D6EBE52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  <w:cs/>
              </w:rPr>
            </w:pPr>
            <w:r w:rsidRPr="005349F4">
              <w:rPr>
                <w:sz w:val="18"/>
              </w:rPr>
              <w:t>Dépenses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sociales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millions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de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baht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proportion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des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dépenses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publiques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totales</w:t>
            </w:r>
            <w:r w:rsidR="00C75340" w:rsidRPr="005349F4">
              <w:rPr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7ECCACF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22D1030" w14:textId="333B22FD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Exercice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2017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35D2C2A0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%</w:t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71814F03" w14:textId="43C3CF8E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Exercice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2018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8C10C98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%</w:t>
            </w:r>
          </w:p>
        </w:tc>
      </w:tr>
      <w:tr w:rsidR="00C3295C" w:rsidRPr="005349F4" w14:paraId="393AC2C0" w14:textId="77777777" w:rsidTr="005349F4">
        <w:tc>
          <w:tcPr>
            <w:tcW w:w="2552" w:type="dxa"/>
            <w:vMerge/>
            <w:shd w:val="clear" w:color="auto" w:fill="auto"/>
          </w:tcPr>
          <w:p w14:paraId="175E1C44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06F1DAB" w14:textId="48A4D8CD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Logement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public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communautaire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D1EF1B" w14:textId="562274DF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72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423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3DCEAB50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3,58</w:t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3C8EE0FF" w14:textId="783DA86A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70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929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05A74AC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3,32</w:t>
            </w:r>
          </w:p>
        </w:tc>
      </w:tr>
      <w:tr w:rsidR="00C3295C" w:rsidRPr="005349F4" w14:paraId="7A9195B2" w14:textId="77777777" w:rsidTr="005349F4">
        <w:tc>
          <w:tcPr>
            <w:tcW w:w="2552" w:type="dxa"/>
            <w:vMerge/>
            <w:shd w:val="clear" w:color="auto" w:fill="auto"/>
          </w:tcPr>
          <w:p w14:paraId="1E4E188B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5104957" w14:textId="7FEE9B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Santé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publique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DA54F6" w14:textId="49E07A9F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295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207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6EFA50B5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14,59</w:t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13F72CD0" w14:textId="2A76889E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304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169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C7EE130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14,27</w:t>
            </w:r>
          </w:p>
        </w:tc>
      </w:tr>
      <w:tr w:rsidR="00C3295C" w:rsidRPr="005349F4" w14:paraId="4544D40B" w14:textId="77777777" w:rsidTr="005349F4">
        <w:tc>
          <w:tcPr>
            <w:tcW w:w="2552" w:type="dxa"/>
            <w:vMerge/>
            <w:shd w:val="clear" w:color="auto" w:fill="auto"/>
          </w:tcPr>
          <w:p w14:paraId="3E28D4C3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F77037F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Éducation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CE03FD" w14:textId="34CC899C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534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059</w:t>
            </w:r>
          </w:p>
        </w:tc>
        <w:tc>
          <w:tcPr>
            <w:tcW w:w="583" w:type="dxa"/>
            <w:shd w:val="clear" w:color="auto" w:fill="auto"/>
            <w:vAlign w:val="bottom"/>
          </w:tcPr>
          <w:p w14:paraId="217BED7C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26,39</w:t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2A526918" w14:textId="0285AE94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521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132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696764A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24,46</w:t>
            </w:r>
          </w:p>
        </w:tc>
      </w:tr>
      <w:tr w:rsidR="00C3295C" w:rsidRPr="005349F4" w14:paraId="3EE93E02" w14:textId="77777777" w:rsidTr="005349F4">
        <w:tc>
          <w:tcPr>
            <w:tcW w:w="2552" w:type="dxa"/>
            <w:shd w:val="clear" w:color="auto" w:fill="auto"/>
          </w:tcPr>
          <w:p w14:paraId="7C8777B2" w14:textId="410B0845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Dette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publique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extérieure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et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intérieure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(en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millions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de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baht)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7407CF5D" w14:textId="5C66BB52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Dette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publique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extérieure</w:t>
            </w:r>
          </w:p>
        </w:tc>
        <w:tc>
          <w:tcPr>
            <w:tcW w:w="2125" w:type="dxa"/>
            <w:gridSpan w:val="3"/>
            <w:shd w:val="clear" w:color="auto" w:fill="auto"/>
            <w:vAlign w:val="bottom"/>
          </w:tcPr>
          <w:p w14:paraId="6AAB0B9C" w14:textId="195FB321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227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596,51</w:t>
            </w:r>
            <w:r w:rsidR="00C75340" w:rsidRPr="005349F4">
              <w:rPr>
                <w:sz w:val="18"/>
              </w:rPr>
              <w:t xml:space="preserve"> </w:t>
            </w:r>
            <w:r w:rsidR="005349F4">
              <w:rPr>
                <w:sz w:val="18"/>
              </w:rPr>
              <w:br/>
            </w:r>
            <w:r w:rsidRPr="005349F4">
              <w:rPr>
                <w:sz w:val="18"/>
              </w:rPr>
              <w:t>(7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141,4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USD)</w:t>
            </w:r>
          </w:p>
        </w:tc>
      </w:tr>
      <w:tr w:rsidR="005349F4" w:rsidRPr="005349F4" w14:paraId="338415AB" w14:textId="77777777" w:rsidTr="005349F4">
        <w:tc>
          <w:tcPr>
            <w:tcW w:w="2552" w:type="dxa"/>
            <w:shd w:val="clear" w:color="auto" w:fill="auto"/>
          </w:tcPr>
          <w:p w14:paraId="14FCA081" w14:textId="77777777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63D2B" w14:textId="75CE5820" w:rsidR="00C3295C" w:rsidRPr="005349F4" w:rsidRDefault="00C3295C" w:rsidP="005349F4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5349F4">
              <w:rPr>
                <w:sz w:val="18"/>
              </w:rPr>
              <w:t>Dette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publique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intérieure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271CA" w14:textId="3E8F5692" w:rsidR="00C3295C" w:rsidRPr="005349F4" w:rsidRDefault="00C3295C" w:rsidP="005349F4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349F4">
              <w:rPr>
                <w:sz w:val="18"/>
              </w:rPr>
              <w:t>6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733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028,95</w:t>
            </w:r>
            <w:r w:rsidR="005349F4">
              <w:rPr>
                <w:sz w:val="18"/>
              </w:rPr>
              <w:br/>
            </w:r>
            <w:r w:rsidRPr="005349F4">
              <w:rPr>
                <w:sz w:val="18"/>
              </w:rPr>
              <w:t>(211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265,42</w:t>
            </w:r>
            <w:r w:rsidR="00C75340" w:rsidRPr="005349F4">
              <w:rPr>
                <w:sz w:val="18"/>
              </w:rPr>
              <w:t xml:space="preserve"> </w:t>
            </w:r>
            <w:r w:rsidRPr="005349F4">
              <w:rPr>
                <w:sz w:val="18"/>
              </w:rPr>
              <w:t>USD)</w:t>
            </w:r>
          </w:p>
        </w:tc>
      </w:tr>
      <w:tr w:rsidR="00C3295C" w:rsidRPr="005349F4" w14:paraId="06B416F0" w14:textId="77777777" w:rsidTr="005349F4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6D401F4E" w14:textId="77777777" w:rsidR="00C3295C" w:rsidRPr="005349F4" w:rsidRDefault="00C3295C" w:rsidP="005349F4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FDD98A" w14:textId="77777777" w:rsidR="00C3295C" w:rsidRPr="005349F4" w:rsidRDefault="00C3295C" w:rsidP="005349F4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  <w:r w:rsidRPr="005349F4">
              <w:rPr>
                <w:b/>
                <w:bCs/>
                <w:sz w:val="18"/>
              </w:rPr>
              <w:t>Total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8A1E2B" w14:textId="38F7E6D8" w:rsidR="00C3295C" w:rsidRPr="005349F4" w:rsidRDefault="00C3295C" w:rsidP="005349F4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</w:rPr>
            </w:pPr>
            <w:r w:rsidRPr="005349F4">
              <w:rPr>
                <w:b/>
                <w:bCs/>
                <w:sz w:val="18"/>
              </w:rPr>
              <w:t>6</w:t>
            </w:r>
            <w:r w:rsidR="00C75340" w:rsidRPr="005349F4">
              <w:rPr>
                <w:b/>
                <w:bCs/>
                <w:sz w:val="18"/>
              </w:rPr>
              <w:t xml:space="preserve"> </w:t>
            </w:r>
            <w:r w:rsidRPr="005349F4">
              <w:rPr>
                <w:b/>
                <w:bCs/>
                <w:sz w:val="18"/>
              </w:rPr>
              <w:t>960</w:t>
            </w:r>
            <w:r w:rsidR="00C75340" w:rsidRPr="005349F4">
              <w:rPr>
                <w:b/>
                <w:bCs/>
                <w:sz w:val="18"/>
              </w:rPr>
              <w:t xml:space="preserve"> </w:t>
            </w:r>
            <w:r w:rsidRPr="005349F4">
              <w:rPr>
                <w:b/>
                <w:bCs/>
                <w:sz w:val="18"/>
              </w:rPr>
              <w:t>625,46</w:t>
            </w:r>
            <w:r w:rsidR="005349F4" w:rsidRPr="005349F4">
              <w:rPr>
                <w:b/>
                <w:bCs/>
                <w:sz w:val="18"/>
              </w:rPr>
              <w:br/>
            </w:r>
            <w:r w:rsidRPr="005349F4">
              <w:rPr>
                <w:b/>
                <w:bCs/>
                <w:sz w:val="18"/>
              </w:rPr>
              <w:t>(218</w:t>
            </w:r>
            <w:r w:rsidR="00C75340" w:rsidRPr="005349F4">
              <w:rPr>
                <w:b/>
                <w:bCs/>
                <w:sz w:val="18"/>
              </w:rPr>
              <w:t xml:space="preserve"> </w:t>
            </w:r>
            <w:r w:rsidRPr="005349F4">
              <w:rPr>
                <w:b/>
                <w:bCs/>
                <w:sz w:val="18"/>
              </w:rPr>
              <w:t>406,82</w:t>
            </w:r>
            <w:r w:rsidR="00C75340" w:rsidRPr="005349F4">
              <w:rPr>
                <w:b/>
                <w:bCs/>
                <w:sz w:val="18"/>
              </w:rPr>
              <w:t xml:space="preserve"> </w:t>
            </w:r>
            <w:r w:rsidRPr="005349F4">
              <w:rPr>
                <w:b/>
                <w:bCs/>
                <w:sz w:val="18"/>
              </w:rPr>
              <w:t>USD)</w:t>
            </w:r>
          </w:p>
        </w:tc>
      </w:tr>
    </w:tbl>
    <w:p w14:paraId="45E0BB52" w14:textId="7777777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Emploi</w:t>
      </w:r>
    </w:p>
    <w:p w14:paraId="597F133A" w14:textId="4447A6C8" w:rsidR="00C3295C" w:rsidRPr="005349F4" w:rsidRDefault="00C3295C" w:rsidP="00C3295C">
      <w:pPr>
        <w:pStyle w:val="SingleTxtG"/>
        <w:rPr>
          <w:spacing w:val="-2"/>
        </w:rPr>
      </w:pPr>
      <w:r w:rsidRPr="005349F4">
        <w:rPr>
          <w:spacing w:val="-2"/>
        </w:rPr>
        <w:t>16.</w:t>
      </w:r>
      <w:r w:rsidRPr="005349F4">
        <w:rPr>
          <w:spacing w:val="-2"/>
        </w:rPr>
        <w:tab/>
        <w:t>En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2019,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le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taux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de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chômage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est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resté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faible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à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0,99</w:t>
      </w:r>
      <w:r w:rsidR="00C75340" w:rsidRPr="005349F4">
        <w:rPr>
          <w:spacing w:val="-2"/>
        </w:rPr>
        <w:t> %</w:t>
      </w:r>
      <w:r w:rsidRPr="005349F4">
        <w:rPr>
          <w:spacing w:val="-2"/>
        </w:rPr>
        <w:t>,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soit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370</w:t>
      </w:r>
      <w:r w:rsidR="005349F4" w:rsidRPr="005349F4">
        <w:rPr>
          <w:spacing w:val="-2"/>
        </w:rPr>
        <w:t> </w:t>
      </w:r>
      <w:r w:rsidRPr="005349F4">
        <w:rPr>
          <w:spacing w:val="-2"/>
        </w:rPr>
        <w:t>000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chômeurs.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Le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salaire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moyen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global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et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le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salaire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moyen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du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secteur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privé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ont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augmenté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respectivement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de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2,3</w:t>
      </w:r>
      <w:r w:rsidR="00C75340" w:rsidRPr="005349F4">
        <w:rPr>
          <w:spacing w:val="-2"/>
        </w:rPr>
        <w:t xml:space="preserve"> % </w:t>
      </w:r>
      <w:r w:rsidRPr="005349F4">
        <w:rPr>
          <w:spacing w:val="-2"/>
        </w:rPr>
        <w:t>et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3,3</w:t>
      </w:r>
      <w:r w:rsidR="00C75340" w:rsidRPr="005349F4">
        <w:rPr>
          <w:spacing w:val="-2"/>
        </w:rPr>
        <w:t> %</w:t>
      </w:r>
      <w:r w:rsidRPr="005349F4">
        <w:rPr>
          <w:spacing w:val="-2"/>
        </w:rPr>
        <w:t>.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La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productivité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du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travail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a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augmenté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de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3,1</w:t>
      </w:r>
      <w:r w:rsidR="00C75340" w:rsidRPr="005349F4">
        <w:rPr>
          <w:spacing w:val="-2"/>
        </w:rPr>
        <w:t xml:space="preserve"> % </w:t>
      </w:r>
      <w:r w:rsidRPr="005349F4">
        <w:rPr>
          <w:spacing w:val="-2"/>
        </w:rPr>
        <w:t>par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rapport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à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l’année</w:t>
      </w:r>
      <w:r w:rsidR="00C75340" w:rsidRPr="005349F4">
        <w:rPr>
          <w:spacing w:val="-2"/>
        </w:rPr>
        <w:t xml:space="preserve"> </w:t>
      </w:r>
      <w:r w:rsidRPr="005349F4">
        <w:rPr>
          <w:spacing w:val="-2"/>
        </w:rPr>
        <w:t>précédente.</w:t>
      </w:r>
    </w:p>
    <w:p w14:paraId="7B117B1F" w14:textId="4F21E539" w:rsidR="00C3295C" w:rsidRDefault="00C3295C" w:rsidP="00C3295C">
      <w:pPr>
        <w:pStyle w:val="SingleTxtG"/>
      </w:pPr>
      <w:r w:rsidRPr="00D86974">
        <w:t>17.</w:t>
      </w:r>
      <w:r w:rsidRPr="00D86974">
        <w:tab/>
        <w:t>L’emploi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continué</w:t>
      </w:r>
      <w:r w:rsidR="00C75340">
        <w:t xml:space="preserve"> </w:t>
      </w:r>
      <w:r w:rsidRPr="00D86974">
        <w:t>d’augmenter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l’hôtellerie-restauration</w:t>
      </w:r>
      <w:r w:rsidR="00C75340">
        <w:t xml:space="preserve"> </w:t>
      </w:r>
      <w:r w:rsidRPr="00D86974">
        <w:t>(0,8</w:t>
      </w:r>
      <w:r w:rsidR="00C75340">
        <w:t> %</w:t>
      </w:r>
      <w:r w:rsidRPr="00D86974">
        <w:t>).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construction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transports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continué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embaucher,</w:t>
      </w:r>
      <w:r w:rsidR="00C75340">
        <w:t xml:space="preserve"> </w:t>
      </w:r>
      <w:r w:rsidRPr="00D86974">
        <w:t>enregistrant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progressions</w:t>
      </w:r>
      <w:r w:rsidR="00C75340">
        <w:t xml:space="preserve"> </w:t>
      </w:r>
      <w:r w:rsidRPr="00D86974">
        <w:t>d’emploi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3,3</w:t>
      </w:r>
      <w:r w:rsidR="00C75340">
        <w:t xml:space="preserve"> % </w:t>
      </w:r>
      <w:r w:rsidRPr="00D86974">
        <w:t>et</w:t>
      </w:r>
      <w:r w:rsidR="00C75340">
        <w:t xml:space="preserve"> </w:t>
      </w:r>
      <w:r w:rsidRPr="00D86974">
        <w:t>3,7</w:t>
      </w:r>
      <w:r w:rsidR="00C75340">
        <w:t> %</w:t>
      </w:r>
      <w:r w:rsidRPr="00D86974">
        <w:t>,</w:t>
      </w:r>
      <w:r w:rsidR="00C75340">
        <w:t xml:space="preserve"> </w:t>
      </w:r>
      <w:r w:rsidRPr="00D86974">
        <w:t>grâce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hausse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l’investissement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commerce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commandes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diverses</w:t>
      </w:r>
      <w:r w:rsidR="00C75340">
        <w:t xml:space="preserve"> </w:t>
      </w:r>
      <w:r w:rsidRPr="00D86974">
        <w:t>plateformes.</w:t>
      </w:r>
    </w:p>
    <w:p w14:paraId="68AD5968" w14:textId="20F9F2B5" w:rsidR="00C3295C" w:rsidRPr="00D86974" w:rsidRDefault="00C3295C" w:rsidP="00C3295C">
      <w:pPr>
        <w:pStyle w:val="SingleTxtG"/>
      </w:pPr>
      <w:r w:rsidRPr="00D86974">
        <w:t>18.</w:t>
      </w:r>
      <w:r w:rsidRPr="00D86974">
        <w:tab/>
        <w:t>Néanmoins,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l’emploi</w:t>
      </w:r>
      <w:r w:rsidR="00C75340">
        <w:t xml:space="preserve"> </w:t>
      </w:r>
      <w:r w:rsidRPr="00D86974">
        <w:t>global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diminué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0,7</w:t>
      </w:r>
      <w:r w:rsidR="00C75340">
        <w:t xml:space="preserve"> % </w:t>
      </w:r>
      <w:r w:rsidRPr="00D86974">
        <w:t>à</w:t>
      </w:r>
      <w:r w:rsidR="00C75340">
        <w:t xml:space="preserve"> </w:t>
      </w:r>
      <w:r w:rsidRPr="00D86974">
        <w:t>l’échelle</w:t>
      </w:r>
      <w:r w:rsidR="00C75340">
        <w:t xml:space="preserve"> </w:t>
      </w:r>
      <w:r w:rsidRPr="00D86974">
        <w:t>nationale.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marché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touché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effet</w:t>
      </w:r>
      <w:r w:rsidR="00C75340">
        <w:t xml:space="preserve"> </w:t>
      </w:r>
      <w:r w:rsidRPr="00D86974">
        <w:t>cyclique</w:t>
      </w:r>
      <w:r w:rsidR="00C75340">
        <w:t xml:space="preserve"> </w:t>
      </w:r>
      <w:r w:rsidRPr="00D86974">
        <w:t>dû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ralentissement</w:t>
      </w:r>
      <w:r w:rsidR="00C75340">
        <w:t xml:space="preserve"> </w:t>
      </w:r>
      <w:r w:rsidRPr="00D86974">
        <w:t>économique,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réduit</w:t>
      </w:r>
      <w:r w:rsidR="00C75340">
        <w:t xml:space="preserve"> </w:t>
      </w:r>
      <w:r w:rsidRPr="00D86974">
        <w:t>l’emploi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production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exportations,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effet</w:t>
      </w:r>
      <w:r w:rsidR="00C75340">
        <w:t xml:space="preserve"> </w:t>
      </w:r>
      <w:r w:rsidRPr="00D86974">
        <w:t>structurel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entraîné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modification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structure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marché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meilleures</w:t>
      </w:r>
      <w:r w:rsidR="00C75340">
        <w:t xml:space="preserve"> </w:t>
      </w:r>
      <w:r w:rsidRPr="00D86974">
        <w:t>possibilités</w:t>
      </w:r>
      <w:r w:rsidR="00C75340">
        <w:t xml:space="preserve"> </w:t>
      </w:r>
      <w:r w:rsidRPr="00D86974">
        <w:t>d’accès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l’éducation,</w:t>
      </w:r>
      <w:r w:rsidR="00C75340">
        <w:t xml:space="preserve"> </w:t>
      </w:r>
      <w:r w:rsidRPr="00D86974">
        <w:t>susceptibles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retarder</w:t>
      </w:r>
      <w:r w:rsidR="00C75340">
        <w:t xml:space="preserve"> </w:t>
      </w:r>
      <w:r w:rsidRPr="00D86974">
        <w:t>l’entrée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travailleurs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marché,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qu’un</w:t>
      </w:r>
      <w:r w:rsidR="00C75340">
        <w:t xml:space="preserve"> </w:t>
      </w:r>
      <w:r w:rsidRPr="00D86974">
        <w:t>progrès</w:t>
      </w:r>
      <w:r w:rsidR="00C75340">
        <w:t xml:space="preserve"> </w:t>
      </w:r>
      <w:r w:rsidRPr="00D86974">
        <w:t>technologique.</w:t>
      </w:r>
    </w:p>
    <w:p w14:paraId="5D4BE271" w14:textId="27585834" w:rsidR="00C3295C" w:rsidRPr="00D86974" w:rsidRDefault="00C3295C" w:rsidP="00C3295C">
      <w:pPr>
        <w:pStyle w:val="SingleTxtG"/>
      </w:pPr>
      <w:r w:rsidRPr="00D86974">
        <w:t>19.</w:t>
      </w:r>
      <w:r w:rsidRPr="00D86974">
        <w:tab/>
        <w:t>En</w:t>
      </w:r>
      <w:r w:rsidR="00C75340">
        <w:t xml:space="preserve"> </w:t>
      </w:r>
      <w:r w:rsidRPr="00D86974">
        <w:t>mars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comptait</w:t>
      </w:r>
      <w:r w:rsidR="00C75340">
        <w:t xml:space="preserve"> </w:t>
      </w:r>
      <w:r w:rsidRPr="00D86974">
        <w:t>616</w:t>
      </w:r>
      <w:r w:rsidR="005349F4">
        <w:t> </w:t>
      </w:r>
      <w:r w:rsidRPr="00D86974">
        <w:t>492</w:t>
      </w:r>
      <w:r w:rsidR="00C75340">
        <w:t xml:space="preserve"> </w:t>
      </w:r>
      <w:r w:rsidRPr="00D86974">
        <w:t>actifs</w:t>
      </w:r>
      <w:r w:rsidR="00C75340">
        <w:t xml:space="preserve"> </w:t>
      </w:r>
      <w:r w:rsidRPr="00D86974">
        <w:t>affiliés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syndicat.</w:t>
      </w:r>
    </w:p>
    <w:p w14:paraId="433AE5F6" w14:textId="4C33B935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Dépenses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consommation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ménages</w:t>
      </w:r>
    </w:p>
    <w:p w14:paraId="4594F133" w14:textId="078E9773" w:rsidR="00C3295C" w:rsidRPr="00D86974" w:rsidRDefault="00C3295C" w:rsidP="00C3295C">
      <w:pPr>
        <w:pStyle w:val="SingleTxtG"/>
      </w:pPr>
      <w:bookmarkStart w:id="3" w:name="_Ref51892242"/>
      <w:r w:rsidRPr="00D86974">
        <w:t>20.</w:t>
      </w:r>
      <w:r w:rsidRPr="00D86974">
        <w:tab/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principales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consommation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ménages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suivantes</w:t>
      </w:r>
      <w:r w:rsidR="000E46EC">
        <w:t> :</w:t>
      </w:r>
      <w:r w:rsidR="00C75340">
        <w:t xml:space="preserve"> </w:t>
      </w:r>
      <w:r w:rsidRPr="00D86974">
        <w:t>aliments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boissons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alcoolisées</w:t>
      </w:r>
      <w:r w:rsidR="00C75340">
        <w:t xml:space="preserve"> </w:t>
      </w:r>
      <w:r w:rsidRPr="00D86974">
        <w:t>(38,31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boissons</w:t>
      </w:r>
      <w:r w:rsidR="00C75340">
        <w:t xml:space="preserve"> </w:t>
      </w:r>
      <w:r w:rsidRPr="00D86974">
        <w:t>alcoolisées</w:t>
      </w:r>
      <w:r w:rsidR="00C75340">
        <w:t xml:space="preserve"> </w:t>
      </w:r>
      <w:r w:rsidRPr="00D86974">
        <w:t>(1,37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produits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tabac</w:t>
      </w:r>
      <w:r w:rsidR="00C75340">
        <w:t xml:space="preserve"> </w:t>
      </w:r>
      <w:r w:rsidRPr="00D86974">
        <w:t>(0,68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ménagers</w:t>
      </w:r>
      <w:r w:rsidR="00C75340">
        <w:t xml:space="preserve"> </w:t>
      </w:r>
      <w:r w:rsidRPr="00D86974">
        <w:t>(23,38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vêtements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chaussures</w:t>
      </w:r>
      <w:r w:rsidR="00C75340">
        <w:t xml:space="preserve"> </w:t>
      </w:r>
      <w:r w:rsidRPr="00D86974">
        <w:t>(2,5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personnelles</w:t>
      </w:r>
      <w:r w:rsidR="00C75340">
        <w:t xml:space="preserve"> </w:t>
      </w:r>
      <w:r w:rsidRPr="00D86974">
        <w:t>(3,43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(1,78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transports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communications</w:t>
      </w:r>
      <w:r w:rsidR="00C75340">
        <w:t xml:space="preserve"> </w:t>
      </w:r>
      <w:r w:rsidRPr="00D86974">
        <w:t>(23,94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éducation</w:t>
      </w:r>
      <w:r w:rsidR="00C75340">
        <w:t xml:space="preserve"> </w:t>
      </w:r>
      <w:r w:rsidRPr="00D86974">
        <w:t>(2,02</w:t>
      </w:r>
      <w:r w:rsidR="00C75340">
        <w:t> %</w:t>
      </w:r>
      <w:r w:rsidRPr="00D86974">
        <w:t>),</w:t>
      </w:r>
      <w:r w:rsidR="00C75340">
        <w:t xml:space="preserve"> </w:t>
      </w:r>
      <w:r w:rsidRPr="00D86974">
        <w:t>loisirs,</w:t>
      </w:r>
      <w:r w:rsidR="00C75340">
        <w:t xml:space="preserve"> </w:t>
      </w:r>
      <w:r w:rsidRPr="00D86974">
        <w:t>lecture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religieuses</w:t>
      </w:r>
      <w:r w:rsidR="00C75340">
        <w:t xml:space="preserve"> </w:t>
      </w:r>
      <w:r w:rsidRPr="00D86974">
        <w:t>(1,77</w:t>
      </w:r>
      <w:r w:rsidR="00C75340">
        <w:t> %</w:t>
      </w:r>
      <w:r w:rsidRPr="00D86974">
        <w:t>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culturelles</w:t>
      </w:r>
      <w:r w:rsidR="00C75340">
        <w:t xml:space="preserve"> </w:t>
      </w:r>
      <w:r w:rsidRPr="00D86974">
        <w:t>(0,82</w:t>
      </w:r>
      <w:r w:rsidR="00C75340">
        <w:t> %</w:t>
      </w:r>
      <w:r w:rsidRPr="00D86974">
        <w:t>).</w:t>
      </w:r>
      <w:bookmarkEnd w:id="3"/>
    </w:p>
    <w:p w14:paraId="7DF5FB67" w14:textId="6B85885D" w:rsidR="00C3295C" w:rsidRPr="00D86974" w:rsidRDefault="00C3295C" w:rsidP="00C3295C">
      <w:pPr>
        <w:pStyle w:val="SingleTxtG"/>
      </w:pPr>
      <w:r w:rsidRPr="00D86974">
        <w:t>21.</w:t>
      </w:r>
      <w:r w:rsidRPr="00D86974">
        <w:tab/>
        <w:t>Pour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année,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coefficient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Gini,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répartition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revenus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consommation,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0,364.</w:t>
      </w:r>
    </w:p>
    <w:p w14:paraId="60BAA25D" w14:textId="77777777" w:rsidR="00C3295C" w:rsidRPr="00D86974" w:rsidRDefault="00C3295C" w:rsidP="00C3295C">
      <w:pPr>
        <w:pStyle w:val="H23G"/>
      </w:pPr>
      <w:r w:rsidRPr="00D86974">
        <w:lastRenderedPageBreak/>
        <w:tab/>
      </w:r>
      <w:r w:rsidRPr="00D86974">
        <w:tab/>
      </w:r>
      <w:r w:rsidRPr="00D86974">
        <w:rPr>
          <w:bCs/>
        </w:rPr>
        <w:t>Santé</w:t>
      </w:r>
    </w:p>
    <w:p w14:paraId="72F3C50A" w14:textId="4E787E0F" w:rsidR="00C3295C" w:rsidRPr="00D86974" w:rsidRDefault="00C3295C" w:rsidP="00C3295C">
      <w:pPr>
        <w:pStyle w:val="SingleTxtG"/>
      </w:pPr>
      <w:r w:rsidRPr="00D86974">
        <w:t>22.</w:t>
      </w:r>
      <w:r w:rsidRPr="00D86974">
        <w:tab/>
        <w:t>En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représenté</w:t>
      </w:r>
      <w:r w:rsidR="00C75340">
        <w:t xml:space="preserve"> </w:t>
      </w:r>
      <w:r w:rsidRPr="00D86974">
        <w:t>environ</w:t>
      </w:r>
      <w:r w:rsidR="00C75340">
        <w:t xml:space="preserve"> </w:t>
      </w:r>
      <w:r w:rsidRPr="00D86974">
        <w:t>3,7</w:t>
      </w:r>
      <w:r w:rsidR="00C75340">
        <w:t xml:space="preserve"> % </w:t>
      </w:r>
      <w:r w:rsidRPr="00D86974">
        <w:t>du</w:t>
      </w:r>
      <w:r w:rsidR="00C75340">
        <w:t xml:space="preserve"> </w:t>
      </w:r>
      <w:r w:rsidRPr="00D86974">
        <w:t>PIB.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indiqué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paragraphe</w:t>
      </w:r>
      <w:r w:rsidR="00C75340">
        <w:t xml:space="preserve"> </w:t>
      </w:r>
      <w:r w:rsidRPr="00D86974">
        <w:t>20,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consommation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ménages</w:t>
      </w:r>
      <w:r w:rsidR="00C75340">
        <w:t xml:space="preserve"> </w:t>
      </w:r>
      <w:r w:rsidRPr="00D86974">
        <w:t>consacrée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1,78</w:t>
      </w:r>
      <w:r w:rsidR="00C75340">
        <w:t> %</w:t>
      </w:r>
      <w:r w:rsidRPr="00D86974">
        <w:t>.</w:t>
      </w:r>
    </w:p>
    <w:p w14:paraId="0CDB091F" w14:textId="41F35FA8" w:rsidR="00C3295C" w:rsidRPr="005349F4" w:rsidRDefault="00C3295C" w:rsidP="00C3295C">
      <w:pPr>
        <w:pStyle w:val="SingleTxtG"/>
        <w:rPr>
          <w:spacing w:val="-1"/>
        </w:rPr>
      </w:pPr>
      <w:r w:rsidRPr="005349F4">
        <w:rPr>
          <w:spacing w:val="-1"/>
        </w:rPr>
        <w:t>23.</w:t>
      </w:r>
      <w:r w:rsidRPr="005349F4">
        <w:rPr>
          <w:spacing w:val="-1"/>
        </w:rPr>
        <w:tab/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Thaïlande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félicite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d’avoir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mis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place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couverture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sanitaire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universelle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(CSU).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régime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CSU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couvre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près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100</w:t>
      </w:r>
      <w:r w:rsidR="00C75340" w:rsidRPr="005349F4">
        <w:rPr>
          <w:spacing w:val="-1"/>
        </w:rPr>
        <w:t xml:space="preserve"> %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population.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Bien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qu’étant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pays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à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revenu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intermédiaire,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matière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CSU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Thaïlande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est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reconnue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comme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modèle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dont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l’expérience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mérite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d’être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partagée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avec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d’autres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pays.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Dans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même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temps,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elle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s’est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engagée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à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améliorer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continuellement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CSU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afin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garantir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accès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plus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équitable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pour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tous.</w:t>
      </w:r>
    </w:p>
    <w:p w14:paraId="49F9A0BC" w14:textId="039D8F15" w:rsidR="00C3295C" w:rsidRPr="005349F4" w:rsidRDefault="00C3295C" w:rsidP="00C3295C">
      <w:pPr>
        <w:pStyle w:val="SingleTxtG"/>
        <w:rPr>
          <w:spacing w:val="-1"/>
        </w:rPr>
      </w:pPr>
      <w:r w:rsidRPr="005349F4">
        <w:rPr>
          <w:spacing w:val="-1"/>
        </w:rPr>
        <w:t>24.</w:t>
      </w:r>
      <w:r w:rsidRPr="005349F4">
        <w:rPr>
          <w:spacing w:val="-1"/>
        </w:rPr>
        <w:tab/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qui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concerne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santé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sexuelle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procréative,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Thaïlande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progressivement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mis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œuvre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cibles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objectifs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pertinents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Programme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développement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durable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à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l’horizon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2030.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2019,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pourcentage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femmes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âge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procréer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utilisant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contraception,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ou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dont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partenaire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utilisait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contraception,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été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enregistré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à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78,4</w:t>
      </w:r>
      <w:r w:rsidR="00C75340" w:rsidRPr="005349F4">
        <w:rPr>
          <w:spacing w:val="-1"/>
        </w:rPr>
        <w:t> %</w:t>
      </w:r>
      <w:r w:rsidRPr="005349F4">
        <w:rPr>
          <w:spacing w:val="-1"/>
        </w:rPr>
        <w:t>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contre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72</w:t>
      </w:r>
      <w:r w:rsidR="00C75340" w:rsidRPr="005349F4">
        <w:rPr>
          <w:spacing w:val="-1"/>
        </w:rPr>
        <w:t xml:space="preserve"> %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1994.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Fonds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Nations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Unies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pour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population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(FNUAP)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considéré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qu’au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cours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des</w:t>
      </w:r>
      <w:r w:rsidR="00C75340" w:rsidRPr="005349F4">
        <w:rPr>
          <w:spacing w:val="-1"/>
        </w:rPr>
        <w:t xml:space="preserve"> </w:t>
      </w:r>
      <w:r w:rsidR="005349F4" w:rsidRPr="005349F4">
        <w:rPr>
          <w:spacing w:val="-1"/>
        </w:rPr>
        <w:t xml:space="preserve">vingt-cinq </w:t>
      </w:r>
      <w:r w:rsidRPr="005349F4">
        <w:rPr>
          <w:spacing w:val="-1"/>
        </w:rPr>
        <w:t>dernières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années,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Thaïlande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avait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été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l’un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pays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pionniers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précurseurs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matière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réalisation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objectifs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en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faveur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du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développement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et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de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la</w:t>
      </w:r>
      <w:r w:rsidR="00C75340" w:rsidRPr="005349F4">
        <w:rPr>
          <w:spacing w:val="-1"/>
        </w:rPr>
        <w:t xml:space="preserve"> </w:t>
      </w:r>
      <w:r w:rsidRPr="005349F4">
        <w:rPr>
          <w:spacing w:val="-1"/>
        </w:rPr>
        <w:t>population.</w:t>
      </w:r>
    </w:p>
    <w:p w14:paraId="0898282A" w14:textId="0BA1B807" w:rsidR="00C3295C" w:rsidRPr="00D86974" w:rsidRDefault="00C3295C" w:rsidP="00C3295C">
      <w:pPr>
        <w:pStyle w:val="SingleTxtG"/>
      </w:pPr>
      <w:r w:rsidRPr="00D86974">
        <w:t>25.</w:t>
      </w:r>
      <w:r w:rsidRPr="00D86974">
        <w:tab/>
        <w:t>En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5</w:t>
      </w:r>
      <w:r w:rsidR="005349F4">
        <w:t> </w:t>
      </w:r>
      <w:r w:rsidRPr="00D86974">
        <w:t>043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d’interruption</w:t>
      </w:r>
      <w:r w:rsidR="00C75340">
        <w:t xml:space="preserve"> </w:t>
      </w:r>
      <w:r w:rsidRPr="00D86974">
        <w:t>médicale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grossesse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comprimés</w:t>
      </w:r>
      <w:r w:rsidR="00C75340">
        <w:t xml:space="preserve"> </w:t>
      </w:r>
      <w:r w:rsidRPr="00D86974">
        <w:t>de</w:t>
      </w:r>
      <w:r w:rsidR="00C75340">
        <w:t xml:space="preserve"> </w:t>
      </w:r>
      <w:proofErr w:type="spellStart"/>
      <w:r w:rsidRPr="00D86974">
        <w:t>Medabon</w:t>
      </w:r>
      <w:proofErr w:type="spellEnd"/>
      <w:r w:rsidR="00C75340">
        <w:t xml:space="preserve"> </w:t>
      </w:r>
      <w:r w:rsidRPr="00D86974">
        <w:t>délivrés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recensés.</w:t>
      </w:r>
    </w:p>
    <w:p w14:paraId="50497AE5" w14:textId="11C6636D" w:rsidR="00C3295C" w:rsidRPr="00D86974" w:rsidRDefault="00C3295C" w:rsidP="00C3295C">
      <w:pPr>
        <w:pStyle w:val="SingleTxtG"/>
      </w:pPr>
      <w:r w:rsidRPr="00D86974">
        <w:t>26.</w:t>
      </w:r>
      <w:r w:rsidRPr="00D86974">
        <w:tab/>
        <w:t>Les</w:t>
      </w:r>
      <w:r w:rsidR="00C75340">
        <w:t xml:space="preserve"> </w:t>
      </w:r>
      <w:r w:rsidRPr="00D86974">
        <w:t>principales</w:t>
      </w:r>
      <w:r w:rsidR="00C75340">
        <w:t xml:space="preserve"> </w:t>
      </w:r>
      <w:r w:rsidRPr="00D86974">
        <w:t>causes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décès</w:t>
      </w:r>
      <w:r w:rsidR="00C75340">
        <w:t xml:space="preserve"> </w:t>
      </w:r>
      <w:r w:rsidRPr="00D86974">
        <w:t>(pour</w:t>
      </w:r>
      <w:r w:rsidR="00C75340">
        <w:t xml:space="preserve"> </w:t>
      </w:r>
      <w:r w:rsidRPr="00D86974">
        <w:t>100</w:t>
      </w:r>
      <w:r w:rsidR="005349F4">
        <w:t> </w:t>
      </w:r>
      <w:r w:rsidRPr="00D86974">
        <w:t>000</w:t>
      </w:r>
      <w:r w:rsidR="00C75340">
        <w:t xml:space="preserve"> </w:t>
      </w:r>
      <w:r w:rsidRPr="00D86974">
        <w:t>habitants)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suivantes</w:t>
      </w:r>
      <w:r w:rsidR="000E46EC">
        <w:t> :</w:t>
      </w:r>
      <w:r w:rsidR="00C75340">
        <w:t xml:space="preserve"> </w:t>
      </w:r>
      <w:r w:rsidRPr="00D86974">
        <w:t>tumeurs</w:t>
      </w:r>
      <w:r w:rsidR="00C75340">
        <w:t xml:space="preserve"> </w:t>
      </w:r>
      <w:r w:rsidRPr="00D86974">
        <w:t>malignes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(120,5),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l’appareil</w:t>
      </w:r>
      <w:r w:rsidR="00C75340">
        <w:t xml:space="preserve"> </w:t>
      </w:r>
      <w:r w:rsidRPr="00D86974">
        <w:t>circulatoire</w:t>
      </w:r>
      <w:r w:rsidR="00C75340">
        <w:t xml:space="preserve"> </w:t>
      </w:r>
      <w:r w:rsidRPr="00D86974">
        <w:t>(103,7),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l’appareil</w:t>
      </w:r>
      <w:r w:rsidR="00C75340">
        <w:t xml:space="preserve"> </w:t>
      </w:r>
      <w:r w:rsidRPr="00D86974">
        <w:t>respiratoire</w:t>
      </w:r>
      <w:r w:rsidR="00C75340">
        <w:t xml:space="preserve"> </w:t>
      </w:r>
      <w:r w:rsidRPr="00D86974">
        <w:t>(64,0),</w:t>
      </w:r>
      <w:r w:rsidR="00C75340">
        <w:t xml:space="preserve"> </w:t>
      </w:r>
      <w:r w:rsidRPr="00D86974">
        <w:t>causes</w:t>
      </w:r>
      <w:r w:rsidR="00C75340">
        <w:t xml:space="preserve"> </w:t>
      </w:r>
      <w:r w:rsidRPr="00D86974">
        <w:t>externes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morbidité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mortalité</w:t>
      </w:r>
      <w:r w:rsidR="00C75340">
        <w:t xml:space="preserve"> </w:t>
      </w:r>
      <w:r w:rsidRPr="00D86974">
        <w:t>(59,7),</w:t>
      </w:r>
      <w:r w:rsidR="00C75340">
        <w:t xml:space="preserve"> </w:t>
      </w:r>
      <w:r w:rsidRPr="00D86974">
        <w:t>certaines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infectieuses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parasitaires</w:t>
      </w:r>
      <w:r w:rsidR="00C75340">
        <w:t xml:space="preserve"> </w:t>
      </w:r>
      <w:r w:rsidRPr="00D86974">
        <w:t>(56,7),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l’appareil</w:t>
      </w:r>
      <w:r w:rsidR="00C75340">
        <w:t xml:space="preserve"> </w:t>
      </w:r>
      <w:r w:rsidRPr="00D86974">
        <w:t>génito-urinaire</w:t>
      </w:r>
      <w:r w:rsidR="00C75340">
        <w:t xml:space="preserve"> </w:t>
      </w:r>
      <w:r w:rsidRPr="00D86974">
        <w:t>(35,2),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l’appareil</w:t>
      </w:r>
      <w:r w:rsidR="00C75340">
        <w:t xml:space="preserve"> </w:t>
      </w:r>
      <w:r w:rsidRPr="00D86974">
        <w:t>digestif</w:t>
      </w:r>
      <w:r w:rsidR="00C75340">
        <w:t xml:space="preserve"> </w:t>
      </w:r>
      <w:r w:rsidRPr="00D86974">
        <w:t>(29,7),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endocriniennes,</w:t>
      </w:r>
      <w:r w:rsidR="00C75340">
        <w:t xml:space="preserve"> </w:t>
      </w:r>
      <w:r w:rsidRPr="00D86974">
        <w:t>nutritionnelles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métaboliques</w:t>
      </w:r>
      <w:r w:rsidR="00C75340">
        <w:t xml:space="preserve"> </w:t>
      </w:r>
      <w:r w:rsidRPr="00D86974">
        <w:t>(23,9),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nerveux</w:t>
      </w:r>
      <w:r w:rsidR="00C75340">
        <w:t xml:space="preserve"> </w:t>
      </w:r>
      <w:r w:rsidRPr="00D86974">
        <w:t>(17,6),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sang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hématopoïétiques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certains</w:t>
      </w:r>
      <w:r w:rsidR="00C75340">
        <w:t xml:space="preserve"> </w:t>
      </w:r>
      <w:r w:rsidRPr="00D86974">
        <w:t>troubles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mécanisme</w:t>
      </w:r>
      <w:r w:rsidR="00C75340">
        <w:t xml:space="preserve"> </w:t>
      </w:r>
      <w:r w:rsidRPr="00D86974">
        <w:t>immunitaire</w:t>
      </w:r>
      <w:r w:rsidR="00C75340">
        <w:t xml:space="preserve"> </w:t>
      </w:r>
      <w:r w:rsidRPr="00D86974">
        <w:t>(1,7).</w:t>
      </w:r>
    </w:p>
    <w:p w14:paraId="2DFC8067" w14:textId="105D8BCE" w:rsidR="00C3295C" w:rsidRDefault="00C3295C" w:rsidP="00C3295C">
      <w:pPr>
        <w:pStyle w:val="SingleTxtG"/>
      </w:pPr>
      <w:r w:rsidRPr="00D86974">
        <w:t>27.</w:t>
      </w:r>
      <w:r w:rsidRPr="00D86974">
        <w:tab/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prévalence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principales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transmissibles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100</w:t>
      </w:r>
      <w:r w:rsidR="005349F4">
        <w:t> </w:t>
      </w:r>
      <w:r w:rsidRPr="00D86974">
        <w:t>000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traitées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hôpitaux</w:t>
      </w:r>
      <w:r w:rsidR="00C75340">
        <w:t xml:space="preserve"> </w:t>
      </w:r>
      <w:r w:rsidRPr="00D86974">
        <w:t>relevant</w:t>
      </w:r>
      <w:r w:rsidR="00C75340">
        <w:t xml:space="preserve"> </w:t>
      </w:r>
      <w:r w:rsidRPr="00D86974">
        <w:t>placés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responsabilité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suivante</w:t>
      </w:r>
      <w:r w:rsidR="000E46EC">
        <w:t> :</w:t>
      </w:r>
      <w:r w:rsidR="00C75340">
        <w:t xml:space="preserve"> </w:t>
      </w:r>
      <w:r w:rsidRPr="00D86974">
        <w:t>i)</w:t>
      </w:r>
      <w:r w:rsidR="005349F4">
        <w:t> </w:t>
      </w:r>
      <w:r w:rsidRPr="00D86974">
        <w:t>maladie</w:t>
      </w:r>
      <w:r w:rsidR="00C75340">
        <w:t xml:space="preserve"> </w:t>
      </w:r>
      <w:r w:rsidRPr="00D86974">
        <w:t>coronarienne</w:t>
      </w:r>
      <w:r w:rsidR="00C75340">
        <w:t xml:space="preserve"> </w:t>
      </w:r>
      <w:r w:rsidRPr="00D86974">
        <w:t>(610,2)</w:t>
      </w:r>
      <w:r w:rsidR="005349F4">
        <w:t> ;</w:t>
      </w:r>
      <w:r w:rsidR="00C75340">
        <w:t xml:space="preserve"> </w:t>
      </w:r>
      <w:r w:rsidRPr="00D86974">
        <w:t>ii)</w:t>
      </w:r>
      <w:r w:rsidR="005349F4">
        <w:t> </w:t>
      </w:r>
      <w:proofErr w:type="spellStart"/>
      <w:r w:rsidRPr="00D86974">
        <w:t>bronchopneumopathie</w:t>
      </w:r>
      <w:proofErr w:type="spellEnd"/>
      <w:r w:rsidR="00C75340">
        <w:t xml:space="preserve"> </w:t>
      </w:r>
      <w:r w:rsidRPr="00D86974">
        <w:t>chronique</w:t>
      </w:r>
      <w:r w:rsidR="00C75340">
        <w:t xml:space="preserve"> </w:t>
      </w:r>
      <w:r w:rsidRPr="00D86974">
        <w:t>obstructive</w:t>
      </w:r>
      <w:r w:rsidR="00C75340">
        <w:t xml:space="preserve"> </w:t>
      </w:r>
      <w:r w:rsidRPr="00D86974">
        <w:t>(473,6)</w:t>
      </w:r>
      <w:r w:rsidR="005349F4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iii)</w:t>
      </w:r>
      <w:r w:rsidR="005349F4">
        <w:t> </w:t>
      </w:r>
      <w:r w:rsidRPr="00D86974">
        <w:t>diabète</w:t>
      </w:r>
      <w:r w:rsidR="00C75340">
        <w:t xml:space="preserve"> </w:t>
      </w:r>
      <w:r w:rsidRPr="00D86974">
        <w:t>(5</w:t>
      </w:r>
      <w:r w:rsidR="005349F4">
        <w:t> </w:t>
      </w:r>
      <w:r w:rsidRPr="00D86974">
        <w:t>440,8).</w:t>
      </w:r>
    </w:p>
    <w:p w14:paraId="4AD6C7C2" w14:textId="0D493C2B" w:rsidR="00C3295C" w:rsidRPr="00D86974" w:rsidRDefault="00C3295C" w:rsidP="00C3295C">
      <w:pPr>
        <w:pStyle w:val="SingleTxtG"/>
      </w:pPr>
      <w:r w:rsidRPr="00D86974">
        <w:t>28.</w:t>
      </w:r>
      <w:r w:rsidRPr="00D86974">
        <w:tab/>
        <w:t>En</w:t>
      </w:r>
      <w:r w:rsidR="00C75340">
        <w:t xml:space="preserve"> </w:t>
      </w:r>
      <w:r w:rsidRPr="00D86974">
        <w:t>octobre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comptait</w:t>
      </w:r>
      <w:r w:rsidR="00C75340">
        <w:t xml:space="preserve"> </w:t>
      </w:r>
      <w:r w:rsidRPr="00D86974">
        <w:t>450</w:t>
      </w:r>
      <w:r w:rsidR="005349F4">
        <w:t> </w:t>
      </w:r>
      <w:r w:rsidRPr="00D86974">
        <w:t>573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infectées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VIH/sida.</w:t>
      </w:r>
    </w:p>
    <w:p w14:paraId="2CBA3D3D" w14:textId="7777777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Éducation</w:t>
      </w:r>
    </w:p>
    <w:p w14:paraId="7FCC05E1" w14:textId="311B3711" w:rsidR="00C3295C" w:rsidRDefault="00C3295C" w:rsidP="00C3295C">
      <w:pPr>
        <w:pStyle w:val="SingleTxtG"/>
      </w:pPr>
      <w:bookmarkStart w:id="4" w:name="_Ref45066167"/>
      <w:r w:rsidRPr="00D86974">
        <w:t>29.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d’éducation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(voir</w:t>
      </w:r>
      <w:r w:rsidR="00C75340">
        <w:t xml:space="preserve"> </w:t>
      </w:r>
      <w:r w:rsidRPr="00D86974">
        <w:t>point</w:t>
      </w:r>
      <w:r w:rsidR="00C75340">
        <w:t xml:space="preserve"> </w:t>
      </w:r>
      <w:r w:rsidRPr="00D86974">
        <w:t>114).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taux</w:t>
      </w:r>
      <w:r w:rsidR="00C75340">
        <w:t xml:space="preserve"> </w:t>
      </w:r>
      <w:r w:rsidRPr="00D86974">
        <w:t>net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scolarisation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primaire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secondaire,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pourcentage</w:t>
      </w:r>
      <w:r w:rsidR="00C75340">
        <w:t xml:space="preserve"> </w:t>
      </w:r>
      <w:r w:rsidRPr="00D86974">
        <w:t>d’élèves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d’âge</w:t>
      </w:r>
      <w:r w:rsidR="00C75340">
        <w:t xml:space="preserve"> </w:t>
      </w:r>
      <w:r w:rsidRPr="00D86974">
        <w:t>scolaire,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102,74</w:t>
      </w:r>
      <w:r w:rsidR="00C75340">
        <w:t xml:space="preserve"> % </w:t>
      </w:r>
      <w:r w:rsidRPr="00D86974">
        <w:t>(46,72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53,28</w:t>
      </w:r>
      <w:r w:rsidR="00C75340">
        <w:t xml:space="preserve"> % </w:t>
      </w:r>
      <w:r w:rsidRPr="00D86974">
        <w:t>d’hommes)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87,52</w:t>
      </w:r>
      <w:r w:rsidR="00C75340">
        <w:t xml:space="preserve"> % </w:t>
      </w:r>
      <w:r w:rsidRPr="00D86974">
        <w:t>(50,25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49,75</w:t>
      </w:r>
      <w:r w:rsidR="00C75340">
        <w:t xml:space="preserve"> % </w:t>
      </w:r>
      <w:r w:rsidRPr="00D86974">
        <w:t>d’hommes).</w:t>
      </w:r>
      <w:bookmarkEnd w:id="4"/>
    </w:p>
    <w:p w14:paraId="510A75D5" w14:textId="5FB45343" w:rsidR="00C3295C" w:rsidRPr="00D86974" w:rsidRDefault="00C3295C" w:rsidP="00C3295C">
      <w:pPr>
        <w:pStyle w:val="SingleTxtG"/>
      </w:pPr>
      <w:r w:rsidRPr="00D86974">
        <w:t>30.</w:t>
      </w:r>
      <w:r w:rsidRPr="00D86974">
        <w:tab/>
        <w:t>Les</w:t>
      </w:r>
      <w:r w:rsidR="00C75340">
        <w:t xml:space="preserve"> </w:t>
      </w:r>
      <w:r w:rsidRPr="00D86974">
        <w:t>taux</w:t>
      </w:r>
      <w:r w:rsidR="00C75340">
        <w:t xml:space="preserve"> </w:t>
      </w:r>
      <w:r w:rsidRPr="00D86974">
        <w:t>d’abandon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2016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0,04</w:t>
      </w:r>
      <w:r w:rsidR="00C75340">
        <w:t xml:space="preserve"> % </w:t>
      </w:r>
      <w:r w:rsidRPr="00D86974">
        <w:t>dans</w:t>
      </w:r>
      <w:r w:rsidR="00C75340">
        <w:t xml:space="preserve"> </w:t>
      </w:r>
      <w:r w:rsidRPr="00D86974">
        <w:t>l’enseignement</w:t>
      </w:r>
      <w:r w:rsidR="00C75340">
        <w:t xml:space="preserve"> </w:t>
      </w:r>
      <w:r w:rsidRPr="00D86974">
        <w:t>primaire,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0,16</w:t>
      </w:r>
      <w:r w:rsidR="00C75340">
        <w:t xml:space="preserve"> % </w:t>
      </w:r>
      <w:r w:rsidRPr="00D86974">
        <w:t>dans</w:t>
      </w:r>
      <w:r w:rsidR="00C75340">
        <w:t xml:space="preserve"> </w:t>
      </w:r>
      <w:r w:rsidRPr="00D86974">
        <w:t>l’enseignement</w:t>
      </w:r>
      <w:r w:rsidR="00C75340">
        <w:t xml:space="preserve"> </w:t>
      </w:r>
      <w:r w:rsidRPr="00D86974">
        <w:t>secondaire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cycle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0,13</w:t>
      </w:r>
      <w:r w:rsidR="00C75340">
        <w:t xml:space="preserve"> % </w:t>
      </w:r>
      <w:r w:rsidRPr="00D86974">
        <w:t>dans</w:t>
      </w:r>
      <w:r w:rsidR="00C75340">
        <w:t xml:space="preserve"> </w:t>
      </w:r>
      <w:r w:rsidRPr="00D86974">
        <w:t>l’enseignement</w:t>
      </w:r>
      <w:r w:rsidR="00C75340">
        <w:t xml:space="preserve"> </w:t>
      </w:r>
      <w:r w:rsidRPr="00D86974">
        <w:t>secondaire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deuxième</w:t>
      </w:r>
      <w:r w:rsidR="00C75340">
        <w:t xml:space="preserve"> </w:t>
      </w:r>
      <w:r w:rsidRPr="00D86974">
        <w:t>cycle,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représentait</w:t>
      </w:r>
      <w:r w:rsidR="00C75340">
        <w:t xml:space="preserve"> </w:t>
      </w:r>
      <w:r w:rsidRPr="00D86974">
        <w:t>5</w:t>
      </w:r>
      <w:r w:rsidR="005349F4">
        <w:t> </w:t>
      </w:r>
      <w:r w:rsidRPr="00D86974">
        <w:t>377</w:t>
      </w:r>
      <w:r w:rsidR="00C75340">
        <w:t xml:space="preserve"> </w:t>
      </w:r>
      <w:r w:rsidRPr="00D86974">
        <w:t>étudiants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total.</w:t>
      </w:r>
    </w:p>
    <w:p w14:paraId="19575834" w14:textId="68D17071" w:rsidR="00C3295C" w:rsidRPr="00D86974" w:rsidRDefault="00C3295C" w:rsidP="00C3295C">
      <w:pPr>
        <w:pStyle w:val="SingleTxtG"/>
      </w:pPr>
      <w:r w:rsidRPr="00D86974">
        <w:t>31.</w:t>
      </w:r>
      <w:r w:rsidRPr="00D86974">
        <w:tab/>
        <w:t>Selon</w:t>
      </w:r>
      <w:r w:rsidR="00C75340">
        <w:t xml:space="preserve"> </w:t>
      </w:r>
      <w:r w:rsidRPr="00D86974">
        <w:t>l’enquête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2018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acquis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élèves</w:t>
      </w:r>
      <w:r w:rsidR="00C75340">
        <w:t xml:space="preserve"> </w:t>
      </w:r>
      <w:r w:rsidRPr="00D86974">
        <w:t>(PISA),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scores</w:t>
      </w:r>
      <w:r w:rsidR="00C75340">
        <w:t xml:space="preserve"> </w:t>
      </w:r>
      <w:r w:rsidRPr="00D86974">
        <w:t>moyens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élèves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lecture,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mathématiques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sciences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393,</w:t>
      </w:r>
      <w:r w:rsidR="00C75340">
        <w:t xml:space="preserve"> </w:t>
      </w:r>
      <w:r w:rsidRPr="00D86974">
        <w:t>419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426,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inférieurs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moyennes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487,</w:t>
      </w:r>
      <w:r w:rsidR="00C75340">
        <w:t xml:space="preserve"> </w:t>
      </w:r>
      <w:r w:rsidRPr="00D86974">
        <w:t>489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489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l’Organisation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économiques</w:t>
      </w:r>
      <w:r w:rsidR="00C75340">
        <w:t xml:space="preserve"> </w:t>
      </w:r>
      <w:r w:rsidRPr="00D86974">
        <w:t>(OCDE).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score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lecture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inférieur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16</w:t>
      </w:r>
      <w:r w:rsidR="005349F4">
        <w:t> </w:t>
      </w:r>
      <w:r w:rsidRPr="00D86974">
        <w:t>points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celui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l’enquête</w:t>
      </w:r>
      <w:r w:rsidR="00C75340">
        <w:t xml:space="preserve"> </w:t>
      </w:r>
      <w:r w:rsidRPr="00D86974">
        <w:t>PISA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2015,</w:t>
      </w:r>
      <w:r w:rsidR="00C75340">
        <w:t xml:space="preserve"> </w:t>
      </w:r>
      <w:r w:rsidRPr="00D86974">
        <w:t>tandis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scores</w:t>
      </w:r>
      <w:r w:rsidR="00C75340">
        <w:t xml:space="preserve"> </w:t>
      </w:r>
      <w:r w:rsidRPr="00D86974">
        <w:t>moyens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mathématiques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sciences</w:t>
      </w:r>
      <w:r w:rsidR="00C75340">
        <w:t xml:space="preserve"> </w:t>
      </w:r>
      <w:r w:rsidRPr="00D86974">
        <w:t>avaient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augmenté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4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5</w:t>
      </w:r>
      <w:r w:rsidR="005349F4">
        <w:t> </w:t>
      </w:r>
      <w:r w:rsidRPr="00D86974">
        <w:t>points.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scores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filles</w:t>
      </w:r>
      <w:r w:rsidR="00C75340">
        <w:t xml:space="preserve"> </w:t>
      </w:r>
      <w:r w:rsidRPr="00D86974">
        <w:t>dépassaient</w:t>
      </w:r>
      <w:r w:rsidR="00C75340">
        <w:t xml:space="preserve"> </w:t>
      </w:r>
      <w:r w:rsidRPr="00D86974">
        <w:t>ceux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garçons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39</w:t>
      </w:r>
      <w:r w:rsidR="005349F4">
        <w:t> </w:t>
      </w:r>
      <w:r w:rsidRPr="00D86974">
        <w:t>points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lecture,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16</w:t>
      </w:r>
      <w:r w:rsidR="005349F4">
        <w:t> </w:t>
      </w:r>
      <w:r w:rsidRPr="00D86974">
        <w:t>points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mathématiques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</w:t>
      </w:r>
      <w:r w:rsidR="005349F4">
        <w:t> </w:t>
      </w:r>
      <w:r w:rsidRPr="00D86974">
        <w:t>points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sciences.</w:t>
      </w:r>
    </w:p>
    <w:p w14:paraId="46DF84FA" w14:textId="5D37D5E6" w:rsidR="00C3295C" w:rsidRPr="00D86974" w:rsidRDefault="00C3295C" w:rsidP="00C3295C">
      <w:pPr>
        <w:pStyle w:val="SingleTxtG"/>
      </w:pPr>
      <w:r w:rsidRPr="00D86974">
        <w:t>32.</w:t>
      </w:r>
      <w:r w:rsidRPr="00D86974">
        <w:tab/>
        <w:t>Au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scolaire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510</w:t>
      </w:r>
      <w:r w:rsidR="005349F4">
        <w:t> </w:t>
      </w:r>
      <w:r w:rsidRPr="00D86974">
        <w:t>040</w:t>
      </w:r>
      <w:r w:rsidR="00C75340">
        <w:t xml:space="preserve"> </w:t>
      </w:r>
      <w:r w:rsidRPr="00D86974">
        <w:t>élèves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spéciaux,</w:t>
      </w:r>
      <w:r w:rsidR="00C75340">
        <w:t xml:space="preserve"> </w:t>
      </w:r>
      <w:r w:rsidRPr="00D86974">
        <w:t>scolarisés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26</w:t>
      </w:r>
      <w:r w:rsidR="005349F4">
        <w:t> </w:t>
      </w:r>
      <w:r w:rsidRPr="00D86974">
        <w:t>557</w:t>
      </w:r>
      <w:r w:rsidR="005349F4">
        <w:t xml:space="preserve"> </w:t>
      </w:r>
      <w:r w:rsidRPr="00D86974">
        <w:t>écoles</w:t>
      </w:r>
      <w:r w:rsidR="00C75340">
        <w:t xml:space="preserve"> </w:t>
      </w:r>
      <w:r w:rsidRPr="00D86974">
        <w:t>relevant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base,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bénéficié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subventions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équitable.</w:t>
      </w:r>
      <w:r w:rsidR="00C75340">
        <w:t xml:space="preserve"> </w:t>
      </w:r>
      <w:r w:rsidRPr="00D86974">
        <w:t>On</w:t>
      </w:r>
      <w:r w:rsidR="00C75340">
        <w:t xml:space="preserve"> </w:t>
      </w:r>
      <w:r w:rsidRPr="00D86974">
        <w:t>trouvera</w:t>
      </w:r>
      <w:r w:rsidR="00C75340">
        <w:t xml:space="preserve"> </w:t>
      </w:r>
      <w:r w:rsidRPr="00D86974">
        <w:t>davantage</w:t>
      </w:r>
      <w:r w:rsidR="00C75340">
        <w:t xml:space="preserve"> </w:t>
      </w:r>
      <w:r w:rsidRPr="00D86974">
        <w:t>d’informations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paragraphe</w:t>
      </w:r>
      <w:r w:rsidR="00C75340">
        <w:t xml:space="preserve"> </w:t>
      </w:r>
      <w:r w:rsidRPr="00D86974">
        <w:t>115.</w:t>
      </w:r>
    </w:p>
    <w:p w14:paraId="07FD4C9B" w14:textId="0544CFF9" w:rsidR="00C3295C" w:rsidRPr="00D86974" w:rsidRDefault="00C3295C" w:rsidP="00C3295C">
      <w:pPr>
        <w:pStyle w:val="H1G"/>
      </w:pPr>
      <w:r w:rsidRPr="00D86974">
        <w:rPr>
          <w:bCs/>
        </w:rPr>
        <w:lastRenderedPageBreak/>
        <w:tab/>
        <w:t>B.</w:t>
      </w:r>
      <w:r w:rsidRPr="00D86974">
        <w:tab/>
      </w:r>
      <w:r w:rsidRPr="00D86974">
        <w:rPr>
          <w:bCs/>
        </w:rPr>
        <w:t>Structure</w:t>
      </w:r>
      <w:r w:rsidR="00C75340">
        <w:rPr>
          <w:bCs/>
        </w:rPr>
        <w:t xml:space="preserve"> </w:t>
      </w:r>
      <w:r w:rsidRPr="00D86974">
        <w:rPr>
          <w:bCs/>
        </w:rPr>
        <w:t>constitutionnelle,</w:t>
      </w:r>
      <w:r w:rsidR="00C75340">
        <w:rPr>
          <w:bCs/>
        </w:rPr>
        <w:t xml:space="preserve"> </w:t>
      </w:r>
      <w:r w:rsidRPr="00D86974">
        <w:rPr>
          <w:bCs/>
        </w:rPr>
        <w:t>politique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juridique</w:t>
      </w:r>
      <w:bookmarkStart w:id="5" w:name="_Toc89701534"/>
      <w:bookmarkEnd w:id="5"/>
    </w:p>
    <w:p w14:paraId="1B708B5C" w14:textId="3D88B60A" w:rsidR="00C3295C" w:rsidRDefault="00C3295C" w:rsidP="00C3295C">
      <w:pPr>
        <w:pStyle w:val="SingleTxtG"/>
      </w:pPr>
      <w:r w:rsidRPr="00D86974">
        <w:t>33.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(anciennement</w:t>
      </w:r>
      <w:r w:rsidR="00C75340">
        <w:t xml:space="preserve"> </w:t>
      </w:r>
      <w:r w:rsidRPr="00D86974">
        <w:t>appelée</w:t>
      </w:r>
      <w:r w:rsidR="00C75340">
        <w:t xml:space="preserve"> </w:t>
      </w:r>
      <w:r w:rsidRPr="00D86974">
        <w:t>Siam)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connu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régime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monarchie</w:t>
      </w:r>
      <w:r w:rsidR="00C75340">
        <w:t xml:space="preserve"> </w:t>
      </w:r>
      <w:r w:rsidRPr="00D86974">
        <w:t>absolue</w:t>
      </w:r>
      <w:r w:rsidR="00C75340">
        <w:t xml:space="preserve"> </w:t>
      </w:r>
      <w:r w:rsidRPr="00D86974">
        <w:t>avant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devenir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monarchie</w:t>
      </w:r>
      <w:r w:rsidR="00C75340">
        <w:t xml:space="preserve"> </w:t>
      </w:r>
      <w:r w:rsidRPr="00D86974">
        <w:t>constitutionnelle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1932.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dirigée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Majesté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Roi</w:t>
      </w:r>
      <w:r w:rsidR="00C75340">
        <w:t xml:space="preserve"> </w:t>
      </w:r>
      <w:r w:rsidRPr="00D86974">
        <w:t>Maha</w:t>
      </w:r>
      <w:r w:rsidR="00C75340">
        <w:t xml:space="preserve"> </w:t>
      </w:r>
      <w:proofErr w:type="spellStart"/>
      <w:r w:rsidRPr="00D86974">
        <w:t>Vajiralongkorn</w:t>
      </w:r>
      <w:proofErr w:type="spellEnd"/>
      <w:r w:rsidR="00C75340">
        <w:t xml:space="preserve"> </w:t>
      </w:r>
      <w:r w:rsidRPr="00D86974">
        <w:t>Phra</w:t>
      </w:r>
      <w:r w:rsidR="00C75340">
        <w:t xml:space="preserve"> </w:t>
      </w:r>
      <w:proofErr w:type="spellStart"/>
      <w:r w:rsidRPr="00D86974">
        <w:t>Vajiraklaochaoyuhua</w:t>
      </w:r>
      <w:proofErr w:type="spellEnd"/>
      <w:r w:rsidRPr="00D86974">
        <w:t>,</w:t>
      </w:r>
      <w:r w:rsidR="00C75340">
        <w:t xml:space="preserve"> </w:t>
      </w:r>
      <w:r w:rsidRPr="00D86974">
        <w:t>dixième</w:t>
      </w:r>
      <w:r w:rsidR="00C75340">
        <w:t xml:space="preserve"> </w:t>
      </w:r>
      <w:r w:rsidRPr="00D86974">
        <w:t>roi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dynastie</w:t>
      </w:r>
      <w:r w:rsidR="00C75340">
        <w:t xml:space="preserve"> </w:t>
      </w:r>
      <w:proofErr w:type="spellStart"/>
      <w:r w:rsidRPr="00D86974">
        <w:t>Chakri</w:t>
      </w:r>
      <w:proofErr w:type="spellEnd"/>
      <w:r w:rsidRPr="00D86974">
        <w:t>.</w:t>
      </w:r>
    </w:p>
    <w:p w14:paraId="479F12FA" w14:textId="2B539F96" w:rsidR="00C3295C" w:rsidRPr="00B97E2E" w:rsidRDefault="00C3295C" w:rsidP="00C3295C">
      <w:pPr>
        <w:pStyle w:val="SingleTxtG"/>
        <w:rPr>
          <w:spacing w:val="-1"/>
        </w:rPr>
      </w:pPr>
      <w:r w:rsidRPr="00B97E2E">
        <w:rPr>
          <w:spacing w:val="-1"/>
        </w:rPr>
        <w:t>34.</w:t>
      </w:r>
      <w:r w:rsidRPr="00B97E2E">
        <w:rPr>
          <w:spacing w:val="-1"/>
        </w:rPr>
        <w:tab/>
        <w:t>L’actuelle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Constitution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été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promulguée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6</w:t>
      </w:r>
      <w:r w:rsidR="005349F4" w:rsidRPr="00B97E2E">
        <w:rPr>
          <w:spacing w:val="-1"/>
        </w:rPr>
        <w:t> </w:t>
      </w:r>
      <w:r w:rsidRPr="00B97E2E">
        <w:rPr>
          <w:spacing w:val="-1"/>
        </w:rPr>
        <w:t>avril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2017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remplace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Constitution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provisoire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2014.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cours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processus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rédaction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cette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nouvelle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constitution,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participation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public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été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encouragée,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y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compris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moyen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réseaux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sociaux.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projet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constitution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été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approuvé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août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2016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par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référendum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national,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avec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61,35</w:t>
      </w:r>
      <w:r w:rsidR="00C75340" w:rsidRPr="00B97E2E">
        <w:rPr>
          <w:spacing w:val="-1"/>
        </w:rPr>
        <w:t xml:space="preserve"> %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votes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favorables.</w:t>
      </w:r>
    </w:p>
    <w:p w14:paraId="3CA7D065" w14:textId="68682DEE" w:rsidR="00C3295C" w:rsidRDefault="00C3295C" w:rsidP="00C3295C">
      <w:pPr>
        <w:pStyle w:val="SingleTxtG"/>
      </w:pPr>
      <w:r w:rsidRPr="00D86974">
        <w:t>35.</w:t>
      </w:r>
      <w:r w:rsidRPr="00D86974">
        <w:tab/>
        <w:t>Selon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présente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caractéristiques</w:t>
      </w:r>
      <w:r w:rsidR="00C75340">
        <w:t xml:space="preserve"> </w:t>
      </w:r>
      <w:r w:rsidRPr="00D86974">
        <w:t>suivantes</w:t>
      </w:r>
      <w:r w:rsidR="000E46EC">
        <w:t> :</w:t>
      </w:r>
      <w:r w:rsidR="00C75340">
        <w:t xml:space="preserve"> </w:t>
      </w:r>
      <w:r w:rsidRPr="00D86974">
        <w:t>i)</w:t>
      </w:r>
      <w:r w:rsidR="005349F4">
        <w:t> </w:t>
      </w:r>
      <w:r w:rsidRPr="00D86974">
        <w:t>monarchie</w:t>
      </w:r>
      <w:r w:rsidR="00C75340">
        <w:t xml:space="preserve"> </w:t>
      </w:r>
      <w:r w:rsidRPr="00D86974">
        <w:t>constitutionnelle</w:t>
      </w:r>
      <w:r w:rsidR="005349F4">
        <w:t> ;</w:t>
      </w:r>
      <w:r w:rsidR="00C75340">
        <w:t xml:space="preserve"> </w:t>
      </w:r>
      <w:r w:rsidRPr="00D86974">
        <w:t>ii)</w:t>
      </w:r>
      <w:r w:rsidR="005349F4">
        <w:t> </w:t>
      </w:r>
      <w:r w:rsidRPr="00D86974">
        <w:t>État</w:t>
      </w:r>
      <w:r w:rsidR="00C75340">
        <w:t xml:space="preserve"> </w:t>
      </w:r>
      <w:r w:rsidRPr="00D86974">
        <w:t>unitaire</w:t>
      </w:r>
      <w:r w:rsidR="005349F4">
        <w:t> ;</w:t>
      </w:r>
      <w:r w:rsidR="00C75340">
        <w:t xml:space="preserve"> </w:t>
      </w:r>
      <w:r w:rsidRPr="00D86974">
        <w:t>iii)</w:t>
      </w:r>
      <w:r w:rsidR="005349F4">
        <w:t> 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séparation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pouvoirs</w:t>
      </w:r>
      <w:r w:rsidR="005349F4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iv)</w:t>
      </w:r>
      <w:r w:rsidR="005349F4">
        <w:t> </w:t>
      </w:r>
      <w:r w:rsidRPr="00D86974">
        <w:t>système</w:t>
      </w:r>
      <w:r w:rsidR="00C75340">
        <w:t xml:space="preserve"> </w:t>
      </w:r>
      <w:r w:rsidRPr="00D86974">
        <w:t>parlementaire</w:t>
      </w:r>
      <w:r w:rsidR="00C75340">
        <w:t xml:space="preserve"> </w:t>
      </w:r>
      <w:r w:rsidRPr="00D86974">
        <w:t>bicaméral.</w:t>
      </w:r>
    </w:p>
    <w:p w14:paraId="0CF288CA" w14:textId="166C593F" w:rsidR="00C3295C" w:rsidRPr="00D86974" w:rsidRDefault="00C3295C" w:rsidP="00C3295C">
      <w:pPr>
        <w:pStyle w:val="SingleTxtG"/>
      </w:pPr>
      <w:r w:rsidRPr="00D86974">
        <w:t>36.</w:t>
      </w:r>
      <w:r w:rsidRPr="00D86974">
        <w:tab/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souverain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mains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peuple</w:t>
      </w:r>
      <w:r w:rsidR="00C75340">
        <w:t xml:space="preserve"> </w:t>
      </w:r>
      <w:r w:rsidRPr="00D86974">
        <w:t>thaïlandais.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dispositions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Roi,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chef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l’État,</w:t>
      </w:r>
      <w:r w:rsidR="00C75340">
        <w:t xml:space="preserve"> </w:t>
      </w:r>
      <w:r w:rsidRPr="00D86974">
        <w:t>exerce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pouvoirs</w:t>
      </w:r>
      <w:r w:rsidR="00C75340">
        <w:t xml:space="preserve"> </w:t>
      </w:r>
      <w:r w:rsidRPr="00D86974">
        <w:t>législatif,</w:t>
      </w:r>
      <w:r w:rsidR="00C75340">
        <w:t xml:space="preserve"> </w:t>
      </w:r>
      <w:r w:rsidRPr="00D86974">
        <w:t>exécutif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correspondants,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Parlement,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séparation</w:t>
      </w:r>
      <w:r w:rsidR="00C75340">
        <w:t xml:space="preserve"> </w:t>
      </w:r>
      <w:r w:rsidRPr="00D86974">
        <w:t>complète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pouvoirs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l’État,</w:t>
      </w:r>
      <w:r w:rsidR="00C75340">
        <w:t xml:space="preserve"> </w:t>
      </w:r>
      <w:r w:rsidRPr="00D86974">
        <w:t>donc</w:t>
      </w:r>
      <w:r w:rsidR="00C75340">
        <w:t xml:space="preserve"> </w:t>
      </w:r>
      <w:r w:rsidRPr="00D86974">
        <w:t>l’indépendance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tribunaux,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caractère</w:t>
      </w:r>
      <w:r w:rsidR="00C75340">
        <w:t xml:space="preserve"> </w:t>
      </w:r>
      <w:r w:rsidRPr="00D86974">
        <w:t>démocratique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thaïlandais.</w:t>
      </w:r>
    </w:p>
    <w:p w14:paraId="4F76558B" w14:textId="5BE5E2E2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pouvoir</w:t>
      </w:r>
      <w:r w:rsidR="00C75340">
        <w:rPr>
          <w:bCs/>
        </w:rPr>
        <w:t xml:space="preserve"> </w:t>
      </w:r>
      <w:r w:rsidRPr="00D86974">
        <w:rPr>
          <w:bCs/>
        </w:rPr>
        <w:t>législatif</w:t>
      </w:r>
      <w:r w:rsidR="000E46EC">
        <w:rPr>
          <w:bCs/>
        </w:rPr>
        <w:t> :</w:t>
      </w:r>
      <w:r w:rsidR="00C75340">
        <w:rPr>
          <w:bCs/>
        </w:rPr>
        <w:t xml:space="preserve"> </w:t>
      </w:r>
      <w:r w:rsidRPr="00D86974">
        <w:rPr>
          <w:bCs/>
        </w:rPr>
        <w:t>un</w:t>
      </w:r>
      <w:r w:rsidR="00C75340">
        <w:rPr>
          <w:bCs/>
        </w:rPr>
        <w:t xml:space="preserve"> </w:t>
      </w:r>
      <w:r w:rsidRPr="00D86974">
        <w:rPr>
          <w:bCs/>
        </w:rPr>
        <w:t>système</w:t>
      </w:r>
      <w:r w:rsidR="00C75340">
        <w:rPr>
          <w:bCs/>
        </w:rPr>
        <w:t xml:space="preserve"> </w:t>
      </w:r>
      <w:r w:rsidRPr="00D86974">
        <w:rPr>
          <w:bCs/>
        </w:rPr>
        <w:t>parlementaire</w:t>
      </w:r>
      <w:r w:rsidR="00C75340">
        <w:rPr>
          <w:bCs/>
        </w:rPr>
        <w:t xml:space="preserve"> </w:t>
      </w:r>
      <w:r w:rsidRPr="00D86974">
        <w:rPr>
          <w:bCs/>
        </w:rPr>
        <w:t>bicaméral</w:t>
      </w:r>
    </w:p>
    <w:p w14:paraId="09BC9D20" w14:textId="4D8FB32C" w:rsidR="00C3295C" w:rsidRPr="00D86974" w:rsidRDefault="00C3295C" w:rsidP="00C3295C">
      <w:pPr>
        <w:pStyle w:val="SingleTxtG"/>
      </w:pPr>
      <w:r w:rsidRPr="00D86974">
        <w:t>37.</w:t>
      </w:r>
      <w:r w:rsidRPr="00D86974">
        <w:tab/>
        <w:t>D’après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Parlement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composé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chambres,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Chambre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Sénat.</w:t>
      </w:r>
    </w:p>
    <w:p w14:paraId="23E4901F" w14:textId="403069EE" w:rsidR="00C3295C" w:rsidRPr="00D86974" w:rsidRDefault="00C3295C" w:rsidP="00C3295C">
      <w:pPr>
        <w:pStyle w:val="SingleTxtG"/>
      </w:pPr>
      <w:r w:rsidRPr="00D86974">
        <w:t>38.</w:t>
      </w:r>
      <w:r w:rsidRPr="00D86974">
        <w:tab/>
        <w:t>La</w:t>
      </w:r>
      <w:r w:rsidR="00C75340">
        <w:t xml:space="preserve"> </w:t>
      </w:r>
      <w:r w:rsidRPr="00D86974">
        <w:t>Chambre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500</w:t>
      </w:r>
      <w:r w:rsidR="005349F4">
        <w:t> </w:t>
      </w:r>
      <w:r w:rsidRPr="00D86974">
        <w:t>membres,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350</w:t>
      </w:r>
      <w:r w:rsidR="005349F4">
        <w:t> </w:t>
      </w:r>
      <w:r w:rsidRPr="00D86974">
        <w:t>députés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circonscription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150</w:t>
      </w:r>
      <w:r w:rsidR="005349F4">
        <w:t> </w:t>
      </w:r>
      <w:r w:rsidRPr="00D86974">
        <w:t>députés</w:t>
      </w:r>
      <w:r w:rsidR="00C75340">
        <w:t xml:space="preserve"> </w:t>
      </w:r>
      <w:r w:rsidRPr="00D86974">
        <w:t>inscrits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listes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choisis</w:t>
      </w:r>
      <w:r w:rsidR="00C75340">
        <w:t xml:space="preserve"> </w:t>
      </w:r>
      <w:r w:rsidRPr="00D86974">
        <w:t>selon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représentation</w:t>
      </w:r>
      <w:r w:rsidR="00C75340">
        <w:t xml:space="preserve"> </w:t>
      </w:r>
      <w:r w:rsidRPr="00D86974">
        <w:t>proportionnelle.</w:t>
      </w:r>
    </w:p>
    <w:p w14:paraId="1279B148" w14:textId="5914480A" w:rsidR="00C3295C" w:rsidRPr="00D86974" w:rsidRDefault="00C3295C" w:rsidP="00C3295C">
      <w:pPr>
        <w:pStyle w:val="SingleTxtG"/>
      </w:pPr>
      <w:r w:rsidRPr="00D86974">
        <w:t>39.</w:t>
      </w:r>
      <w:r w:rsidRPr="00D86974">
        <w:tab/>
        <w:t>Le</w:t>
      </w:r>
      <w:r w:rsidR="00C75340">
        <w:t xml:space="preserve"> </w:t>
      </w:r>
      <w:r w:rsidRPr="00D86974">
        <w:t>Sénat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200</w:t>
      </w:r>
      <w:r w:rsidR="005349F4">
        <w:t> </w:t>
      </w:r>
      <w:r w:rsidRPr="00D86974">
        <w:t>membres</w:t>
      </w:r>
      <w:r w:rsidR="00C75340">
        <w:t xml:space="preserve"> </w:t>
      </w:r>
      <w:r w:rsidRPr="00D86974">
        <w:t>nommés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l’issue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sélection.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choix</w:t>
      </w:r>
      <w:r w:rsidR="00C75340">
        <w:t xml:space="preserve"> </w:t>
      </w:r>
      <w:r w:rsidRPr="00D86974">
        <w:t>s’effectue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parmi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disposent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certain</w:t>
      </w:r>
      <w:r w:rsidR="00C75340">
        <w:t xml:space="preserve"> </w:t>
      </w:r>
      <w:r w:rsidRPr="00D86974">
        <w:t>degré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connaissances,</w:t>
      </w:r>
      <w:r w:rsidR="00C75340">
        <w:t xml:space="preserve"> </w:t>
      </w:r>
      <w:r w:rsidRPr="00D86974">
        <w:t>d’expertise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d’expérience,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exercent</w:t>
      </w:r>
      <w:r w:rsidR="00C75340">
        <w:t xml:space="preserve"> </w:t>
      </w:r>
      <w:r w:rsidRPr="00D86974">
        <w:t>certaines</w:t>
      </w:r>
      <w:r w:rsidR="00C75340">
        <w:t xml:space="preserve"> </w:t>
      </w:r>
      <w:r w:rsidRPr="00D86974">
        <w:t>professions,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présentent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caractéristiques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intérêts</w:t>
      </w:r>
      <w:r w:rsidR="00C75340">
        <w:t xml:space="preserve"> </w:t>
      </w:r>
      <w:r w:rsidRPr="00D86974">
        <w:t>communs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travaillent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travaillé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mode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répartition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doit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quiconque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porter</w:t>
      </w:r>
      <w:r w:rsidR="00C75340">
        <w:t xml:space="preserve"> </w:t>
      </w:r>
      <w:r w:rsidRPr="00D86974">
        <w:t>candidat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n’importe</w:t>
      </w:r>
      <w:r w:rsidR="00C75340">
        <w:t xml:space="preserve"> </w:t>
      </w:r>
      <w:r w:rsidRPr="00D86974">
        <w:t>quel</w:t>
      </w:r>
      <w:r w:rsidR="00C75340">
        <w:t xml:space="preserve"> </w:t>
      </w:r>
      <w:r w:rsidRPr="00D86974">
        <w:t>groupe.</w:t>
      </w:r>
      <w:r w:rsidR="00C75340">
        <w:t xml:space="preserve"> </w:t>
      </w:r>
      <w:r w:rsidRPr="00D86974">
        <w:t>Néanmoins,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chambre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Sénat,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mandat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cinq</w:t>
      </w:r>
      <w:r w:rsidR="00C75340">
        <w:t xml:space="preserve"> </w:t>
      </w:r>
      <w:r w:rsidRPr="00D86974">
        <w:t>ans,</w:t>
      </w:r>
      <w:r w:rsidR="00C75340">
        <w:t xml:space="preserve"> </w:t>
      </w:r>
      <w:r w:rsidRPr="00D86974">
        <w:t>doit</w:t>
      </w:r>
      <w:r w:rsidR="00C75340">
        <w:t xml:space="preserve"> </w:t>
      </w:r>
      <w:r w:rsidRPr="00D86974">
        <w:t>compter</w:t>
      </w:r>
      <w:r w:rsidR="00C75340">
        <w:t xml:space="preserve"> </w:t>
      </w:r>
      <w:r w:rsidRPr="00D86974">
        <w:t>250</w:t>
      </w:r>
      <w:r w:rsidR="005349F4">
        <w:t> </w:t>
      </w:r>
      <w:r w:rsidRPr="00D86974">
        <w:t>membres</w:t>
      </w:r>
      <w:r w:rsidR="00C75340">
        <w:t xml:space="preserve"> </w:t>
      </w:r>
      <w:r w:rsidRPr="00D86974">
        <w:t>nommés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avis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paix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l’ordre.</w:t>
      </w:r>
    </w:p>
    <w:p w14:paraId="6192DD96" w14:textId="7AD45C32" w:rsidR="00C3295C" w:rsidRPr="00D86974" w:rsidRDefault="00C3295C" w:rsidP="00C3295C">
      <w:pPr>
        <w:pStyle w:val="SingleTxtG"/>
      </w:pPr>
      <w:r w:rsidRPr="00D86974">
        <w:t>40.</w:t>
      </w:r>
      <w:r w:rsidRPr="00D86974">
        <w:tab/>
        <w:t>Actuellement,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chambres</w:t>
      </w:r>
      <w:r w:rsidR="00C75340">
        <w:t xml:space="preserve"> </w:t>
      </w:r>
      <w:r w:rsidRPr="00D86974">
        <w:t>comptent</w:t>
      </w:r>
      <w:r w:rsidR="00C75340">
        <w:t xml:space="preserve"> </w:t>
      </w:r>
      <w:r w:rsidRPr="00D86974">
        <w:t>78</w:t>
      </w:r>
      <w:r w:rsidR="006139B0">
        <w:t> </w:t>
      </w:r>
      <w:r w:rsidRPr="00D86974">
        <w:t>députées</w:t>
      </w:r>
      <w:r w:rsidR="00C75340">
        <w:t xml:space="preserve"> </w:t>
      </w:r>
      <w:r w:rsidRPr="00D86974">
        <w:t>(15,6</w:t>
      </w:r>
      <w:r w:rsidR="00C75340">
        <w:t> %</w:t>
      </w:r>
      <w:r w:rsidRPr="00D86974">
        <w:t>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25</w:t>
      </w:r>
      <w:r w:rsidR="006139B0">
        <w:t> </w:t>
      </w:r>
      <w:r w:rsidRPr="00D86974">
        <w:t>sénatrices</w:t>
      </w:r>
      <w:r w:rsidR="00C75340">
        <w:t xml:space="preserve"> </w:t>
      </w:r>
      <w:r w:rsidRPr="00D86974">
        <w:t>(10</w:t>
      </w:r>
      <w:r w:rsidR="00C75340">
        <w:t> %</w:t>
      </w:r>
      <w:r w:rsidRPr="00D86974">
        <w:t>).</w:t>
      </w:r>
    </w:p>
    <w:p w14:paraId="5A4BB9CD" w14:textId="52DC4C0E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pouvoir</w:t>
      </w:r>
      <w:r w:rsidR="00C75340">
        <w:rPr>
          <w:bCs/>
        </w:rPr>
        <w:t xml:space="preserve"> </w:t>
      </w:r>
      <w:r w:rsidRPr="00D86974">
        <w:rPr>
          <w:bCs/>
        </w:rPr>
        <w:t>exécutif</w:t>
      </w:r>
    </w:p>
    <w:p w14:paraId="2623E669" w14:textId="0208EEBF" w:rsidR="00C3295C" w:rsidRDefault="00C3295C" w:rsidP="00C3295C">
      <w:pPr>
        <w:pStyle w:val="SingleTxtG"/>
      </w:pPr>
      <w:r w:rsidRPr="00D86974">
        <w:t>41.</w:t>
      </w:r>
      <w:r w:rsidRPr="00D86974">
        <w:tab/>
        <w:t>Placé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Ministre,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exécutif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chargé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conduite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publiques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l’exécution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lois.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rend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décisions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Parlement.</w:t>
      </w:r>
    </w:p>
    <w:p w14:paraId="4A4B0410" w14:textId="6866B3D0" w:rsidR="00C3295C" w:rsidRPr="00D86974" w:rsidRDefault="00C3295C" w:rsidP="006139B0">
      <w:pPr>
        <w:pStyle w:val="SingleTxtG"/>
        <w:keepNext/>
      </w:pPr>
      <w:r w:rsidRPr="00D86974">
        <w:t>42.</w:t>
      </w:r>
      <w:r w:rsidRPr="00D86974">
        <w:tab/>
        <w:t>La</w:t>
      </w:r>
      <w:r w:rsidR="00C75340">
        <w:t xml:space="preserve"> </w:t>
      </w:r>
      <w:r w:rsidRPr="00D86974">
        <w:t>structure</w:t>
      </w:r>
      <w:r w:rsidR="00C75340">
        <w:t xml:space="preserve"> </w:t>
      </w:r>
      <w:r w:rsidRPr="00D86974">
        <w:t>administrative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divise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trois</w:t>
      </w:r>
      <w:r w:rsidR="00C75340">
        <w:t xml:space="preserve"> </w:t>
      </w:r>
      <w:r w:rsidRPr="00D86974">
        <w:t>échelons,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centrale,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provinciale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locale</w:t>
      </w:r>
      <w:r w:rsidR="000E46EC">
        <w:t> :</w:t>
      </w:r>
    </w:p>
    <w:p w14:paraId="3AE7C350" w14:textId="21066182" w:rsidR="00C3295C" w:rsidRPr="00D86974" w:rsidRDefault="00C3295C" w:rsidP="006139B0">
      <w:pPr>
        <w:pStyle w:val="Bullet1G"/>
      </w:pPr>
      <w:r w:rsidRPr="00D86974">
        <w:t>Administration</w:t>
      </w:r>
      <w:r w:rsidR="00C75340">
        <w:t xml:space="preserve"> </w:t>
      </w:r>
      <w:r w:rsidRPr="00D86974">
        <w:t>centrale.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centrale</w:t>
      </w:r>
      <w:r w:rsidR="00C75340">
        <w:t xml:space="preserve"> </w:t>
      </w:r>
      <w:r w:rsidRPr="00D86974">
        <w:t>comprend</w:t>
      </w:r>
      <w:r w:rsidR="00C75340">
        <w:t xml:space="preserve"> </w:t>
      </w:r>
      <w:r w:rsidRPr="00D86974">
        <w:t>20</w:t>
      </w:r>
      <w:r w:rsidR="006139B0">
        <w:t> </w:t>
      </w:r>
      <w:r w:rsidRPr="00D86974">
        <w:t>ministères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service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définie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restructuration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pouvoirs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2534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(1991).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chef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Gouvernement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Ministre,</w:t>
      </w:r>
      <w:r w:rsidR="00C75340">
        <w:t xml:space="preserve"> </w:t>
      </w:r>
      <w:r w:rsidRPr="00D86974">
        <w:t>responsable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ministères</w:t>
      </w:r>
      <w:r w:rsidR="000E46EC">
        <w:t> ;</w:t>
      </w:r>
    </w:p>
    <w:p w14:paraId="683CA44F" w14:textId="41799914" w:rsidR="00C3295C" w:rsidRPr="00D86974" w:rsidRDefault="00C3295C" w:rsidP="006139B0">
      <w:pPr>
        <w:pStyle w:val="Bullet1G"/>
      </w:pPr>
      <w:r w:rsidRPr="00D86974">
        <w:t>Administration</w:t>
      </w:r>
      <w:r w:rsidR="00C75340">
        <w:t xml:space="preserve"> </w:t>
      </w:r>
      <w:r w:rsidRPr="00D86974">
        <w:t>provinciale.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provinciale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décompose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76</w:t>
      </w:r>
      <w:r w:rsidR="006139B0">
        <w:t> </w:t>
      </w:r>
      <w:r w:rsidRPr="00D86974">
        <w:t>provinces,</w:t>
      </w:r>
      <w:r w:rsidR="00C75340">
        <w:t xml:space="preserve"> </w:t>
      </w:r>
      <w:r w:rsidRPr="00D86974">
        <w:t>878</w:t>
      </w:r>
      <w:r w:rsidR="006139B0">
        <w:t> </w:t>
      </w:r>
      <w:r w:rsidRPr="00D86974">
        <w:t>districts,</w:t>
      </w:r>
      <w:r w:rsidR="00C75340">
        <w:t xml:space="preserve"> </w:t>
      </w:r>
      <w:r w:rsidRPr="00D86974">
        <w:t>7</w:t>
      </w:r>
      <w:r w:rsidR="006139B0">
        <w:t> </w:t>
      </w:r>
      <w:r w:rsidRPr="00D86974">
        <w:t>255</w:t>
      </w:r>
      <w:r w:rsidR="006139B0">
        <w:t xml:space="preserve"> </w:t>
      </w:r>
      <w:r w:rsidRPr="00D86974">
        <w:t>sous-districts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75</w:t>
      </w:r>
      <w:r w:rsidR="006139B0">
        <w:t> </w:t>
      </w:r>
      <w:r w:rsidRPr="00D86974">
        <w:t>032</w:t>
      </w:r>
      <w:r w:rsidR="006139B0">
        <w:t xml:space="preserve"> </w:t>
      </w:r>
      <w:r w:rsidRPr="00D86974">
        <w:t>villages.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village</w:t>
      </w:r>
      <w:r w:rsidR="00C75340">
        <w:t xml:space="preserve"> </w:t>
      </w:r>
      <w:r w:rsidRPr="00D86974">
        <w:t>constitue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élémentaire</w:t>
      </w:r>
      <w:r w:rsidR="00C75340">
        <w:t xml:space="preserve"> </w:t>
      </w:r>
      <w:r w:rsidRPr="00D86974">
        <w:t>d’administration,</w:t>
      </w:r>
      <w:r w:rsidR="00C75340">
        <w:t xml:space="preserve"> </w:t>
      </w:r>
      <w:r w:rsidRPr="00D86974">
        <w:t>exercée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chef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village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responsable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l’ordre</w:t>
      </w:r>
      <w:r w:rsidR="00C75340">
        <w:t xml:space="preserve"> </w:t>
      </w:r>
      <w:r w:rsidRPr="00D86974">
        <w:t>public.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sous-district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ensemble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villages</w:t>
      </w:r>
      <w:r w:rsidR="00C75340">
        <w:t xml:space="preserve"> </w:t>
      </w:r>
      <w:r w:rsidRPr="00D86974">
        <w:t>placés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l’autorité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chef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sous-district</w:t>
      </w:r>
      <w:r w:rsidR="00C75340">
        <w:t xml:space="preserve"> </w:t>
      </w:r>
      <w:r w:rsidRPr="00D86974">
        <w:t>(</w:t>
      </w:r>
      <w:proofErr w:type="spellStart"/>
      <w:r w:rsidRPr="00D86974">
        <w:t>kamnan</w:t>
      </w:r>
      <w:proofErr w:type="spellEnd"/>
      <w:r w:rsidRPr="00D86974">
        <w:t>).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chefs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village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sous-district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Gouvernement,</w:t>
      </w:r>
      <w:r w:rsidR="00C75340">
        <w:t xml:space="preserve"> </w:t>
      </w:r>
      <w:r w:rsidRPr="00D86974">
        <w:t>mais</w:t>
      </w:r>
      <w:r w:rsidR="00C75340">
        <w:t xml:space="preserve"> </w:t>
      </w:r>
      <w:r w:rsidRPr="00D86974">
        <w:t>ils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élus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locale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rendent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chef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district,</w:t>
      </w:r>
      <w:r w:rsidR="00C75340">
        <w:t xml:space="preserve"> </w:t>
      </w:r>
      <w:r w:rsidRPr="00D86974">
        <w:t>lequel</w:t>
      </w:r>
      <w:r w:rsidR="00C75340">
        <w:t xml:space="preserve"> </w:t>
      </w:r>
      <w:r w:rsidRPr="00D86974">
        <w:t>relève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gouverneur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province.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chefs</w:t>
      </w:r>
      <w:r w:rsidR="00C75340">
        <w:t xml:space="preserve"> </w:t>
      </w:r>
      <w:r w:rsidRPr="00D86974">
        <w:lastRenderedPageBreak/>
        <w:t>de</w:t>
      </w:r>
      <w:r w:rsidR="00C75340">
        <w:t xml:space="preserve"> </w:t>
      </w:r>
      <w:r w:rsidRPr="00D86974">
        <w:t>district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gouverneurs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province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nommés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central,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l’occurrence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l’intérieur</w:t>
      </w:r>
      <w:r w:rsidR="000E46EC">
        <w:t> ;</w:t>
      </w:r>
    </w:p>
    <w:p w14:paraId="79785924" w14:textId="5B19988A" w:rsidR="00C3295C" w:rsidRPr="00D86974" w:rsidRDefault="00C3295C" w:rsidP="006139B0">
      <w:pPr>
        <w:pStyle w:val="Bullet1G"/>
      </w:pPr>
      <w:r w:rsidRPr="00D86974">
        <w:t>Administration</w:t>
      </w:r>
      <w:r w:rsidR="00C75340">
        <w:t xml:space="preserve"> </w:t>
      </w:r>
      <w:r w:rsidRPr="00D86974">
        <w:t>locale.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administrations</w:t>
      </w:r>
      <w:r w:rsidR="00C75340">
        <w:t xml:space="preserve"> </w:t>
      </w:r>
      <w:r w:rsidRPr="00D86974">
        <w:t>locales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prestataire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collectivités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6139B0">
        <w:t>capacité</w:t>
      </w:r>
      <w:r w:rsidR="00C75340">
        <w:t xml:space="preserve"> </w:t>
      </w:r>
      <w:r w:rsidRPr="00D86974">
        <w:t>d’autogestion.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exercent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attributions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responsabilités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légitimité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indépendance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peuvent</w:t>
      </w:r>
      <w:r w:rsidR="00C75340">
        <w:t xml:space="preserve"> </w:t>
      </w:r>
      <w:r w:rsidRPr="00D86974">
        <w:t>élaborer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propres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administratives,</w:t>
      </w:r>
      <w:r w:rsidR="00C75340">
        <w:t xml:space="preserve"> </w:t>
      </w:r>
      <w:r w:rsidRPr="00D86974">
        <w:t>financières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fiscales,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condition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tenir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stratégies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mises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niveaux</w:t>
      </w:r>
      <w:r w:rsidR="00C75340">
        <w:t xml:space="preserve"> </w:t>
      </w:r>
      <w:r w:rsidRPr="00D86974">
        <w:t>provincial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national.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Gouvernement</w:t>
      </w:r>
      <w:r w:rsidR="00C75340">
        <w:t xml:space="preserve"> </w:t>
      </w:r>
      <w:r w:rsidRPr="00D86974">
        <w:t>n’exerce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supervision</w:t>
      </w:r>
      <w:r w:rsidR="00C75340">
        <w:t xml:space="preserve"> </w:t>
      </w:r>
      <w:r w:rsidRPr="00D86974">
        <w:t>nécessaire,</w:t>
      </w:r>
      <w:r w:rsidR="00C75340">
        <w:t xml:space="preserve"> </w:t>
      </w:r>
      <w:r w:rsidRPr="00D86974">
        <w:t>telle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prévue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façon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continuellement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décentralisation.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administrations</w:t>
      </w:r>
      <w:r w:rsidR="00C75340">
        <w:t xml:space="preserve"> </w:t>
      </w:r>
      <w:r w:rsidRPr="00D86974">
        <w:t>locales</w:t>
      </w:r>
      <w:r w:rsidR="00C75340">
        <w:t xml:space="preserve"> </w:t>
      </w:r>
      <w:r w:rsidRPr="00D86974">
        <w:t>comprenaient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métropolitaine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Bangkok,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municipalité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Pattaya,</w:t>
      </w:r>
      <w:r w:rsidR="00C75340">
        <w:t xml:space="preserve"> </w:t>
      </w:r>
      <w:r w:rsidRPr="00D86974">
        <w:t>76</w:t>
      </w:r>
      <w:r w:rsidR="006139B0">
        <w:t> </w:t>
      </w:r>
      <w:r w:rsidRPr="00D86974">
        <w:t>administrations</w:t>
      </w:r>
      <w:r w:rsidR="00C75340">
        <w:t xml:space="preserve"> </w:t>
      </w:r>
      <w:r w:rsidRPr="00D86974">
        <w:t>provinciales,</w:t>
      </w:r>
      <w:r w:rsidR="00C75340">
        <w:t xml:space="preserve"> </w:t>
      </w:r>
      <w:r w:rsidRPr="00D86974">
        <w:t>2</w:t>
      </w:r>
      <w:r w:rsidR="006139B0">
        <w:t> </w:t>
      </w:r>
      <w:r w:rsidRPr="00D86974">
        <w:t>442</w:t>
      </w:r>
      <w:r w:rsidR="006139B0">
        <w:t xml:space="preserve"> </w:t>
      </w:r>
      <w:r w:rsidRPr="00D86974">
        <w:t>municipalités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5</w:t>
      </w:r>
      <w:r w:rsidR="006139B0">
        <w:t> </w:t>
      </w:r>
      <w:r w:rsidRPr="00D86974">
        <w:t>332</w:t>
      </w:r>
      <w:r w:rsidR="006139B0">
        <w:t xml:space="preserve"> </w:t>
      </w:r>
      <w:r w:rsidRPr="00D86974">
        <w:t>administrations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sous-district.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dirigées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responsables</w:t>
      </w:r>
      <w:r w:rsidR="00C75340">
        <w:t xml:space="preserve"> </w:t>
      </w:r>
      <w:r w:rsidRPr="00D86974">
        <w:t>exécutifs</w:t>
      </w:r>
      <w:r w:rsidR="00C75340">
        <w:t xml:space="preserve"> </w:t>
      </w:r>
      <w:r w:rsidRPr="00D86974">
        <w:t>élus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suffrage</w:t>
      </w:r>
      <w:r w:rsidR="00C75340">
        <w:t xml:space="preserve"> </w:t>
      </w:r>
      <w:r w:rsidRPr="00D86974">
        <w:t>direct.</w:t>
      </w:r>
    </w:p>
    <w:p w14:paraId="1900B03E" w14:textId="4B46D468" w:rsidR="00C3295C" w:rsidRPr="00D86974" w:rsidRDefault="00C3295C" w:rsidP="00C3295C">
      <w:pPr>
        <w:pStyle w:val="SingleTxtG"/>
      </w:pPr>
      <w:r w:rsidRPr="00D86974">
        <w:t>43.</w:t>
      </w:r>
      <w:r w:rsidRPr="00D86974">
        <w:tab/>
        <w:t>L’administration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relève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budgétaire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dispose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titre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budget</w:t>
      </w:r>
      <w:r w:rsidR="00C75340">
        <w:t xml:space="preserve"> </w:t>
      </w:r>
      <w:r w:rsidRPr="00D86974">
        <w:t>annuel</w:t>
      </w:r>
      <w:r w:rsidR="00C75340">
        <w:t xml:space="preserve"> </w:t>
      </w:r>
      <w:r w:rsidRPr="00D86974">
        <w:t>vérifié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approuvé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Parlement.</w:t>
      </w:r>
      <w:r w:rsidR="00C75340">
        <w:t xml:space="preserve"> </w:t>
      </w:r>
      <w:r w:rsidRPr="00D86974">
        <w:t>L’exercice</w:t>
      </w:r>
      <w:r w:rsidR="00C75340">
        <w:t xml:space="preserve"> </w:t>
      </w:r>
      <w:r w:rsidRPr="00D86974">
        <w:t>financier</w:t>
      </w:r>
      <w:r w:rsidR="00C75340">
        <w:t xml:space="preserve"> </w:t>
      </w:r>
      <w:r w:rsidRPr="00D86974">
        <w:t>court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1</w:t>
      </w:r>
      <w:r w:rsidRPr="00D86974">
        <w:rPr>
          <w:vertAlign w:val="superscript"/>
        </w:rPr>
        <w:t>er</w:t>
      </w:r>
      <w:r w:rsidR="00B97E2E">
        <w:t> </w:t>
      </w:r>
      <w:r w:rsidRPr="00D86974">
        <w:t>octobre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30</w:t>
      </w:r>
      <w:r w:rsidR="00B97E2E">
        <w:t> </w:t>
      </w:r>
      <w:r w:rsidRPr="00D86974">
        <w:t>septembre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l’année</w:t>
      </w:r>
      <w:r w:rsidR="00C75340">
        <w:t xml:space="preserve"> </w:t>
      </w:r>
      <w:r w:rsidRPr="00D86974">
        <w:t>suivante.</w:t>
      </w:r>
    </w:p>
    <w:p w14:paraId="4A75FF3B" w14:textId="25B35225" w:rsidR="00C3295C" w:rsidRPr="00D86974" w:rsidRDefault="00C3295C" w:rsidP="00C3295C">
      <w:pPr>
        <w:pStyle w:val="SingleTxtG"/>
      </w:pPr>
      <w:r w:rsidRPr="00D86974">
        <w:t>44.</w:t>
      </w:r>
      <w:r w:rsidRPr="00D86974">
        <w:tab/>
        <w:t>Le</w:t>
      </w:r>
      <w:r w:rsidR="00C75340">
        <w:t xml:space="preserve"> </w:t>
      </w:r>
      <w:r w:rsidRPr="00D86974">
        <w:t>Gouvernement</w:t>
      </w:r>
      <w:r w:rsidR="00C75340">
        <w:t xml:space="preserve"> </w:t>
      </w:r>
      <w:r w:rsidRPr="00D86974">
        <w:t>peut</w:t>
      </w:r>
      <w:r w:rsidR="00C75340">
        <w:t xml:space="preserve"> </w:t>
      </w:r>
      <w:r w:rsidRPr="00D86974">
        <w:t>être</w:t>
      </w:r>
      <w:r w:rsidR="00C75340">
        <w:t xml:space="preserve"> </w:t>
      </w:r>
      <w:r w:rsidRPr="00D86974">
        <w:t>renversé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Chambre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vote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censure.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cas,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Président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Chambre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tenu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nommer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dirigeant</w:t>
      </w:r>
      <w:r w:rsidR="00C75340">
        <w:t xml:space="preserve"> </w:t>
      </w:r>
      <w:r w:rsidRPr="00D86974">
        <w:t>capable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conserver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confiance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Parlement,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bien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Ministre</w:t>
      </w:r>
      <w:r w:rsidR="00C75340">
        <w:t xml:space="preserve"> </w:t>
      </w:r>
      <w:r w:rsidRPr="00D86974">
        <w:t>peut</w:t>
      </w:r>
      <w:r w:rsidR="00C75340">
        <w:t xml:space="preserve"> </w:t>
      </w:r>
      <w:r w:rsidRPr="00D86974">
        <w:t>dissoudre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Parlement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délivrer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ordonnances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élections.</w:t>
      </w:r>
    </w:p>
    <w:p w14:paraId="2BCD69EE" w14:textId="015FAC8B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pouvoir</w:t>
      </w:r>
      <w:r w:rsidR="00C75340">
        <w:rPr>
          <w:bCs/>
        </w:rPr>
        <w:t xml:space="preserve"> </w:t>
      </w:r>
      <w:r w:rsidRPr="00D86974">
        <w:rPr>
          <w:bCs/>
        </w:rPr>
        <w:t>judiciaire</w:t>
      </w:r>
    </w:p>
    <w:p w14:paraId="02658DBB" w14:textId="3CEB5788" w:rsidR="00C3295C" w:rsidRPr="00D86974" w:rsidRDefault="00C3295C" w:rsidP="00C3295C">
      <w:pPr>
        <w:pStyle w:val="SingleTxtG"/>
      </w:pPr>
      <w:r w:rsidRPr="00D86974">
        <w:t>45.</w:t>
      </w:r>
      <w:r w:rsidRPr="00D86974">
        <w:tab/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comprend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constitutionnelle,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administratifs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militaires.</w:t>
      </w:r>
    </w:p>
    <w:p w14:paraId="0CFAF03D" w14:textId="07D66246" w:rsidR="00C3295C" w:rsidRDefault="00C3295C" w:rsidP="00C3295C">
      <w:pPr>
        <w:pStyle w:val="SingleTxtG"/>
      </w:pPr>
      <w:r w:rsidRPr="00D86974">
        <w:t>46.</w:t>
      </w:r>
      <w:r w:rsidRPr="00D86974">
        <w:tab/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constitutionnelle</w:t>
      </w:r>
      <w:r w:rsidR="00C75340">
        <w:t xml:space="preserve"> </w:t>
      </w:r>
      <w:r w:rsidRPr="00D86974">
        <w:t>s’assure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incohérentes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incompatibles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Constitution.</w:t>
      </w:r>
    </w:p>
    <w:p w14:paraId="11DF1B93" w14:textId="6069FA7C" w:rsidR="00C3295C" w:rsidRPr="00D86974" w:rsidRDefault="00C3295C" w:rsidP="00C3295C">
      <w:pPr>
        <w:pStyle w:val="SingleTxtG"/>
      </w:pPr>
      <w:r w:rsidRPr="00D86974">
        <w:t>47.</w:t>
      </w:r>
      <w:r w:rsidRPr="00D86974">
        <w:tab/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compétence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juger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trancher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question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relève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juridictions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vertu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lois.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portant</w:t>
      </w:r>
      <w:r w:rsidR="00C75340">
        <w:t xml:space="preserve"> </w:t>
      </w:r>
      <w:r w:rsidRPr="00D86974">
        <w:t>organisation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2543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(2000),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trois</w:t>
      </w:r>
      <w:r w:rsidR="00C75340">
        <w:t xml:space="preserve"> </w:t>
      </w:r>
      <w:r w:rsidRPr="00D86974">
        <w:t>degrés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juridiction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0E46EC">
        <w:t> :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instance,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d’appel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suprême.</w:t>
      </w:r>
      <w:r w:rsidR="00C75340">
        <w:t xml:space="preserve"> </w:t>
      </w:r>
      <w:r w:rsidRPr="00D86974">
        <w:t>Étant</w:t>
      </w:r>
      <w:r w:rsidR="00C75340">
        <w:t xml:space="preserve"> </w:t>
      </w:r>
      <w:r w:rsidRPr="00D86974">
        <w:t>donné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certains</w:t>
      </w:r>
      <w:r w:rsidR="00C75340">
        <w:t xml:space="preserve"> </w:t>
      </w:r>
      <w:r w:rsidRPr="00D86974">
        <w:t>types</w:t>
      </w:r>
      <w:r w:rsidR="00C75340">
        <w:t xml:space="preserve"> </w:t>
      </w:r>
      <w:r w:rsidRPr="00D86974">
        <w:t>d’affaires</w:t>
      </w:r>
      <w:r w:rsidR="00C75340">
        <w:t xml:space="preserve"> </w:t>
      </w:r>
      <w:r w:rsidRPr="00D86974">
        <w:t>nécessitent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expertise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spéciales,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divisions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spéciaux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chargés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traiter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élections,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drogues,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travail,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fiscalité,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faillites,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propriété</w:t>
      </w:r>
      <w:r w:rsidR="00C75340">
        <w:t xml:space="preserve"> </w:t>
      </w:r>
      <w:r w:rsidRPr="00D86974">
        <w:t>intellectuelle,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environnementales,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commerce</w:t>
      </w:r>
      <w:r w:rsidR="00C75340">
        <w:t xml:space="preserve"> </w:t>
      </w:r>
      <w:r w:rsidRPr="00D86974">
        <w:t>international,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jeunesse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famille,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corruption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inconduites,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pénales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occupant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politiques.</w:t>
      </w:r>
    </w:p>
    <w:p w14:paraId="37317E7B" w14:textId="3E35EAE2" w:rsidR="00C3295C" w:rsidRPr="00B97E2E" w:rsidRDefault="00C3295C" w:rsidP="00C3295C">
      <w:pPr>
        <w:pStyle w:val="SingleTxtG"/>
        <w:rPr>
          <w:spacing w:val="-1"/>
        </w:rPr>
      </w:pPr>
      <w:r w:rsidRPr="00B97E2E">
        <w:rPr>
          <w:spacing w:val="-1"/>
        </w:rPr>
        <w:t>48.</w:t>
      </w:r>
      <w:r w:rsidRPr="00B97E2E">
        <w:rPr>
          <w:spacing w:val="-1"/>
        </w:rPr>
        <w:tab/>
        <w:t>Les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tribunaux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administratifs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ont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compétence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pour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juger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trancher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tout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litige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opposant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organismes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publics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fonctionnaires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particuliers,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entre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fonctionnaires.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Il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existe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tribunaux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administratifs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première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instance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une</w:t>
      </w:r>
      <w:r w:rsidR="00C75340" w:rsidRPr="00B97E2E">
        <w:rPr>
          <w:spacing w:val="-1"/>
        </w:rPr>
        <w:t xml:space="preserve"> </w:t>
      </w:r>
      <w:r w:rsidR="00B97E2E" w:rsidRPr="00B97E2E">
        <w:rPr>
          <w:spacing w:val="-1"/>
        </w:rPr>
        <w:t>c</w:t>
      </w:r>
      <w:r w:rsidRPr="00B97E2E">
        <w:rPr>
          <w:spacing w:val="-1"/>
        </w:rPr>
        <w:t>our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administrative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suprême.</w:t>
      </w:r>
    </w:p>
    <w:p w14:paraId="00CE0619" w14:textId="4BF816C7" w:rsidR="00C3295C" w:rsidRPr="00D86974" w:rsidRDefault="00C3295C" w:rsidP="006139B0">
      <w:pPr>
        <w:pStyle w:val="SingleTxtG"/>
      </w:pPr>
      <w:r w:rsidRPr="00D86974">
        <w:t>49.</w:t>
      </w:r>
      <w:r w:rsidRPr="00D86974">
        <w:tab/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militaires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compétence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juger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relève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juridiction</w:t>
      </w:r>
      <w:r w:rsidR="00C75340">
        <w:t xml:space="preserve"> </w:t>
      </w:r>
      <w:r w:rsidRPr="00D86974">
        <w:t>militaire.</w:t>
      </w:r>
    </w:p>
    <w:p w14:paraId="7ACC9AEF" w14:textId="40CD0243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Organes</w:t>
      </w:r>
      <w:r w:rsidR="00C75340">
        <w:rPr>
          <w:bCs/>
        </w:rPr>
        <w:t xml:space="preserve"> </w:t>
      </w:r>
      <w:r w:rsidRPr="00D86974">
        <w:rPr>
          <w:bCs/>
        </w:rPr>
        <w:t>indépendants</w:t>
      </w:r>
      <w:r w:rsidR="00C75340">
        <w:rPr>
          <w:bCs/>
        </w:rPr>
        <w:t xml:space="preserve"> </w:t>
      </w:r>
      <w:r w:rsidRPr="00D86974">
        <w:rPr>
          <w:bCs/>
        </w:rPr>
        <w:t>institués</w:t>
      </w:r>
      <w:r w:rsidR="00C75340">
        <w:rPr>
          <w:bCs/>
        </w:rPr>
        <w:t xml:space="preserve"> </w:t>
      </w:r>
      <w:r w:rsidRPr="00D86974">
        <w:rPr>
          <w:bCs/>
        </w:rPr>
        <w:t>par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Constitution</w:t>
      </w:r>
    </w:p>
    <w:p w14:paraId="1660C953" w14:textId="1A894A0A" w:rsidR="00C3295C" w:rsidRPr="00D86974" w:rsidRDefault="00C3295C" w:rsidP="00C3295C">
      <w:pPr>
        <w:pStyle w:val="SingleTxtG"/>
      </w:pPr>
      <w:r w:rsidRPr="00D86974">
        <w:t>50.</w:t>
      </w:r>
      <w:r w:rsidRPr="00D86974">
        <w:tab/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chapitre</w:t>
      </w:r>
      <w:r w:rsidR="00C75340">
        <w:t xml:space="preserve"> </w:t>
      </w:r>
      <w:r w:rsidRPr="00D86974">
        <w:t>XII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cinq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indépendants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créés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d’exercer,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impartialité,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spécialisées</w:t>
      </w:r>
      <w:r w:rsidR="000E46EC">
        <w:t> :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électorale,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médiateurs,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lutte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corruption,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comptes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1A1835F8" w14:textId="0B48867D" w:rsidR="00C3295C" w:rsidRPr="00B97E2E" w:rsidRDefault="00C3295C" w:rsidP="00C3295C">
      <w:pPr>
        <w:pStyle w:val="SingleTxtG"/>
        <w:rPr>
          <w:spacing w:val="-1"/>
        </w:rPr>
      </w:pPr>
      <w:r w:rsidRPr="00B97E2E">
        <w:rPr>
          <w:spacing w:val="-1"/>
        </w:rPr>
        <w:t>51.</w:t>
      </w:r>
      <w:r w:rsidRPr="00B97E2E">
        <w:rPr>
          <w:spacing w:val="-1"/>
        </w:rPr>
        <w:tab/>
        <w:t>La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Commission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électorale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est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chargée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d’organiser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surveiller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l’élection,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ou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nomination,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députés,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sénateurs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membres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assemblées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collectivités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locales,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selon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besoins.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Elle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définit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également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fonctions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du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Conseil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ministres,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lorsque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celui</w:t>
      </w:r>
      <w:r w:rsidR="00B97E2E" w:rsidRPr="00B97E2E">
        <w:rPr>
          <w:spacing w:val="-1"/>
        </w:rPr>
        <w:noBreakHyphen/>
      </w:r>
      <w:r w:rsidRPr="00B97E2E">
        <w:rPr>
          <w:spacing w:val="-1"/>
        </w:rPr>
        <w:t>ci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est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intérimaire,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veille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à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ce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que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la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tenue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des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référendums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soit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transparente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et</w:t>
      </w:r>
      <w:r w:rsidR="00C75340" w:rsidRPr="00B97E2E">
        <w:rPr>
          <w:spacing w:val="-1"/>
        </w:rPr>
        <w:t xml:space="preserve"> </w:t>
      </w:r>
      <w:r w:rsidRPr="00B97E2E">
        <w:rPr>
          <w:spacing w:val="-1"/>
        </w:rPr>
        <w:t>équitable.</w:t>
      </w:r>
    </w:p>
    <w:p w14:paraId="2DDB2324" w14:textId="7DB87C61" w:rsidR="00C3295C" w:rsidRPr="00D86974" w:rsidRDefault="00C3295C" w:rsidP="00C3295C">
      <w:pPr>
        <w:pStyle w:val="SingleTxtG"/>
      </w:pPr>
      <w:r w:rsidRPr="00D86974">
        <w:t>52.</w:t>
      </w:r>
      <w:r w:rsidRPr="00D86974">
        <w:tab/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médiateurs</w:t>
      </w:r>
      <w:r w:rsidR="00C75340">
        <w:t xml:space="preserve"> </w:t>
      </w:r>
      <w:r w:rsidRPr="00D86974">
        <w:t>exerce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tâches</w:t>
      </w:r>
      <w:r w:rsidR="00C75340">
        <w:t xml:space="preserve"> </w:t>
      </w:r>
      <w:r w:rsidRPr="00D86974">
        <w:t>suivantes</w:t>
      </w:r>
      <w:r w:rsidR="000E46EC">
        <w:t> :</w:t>
      </w:r>
      <w:r w:rsidR="00C75340">
        <w:t xml:space="preserve"> </w:t>
      </w:r>
      <w:r w:rsidRPr="00D86974">
        <w:t>i)</w:t>
      </w:r>
      <w:r w:rsidR="006139B0">
        <w:t> </w:t>
      </w:r>
      <w:r w:rsidRPr="00D86974">
        <w:t>examiner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instruire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plaintes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suivants</w:t>
      </w:r>
      <w:r w:rsidR="000E46EC">
        <w:t> :</w:t>
      </w:r>
      <w:r w:rsidR="00C75340">
        <w:t xml:space="preserve"> </w:t>
      </w:r>
      <w:r w:rsidRPr="00D86974">
        <w:t>a)</w:t>
      </w:r>
      <w:r w:rsidR="006139B0">
        <w:t> </w:t>
      </w:r>
      <w:r w:rsidRPr="00D86974">
        <w:t>lorsqu’un</w:t>
      </w:r>
      <w:r w:rsidR="00C75340">
        <w:t xml:space="preserve"> </w:t>
      </w:r>
      <w:r w:rsidRPr="00D86974">
        <w:t>responsable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Gouvernement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fonctionnaire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employé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organisme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gouvernemental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entreprise</w:t>
      </w:r>
      <w:r w:rsidR="00C75340">
        <w:t xml:space="preserve"> </w:t>
      </w:r>
      <w:r w:rsidRPr="00D86974">
        <w:lastRenderedPageBreak/>
        <w:t>publique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administration</w:t>
      </w:r>
      <w:r w:rsidR="00C75340">
        <w:t xml:space="preserve"> </w:t>
      </w:r>
      <w:r w:rsidRPr="00D86974">
        <w:t>locale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s’acquitte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outrepasse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qu’elles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définies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0E46EC">
        <w:t> ;</w:t>
      </w:r>
      <w:r w:rsidR="00C75340">
        <w:t xml:space="preserve"> </w:t>
      </w:r>
      <w:r w:rsidRPr="00D86974">
        <w:t>b)</w:t>
      </w:r>
      <w:r w:rsidR="006139B0">
        <w:t> </w:t>
      </w:r>
      <w:r w:rsidRPr="00D86974">
        <w:t>lorsqu’un</w:t>
      </w:r>
      <w:r w:rsidR="00C75340">
        <w:t xml:space="preserve"> </w:t>
      </w:r>
      <w:r w:rsidRPr="00D86974">
        <w:t>responsable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Gouvernement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fonctionnaire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employé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organisme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gouvernemental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entreprise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administration</w:t>
      </w:r>
      <w:r w:rsidR="00C75340">
        <w:t xml:space="preserve"> </w:t>
      </w:r>
      <w:r w:rsidRPr="00D86974">
        <w:t>locale</w:t>
      </w:r>
      <w:r w:rsidR="00C75340">
        <w:t xml:space="preserve"> </w:t>
      </w:r>
      <w:r w:rsidRPr="00D86974">
        <w:t>cause</w:t>
      </w:r>
      <w:r w:rsidR="00C75340">
        <w:t xml:space="preserve"> </w:t>
      </w:r>
      <w:r w:rsidRPr="00D86974">
        <w:t>injustement,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action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omission,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dommage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0E46EC">
        <w:t> ;</w:t>
      </w:r>
      <w:r w:rsidR="00C75340">
        <w:t xml:space="preserve"> </w:t>
      </w:r>
      <w:r w:rsidRPr="00D86974">
        <w:t>ii)</w:t>
      </w:r>
      <w:r w:rsidR="006139B0">
        <w:t> </w:t>
      </w:r>
      <w:r w:rsidRPr="00D86974">
        <w:t>prendre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l’éthique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titulaires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mandat</w:t>
      </w:r>
      <w:r w:rsidR="00C75340">
        <w:t xml:space="preserve"> </w:t>
      </w:r>
      <w:r w:rsidRPr="00D86974">
        <w:t>politique</w:t>
      </w:r>
      <w:r w:rsidR="000E46EC">
        <w:t> ;</w:t>
      </w:r>
      <w:r w:rsidR="00C75340">
        <w:t xml:space="preserve"> </w:t>
      </w:r>
      <w:r w:rsidRPr="00D86974">
        <w:t>iii)</w:t>
      </w:r>
      <w:r w:rsidR="006139B0">
        <w:t> </w:t>
      </w:r>
      <w:r w:rsidRPr="00D86974">
        <w:t>faire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recommandations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garantir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respect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assurer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l’évaluation</w:t>
      </w:r>
      <w:r w:rsidR="006139B0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iv)</w:t>
      </w:r>
      <w:r w:rsidR="006139B0">
        <w:t> </w:t>
      </w:r>
      <w:r w:rsidRPr="00D86974">
        <w:t>mener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enquête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qu’un</w:t>
      </w:r>
      <w:r w:rsidR="00C75340">
        <w:t xml:space="preserve"> </w:t>
      </w:r>
      <w:r w:rsidRPr="00D86974">
        <w:t>préjudice</w:t>
      </w:r>
      <w:r w:rsidR="00C75340">
        <w:t xml:space="preserve"> </w:t>
      </w:r>
      <w:r w:rsidRPr="00D86974">
        <w:t>risque</w:t>
      </w:r>
      <w:r w:rsidR="00C75340">
        <w:t xml:space="preserve"> </w:t>
      </w:r>
      <w:r w:rsidRPr="00D86974">
        <w:t>d’être</w:t>
      </w:r>
      <w:r w:rsidR="00C75340">
        <w:t xml:space="preserve"> </w:t>
      </w:r>
      <w:r w:rsidRPr="00D86974">
        <w:t>causé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qu’il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nécessaire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préserver</w:t>
      </w:r>
      <w:r w:rsidR="00C75340">
        <w:t xml:space="preserve"> </w:t>
      </w:r>
      <w:r w:rsidRPr="00D86974">
        <w:t>l’intérêt</w:t>
      </w:r>
      <w:r w:rsidR="00C75340">
        <w:t xml:space="preserve"> </w:t>
      </w:r>
      <w:r w:rsidRPr="00D86974">
        <w:t>public.</w:t>
      </w:r>
    </w:p>
    <w:p w14:paraId="4ADFF0D2" w14:textId="3ACAD933" w:rsidR="00C3295C" w:rsidRDefault="00C3295C" w:rsidP="00C3295C">
      <w:pPr>
        <w:pStyle w:val="SingleTxtG"/>
      </w:pPr>
      <w:r w:rsidRPr="00D86974">
        <w:t>53.</w:t>
      </w:r>
      <w:r w:rsidRPr="00D86974">
        <w:tab/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lutte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corruption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chargée</w:t>
      </w:r>
      <w:r w:rsidR="00C75340">
        <w:t xml:space="preserve"> </w:t>
      </w:r>
      <w:r w:rsidRPr="00D86974">
        <w:t>d’enquêter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faits</w:t>
      </w:r>
      <w:r w:rsidR="00C75340">
        <w:t xml:space="preserve"> </w:t>
      </w:r>
      <w:r w:rsidRPr="00D86974">
        <w:t>présumés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corruption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recommandations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révocation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hauts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titulaires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mandat</w:t>
      </w:r>
      <w:r w:rsidR="00C75340">
        <w:t xml:space="preserve"> </w:t>
      </w:r>
      <w:r w:rsidRPr="00D86974">
        <w:t>politique,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Sénat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division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suprême</w:t>
      </w:r>
      <w:r w:rsidR="00C75340">
        <w:t xml:space="preserve"> </w:t>
      </w:r>
      <w:r w:rsidRPr="00D86974">
        <w:t>chargée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affaires.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vérifie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patrimoine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titulaires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mandat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surveille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valeurs</w:t>
      </w:r>
      <w:r w:rsidR="00C75340">
        <w:t xml:space="preserve"> </w:t>
      </w:r>
      <w:r w:rsidRPr="00D86974">
        <w:t>morales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déontologiques.</w:t>
      </w:r>
    </w:p>
    <w:p w14:paraId="0C2692D7" w14:textId="329ED538" w:rsidR="00C3295C" w:rsidRPr="00D86974" w:rsidRDefault="00C3295C" w:rsidP="00C3295C">
      <w:pPr>
        <w:pStyle w:val="SingleTxtG"/>
      </w:pPr>
      <w:r w:rsidRPr="00D86974">
        <w:t>54.</w:t>
      </w:r>
      <w:r w:rsidRPr="00D86974">
        <w:tab/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comptes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chargée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procéder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inspections,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définir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vérification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comptes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conseiller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domaine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recommander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échéant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correctives,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neutralité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indépendance.</w:t>
      </w:r>
    </w:p>
    <w:p w14:paraId="3EDC00D2" w14:textId="1EC29E5E" w:rsidR="00C3295C" w:rsidRPr="00D86974" w:rsidRDefault="00C3295C" w:rsidP="00C3295C">
      <w:pPr>
        <w:pStyle w:val="SingleTxtG"/>
      </w:pPr>
      <w:r w:rsidRPr="00D86974">
        <w:t>55.</w:t>
      </w:r>
      <w:r w:rsidRPr="00D86974">
        <w:tab/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chargée</w:t>
      </w:r>
      <w:r w:rsidR="00C75340">
        <w:t xml:space="preserve"> </w:t>
      </w:r>
      <w:r w:rsidRPr="00D86974">
        <w:t>d’examiner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faits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violations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signaler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privés</w:t>
      </w:r>
      <w:r w:rsidR="00C75340">
        <w:t xml:space="preserve"> </w:t>
      </w:r>
      <w:r w:rsidRPr="00D86974">
        <w:t>concernés.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formule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l’Assemblée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recommandations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organique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entrée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13</w:t>
      </w:r>
      <w:r w:rsidR="006139B0">
        <w:t> </w:t>
      </w:r>
      <w:r w:rsidRPr="00D86974">
        <w:t>décembre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témoigne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menées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mécanisme</w:t>
      </w:r>
      <w:r w:rsidR="00C75340">
        <w:t xml:space="preserve"> </w:t>
      </w:r>
      <w:r w:rsidRPr="00D86974">
        <w:t>essentiel,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statut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institutions</w:t>
      </w:r>
      <w:r w:rsidR="00C75340">
        <w:t xml:space="preserve"> </w:t>
      </w:r>
      <w:r w:rsidRPr="00D86974">
        <w:t>nationales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(Principes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Paris).</w:t>
      </w:r>
    </w:p>
    <w:p w14:paraId="19185368" w14:textId="4743761B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Ministère</w:t>
      </w:r>
      <w:r w:rsidR="00C75340">
        <w:rPr>
          <w:bCs/>
        </w:rPr>
        <w:t xml:space="preserve"> </w:t>
      </w:r>
      <w:r w:rsidRPr="00D86974">
        <w:rPr>
          <w:bCs/>
        </w:rPr>
        <w:t>publi</w:t>
      </w:r>
      <w:r w:rsidRPr="00D86974">
        <w:t>c</w:t>
      </w:r>
    </w:p>
    <w:p w14:paraId="55446B76" w14:textId="5AEA5D8E" w:rsidR="00C3295C" w:rsidRPr="00D86974" w:rsidRDefault="00C3295C" w:rsidP="00C3295C">
      <w:pPr>
        <w:pStyle w:val="SingleTxtG"/>
      </w:pPr>
      <w:r w:rsidRPr="00D86974">
        <w:t>56.</w:t>
      </w:r>
      <w:r w:rsidRPr="00D86974">
        <w:tab/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Procureur</w:t>
      </w:r>
      <w:r w:rsidR="00C75340">
        <w:t xml:space="preserve"> </w:t>
      </w:r>
      <w:r w:rsidRPr="00D86974">
        <w:t>général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habilité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décider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indépendance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l’opportunité</w:t>
      </w:r>
      <w:r w:rsidR="00C75340">
        <w:t xml:space="preserve"> </w:t>
      </w:r>
      <w:r w:rsidRPr="00D86974">
        <w:t>d’exercer</w:t>
      </w:r>
      <w:r w:rsidR="00C75340">
        <w:t xml:space="preserve"> </w:t>
      </w:r>
      <w:r w:rsidRPr="00D86974">
        <w:t>l’action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affaire</w:t>
      </w:r>
      <w:r w:rsidR="00C75340">
        <w:t xml:space="preserve"> </w:t>
      </w:r>
      <w:r w:rsidRPr="00D86974">
        <w:t>donnée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s’acquitte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équité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lui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dévolues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joue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rôle</w:t>
      </w:r>
      <w:r w:rsidR="00C75340">
        <w:t xml:space="preserve"> </w:t>
      </w:r>
      <w:r w:rsidRPr="00D86974">
        <w:t>essentiel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citoyens.</w:t>
      </w:r>
    </w:p>
    <w:p w14:paraId="3CDB6DED" w14:textId="1AD26BDC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système</w:t>
      </w:r>
      <w:r w:rsidR="00C75340">
        <w:rPr>
          <w:bCs/>
        </w:rPr>
        <w:t xml:space="preserve"> </w:t>
      </w:r>
      <w:r w:rsidRPr="00D86974">
        <w:rPr>
          <w:bCs/>
        </w:rPr>
        <w:t>électora</w:t>
      </w:r>
      <w:r w:rsidRPr="00D86974">
        <w:t>l</w:t>
      </w:r>
    </w:p>
    <w:p w14:paraId="4914F1B1" w14:textId="79819771" w:rsidR="00C3295C" w:rsidRPr="00D86974" w:rsidRDefault="00C3295C" w:rsidP="00C3295C">
      <w:pPr>
        <w:pStyle w:val="SingleTxtG"/>
      </w:pPr>
      <w:r w:rsidRPr="00D86974">
        <w:t>57.</w:t>
      </w:r>
      <w:r w:rsidRPr="00D86974">
        <w:tab/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vote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ouvert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citoyen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âgé</w:t>
      </w:r>
      <w:r w:rsidR="00C75340">
        <w:t xml:space="preserve"> </w:t>
      </w:r>
      <w:r w:rsidRPr="00D86974">
        <w:t>d’au</w:t>
      </w:r>
      <w:r w:rsidR="00C75340">
        <w:t xml:space="preserve"> </w:t>
      </w:r>
      <w:r w:rsidRPr="00D86974">
        <w:t>moins</w:t>
      </w:r>
      <w:r w:rsidR="00C75340">
        <w:t xml:space="preserve"> </w:t>
      </w:r>
      <w:r w:rsidRPr="00D86974">
        <w:t>18</w:t>
      </w:r>
      <w:r w:rsidR="006139B0">
        <w:t> </w:t>
      </w:r>
      <w:r w:rsidRPr="00D86974">
        <w:t>ans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jour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l’élection</w:t>
      </w:r>
      <w:r w:rsidR="00C75340">
        <w:t xml:space="preserve"> </w:t>
      </w:r>
      <w:r w:rsidRPr="00D86974">
        <w:t>(si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acquise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naturalisation,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doit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détenir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moins</w:t>
      </w:r>
      <w:r w:rsidR="00C75340">
        <w:t xml:space="preserve"> </w:t>
      </w:r>
      <w:r w:rsidRPr="00D86974">
        <w:t>cinq</w:t>
      </w:r>
      <w:r w:rsidR="00C75340">
        <w:t xml:space="preserve"> </w:t>
      </w:r>
      <w:r w:rsidRPr="00D86974">
        <w:t>ans).</w:t>
      </w:r>
    </w:p>
    <w:p w14:paraId="4388EFEA" w14:textId="5F87D5F1" w:rsidR="00C3295C" w:rsidRPr="00D86974" w:rsidRDefault="00C3295C" w:rsidP="00C3295C">
      <w:pPr>
        <w:pStyle w:val="SingleTxtG"/>
      </w:pPr>
      <w:r w:rsidRPr="00D86974">
        <w:t>58.</w:t>
      </w:r>
      <w:r w:rsidRPr="00D86974">
        <w:tab/>
        <w:t>Lors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élections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51</w:t>
      </w:r>
      <w:r w:rsidR="006139B0">
        <w:t> </w:t>
      </w:r>
      <w:r w:rsidRPr="00D86974">
        <w:t>419</w:t>
      </w:r>
      <w:r w:rsidR="006139B0">
        <w:t> </w:t>
      </w:r>
      <w:r w:rsidRPr="00D86974">
        <w:t>975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eu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voter,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26</w:t>
      </w:r>
      <w:r w:rsidR="006139B0">
        <w:t> </w:t>
      </w:r>
      <w:r w:rsidRPr="00D86974">
        <w:t>618</w:t>
      </w:r>
      <w:r w:rsidR="006139B0">
        <w:t> </w:t>
      </w:r>
      <w:r w:rsidRPr="00D86974">
        <w:t>448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24</w:t>
      </w:r>
      <w:r w:rsidR="006139B0">
        <w:t> </w:t>
      </w:r>
      <w:r w:rsidRPr="00D86974">
        <w:t>801</w:t>
      </w:r>
      <w:r w:rsidR="006139B0">
        <w:t> </w:t>
      </w:r>
      <w:r w:rsidRPr="00D86974">
        <w:t>527</w:t>
      </w:r>
      <w:r w:rsidR="00C75340">
        <w:t xml:space="preserve"> </w:t>
      </w:r>
      <w:r w:rsidRPr="00D86974">
        <w:t>hommes.</w:t>
      </w:r>
    </w:p>
    <w:p w14:paraId="7768AAF6" w14:textId="24B537E2" w:rsidR="00C3295C" w:rsidRPr="00D86974" w:rsidRDefault="00C3295C" w:rsidP="006139B0">
      <w:pPr>
        <w:pStyle w:val="SingleTxtG"/>
      </w:pPr>
      <w:r w:rsidRPr="00D86974">
        <w:t>59.</w:t>
      </w:r>
      <w:r w:rsidRPr="00D86974">
        <w:tab/>
        <w:t>Au</w:t>
      </w:r>
      <w:r w:rsidR="00C75340">
        <w:t xml:space="preserve"> </w:t>
      </w:r>
      <w:r w:rsidRPr="00D86974">
        <w:t>13</w:t>
      </w:r>
      <w:r w:rsidR="006139B0">
        <w:t> </w:t>
      </w:r>
      <w:r w:rsidRPr="00D86974">
        <w:t>mai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comptait</w:t>
      </w:r>
      <w:r w:rsidR="00C75340">
        <w:t xml:space="preserve"> </w:t>
      </w:r>
      <w:r w:rsidRPr="00D86974">
        <w:t>88</w:t>
      </w:r>
      <w:r w:rsidR="00B97E2E">
        <w:t> </w:t>
      </w:r>
      <w:r w:rsidRPr="00D86974">
        <w:t>partis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reconnus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national.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répartition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sièges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l’assemblée</w:t>
      </w:r>
      <w:r w:rsidR="00C75340">
        <w:t xml:space="preserve"> </w:t>
      </w:r>
      <w:r w:rsidRPr="00D86974">
        <w:t>législative,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parti,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suivante</w:t>
      </w:r>
      <w:r w:rsidR="000E46EC"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2"/>
        <w:gridCol w:w="1398"/>
      </w:tblGrid>
      <w:tr w:rsidR="00C3295C" w:rsidRPr="006139B0" w14:paraId="664C457B" w14:textId="77777777" w:rsidTr="006139B0">
        <w:trPr>
          <w:tblHeader/>
        </w:trPr>
        <w:tc>
          <w:tcPr>
            <w:tcW w:w="5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73A019" w14:textId="77777777" w:rsidR="00C3295C" w:rsidRPr="006139B0" w:rsidRDefault="00C3295C" w:rsidP="006139B0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139B0">
              <w:rPr>
                <w:i/>
                <w:sz w:val="16"/>
              </w:rPr>
              <w:t>Parti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D194F5" w14:textId="77777777" w:rsidR="00C3295C" w:rsidRPr="006139B0" w:rsidRDefault="00C3295C" w:rsidP="006139B0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139B0">
              <w:rPr>
                <w:i/>
                <w:sz w:val="16"/>
              </w:rPr>
              <w:t>Siège(s)</w:t>
            </w:r>
          </w:p>
        </w:tc>
      </w:tr>
      <w:tr w:rsidR="00C3295C" w:rsidRPr="006139B0" w14:paraId="52D0F1AD" w14:textId="77777777" w:rsidTr="006139B0">
        <w:tc>
          <w:tcPr>
            <w:tcW w:w="5972" w:type="dxa"/>
            <w:shd w:val="clear" w:color="auto" w:fill="auto"/>
          </w:tcPr>
          <w:p w14:paraId="52FC0466" w14:textId="19B83AD5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Pheu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9418D28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136</w:t>
            </w:r>
          </w:p>
        </w:tc>
      </w:tr>
      <w:tr w:rsidR="00C3295C" w:rsidRPr="006139B0" w14:paraId="1C0944B0" w14:textId="77777777" w:rsidTr="006139B0">
        <w:tc>
          <w:tcPr>
            <w:tcW w:w="5972" w:type="dxa"/>
            <w:shd w:val="clear" w:color="auto" w:fill="auto"/>
          </w:tcPr>
          <w:p w14:paraId="34D451E4" w14:textId="17CF6AE2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PalangPracharath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0565BB6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116</w:t>
            </w:r>
          </w:p>
        </w:tc>
      </w:tr>
      <w:tr w:rsidR="00C3295C" w:rsidRPr="006139B0" w14:paraId="7B6C692F" w14:textId="77777777" w:rsidTr="006139B0">
        <w:tc>
          <w:tcPr>
            <w:tcW w:w="5972" w:type="dxa"/>
            <w:shd w:val="clear" w:color="auto" w:fill="auto"/>
          </w:tcPr>
          <w:p w14:paraId="2A9CD92C" w14:textId="6EED0E8F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Future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Forward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E444087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80</w:t>
            </w:r>
          </w:p>
        </w:tc>
      </w:tr>
      <w:tr w:rsidR="00C3295C" w:rsidRPr="006139B0" w14:paraId="6DAD3AD5" w14:textId="77777777" w:rsidTr="006139B0">
        <w:tc>
          <w:tcPr>
            <w:tcW w:w="5972" w:type="dxa"/>
            <w:shd w:val="clear" w:color="auto" w:fill="auto"/>
          </w:tcPr>
          <w:p w14:paraId="090C30BB" w14:textId="1D060475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Democrat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33B624C4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53</w:t>
            </w:r>
          </w:p>
        </w:tc>
      </w:tr>
      <w:tr w:rsidR="00C3295C" w:rsidRPr="006139B0" w14:paraId="4164136A" w14:textId="77777777" w:rsidTr="006139B0">
        <w:tc>
          <w:tcPr>
            <w:tcW w:w="5972" w:type="dxa"/>
            <w:shd w:val="clear" w:color="auto" w:fill="auto"/>
          </w:tcPr>
          <w:p w14:paraId="29B6F019" w14:textId="29A855D4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Bhumjaithai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6A25A627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51</w:t>
            </w:r>
          </w:p>
        </w:tc>
      </w:tr>
      <w:tr w:rsidR="00C3295C" w:rsidRPr="006139B0" w14:paraId="2CFDF028" w14:textId="77777777" w:rsidTr="006139B0">
        <w:tc>
          <w:tcPr>
            <w:tcW w:w="5972" w:type="dxa"/>
            <w:shd w:val="clear" w:color="auto" w:fill="auto"/>
          </w:tcPr>
          <w:p w14:paraId="37499CE7" w14:textId="45FC82AD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Liberal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E152A21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10</w:t>
            </w:r>
          </w:p>
        </w:tc>
      </w:tr>
      <w:tr w:rsidR="00C3295C" w:rsidRPr="006139B0" w14:paraId="6DA11071" w14:textId="77777777" w:rsidTr="006139B0">
        <w:tc>
          <w:tcPr>
            <w:tcW w:w="5972" w:type="dxa"/>
            <w:shd w:val="clear" w:color="auto" w:fill="auto"/>
          </w:tcPr>
          <w:p w14:paraId="24F302E7" w14:textId="16FFB00F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Chartthaipattana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19C31FA1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10</w:t>
            </w:r>
          </w:p>
        </w:tc>
      </w:tr>
      <w:tr w:rsidR="00C3295C" w:rsidRPr="006139B0" w14:paraId="36EC44A8" w14:textId="77777777" w:rsidTr="006139B0">
        <w:tc>
          <w:tcPr>
            <w:tcW w:w="5972" w:type="dxa"/>
            <w:shd w:val="clear" w:color="auto" w:fill="auto"/>
          </w:tcPr>
          <w:p w14:paraId="5700BEA7" w14:textId="624FF740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New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Economics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29EF365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6</w:t>
            </w:r>
          </w:p>
        </w:tc>
      </w:tr>
      <w:tr w:rsidR="00C3295C" w:rsidRPr="006139B0" w14:paraId="381D804C" w14:textId="77777777" w:rsidTr="006139B0">
        <w:tc>
          <w:tcPr>
            <w:tcW w:w="5972" w:type="dxa"/>
            <w:shd w:val="clear" w:color="auto" w:fill="auto"/>
          </w:tcPr>
          <w:p w14:paraId="2112A824" w14:textId="4E8DCD13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Prachachart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63C92F03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7</w:t>
            </w:r>
          </w:p>
        </w:tc>
      </w:tr>
      <w:tr w:rsidR="00C3295C" w:rsidRPr="006139B0" w14:paraId="2BA362D8" w14:textId="77777777" w:rsidTr="006139B0">
        <w:tc>
          <w:tcPr>
            <w:tcW w:w="5972" w:type="dxa"/>
            <w:shd w:val="clear" w:color="auto" w:fill="auto"/>
          </w:tcPr>
          <w:p w14:paraId="5ECFC743" w14:textId="73B3A36F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Puea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Chat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641C4581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5</w:t>
            </w:r>
          </w:p>
        </w:tc>
      </w:tr>
      <w:tr w:rsidR="00C3295C" w:rsidRPr="006139B0" w14:paraId="364D0937" w14:textId="77777777" w:rsidTr="006139B0">
        <w:tc>
          <w:tcPr>
            <w:tcW w:w="5972" w:type="dxa"/>
            <w:shd w:val="clear" w:color="auto" w:fill="auto"/>
          </w:tcPr>
          <w:p w14:paraId="3613D169" w14:textId="16D3C9D5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lastRenderedPageBreak/>
              <w:t>Action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Coalition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for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Thailand</w:t>
            </w:r>
            <w:proofErr w:type="spellEnd"/>
          </w:p>
        </w:tc>
        <w:tc>
          <w:tcPr>
            <w:tcW w:w="1398" w:type="dxa"/>
            <w:shd w:val="clear" w:color="auto" w:fill="auto"/>
            <w:vAlign w:val="bottom"/>
          </w:tcPr>
          <w:p w14:paraId="315573ED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5</w:t>
            </w:r>
          </w:p>
        </w:tc>
      </w:tr>
      <w:tr w:rsidR="00C3295C" w:rsidRPr="006139B0" w14:paraId="180E8944" w14:textId="77777777" w:rsidTr="006139B0">
        <w:tc>
          <w:tcPr>
            <w:tcW w:w="5972" w:type="dxa"/>
            <w:shd w:val="clear" w:color="auto" w:fill="auto"/>
          </w:tcPr>
          <w:p w14:paraId="44674CB6" w14:textId="4CECACFB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Chart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Pattana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9F6B1C4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3</w:t>
            </w:r>
          </w:p>
        </w:tc>
      </w:tr>
      <w:tr w:rsidR="00C3295C" w:rsidRPr="006139B0" w14:paraId="3410EA89" w14:textId="77777777" w:rsidTr="006139B0">
        <w:tc>
          <w:tcPr>
            <w:tcW w:w="5972" w:type="dxa"/>
            <w:shd w:val="clear" w:color="auto" w:fill="auto"/>
          </w:tcPr>
          <w:p w14:paraId="00B4C01C" w14:textId="63CE1B39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Local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Power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313AB3CF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3</w:t>
            </w:r>
          </w:p>
        </w:tc>
      </w:tr>
      <w:tr w:rsidR="00C3295C" w:rsidRPr="006139B0" w14:paraId="0592D42F" w14:textId="77777777" w:rsidTr="006139B0">
        <w:tc>
          <w:tcPr>
            <w:tcW w:w="5972" w:type="dxa"/>
            <w:shd w:val="clear" w:color="auto" w:fill="auto"/>
          </w:tcPr>
          <w:p w14:paraId="0802630D" w14:textId="6BDE60EF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Forest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Conservation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E9E9A50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2</w:t>
            </w:r>
          </w:p>
        </w:tc>
      </w:tr>
      <w:tr w:rsidR="00C3295C" w:rsidRPr="006139B0" w14:paraId="029E91C3" w14:textId="77777777" w:rsidTr="006139B0">
        <w:tc>
          <w:tcPr>
            <w:tcW w:w="5972" w:type="dxa"/>
            <w:shd w:val="clear" w:color="auto" w:fill="auto"/>
          </w:tcPr>
          <w:p w14:paraId="6CE2B416" w14:textId="388FC83B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People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Power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5023A5DB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293393CE" w14:textId="77777777" w:rsidTr="006139B0">
        <w:tc>
          <w:tcPr>
            <w:tcW w:w="5972" w:type="dxa"/>
            <w:shd w:val="clear" w:color="auto" w:fill="auto"/>
          </w:tcPr>
          <w:p w14:paraId="184A9918" w14:textId="76B7B53B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Nation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Power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  <w:r w:rsidR="00C75340" w:rsidRPr="006139B0">
              <w:rPr>
                <w:sz w:val="18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00DFEA7E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061C02B6" w14:textId="77777777" w:rsidTr="006139B0">
        <w:tc>
          <w:tcPr>
            <w:tcW w:w="5972" w:type="dxa"/>
            <w:shd w:val="clear" w:color="auto" w:fill="auto"/>
          </w:tcPr>
          <w:p w14:paraId="3ABA09DF" w14:textId="5BBEDEE7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People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Progressive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0E1992A8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4E5D91A2" w14:textId="77777777" w:rsidTr="006139B0">
        <w:tc>
          <w:tcPr>
            <w:tcW w:w="5972" w:type="dxa"/>
            <w:shd w:val="clear" w:color="auto" w:fill="auto"/>
          </w:tcPr>
          <w:p w14:paraId="7BA0C51F" w14:textId="71D21E20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Civilized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61B741A0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2BCF00E8" w14:textId="77777777" w:rsidTr="006139B0">
        <w:tc>
          <w:tcPr>
            <w:tcW w:w="5972" w:type="dxa"/>
            <w:shd w:val="clear" w:color="auto" w:fill="auto"/>
          </w:tcPr>
          <w:p w14:paraId="76A8CD03" w14:textId="614B2610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  <w:lang w:val="en-US"/>
              </w:rPr>
            </w:pPr>
            <w:proofErr w:type="spellStart"/>
            <w:r w:rsidRPr="006139B0">
              <w:rPr>
                <w:sz w:val="18"/>
                <w:lang w:val="en-US"/>
              </w:rPr>
              <w:t>Palang</w:t>
            </w:r>
            <w:proofErr w:type="spellEnd"/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Thai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proofErr w:type="spellStart"/>
            <w:r w:rsidRPr="006139B0">
              <w:rPr>
                <w:sz w:val="18"/>
                <w:lang w:val="en-US"/>
              </w:rPr>
              <w:t>Rak</w:t>
            </w:r>
            <w:proofErr w:type="spellEnd"/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Thai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4CDF223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65B253E9" w14:textId="77777777" w:rsidTr="006139B0">
        <w:tc>
          <w:tcPr>
            <w:tcW w:w="5972" w:type="dxa"/>
            <w:shd w:val="clear" w:color="auto" w:fill="auto"/>
          </w:tcPr>
          <w:p w14:paraId="3F62961A" w14:textId="5743E052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  <w:lang w:val="en-US"/>
              </w:rPr>
            </w:pPr>
            <w:r w:rsidRPr="006139B0">
              <w:rPr>
                <w:sz w:val="18"/>
                <w:lang w:val="en-US"/>
              </w:rPr>
              <w:t>Thai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Teachers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for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People</w:t>
            </w:r>
            <w:r w:rsidR="00C75340" w:rsidRPr="006139B0">
              <w:rPr>
                <w:sz w:val="18"/>
                <w:lang w:val="en-US"/>
              </w:rPr>
              <w:t xml:space="preserve"> </w:t>
            </w:r>
            <w:r w:rsidRPr="006139B0">
              <w:rPr>
                <w:sz w:val="18"/>
                <w:lang w:val="en-US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44254AC6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0D1B24B8" w14:textId="77777777" w:rsidTr="006139B0">
        <w:tc>
          <w:tcPr>
            <w:tcW w:w="5972" w:type="dxa"/>
            <w:shd w:val="clear" w:color="auto" w:fill="auto"/>
          </w:tcPr>
          <w:p w14:paraId="054A0483" w14:textId="7156EFCF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 w:rsidRPr="006139B0">
              <w:rPr>
                <w:sz w:val="18"/>
              </w:rPr>
              <w:t>Prachaniyom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039BDA87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0B6D518E" w14:textId="77777777" w:rsidTr="006139B0">
        <w:tc>
          <w:tcPr>
            <w:tcW w:w="5972" w:type="dxa"/>
            <w:shd w:val="clear" w:color="auto" w:fill="auto"/>
          </w:tcPr>
          <w:p w14:paraId="655C58BE" w14:textId="73CFE4E8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People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Justice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2C5702E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4B884E08" w14:textId="77777777" w:rsidTr="006139B0">
        <w:tc>
          <w:tcPr>
            <w:tcW w:w="5972" w:type="dxa"/>
            <w:shd w:val="clear" w:color="auto" w:fill="auto"/>
          </w:tcPr>
          <w:p w14:paraId="7BDE7AF1" w14:textId="0C2FE49B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People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Reform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11F5EE5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74D088A5" w14:textId="77777777" w:rsidTr="006139B0">
        <w:tc>
          <w:tcPr>
            <w:tcW w:w="5972" w:type="dxa"/>
            <w:shd w:val="clear" w:color="auto" w:fill="auto"/>
          </w:tcPr>
          <w:p w14:paraId="472676C0" w14:textId="761CD1E4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Thai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Citizens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Power</w:t>
            </w:r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29A68888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0BE64BCC" w14:textId="77777777" w:rsidTr="006139B0">
        <w:tc>
          <w:tcPr>
            <w:tcW w:w="5972" w:type="dxa"/>
            <w:shd w:val="clear" w:color="auto" w:fill="auto"/>
          </w:tcPr>
          <w:p w14:paraId="7F170777" w14:textId="04E8BECA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New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Democracy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shd w:val="clear" w:color="auto" w:fill="auto"/>
            <w:vAlign w:val="bottom"/>
          </w:tcPr>
          <w:p w14:paraId="3186653B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  <w:tr w:rsidR="00C3295C" w:rsidRPr="006139B0" w14:paraId="78B7DA22" w14:textId="77777777" w:rsidTr="006139B0">
        <w:tc>
          <w:tcPr>
            <w:tcW w:w="5972" w:type="dxa"/>
            <w:tcBorders>
              <w:bottom w:val="single" w:sz="12" w:space="0" w:color="auto"/>
            </w:tcBorders>
            <w:shd w:val="clear" w:color="auto" w:fill="auto"/>
          </w:tcPr>
          <w:p w14:paraId="1CF68FE7" w14:textId="7A6F815C" w:rsidR="00C3295C" w:rsidRPr="006139B0" w:rsidRDefault="00C3295C" w:rsidP="006139B0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139B0">
              <w:rPr>
                <w:sz w:val="18"/>
              </w:rPr>
              <w:t>New</w:t>
            </w:r>
            <w:r w:rsidR="00C75340" w:rsidRPr="006139B0">
              <w:rPr>
                <w:sz w:val="18"/>
              </w:rPr>
              <w:t xml:space="preserve"> </w:t>
            </w:r>
            <w:proofErr w:type="spellStart"/>
            <w:r w:rsidRPr="006139B0">
              <w:rPr>
                <w:sz w:val="18"/>
              </w:rPr>
              <w:t>Palangdharma</w:t>
            </w:r>
            <w:proofErr w:type="spellEnd"/>
            <w:r w:rsidR="00C75340" w:rsidRPr="006139B0">
              <w:rPr>
                <w:sz w:val="18"/>
              </w:rPr>
              <w:t xml:space="preserve"> </w:t>
            </w:r>
            <w:r w:rsidRPr="006139B0">
              <w:rPr>
                <w:sz w:val="18"/>
              </w:rPr>
              <w:t>Party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FB4CA3" w14:textId="77777777" w:rsidR="00C3295C" w:rsidRPr="006139B0" w:rsidRDefault="00C3295C" w:rsidP="006139B0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139B0">
              <w:rPr>
                <w:sz w:val="18"/>
              </w:rPr>
              <w:t>1</w:t>
            </w:r>
          </w:p>
        </w:tc>
      </w:tr>
    </w:tbl>
    <w:p w14:paraId="40385126" w14:textId="38770CAA" w:rsidR="00C3295C" w:rsidRPr="00D86974" w:rsidRDefault="00C3295C" w:rsidP="006139B0">
      <w:pPr>
        <w:pStyle w:val="H23G"/>
      </w:pPr>
      <w:r w:rsidRPr="00D86974">
        <w:tab/>
      </w:r>
      <w:r w:rsidRPr="00D86974">
        <w:tab/>
        <w:t>Criminalité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administration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</w:p>
    <w:p w14:paraId="4B8DEFF4" w14:textId="74B80D99" w:rsidR="00C3295C" w:rsidRPr="00B97E2E" w:rsidRDefault="00C3295C" w:rsidP="00B97E2E">
      <w:pPr>
        <w:pStyle w:val="SingleTxtG"/>
        <w:rPr>
          <w:spacing w:val="-2"/>
        </w:rPr>
      </w:pPr>
      <w:r w:rsidRPr="00B97E2E">
        <w:rPr>
          <w:spacing w:val="-2"/>
        </w:rPr>
        <w:t>60.</w:t>
      </w:r>
      <w:r w:rsidRPr="00B97E2E">
        <w:rPr>
          <w:spacing w:val="-2"/>
        </w:rPr>
        <w:tab/>
        <w:t>En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2019,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nombre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d’affaires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pénales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augmenté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23</w:t>
      </w:r>
      <w:r w:rsidR="00C75340" w:rsidRPr="00B97E2E">
        <w:rPr>
          <w:spacing w:val="-2"/>
        </w:rPr>
        <w:t xml:space="preserve"> % </w:t>
      </w:r>
      <w:r w:rsidRPr="00B97E2E">
        <w:rPr>
          <w:spacing w:val="-2"/>
        </w:rPr>
        <w:t>par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rapport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à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l’année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précédente.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Parmi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elles,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affaires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concernant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stupéfiants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et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atteintes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aux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biens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ont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augmenté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respectivement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27,7</w:t>
      </w:r>
      <w:r w:rsidR="00C75340" w:rsidRPr="00B97E2E">
        <w:rPr>
          <w:spacing w:val="-2"/>
        </w:rPr>
        <w:t xml:space="preserve"> % </w:t>
      </w:r>
      <w:r w:rsidRPr="00B97E2E">
        <w:rPr>
          <w:spacing w:val="-2"/>
        </w:rPr>
        <w:t>et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4,3</w:t>
      </w:r>
      <w:r w:rsidR="00C75340" w:rsidRPr="00B97E2E">
        <w:rPr>
          <w:spacing w:val="-2"/>
        </w:rPr>
        <w:t> %</w:t>
      </w:r>
      <w:r w:rsidRPr="00B97E2E">
        <w:rPr>
          <w:spacing w:val="-2"/>
        </w:rPr>
        <w:t>.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Néanmoins,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atteintes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à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la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vie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et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à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l’intégrité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physique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d’autrui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ainsi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que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agressions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sexuelles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ont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diminué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6,1</w:t>
      </w:r>
      <w:r w:rsidR="00C75340" w:rsidRPr="00B97E2E">
        <w:rPr>
          <w:spacing w:val="-2"/>
        </w:rPr>
        <w:t> %</w:t>
      </w:r>
      <w:r w:rsidRPr="00B97E2E">
        <w:rPr>
          <w:spacing w:val="-2"/>
        </w:rPr>
        <w:t>.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chiffres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indiqués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dans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tableaux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ci-après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se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fondent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sur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données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disponibles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en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mars</w:t>
      </w:r>
      <w:r w:rsidR="00C75340" w:rsidRPr="00B97E2E">
        <w:rPr>
          <w:spacing w:val="-2"/>
        </w:rPr>
        <w:t xml:space="preserve"> </w:t>
      </w:r>
      <w:r w:rsidRPr="00B97E2E">
        <w:rPr>
          <w:spacing w:val="-2"/>
        </w:rPr>
        <w:t>2019.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328"/>
        <w:gridCol w:w="651"/>
        <w:gridCol w:w="652"/>
        <w:gridCol w:w="652"/>
        <w:gridCol w:w="652"/>
      </w:tblGrid>
      <w:tr w:rsidR="00C3295C" w:rsidRPr="002908FD" w14:paraId="679EA74D" w14:textId="77777777" w:rsidTr="00B97E2E">
        <w:trPr>
          <w:tblHeader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3B329E" w14:textId="5F4F7B8A" w:rsidR="00C3295C" w:rsidRPr="002908FD" w:rsidRDefault="00C3295C" w:rsidP="00B97E2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908FD">
              <w:rPr>
                <w:i/>
                <w:sz w:val="16"/>
              </w:rPr>
              <w:t>Nombre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morts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violentes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et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crimes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mettant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la</w:t>
            </w:r>
            <w:r w:rsidR="00B97E2E">
              <w:rPr>
                <w:i/>
                <w:sz w:val="16"/>
              </w:rPr>
              <w:t> </w:t>
            </w:r>
            <w:r w:rsidRPr="002908FD">
              <w:rPr>
                <w:i/>
                <w:sz w:val="16"/>
              </w:rPr>
              <w:t>vie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d’autrui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en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danger,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d’atteintes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à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l’intégrité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physique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et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d’agressions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sexuelles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signalés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pour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100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000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habitants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19C1C" w14:textId="77777777" w:rsidR="00C3295C" w:rsidRPr="002908FD" w:rsidRDefault="00C3295C" w:rsidP="00B97E2E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cs/>
              </w:rPr>
            </w:pPr>
            <w:r w:rsidRPr="002908FD">
              <w:rPr>
                <w:i/>
                <w:sz w:val="16"/>
              </w:rPr>
              <w:t>6,98</w:t>
            </w:r>
          </w:p>
        </w:tc>
      </w:tr>
      <w:tr w:rsidR="00B97E2E" w:rsidRPr="002908FD" w14:paraId="1E643BA6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blHeader/>
        </w:trPr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85199A" w14:textId="5BDEFFE3" w:rsidR="00B97E2E" w:rsidRPr="002908FD" w:rsidRDefault="00B97E2E" w:rsidP="00B97E2E">
            <w:pPr>
              <w:suppressAutoHyphens w:val="0"/>
              <w:spacing w:before="40" w:after="40" w:line="220" w:lineRule="exact"/>
              <w:rPr>
                <w:i/>
                <w:sz w:val="16"/>
                <w:rtl/>
                <w:cs/>
              </w:rPr>
            </w:pPr>
            <w:r w:rsidRPr="002908FD">
              <w:rPr>
                <w:sz w:val="18"/>
              </w:rPr>
              <w:t>Nombre et proportion de personnes (pour 100</w:t>
            </w:r>
            <w:r>
              <w:rPr>
                <w:sz w:val="18"/>
              </w:rPr>
              <w:t> </w:t>
            </w:r>
            <w:r w:rsidRPr="002908FD">
              <w:rPr>
                <w:sz w:val="18"/>
              </w:rPr>
              <w:t>000 habitants) arrêtées et traduites en justice pour des crimes violents et autres infractions graves (tels qu’homicide, vol à main armée, voies de fait et trafic)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34009D" w14:textId="77777777" w:rsidR="00B97E2E" w:rsidRPr="002908FD" w:rsidRDefault="00B97E2E" w:rsidP="00B97E2E">
            <w:pPr>
              <w:suppressAutoHyphens w:val="0"/>
              <w:spacing w:before="80" w:after="80" w:line="200" w:lineRule="exact"/>
              <w:rPr>
                <w:i/>
                <w:iCs/>
                <w:sz w:val="16"/>
              </w:rPr>
            </w:pPr>
            <w:r w:rsidRPr="002908FD">
              <w:rPr>
                <w:i/>
                <w:iCs/>
                <w:sz w:val="16"/>
              </w:rPr>
              <w:t>Infractions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084E71" w14:textId="77777777" w:rsidR="00B97E2E" w:rsidRPr="002908FD" w:rsidRDefault="00B97E2E" w:rsidP="00B97E2E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</w:rPr>
            </w:pPr>
            <w:r w:rsidRPr="002908FD">
              <w:rPr>
                <w:i/>
                <w:iCs/>
                <w:sz w:val="16"/>
              </w:rPr>
              <w:t>Établies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622DD" w14:textId="51A49FE2" w:rsidR="00B97E2E" w:rsidRPr="002908FD" w:rsidRDefault="00B97E2E" w:rsidP="00B97E2E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</w:rPr>
            </w:pPr>
            <w:r w:rsidRPr="002908FD">
              <w:rPr>
                <w:i/>
                <w:iCs/>
                <w:sz w:val="16"/>
              </w:rPr>
              <w:t>Ayant fait l’objet de</w:t>
            </w:r>
            <w:r>
              <w:rPr>
                <w:i/>
                <w:iCs/>
                <w:sz w:val="16"/>
              </w:rPr>
              <w:t> </w:t>
            </w:r>
            <w:r w:rsidRPr="002908FD">
              <w:rPr>
                <w:i/>
                <w:iCs/>
                <w:sz w:val="16"/>
              </w:rPr>
              <w:t>poursuites</w:t>
            </w:r>
          </w:p>
        </w:tc>
      </w:tr>
      <w:tr w:rsidR="00B97E2E" w:rsidRPr="002908FD" w14:paraId="0724251B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blHeader/>
        </w:trPr>
        <w:tc>
          <w:tcPr>
            <w:tcW w:w="3435" w:type="dxa"/>
            <w:vMerge/>
            <w:shd w:val="clear" w:color="auto" w:fill="auto"/>
            <w:vAlign w:val="bottom"/>
          </w:tcPr>
          <w:p w14:paraId="06510E19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9690CC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rPr>
                <w:i/>
                <w:iCs/>
                <w:sz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3DD966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8"/>
              </w:rPr>
            </w:pPr>
            <w:r w:rsidRPr="002908FD">
              <w:rPr>
                <w:i/>
                <w:iCs/>
                <w:sz w:val="18"/>
              </w:rPr>
              <w:t>Nombre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C9D81F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8"/>
              </w:rPr>
            </w:pPr>
            <w:r w:rsidRPr="002908FD">
              <w:rPr>
                <w:i/>
                <w:iCs/>
                <w:sz w:val="18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7514B3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8"/>
              </w:rPr>
            </w:pPr>
            <w:r w:rsidRPr="002908FD">
              <w:rPr>
                <w:i/>
                <w:iCs/>
                <w:sz w:val="18"/>
              </w:rPr>
              <w:t>Nombre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A7DF09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i/>
                <w:iCs/>
                <w:sz w:val="18"/>
              </w:rPr>
            </w:pPr>
            <w:r w:rsidRPr="002908FD">
              <w:rPr>
                <w:i/>
                <w:iCs/>
                <w:sz w:val="18"/>
              </w:rPr>
              <w:t>%</w:t>
            </w:r>
          </w:p>
        </w:tc>
      </w:tr>
      <w:tr w:rsidR="00B97E2E" w:rsidRPr="002908FD" w14:paraId="17B4EC29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10B01F34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A9CFAD" w14:textId="28C969D0" w:rsidR="00B97E2E" w:rsidRPr="002908FD" w:rsidRDefault="00B97E2E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Incendie volontairement provoqué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0910C1F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317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78AC6CC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0,55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1F9492A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594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78ADEC" w14:textId="77777777" w:rsidR="00B97E2E" w:rsidRPr="002908FD" w:rsidRDefault="00B97E2E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0,89</w:t>
            </w:r>
          </w:p>
        </w:tc>
      </w:tr>
      <w:tr w:rsidR="00C3295C" w:rsidRPr="002908FD" w14:paraId="314CB93C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12D4A7EE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033B106F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Viol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0BF223EE" w14:textId="129FF3AA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3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523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3591E6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5,3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CEF538E" w14:textId="273A00FA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7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334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46567D2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11</w:t>
            </w:r>
          </w:p>
        </w:tc>
      </w:tr>
      <w:tr w:rsidR="00C3295C" w:rsidRPr="002908FD" w14:paraId="315C3869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676AF362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0D07E679" w14:textId="7AE4E00A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Autres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infractions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sexuelles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03216AB4" w14:textId="2DB5229C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559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4073E74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2,35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4F3B16D" w14:textId="52E99AC1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3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078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3EA5F70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4,6</w:t>
            </w:r>
          </w:p>
        </w:tc>
      </w:tr>
      <w:tr w:rsidR="00C3295C" w:rsidRPr="002908FD" w14:paraId="1C02231B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39ECDD20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4EEBEB51" w14:textId="221404B0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Homicide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volontaire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4BAF6255" w14:textId="4A6F97CF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660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25C43E7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8A5B368" w14:textId="796D6C18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6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242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7E0895B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9,4</w:t>
            </w:r>
          </w:p>
        </w:tc>
      </w:tr>
      <w:tr w:rsidR="00C3295C" w:rsidRPr="002908FD" w14:paraId="1F4B06E2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19097B62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1BCF1766" w14:textId="1C1C6016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Tentative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d’homicide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72C171C1" w14:textId="75460C62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4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762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235E0D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7,17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7FE7463" w14:textId="4DB6BF1A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12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035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7C3D83B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18,1</w:t>
            </w:r>
          </w:p>
        </w:tc>
      </w:tr>
      <w:tr w:rsidR="00C3295C" w:rsidRPr="002908FD" w14:paraId="60BC1E71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1C53CF77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564AC705" w14:textId="5D5F382E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Homicide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involontaire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0DC1ECE7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503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3AA047A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0,76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C7A9CC2" w14:textId="4768852F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309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6DC692F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1,97</w:t>
            </w:r>
          </w:p>
        </w:tc>
      </w:tr>
      <w:tr w:rsidR="00C3295C" w:rsidRPr="002908FD" w14:paraId="16334889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2BE8C43F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1BBD6DA5" w14:textId="59ABB8E3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Autres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homicides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4D2414BA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111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C3C0FD7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0,17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738970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257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105CA6B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0,39</w:t>
            </w:r>
          </w:p>
        </w:tc>
      </w:tr>
      <w:tr w:rsidR="00C3295C" w:rsidRPr="002908FD" w14:paraId="73786D69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4872653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67A0F632" w14:textId="651F0836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Atteintes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à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l’intégrité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physique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2511BD7F" w14:textId="559C99F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14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770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49F891B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22,24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75B8DB9" w14:textId="611F03E1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20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858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E58E5E6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31,4</w:t>
            </w:r>
          </w:p>
        </w:tc>
      </w:tr>
      <w:tr w:rsidR="00C3295C" w:rsidRPr="002908FD" w14:paraId="60DB2546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6E0A5292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1D0EADF1" w14:textId="4A406F20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Vol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qualifié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5733B69D" w14:textId="3D64CC5A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005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5F18A7C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1,5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E5AB500" w14:textId="302278D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983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8DEA7E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4,5</w:t>
            </w:r>
          </w:p>
        </w:tc>
      </w:tr>
      <w:tr w:rsidR="00C3295C" w:rsidRPr="002908FD" w14:paraId="4192BE76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shd w:val="clear" w:color="auto" w:fill="auto"/>
            <w:vAlign w:val="bottom"/>
          </w:tcPr>
          <w:p w14:paraId="5231D3A8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5C91BD14" w14:textId="7720872C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Vol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en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bande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organisée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5E0F9B6E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598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7CAABC5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52C721E" w14:textId="1D95AA05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2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571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522C2AA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3,88</w:t>
            </w:r>
          </w:p>
        </w:tc>
      </w:tr>
      <w:tr w:rsidR="00C3295C" w:rsidRPr="002908FD" w14:paraId="1B8ECF7E" w14:textId="77777777" w:rsidTr="00B97E2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4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5A1926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796118" w14:textId="225A2AAD" w:rsidR="00C3295C" w:rsidRPr="002908FD" w:rsidRDefault="00C3295C" w:rsidP="00B97E2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2908FD">
              <w:rPr>
                <w:sz w:val="18"/>
              </w:rPr>
              <w:t>Traite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des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êtres</w:t>
            </w:r>
            <w:r w:rsidR="00C75340" w:rsidRPr="002908FD">
              <w:rPr>
                <w:sz w:val="18"/>
              </w:rPr>
              <w:t xml:space="preserve"> </w:t>
            </w:r>
            <w:r w:rsidRPr="002908FD">
              <w:rPr>
                <w:sz w:val="18"/>
              </w:rPr>
              <w:t>humains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8E7EA1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555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69CC712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0,83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8DDC8C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461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52CCFC" w14:textId="77777777" w:rsidR="00C3295C" w:rsidRPr="002908FD" w:rsidRDefault="00C3295C" w:rsidP="00B97E2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2908FD">
              <w:rPr>
                <w:sz w:val="18"/>
              </w:rPr>
              <w:t>0,69</w:t>
            </w:r>
          </w:p>
        </w:tc>
      </w:tr>
    </w:tbl>
    <w:p w14:paraId="50BAD6A2" w14:textId="77777777" w:rsidR="00C3295C" w:rsidRPr="002908FD" w:rsidRDefault="00C3295C" w:rsidP="002908FD">
      <w:pPr>
        <w:ind w:left="1134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C3295C" w:rsidRPr="002908FD" w14:paraId="5C414BC8" w14:textId="77777777" w:rsidTr="00B97E2E">
        <w:trPr>
          <w:tblHeader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C8F818" w14:textId="00151FDA" w:rsidR="00C3295C" w:rsidRPr="002908FD" w:rsidRDefault="00C3295C" w:rsidP="00B97E2E">
            <w:pPr>
              <w:spacing w:before="80" w:after="80" w:line="200" w:lineRule="exact"/>
              <w:ind w:right="604"/>
              <w:rPr>
                <w:i/>
                <w:sz w:val="16"/>
                <w:cs/>
              </w:rPr>
            </w:pPr>
            <w:r w:rsidRPr="002908FD">
              <w:rPr>
                <w:i/>
                <w:sz w:val="16"/>
              </w:rPr>
              <w:t>Part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dépenses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publiques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consacrées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à</w:t>
            </w:r>
            <w:r w:rsidR="00B97E2E">
              <w:rPr>
                <w:i/>
                <w:sz w:val="16"/>
              </w:rPr>
              <w:t> </w:t>
            </w:r>
            <w:r w:rsidRPr="002908FD">
              <w:rPr>
                <w:i/>
                <w:sz w:val="16"/>
              </w:rPr>
              <w:t>la</w:t>
            </w:r>
            <w:r w:rsidR="00B97E2E">
              <w:rPr>
                <w:i/>
                <w:sz w:val="16"/>
              </w:rPr>
              <w:t> </w:t>
            </w:r>
            <w:r w:rsidRPr="002908FD">
              <w:rPr>
                <w:i/>
                <w:sz w:val="16"/>
              </w:rPr>
              <w:t>police/sécurité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et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au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système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judiciaire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(en</w:t>
            </w:r>
            <w:r w:rsidR="00B97E2E">
              <w:rPr>
                <w:i/>
                <w:sz w:val="16"/>
              </w:rPr>
              <w:t> </w:t>
            </w:r>
            <w:r w:rsidRPr="002908FD">
              <w:rPr>
                <w:i/>
                <w:sz w:val="16"/>
              </w:rPr>
              <w:t>millions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de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baht)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E27221" w14:textId="0124250A" w:rsidR="00C3295C" w:rsidRPr="002908FD" w:rsidRDefault="00C3295C" w:rsidP="00B97E2E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2908FD">
              <w:rPr>
                <w:i/>
                <w:sz w:val="16"/>
              </w:rPr>
              <w:t>408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569,7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(environ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14</w:t>
            </w:r>
            <w:r w:rsidR="00C75340" w:rsidRPr="002908FD">
              <w:rPr>
                <w:i/>
                <w:sz w:val="16"/>
              </w:rPr>
              <w:t xml:space="preserve"> % </w:t>
            </w:r>
            <w:r w:rsidRPr="002908FD">
              <w:rPr>
                <w:i/>
                <w:sz w:val="16"/>
              </w:rPr>
              <w:t>du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budget</w:t>
            </w:r>
            <w:r w:rsidR="00C75340" w:rsidRPr="002908FD">
              <w:rPr>
                <w:i/>
                <w:sz w:val="16"/>
              </w:rPr>
              <w:t xml:space="preserve"> </w:t>
            </w:r>
            <w:r w:rsidRPr="002908FD">
              <w:rPr>
                <w:i/>
                <w:sz w:val="16"/>
              </w:rPr>
              <w:t>total)</w:t>
            </w:r>
          </w:p>
        </w:tc>
      </w:tr>
      <w:tr w:rsidR="002908FD" w:rsidRPr="002908FD" w14:paraId="481EB07E" w14:textId="77777777" w:rsidTr="00B97E2E">
        <w:trPr>
          <w:trHeight w:hRule="exact" w:val="113"/>
          <w:tblHeader/>
        </w:trPr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6C115B0" w14:textId="77777777" w:rsidR="002908FD" w:rsidRPr="002908FD" w:rsidRDefault="002908FD" w:rsidP="002908FD">
            <w:pPr>
              <w:spacing w:before="40" w:after="120"/>
              <w:ind w:right="113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3869A654" w14:textId="77777777" w:rsidR="002908FD" w:rsidRPr="002908FD" w:rsidRDefault="002908FD" w:rsidP="002908FD">
            <w:pPr>
              <w:spacing w:before="40" w:after="120"/>
              <w:ind w:right="113"/>
            </w:pPr>
          </w:p>
        </w:tc>
      </w:tr>
      <w:tr w:rsidR="00C3295C" w:rsidRPr="002908FD" w14:paraId="55233E8B" w14:textId="77777777" w:rsidTr="00B97E2E">
        <w:tc>
          <w:tcPr>
            <w:tcW w:w="3685" w:type="dxa"/>
            <w:shd w:val="clear" w:color="auto" w:fill="auto"/>
          </w:tcPr>
          <w:p w14:paraId="7067EDBA" w14:textId="6F37A29A" w:rsidR="00C3295C" w:rsidRPr="002908FD" w:rsidRDefault="00C3295C" w:rsidP="002908FD">
            <w:pPr>
              <w:spacing w:before="40" w:after="120"/>
              <w:ind w:right="113"/>
            </w:pPr>
            <w:r w:rsidRPr="002908FD">
              <w:t>Nombre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détenus</w:t>
            </w:r>
            <w:r w:rsidR="00C75340" w:rsidRPr="002908FD">
              <w:t xml:space="preserve"> </w:t>
            </w:r>
            <w:r w:rsidRPr="002908FD">
              <w:t>condamnés,</w:t>
            </w:r>
            <w:r w:rsidR="00C75340" w:rsidRPr="002908FD">
              <w:t xml:space="preserve"> </w:t>
            </w:r>
            <w:r w:rsidRPr="002908FD">
              <w:t>ventilé</w:t>
            </w:r>
            <w:r w:rsidR="00C75340" w:rsidRPr="002908FD">
              <w:t xml:space="preserve"> </w:t>
            </w:r>
            <w:r w:rsidRPr="002908FD">
              <w:t>par</w:t>
            </w:r>
            <w:r w:rsidR="00B97E2E">
              <w:t> </w:t>
            </w:r>
            <w:r w:rsidRPr="002908FD">
              <w:t>infraction</w:t>
            </w:r>
            <w:r w:rsidR="00C75340" w:rsidRPr="002908FD">
              <w:t xml:space="preserve"> </w:t>
            </w:r>
            <w:r w:rsidRPr="002908FD">
              <w:t>et</w:t>
            </w:r>
            <w:r w:rsidR="00C75340" w:rsidRPr="002908FD">
              <w:t xml:space="preserve"> </w:t>
            </w:r>
            <w:r w:rsidRPr="002908FD">
              <w:t>par</w:t>
            </w:r>
            <w:r w:rsidR="00C75340" w:rsidRPr="002908FD">
              <w:t xml:space="preserve"> </w:t>
            </w:r>
            <w:r w:rsidRPr="002908FD">
              <w:t>jugement</w:t>
            </w:r>
            <w:r w:rsidR="00C75340" w:rsidRPr="002908FD">
              <w:t xml:space="preserve"> </w:t>
            </w:r>
            <w:r w:rsidRPr="002908FD">
              <w:t>du</w:t>
            </w:r>
            <w:r w:rsidR="00C75340" w:rsidRPr="002908FD">
              <w:t xml:space="preserve"> </w:t>
            </w:r>
            <w:r w:rsidRPr="002908FD">
              <w:t>tribunal</w:t>
            </w:r>
            <w:r w:rsidR="00B97E2E">
              <w:t xml:space="preserve"> </w:t>
            </w:r>
            <w:r w:rsidRPr="002908FD">
              <w:t>(au</w:t>
            </w:r>
            <w:r w:rsidR="00C75340" w:rsidRPr="002908FD">
              <w:t xml:space="preserve"> </w:t>
            </w:r>
            <w:r w:rsidRPr="002908FD">
              <w:t>3</w:t>
            </w:r>
            <w:r w:rsidR="00B97E2E">
              <w:t> </w:t>
            </w:r>
            <w:r w:rsidRPr="002908FD">
              <w:t>avril</w:t>
            </w:r>
            <w:r w:rsidR="00C75340" w:rsidRPr="002908FD">
              <w:t xml:space="preserve"> </w:t>
            </w:r>
            <w:r w:rsidRPr="002908FD">
              <w:t>2019)</w:t>
            </w:r>
          </w:p>
        </w:tc>
        <w:tc>
          <w:tcPr>
            <w:tcW w:w="3685" w:type="dxa"/>
            <w:shd w:val="clear" w:color="auto" w:fill="auto"/>
          </w:tcPr>
          <w:p w14:paraId="5E17E118" w14:textId="67258EF3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proofErr w:type="spellStart"/>
            <w:r w:rsidRPr="002908FD">
              <w:t>Veuillez</w:t>
            </w:r>
            <w:r w:rsidR="00C75340" w:rsidRPr="002908FD">
              <w:t xml:space="preserve"> </w:t>
            </w:r>
            <w:r w:rsidRPr="002908FD">
              <w:t>vous</w:t>
            </w:r>
            <w:proofErr w:type="spellEnd"/>
            <w:r w:rsidR="00C75340" w:rsidRPr="002908FD">
              <w:t xml:space="preserve"> </w:t>
            </w:r>
            <w:r w:rsidRPr="002908FD">
              <w:t>référer</w:t>
            </w:r>
            <w:r w:rsidR="00C75340" w:rsidRPr="002908FD">
              <w:t xml:space="preserve"> </w:t>
            </w:r>
            <w:r w:rsidRPr="002908FD">
              <w:t>aux</w:t>
            </w:r>
            <w:r w:rsidR="00C75340" w:rsidRPr="002908FD">
              <w:t xml:space="preserve"> </w:t>
            </w:r>
            <w:r w:rsidRPr="002908FD">
              <w:t>tableaux</w:t>
            </w:r>
            <w:r w:rsidR="00C75340" w:rsidRPr="002908FD">
              <w:t xml:space="preserve"> </w:t>
            </w:r>
            <w:r w:rsidRPr="002908FD">
              <w:t>ci-joints.</w:t>
            </w:r>
          </w:p>
        </w:tc>
      </w:tr>
      <w:tr w:rsidR="00C3295C" w:rsidRPr="002908FD" w14:paraId="3C470BF4" w14:textId="77777777" w:rsidTr="00B97E2E">
        <w:tc>
          <w:tcPr>
            <w:tcW w:w="3685" w:type="dxa"/>
            <w:shd w:val="clear" w:color="auto" w:fill="auto"/>
          </w:tcPr>
          <w:p w14:paraId="442338C2" w14:textId="3A5FCFF8" w:rsidR="00C3295C" w:rsidRPr="002908FD" w:rsidRDefault="00C3295C" w:rsidP="002908FD">
            <w:pPr>
              <w:spacing w:before="40" w:after="120"/>
              <w:ind w:right="113"/>
            </w:pPr>
            <w:r w:rsidRPr="002908FD">
              <w:t>Nombre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personnes</w:t>
            </w:r>
            <w:r w:rsidR="00C75340" w:rsidRPr="002908FD">
              <w:t xml:space="preserve"> </w:t>
            </w:r>
            <w:r w:rsidRPr="002908FD">
              <w:t>inculpées</w:t>
            </w:r>
            <w:r w:rsidR="00C75340" w:rsidRPr="002908FD">
              <w:t xml:space="preserve"> </w:t>
            </w:r>
            <w:r w:rsidRPr="002908FD">
              <w:t>et</w:t>
            </w:r>
            <w:r w:rsidR="00C75340" w:rsidRPr="002908FD">
              <w:t xml:space="preserve"> </w:t>
            </w:r>
            <w:r w:rsidRPr="002908FD">
              <w:t>détenues</w:t>
            </w:r>
            <w:r w:rsidR="00C75340" w:rsidRPr="002908FD">
              <w:t xml:space="preserve"> </w:t>
            </w:r>
            <w:r w:rsidRPr="002908FD">
              <w:t>qui</w:t>
            </w:r>
            <w:r w:rsidR="00C75340" w:rsidRPr="002908FD">
              <w:t xml:space="preserve"> </w:t>
            </w:r>
            <w:r w:rsidRPr="002908FD">
              <w:t>demandent</w:t>
            </w:r>
            <w:r w:rsidR="00C75340" w:rsidRPr="002908FD">
              <w:t xml:space="preserve"> </w:t>
            </w:r>
            <w:r w:rsidRPr="002908FD">
              <w:t>l’aide</w:t>
            </w:r>
            <w:r w:rsidR="00C75340" w:rsidRPr="002908FD">
              <w:t xml:space="preserve"> </w:t>
            </w:r>
            <w:r w:rsidRPr="002908FD">
              <w:t>juridictionnelle</w:t>
            </w:r>
            <w:r w:rsidR="00C75340" w:rsidRPr="002908FD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6453149" w14:textId="43379CEE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744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2015</w:t>
            </w:r>
          </w:p>
          <w:p w14:paraId="778089F1" w14:textId="64431EA8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757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2016</w:t>
            </w:r>
          </w:p>
          <w:p w14:paraId="1938ED3F" w14:textId="7A527114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624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2017</w:t>
            </w:r>
          </w:p>
          <w:p w14:paraId="37F245C1" w14:textId="3FCFF73A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595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2018</w:t>
            </w:r>
          </w:p>
          <w:p w14:paraId="646ADBF8" w14:textId="51156F8E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576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2019</w:t>
            </w:r>
          </w:p>
          <w:p w14:paraId="7285B7A5" w14:textId="658A8D2B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t>275</w:t>
            </w:r>
            <w:r w:rsidR="00C75340" w:rsidRPr="002908FD">
              <w:t xml:space="preserve"> </w:t>
            </w:r>
            <w:r w:rsidRPr="002908FD">
              <w:t>dossiers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2020</w:t>
            </w:r>
          </w:p>
          <w:p w14:paraId="0EE32D21" w14:textId="7073C25B" w:rsidR="00C3295C" w:rsidRPr="002908FD" w:rsidRDefault="00C3295C" w:rsidP="002908FD">
            <w:pPr>
              <w:spacing w:before="40" w:after="120"/>
              <w:ind w:right="113"/>
              <w:rPr>
                <w:cs/>
              </w:rPr>
            </w:pPr>
            <w:r w:rsidRPr="002908FD">
              <w:rPr>
                <w:b/>
                <w:bCs/>
              </w:rPr>
              <w:t>3</w:t>
            </w:r>
            <w:r w:rsidR="00C75340" w:rsidRPr="002908FD">
              <w:rPr>
                <w:b/>
                <w:bCs/>
              </w:rPr>
              <w:t xml:space="preserve"> </w:t>
            </w:r>
            <w:r w:rsidRPr="002908FD">
              <w:rPr>
                <w:b/>
                <w:bCs/>
              </w:rPr>
              <w:t>571</w:t>
            </w:r>
            <w:r w:rsidR="00C75340" w:rsidRPr="002908FD">
              <w:rPr>
                <w:b/>
                <w:bCs/>
              </w:rPr>
              <w:t xml:space="preserve"> </w:t>
            </w:r>
            <w:r w:rsidRPr="002908FD">
              <w:rPr>
                <w:b/>
                <w:bCs/>
              </w:rPr>
              <w:t>dossiers</w:t>
            </w:r>
            <w:r w:rsidR="00C75340" w:rsidRPr="002908FD">
              <w:rPr>
                <w:b/>
                <w:bCs/>
              </w:rPr>
              <w:t xml:space="preserve"> </w:t>
            </w:r>
            <w:r w:rsidRPr="002908FD">
              <w:rPr>
                <w:b/>
                <w:bCs/>
              </w:rPr>
              <w:t>au</w:t>
            </w:r>
            <w:r w:rsidR="00C75340" w:rsidRPr="002908FD">
              <w:rPr>
                <w:b/>
                <w:bCs/>
              </w:rPr>
              <w:t xml:space="preserve"> </w:t>
            </w:r>
            <w:r w:rsidRPr="002908FD">
              <w:rPr>
                <w:b/>
                <w:bCs/>
              </w:rPr>
              <w:t>total</w:t>
            </w:r>
            <w:r w:rsidR="00C75340" w:rsidRPr="002908FD">
              <w:t xml:space="preserve"> </w:t>
            </w:r>
          </w:p>
        </w:tc>
      </w:tr>
      <w:tr w:rsidR="00C3295C" w:rsidRPr="002908FD" w14:paraId="1C1A906D" w14:textId="77777777" w:rsidTr="00B97E2E"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0CA255A1" w14:textId="66B95E11" w:rsidR="00C3295C" w:rsidRPr="002908FD" w:rsidRDefault="00C3295C" w:rsidP="002908FD">
            <w:pPr>
              <w:spacing w:before="40" w:after="120"/>
              <w:ind w:right="113"/>
            </w:pPr>
            <w:r w:rsidRPr="002908FD">
              <w:t>Nombre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victimes</w:t>
            </w:r>
            <w:r w:rsidR="00C75340" w:rsidRPr="002908FD">
              <w:t xml:space="preserve"> </w:t>
            </w:r>
            <w:r w:rsidRPr="002908FD">
              <w:t>et</w:t>
            </w:r>
            <w:r w:rsidR="00C75340" w:rsidRPr="002908FD">
              <w:t xml:space="preserve"> </w:t>
            </w:r>
            <w:r w:rsidRPr="002908FD">
              <w:t>d’accusés</w:t>
            </w:r>
            <w:r w:rsidR="00C75340" w:rsidRPr="002908FD">
              <w:t xml:space="preserve"> </w:t>
            </w:r>
            <w:r w:rsidRPr="002908FD">
              <w:t>indemnisés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application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la</w:t>
            </w:r>
            <w:r w:rsidR="00C75340" w:rsidRPr="002908FD">
              <w:t xml:space="preserve"> </w:t>
            </w:r>
            <w:r w:rsidRPr="002908FD">
              <w:t>loi</w:t>
            </w:r>
            <w:r w:rsidR="00C75340" w:rsidRPr="002908FD">
              <w:t xml:space="preserve"> </w:t>
            </w:r>
            <w:r w:rsidRPr="002908FD">
              <w:t>relative</w:t>
            </w:r>
            <w:r w:rsidR="00C75340" w:rsidRPr="002908FD">
              <w:t xml:space="preserve"> </w:t>
            </w:r>
            <w:r w:rsidRPr="002908FD">
              <w:t>à</w:t>
            </w:r>
            <w:r w:rsidR="00C75340" w:rsidRPr="002908FD">
              <w:t xml:space="preserve"> </w:t>
            </w:r>
            <w:r w:rsidRPr="002908FD">
              <w:t>l’indemnisation</w:t>
            </w:r>
            <w:r w:rsidR="00C75340" w:rsidRPr="002908FD">
              <w:t xml:space="preserve"> </w:t>
            </w:r>
            <w:r w:rsidRPr="002908FD">
              <w:t>et</w:t>
            </w:r>
            <w:r w:rsidR="00C75340" w:rsidRPr="002908FD">
              <w:t xml:space="preserve"> </w:t>
            </w:r>
            <w:r w:rsidRPr="002908FD">
              <w:t>aux</w:t>
            </w:r>
            <w:r w:rsidR="00C75340" w:rsidRPr="002908FD">
              <w:t xml:space="preserve"> </w:t>
            </w:r>
            <w:r w:rsidRPr="002908FD">
              <w:t>dépenses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l’accusé</w:t>
            </w:r>
            <w:r w:rsidR="00C75340" w:rsidRPr="002908FD">
              <w:t xml:space="preserve"> </w:t>
            </w:r>
            <w:r w:rsidRPr="002908FD">
              <w:t>dans</w:t>
            </w:r>
            <w:r w:rsidR="00C75340" w:rsidRPr="002908FD">
              <w:t xml:space="preserve"> </w:t>
            </w:r>
            <w:r w:rsidRPr="002908FD">
              <w:t>les</w:t>
            </w:r>
            <w:r w:rsidR="00C75340" w:rsidRPr="002908FD">
              <w:t xml:space="preserve"> </w:t>
            </w:r>
            <w:r w:rsidRPr="002908FD">
              <w:t>affaires</w:t>
            </w:r>
            <w:r w:rsidR="00C75340" w:rsidRPr="002908FD">
              <w:t xml:space="preserve"> </w:t>
            </w:r>
            <w:r w:rsidRPr="002908FD">
              <w:t>pénales</w:t>
            </w:r>
            <w:r w:rsidR="00C75340" w:rsidRPr="002908FD">
              <w:t xml:space="preserve"> </w:t>
            </w:r>
            <w:r w:rsidRPr="002908FD">
              <w:t>2544</w:t>
            </w:r>
            <w:r w:rsidR="00C75340" w:rsidRPr="002908FD">
              <w:t xml:space="preserve"> </w:t>
            </w:r>
            <w:r w:rsidRPr="002908FD">
              <w:t>EB</w:t>
            </w:r>
            <w:r w:rsidR="00C75340" w:rsidRPr="002908FD">
              <w:t xml:space="preserve"> </w:t>
            </w:r>
            <w:r w:rsidRPr="002908FD">
              <w:t>(2001),</w:t>
            </w:r>
            <w:r w:rsidR="00C75340" w:rsidRPr="002908FD">
              <w:t xml:space="preserve"> </w:t>
            </w:r>
            <w:r w:rsidRPr="002908FD">
              <w:t>telle</w:t>
            </w:r>
            <w:r w:rsidR="00C75340" w:rsidRPr="002908FD">
              <w:t xml:space="preserve"> </w:t>
            </w:r>
            <w:r w:rsidRPr="002908FD">
              <w:t>que</w:t>
            </w:r>
            <w:r w:rsidR="00C75340" w:rsidRPr="002908FD">
              <w:t xml:space="preserve"> </w:t>
            </w:r>
            <w:r w:rsidRPr="002908FD">
              <w:t>modifiée</w:t>
            </w:r>
            <w:r w:rsidR="00C75340" w:rsidRPr="002908FD">
              <w:t xml:space="preserve"> </w:t>
            </w:r>
            <w:r w:rsidRPr="002908FD">
              <w:t>en</w:t>
            </w:r>
            <w:r w:rsidR="00C75340" w:rsidRPr="002908FD">
              <w:t xml:space="preserve"> </w:t>
            </w:r>
            <w:r w:rsidRPr="002908FD">
              <w:t>2016.</w:t>
            </w:r>
            <w:r w:rsidR="00C75340" w:rsidRPr="002908FD">
              <w:t xml:space="preserve">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ABBA7A0" w14:textId="1DEA4776" w:rsidR="00C3295C" w:rsidRPr="002908FD" w:rsidRDefault="00C3295C" w:rsidP="00B97E2E">
            <w:pPr>
              <w:spacing w:before="40" w:after="120"/>
              <w:ind w:right="113"/>
              <w:rPr>
                <w:cs/>
              </w:rPr>
            </w:pPr>
            <w:r w:rsidRPr="002908FD">
              <w:t>Versement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2</w:t>
            </w:r>
            <w:r w:rsidR="002908FD">
              <w:t> </w:t>
            </w:r>
            <w:r w:rsidRPr="002908FD">
              <w:t>827</w:t>
            </w:r>
            <w:r w:rsidR="002908FD">
              <w:t> </w:t>
            </w:r>
            <w:r w:rsidRPr="002908FD">
              <w:t>160</w:t>
            </w:r>
            <w:r w:rsidR="002908FD">
              <w:t> </w:t>
            </w:r>
            <w:r w:rsidRPr="002908FD">
              <w:t>938,28</w:t>
            </w:r>
            <w:r w:rsidR="00C75340" w:rsidRPr="002908FD">
              <w:t xml:space="preserve"> </w:t>
            </w:r>
            <w:r w:rsidRPr="002908FD">
              <w:t>THB</w:t>
            </w:r>
            <w:r w:rsidR="00C75340" w:rsidRPr="002908FD">
              <w:t xml:space="preserve"> </w:t>
            </w:r>
            <w:r w:rsidRPr="002908FD">
              <w:t>à</w:t>
            </w:r>
            <w:r w:rsidR="00C75340" w:rsidRPr="002908FD">
              <w:t xml:space="preserve"> </w:t>
            </w:r>
            <w:r w:rsidRPr="002908FD">
              <w:t>57</w:t>
            </w:r>
            <w:r w:rsidR="002908FD">
              <w:t> </w:t>
            </w:r>
            <w:r w:rsidRPr="002908FD">
              <w:t>948</w:t>
            </w:r>
            <w:r w:rsidR="00C75340" w:rsidRPr="002908FD">
              <w:t xml:space="preserve"> </w:t>
            </w:r>
            <w:r w:rsidRPr="002908FD">
              <w:t>victimes</w:t>
            </w:r>
            <w:r w:rsidR="00C75340" w:rsidRPr="002908FD">
              <w:t xml:space="preserve"> </w:t>
            </w:r>
            <w:r w:rsidRPr="002908FD">
              <w:t>et</w:t>
            </w:r>
            <w:r w:rsidR="00C75340" w:rsidRPr="002908FD">
              <w:t xml:space="preserve"> </w:t>
            </w:r>
            <w:r w:rsidRPr="002908FD">
              <w:t>de</w:t>
            </w:r>
            <w:r w:rsidR="00C75340" w:rsidRPr="002908FD">
              <w:t xml:space="preserve"> </w:t>
            </w:r>
            <w:r w:rsidRPr="002908FD">
              <w:t>77</w:t>
            </w:r>
            <w:r w:rsidR="002908FD">
              <w:t> </w:t>
            </w:r>
            <w:r w:rsidRPr="002908FD">
              <w:t>473</w:t>
            </w:r>
            <w:r w:rsidR="002908FD">
              <w:t> </w:t>
            </w:r>
            <w:r w:rsidRPr="002908FD">
              <w:t>528,00</w:t>
            </w:r>
            <w:r w:rsidR="00C75340" w:rsidRPr="002908FD">
              <w:t xml:space="preserve"> </w:t>
            </w:r>
            <w:r w:rsidRPr="002908FD">
              <w:t>THB</w:t>
            </w:r>
            <w:r w:rsidR="00C75340" w:rsidRPr="002908FD">
              <w:t xml:space="preserve"> </w:t>
            </w:r>
            <w:r w:rsidRPr="002908FD">
              <w:t>à</w:t>
            </w:r>
            <w:r w:rsidR="00C75340" w:rsidRPr="002908FD">
              <w:t xml:space="preserve"> </w:t>
            </w:r>
            <w:r w:rsidRPr="002908FD">
              <w:t>438</w:t>
            </w:r>
            <w:r w:rsidR="002908FD">
              <w:t> </w:t>
            </w:r>
            <w:r w:rsidRPr="002908FD">
              <w:t>accusés</w:t>
            </w:r>
            <w:r w:rsidR="00C75340" w:rsidRPr="002908FD">
              <w:t xml:space="preserve"> </w:t>
            </w:r>
            <w:r w:rsidRPr="002908FD">
              <w:t>(1</w:t>
            </w:r>
            <w:r w:rsidRPr="002908FD">
              <w:rPr>
                <w:vertAlign w:val="superscript"/>
              </w:rPr>
              <w:t>er</w:t>
            </w:r>
            <w:r w:rsidR="002908FD">
              <w:t> </w:t>
            </w:r>
            <w:r w:rsidRPr="002908FD">
              <w:t>octobre</w:t>
            </w:r>
            <w:r w:rsidR="00C75340" w:rsidRPr="002908FD">
              <w:t xml:space="preserve"> </w:t>
            </w:r>
            <w:r w:rsidRPr="002908FD">
              <w:t>2015-30</w:t>
            </w:r>
            <w:r w:rsidR="002908FD">
              <w:t> </w:t>
            </w:r>
            <w:r w:rsidRPr="002908FD">
              <w:t>juin</w:t>
            </w:r>
            <w:r w:rsidR="00C75340" w:rsidRPr="002908FD">
              <w:t xml:space="preserve"> </w:t>
            </w:r>
            <w:r w:rsidRPr="002908FD">
              <w:t>2020)</w:t>
            </w:r>
          </w:p>
        </w:tc>
      </w:tr>
    </w:tbl>
    <w:p w14:paraId="42235D45" w14:textId="31AE83C3" w:rsidR="00C3295C" w:rsidRPr="00D86974" w:rsidRDefault="00C3295C" w:rsidP="00C3295C">
      <w:pPr>
        <w:pStyle w:val="SingleTxtG"/>
        <w:spacing w:before="240"/>
      </w:pPr>
      <w:r w:rsidRPr="00D86974">
        <w:t>61.</w:t>
      </w:r>
      <w:r w:rsidRPr="00D86974">
        <w:tab/>
        <w:t>En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neuf</w:t>
      </w:r>
      <w:r w:rsidR="00C75340">
        <w:t xml:space="preserve"> </w:t>
      </w:r>
      <w:r w:rsidRPr="00D86974">
        <w:t>ans,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procédé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exécution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peine</w:t>
      </w:r>
      <w:r w:rsidR="00C75340">
        <w:t xml:space="preserve"> </w:t>
      </w:r>
      <w:r w:rsidRPr="00D86974">
        <w:t>capitale.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convient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relever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impliquant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mort</w:t>
      </w:r>
      <w:r w:rsidR="00C75340">
        <w:t xml:space="preserve"> </w:t>
      </w:r>
      <w:r w:rsidRPr="00D86974">
        <w:t>font</w:t>
      </w:r>
      <w:r w:rsidR="00C75340">
        <w:t xml:space="preserve"> </w:t>
      </w:r>
      <w:r w:rsidRPr="00D86974">
        <w:t>l’objet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examen</w:t>
      </w:r>
      <w:r w:rsidR="00C75340">
        <w:t xml:space="preserve"> </w:t>
      </w:r>
      <w:r w:rsidRPr="00D86974">
        <w:t>attentif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régulière.</w:t>
      </w:r>
      <w:r w:rsidR="00C75340">
        <w:t xml:space="preserve"> </w:t>
      </w:r>
      <w:r w:rsidRPr="00D86974">
        <w:t>Néanmoins,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s’inscrit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contexte</w:t>
      </w:r>
      <w:r w:rsidR="00C75340">
        <w:t xml:space="preserve"> </w:t>
      </w:r>
      <w:r w:rsidRPr="00D86974">
        <w:t>différent.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amples</w:t>
      </w:r>
      <w:r w:rsidR="00C75340">
        <w:t xml:space="preserve"> </w:t>
      </w:r>
      <w:r w:rsidRPr="00D86974">
        <w:t>informations,</w:t>
      </w:r>
      <w:r w:rsidR="00C75340">
        <w:t xml:space="preserve"> </w:t>
      </w:r>
      <w:r w:rsidRPr="00D86974">
        <w:t>voir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100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101.</w:t>
      </w:r>
    </w:p>
    <w:p w14:paraId="61BDF855" w14:textId="2A2396D1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Accès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justice</w:t>
      </w:r>
    </w:p>
    <w:p w14:paraId="4FECADAB" w14:textId="0CC63A0A" w:rsidR="00C3295C" w:rsidRPr="00D86974" w:rsidRDefault="00C3295C" w:rsidP="00C3295C">
      <w:pPr>
        <w:pStyle w:val="SingleTxtG"/>
      </w:pPr>
      <w:r w:rsidRPr="00D86974">
        <w:t>62.</w:t>
      </w:r>
      <w:r w:rsidRPr="00D86974">
        <w:tab/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communautés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d’atteintes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disposent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large</w:t>
      </w:r>
      <w:r w:rsidR="00C75340">
        <w:t xml:space="preserve"> </w:t>
      </w:r>
      <w:r w:rsidRPr="00D86974">
        <w:t>éventail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possibilités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déposer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plaintes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demander</w:t>
      </w:r>
      <w:r w:rsidR="00C75340">
        <w:t xml:space="preserve"> </w:t>
      </w:r>
      <w:r w:rsidRPr="00D86974">
        <w:t>réparation,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lignes</w:t>
      </w:r>
      <w:r w:rsidR="00C75340">
        <w:t xml:space="preserve"> </w:t>
      </w:r>
      <w:r w:rsidRPr="00D86974">
        <w:t>d’assistance</w:t>
      </w:r>
      <w:r w:rsidR="00C75340">
        <w:t xml:space="preserve"> </w:t>
      </w:r>
      <w:r w:rsidRPr="00D86974">
        <w:t>téléphonique,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coordination,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centres</w:t>
      </w:r>
      <w:r w:rsidR="00C75340">
        <w:t xml:space="preserve"> </w:t>
      </w:r>
      <w:proofErr w:type="spellStart"/>
      <w:r w:rsidRPr="00D86974">
        <w:t>Damrongdharma</w:t>
      </w:r>
      <w:proofErr w:type="spellEnd"/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ceux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différents</w:t>
      </w:r>
      <w:r w:rsidR="00C75340">
        <w:t xml:space="preserve"> </w:t>
      </w:r>
      <w:r w:rsidRPr="00D86974">
        <w:t>organismes,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tribunaux.</w:t>
      </w:r>
    </w:p>
    <w:p w14:paraId="45CF5C53" w14:textId="3AF47F7B" w:rsidR="00C3295C" w:rsidRDefault="00C3295C" w:rsidP="00C3295C">
      <w:pPr>
        <w:pStyle w:val="SingleTxtG"/>
      </w:pPr>
      <w:r w:rsidRPr="00D86974">
        <w:t>63.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accorde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grande</w:t>
      </w:r>
      <w:r w:rsidR="00C75340">
        <w:t xml:space="preserve"> </w:t>
      </w:r>
      <w:r w:rsidRPr="00D86974">
        <w:t>importance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tous,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vulnérables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défavorisés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connu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difficultés</w:t>
      </w:r>
      <w:r w:rsidR="00C75340">
        <w:t xml:space="preserve"> </w:t>
      </w:r>
      <w:r w:rsidRPr="00D86974">
        <w:t>juridiques.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position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traduit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l’aide</w:t>
      </w:r>
      <w:r w:rsidR="00C75340">
        <w:t xml:space="preserve"> </w:t>
      </w:r>
      <w:r w:rsidRPr="00D86974">
        <w:t>juridictionnelle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couvrir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canaux,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appels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vidéo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applications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initiatives</w:t>
      </w:r>
      <w:r w:rsidR="00C75340">
        <w:t xml:space="preserve"> </w:t>
      </w:r>
      <w:r w:rsidRPr="00D86974">
        <w:t>visant,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autres,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créer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langue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signes</w:t>
      </w:r>
      <w:r w:rsidR="00C75340">
        <w:t xml:space="preserve"> </w:t>
      </w:r>
      <w:r w:rsidRPr="00D86974">
        <w:t>standard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judiciaires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enregistrer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former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interprètes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langue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signes.</w:t>
      </w:r>
    </w:p>
    <w:p w14:paraId="3F15C8E0" w14:textId="7237D8DF" w:rsidR="00C3295C" w:rsidRPr="00D86974" w:rsidRDefault="00C3295C" w:rsidP="00C3295C">
      <w:pPr>
        <w:pStyle w:val="SingleTxtG"/>
      </w:pPr>
      <w:bookmarkStart w:id="6" w:name="_Ref40791583"/>
      <w:r w:rsidRPr="00D86974">
        <w:lastRenderedPageBreak/>
        <w:t>64.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fournit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aide</w:t>
      </w:r>
      <w:r w:rsidR="00C75340">
        <w:t xml:space="preserve"> </w:t>
      </w:r>
      <w:r w:rsidRPr="00D86974">
        <w:t>financière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l’aide</w:t>
      </w:r>
      <w:r w:rsidR="00C75340">
        <w:t xml:space="preserve"> </w:t>
      </w:r>
      <w:r w:rsidRPr="00D86974">
        <w:t>juridictionnelle,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avocats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judiciaires.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financement</w:t>
      </w:r>
      <w:r w:rsidR="00C75340">
        <w:t xml:space="preserve"> </w:t>
      </w:r>
      <w:r w:rsidRPr="00D86974">
        <w:t>couvre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collecte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éléments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preuve,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frais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cautions,</w:t>
      </w:r>
      <w:r w:rsidR="00C75340">
        <w:t xml:space="preserve"> </w:t>
      </w:r>
      <w:r w:rsidRPr="00D86974">
        <w:t>l’indemnisation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violations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diffusion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connaissances</w:t>
      </w:r>
      <w:r w:rsidR="00C75340">
        <w:t xml:space="preserve"> </w:t>
      </w:r>
      <w:r w:rsidRPr="00D86974">
        <w:t>juridiques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base.</w:t>
      </w:r>
      <w:bookmarkEnd w:id="6"/>
    </w:p>
    <w:p w14:paraId="41C8025B" w14:textId="04B2B6D2" w:rsidR="00C3295C" w:rsidRPr="00D86974" w:rsidRDefault="00C3295C" w:rsidP="00C3295C">
      <w:pPr>
        <w:pStyle w:val="SingleTxtG"/>
      </w:pPr>
      <w:r w:rsidRPr="00D86974">
        <w:t>65.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sensibilisation</w:t>
      </w:r>
      <w:r w:rsidR="00C75340">
        <w:t xml:space="preserve"> </w:t>
      </w:r>
      <w:r w:rsidRPr="00D86974">
        <w:t>intitulé</w:t>
      </w:r>
      <w:r w:rsidR="00C75340">
        <w:t xml:space="preserve"> </w:t>
      </w:r>
      <w:r w:rsidRPr="00D86974">
        <w:t>«</w:t>
      </w:r>
      <w:r w:rsidR="002908FD">
        <w:t> </w:t>
      </w:r>
      <w:r w:rsidRPr="0039022D">
        <w:t>Justice</w:t>
      </w:r>
      <w:r w:rsidR="00C75340" w:rsidRPr="0039022D">
        <w:t xml:space="preserve"> </w:t>
      </w:r>
      <w:r w:rsidRPr="0039022D">
        <w:t>Care</w:t>
      </w:r>
      <w:r w:rsidR="000E46EC">
        <w:t> »</w:t>
      </w:r>
      <w:r w:rsidRPr="00D86974">
        <w:t>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regroupe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seule</w:t>
      </w:r>
      <w:r w:rsidR="00C75340">
        <w:t xml:space="preserve"> </w:t>
      </w:r>
      <w:r w:rsidRPr="00D86974">
        <w:t>plateforme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moyens</w:t>
      </w:r>
      <w:r w:rsidR="00C75340">
        <w:t xml:space="preserve"> </w:t>
      </w:r>
      <w:r w:rsidRPr="00D86974">
        <w:t>complexes</w:t>
      </w:r>
      <w:r w:rsidR="00C75340">
        <w:t xml:space="preserve"> </w:t>
      </w:r>
      <w:r w:rsidRPr="00D86974">
        <w:t>d’aider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lésées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d’infractions.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rapidement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efficacement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plaintes.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accessible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tous,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distinction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race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nationalité.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intermédiaire,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peuvent</w:t>
      </w:r>
      <w:r w:rsidR="00C75340">
        <w:t xml:space="preserve"> </w:t>
      </w:r>
      <w:r w:rsidRPr="00D86974">
        <w:t>solliciter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conseils</w:t>
      </w:r>
      <w:r w:rsidR="00C75340">
        <w:t xml:space="preserve"> </w:t>
      </w:r>
      <w:r w:rsidRPr="00D86974">
        <w:t>juridiques,</w:t>
      </w:r>
      <w:r w:rsidR="00C75340">
        <w:t xml:space="preserve"> </w:t>
      </w:r>
      <w:r w:rsidRPr="00D86974">
        <w:t>l’assistance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avocat,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restitution,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indemnisation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l’État,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d’appui,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législations</w:t>
      </w:r>
      <w:r w:rsidR="00C75340">
        <w:t xml:space="preserve"> </w:t>
      </w:r>
      <w:r w:rsidRPr="00D86974">
        <w:t>pertinentes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2001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l’indemnisation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accusées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pénales,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pénale</w:t>
      </w:r>
      <w:r w:rsidR="00C75340">
        <w:t xml:space="preserve"> </w:t>
      </w:r>
      <w:r w:rsidR="002908FD">
        <w:t>(</w:t>
      </w:r>
      <w:r w:rsidRPr="00D86974">
        <w:t>art</w:t>
      </w:r>
      <w:r w:rsidR="002908FD">
        <w:t>. </w:t>
      </w:r>
      <w:r w:rsidRPr="00D86974">
        <w:t>44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  <w:r w:rsidR="002908FD">
        <w:t>)</w:t>
      </w:r>
      <w:r w:rsidRPr="00D86974">
        <w:t>.</w:t>
      </w:r>
    </w:p>
    <w:p w14:paraId="310F33C0" w14:textId="32804723" w:rsidR="00C3295C" w:rsidRPr="00D86974" w:rsidRDefault="00C3295C" w:rsidP="00C3295C">
      <w:pPr>
        <w:pStyle w:val="SingleTxtG"/>
      </w:pPr>
      <w:r w:rsidRPr="00D86974">
        <w:t>66.</w:t>
      </w:r>
      <w:r w:rsidRPr="00D86974">
        <w:tab/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faciliter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officiellement</w:t>
      </w:r>
      <w:r w:rsidR="00C75340">
        <w:t xml:space="preserve"> </w:t>
      </w:r>
      <w:r w:rsidRPr="00D86974">
        <w:t>lancé,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2016,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conférence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</w:t>
      </w:r>
      <w:r w:rsidR="00C75340">
        <w:t xml:space="preserve"> </w:t>
      </w:r>
      <w:r w:rsidRPr="00D86974">
        <w:t>(E-</w:t>
      </w:r>
      <w:r w:rsidRPr="0039022D">
        <w:t>Justice</w:t>
      </w:r>
      <w:r w:rsidR="00C75340" w:rsidRPr="0039022D">
        <w:t xml:space="preserve"> </w:t>
      </w:r>
      <w:r w:rsidRPr="00110457">
        <w:rPr>
          <w:lang w:val="en-US"/>
        </w:rPr>
        <w:t>Conference</w:t>
      </w:r>
      <w:r w:rsidR="00C75340" w:rsidRPr="00110457">
        <w:rPr>
          <w:lang w:val="en-US"/>
        </w:rPr>
        <w:t xml:space="preserve"> </w:t>
      </w:r>
      <w:r w:rsidRPr="00110457">
        <w:rPr>
          <w:lang w:val="en-US"/>
        </w:rPr>
        <w:t>Center</w:t>
      </w:r>
      <w:r w:rsidRPr="00D86974">
        <w:t>,</w:t>
      </w:r>
      <w:r w:rsidR="00C75340">
        <w:t xml:space="preserve"> </w:t>
      </w:r>
      <w:r w:rsidRPr="00D86974">
        <w:t>EJCC).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propose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alternative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compléter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traditionnels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recueil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dépositions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d’interprétation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l’audience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vidéoconférence.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méthode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but,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part,</w:t>
      </w:r>
      <w:r w:rsidR="00C75340">
        <w:t xml:space="preserve"> </w:t>
      </w:r>
      <w:r w:rsidRPr="00D86974">
        <w:t>d’accélérer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judiciaires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réduisant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délais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frais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déplacement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convoquées</w:t>
      </w:r>
      <w:r w:rsidR="00C75340">
        <w:t xml:space="preserve"> </w:t>
      </w:r>
      <w:r w:rsidRPr="00D86974">
        <w:t>devant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tribunal</w:t>
      </w:r>
      <w:r w:rsidR="00C75340">
        <w:t xml:space="preserve"> </w:t>
      </w:r>
      <w:r w:rsidRPr="00D86974">
        <w:t>et,</w:t>
      </w:r>
      <w:r w:rsidR="00C75340">
        <w:t xml:space="preserve"> </w:t>
      </w:r>
      <w:r w:rsidRPr="00D86974">
        <w:t>d’autre</w:t>
      </w:r>
      <w:r w:rsidR="00C75340">
        <w:t xml:space="preserve"> </w:t>
      </w:r>
      <w:r w:rsidRPr="00D86974">
        <w:t>part,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mineurs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vulnérables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confrontation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suspect.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tiennent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jour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liste</w:t>
      </w:r>
      <w:r w:rsidR="00C75340">
        <w:t xml:space="preserve"> </w:t>
      </w:r>
      <w:r w:rsidRPr="00D86974">
        <w:t>d’interprètes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langues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juridiction</w:t>
      </w:r>
      <w:r w:rsidR="00C75340">
        <w:t xml:space="preserve"> </w:t>
      </w:r>
      <w:r w:rsidRPr="00D86974">
        <w:t>désireuse</w:t>
      </w:r>
      <w:r w:rsidR="00C75340">
        <w:t xml:space="preserve"> </w:t>
      </w:r>
      <w:r w:rsidRPr="00D86974">
        <w:t>d’interroger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mal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communiquer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thaï.</w:t>
      </w:r>
    </w:p>
    <w:p w14:paraId="2F412CA9" w14:textId="1466DB07" w:rsidR="00C3295C" w:rsidRDefault="00C3295C" w:rsidP="00C3295C">
      <w:pPr>
        <w:pStyle w:val="SingleTxtG"/>
      </w:pPr>
      <w:r w:rsidRPr="00D86974">
        <w:t>67.</w:t>
      </w:r>
      <w:r w:rsidRPr="00D86974">
        <w:tab/>
        <w:t>Le</w:t>
      </w:r>
      <w:r w:rsidR="00C75340">
        <w:t xml:space="preserve"> </w:t>
      </w:r>
      <w:r w:rsidRPr="00D86974">
        <w:t>1</w:t>
      </w:r>
      <w:r w:rsidRPr="00D86974">
        <w:rPr>
          <w:vertAlign w:val="superscript"/>
        </w:rPr>
        <w:t>er</w:t>
      </w:r>
      <w:r w:rsidR="002908FD">
        <w:t> </w:t>
      </w:r>
      <w:r w:rsidRPr="00D86974">
        <w:t>novembre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notification</w:t>
      </w:r>
      <w:r w:rsidR="00C75340">
        <w:t xml:space="preserve"> </w:t>
      </w:r>
      <w:r w:rsidRPr="00D86974">
        <w:t>électronique</w:t>
      </w:r>
      <w:r w:rsidR="00C75340">
        <w:t xml:space="preserve"> </w:t>
      </w:r>
      <w:r w:rsidRPr="00D86974">
        <w:t>(«</w:t>
      </w:r>
      <w:r w:rsidR="002908FD">
        <w:t> </w:t>
      </w:r>
      <w:r w:rsidRPr="00D86974">
        <w:t>e-Notice</w:t>
      </w:r>
      <w:r w:rsidR="00C75340">
        <w:t xml:space="preserve"> </w:t>
      </w:r>
      <w:r w:rsidRPr="00D86974">
        <w:t>System</w:t>
      </w:r>
      <w:r w:rsidR="000E46EC">
        <w:t> »</w:t>
      </w:r>
      <w:r w:rsidRPr="00D86974">
        <w:t>)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dépôt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documents</w:t>
      </w:r>
      <w:r w:rsidR="00C75340">
        <w:t xml:space="preserve"> </w:t>
      </w:r>
      <w:r w:rsidRPr="00D86974">
        <w:t>judiciaires,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plaidoyers</w:t>
      </w:r>
      <w:r w:rsidR="00C75340">
        <w:t xml:space="preserve"> </w:t>
      </w:r>
      <w:r w:rsidRPr="00D86974">
        <w:t>écrits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notifications,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annoncer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calendriers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délibérations.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d’utiliser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technologie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gagner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temps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charge</w:t>
      </w:r>
      <w:r w:rsidR="00C75340">
        <w:t xml:space="preserve"> </w:t>
      </w:r>
      <w:r w:rsidRPr="00D86974">
        <w:t>financière</w:t>
      </w:r>
      <w:r w:rsidR="00C75340">
        <w:t xml:space="preserve"> </w:t>
      </w:r>
      <w:r w:rsidRPr="00D86974">
        <w:t>liée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transmission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documents.</w:t>
      </w:r>
    </w:p>
    <w:p w14:paraId="725B160D" w14:textId="230E8E08" w:rsidR="00C3295C" w:rsidRDefault="00C3295C" w:rsidP="00C3295C">
      <w:pPr>
        <w:pStyle w:val="SingleTxtG"/>
      </w:pPr>
      <w:r w:rsidRPr="00D86974">
        <w:t>68.</w:t>
      </w:r>
      <w:r w:rsidRPr="00D86974">
        <w:tab/>
        <w:t>L’administration</w:t>
      </w:r>
      <w:r w:rsidR="00C75340">
        <w:t xml:space="preserve"> </w:t>
      </w:r>
      <w:r w:rsidRPr="00D86974">
        <w:t>rapide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discrimination,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point</w:t>
      </w:r>
      <w:r w:rsidR="00C75340">
        <w:t xml:space="preserve"> </w:t>
      </w:r>
      <w:r w:rsidRPr="00D86974">
        <w:t>fort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Grâce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gestion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dossiers</w:t>
      </w:r>
      <w:r w:rsidR="00C75340">
        <w:t xml:space="preserve"> </w:t>
      </w:r>
      <w:r w:rsidRPr="00D86974">
        <w:t>rigoureuse,</w:t>
      </w:r>
      <w:r w:rsidR="00C75340">
        <w:t xml:space="preserve"> </w:t>
      </w:r>
      <w:r w:rsidRPr="00D86974">
        <w:t>menée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l’appui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contentieux</w:t>
      </w:r>
      <w:r w:rsidR="00C75340">
        <w:t xml:space="preserve"> </w:t>
      </w:r>
      <w:r w:rsidRPr="00D86974">
        <w:t>électronique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dehors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heures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conduite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procès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accélérée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plupart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relevant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instance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jugées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délai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an.</w:t>
      </w:r>
    </w:p>
    <w:p w14:paraId="2B69D594" w14:textId="3AA2FE54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Recours</w:t>
      </w:r>
      <w:r w:rsidR="00C75340">
        <w:rPr>
          <w:bCs/>
        </w:rPr>
        <w:t xml:space="preserve"> </w:t>
      </w:r>
      <w:r w:rsidRPr="00D86974">
        <w:rPr>
          <w:bCs/>
        </w:rPr>
        <w:t>utiles</w:t>
      </w:r>
    </w:p>
    <w:p w14:paraId="16335520" w14:textId="18FFC845" w:rsidR="00C3295C" w:rsidRPr="002908FD" w:rsidRDefault="00C3295C" w:rsidP="00C3295C">
      <w:pPr>
        <w:pStyle w:val="SingleTxtG"/>
        <w:rPr>
          <w:spacing w:val="-1"/>
        </w:rPr>
      </w:pPr>
      <w:r w:rsidRPr="002908FD">
        <w:rPr>
          <w:spacing w:val="-1"/>
        </w:rPr>
        <w:t>69.</w:t>
      </w:r>
      <w:r w:rsidRPr="002908FD">
        <w:rPr>
          <w:spacing w:val="-1"/>
        </w:rPr>
        <w:tab/>
        <w:t>Les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victimes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violations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droits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l’homme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ont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droit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percevoir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une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indemnisation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l’État,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application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la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loi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relative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à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l’indemnisation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victimes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personnes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accusées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dans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affaires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pénales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2544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EB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(2001),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qui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été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modifiée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2016.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Cette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loi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prévoit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une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aide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financière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aux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victimes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d’infraction,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notamment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paiement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frais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médicaux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frais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réadaptation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physique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psychologique,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une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indemnisation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pour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perte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revenus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une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indemnisation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cas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décès.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personnes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accusées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qui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ont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été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détenues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pendant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procès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acquittées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par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la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suite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car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elles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ont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été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reconnues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innocentes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peuvent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également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recevoir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une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indemnisation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l’État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en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application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de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la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loi</w:t>
      </w:r>
      <w:r w:rsidR="00C75340" w:rsidRPr="002908FD">
        <w:rPr>
          <w:spacing w:val="-1"/>
        </w:rPr>
        <w:t xml:space="preserve"> </w:t>
      </w:r>
      <w:r w:rsidRPr="002908FD">
        <w:rPr>
          <w:spacing w:val="-1"/>
        </w:rPr>
        <w:t>susmentionnée.</w:t>
      </w:r>
    </w:p>
    <w:p w14:paraId="4A55759B" w14:textId="3A247BDB" w:rsidR="00C3295C" w:rsidRDefault="00C3295C" w:rsidP="00C3295C">
      <w:pPr>
        <w:pStyle w:val="SingleTxtG"/>
      </w:pPr>
      <w:r w:rsidRPr="00D86974">
        <w:t>70.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2003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couvre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courent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risque</w:t>
      </w:r>
      <w:r w:rsidR="00C75340">
        <w:t xml:space="preserve"> </w:t>
      </w:r>
      <w:r w:rsidRPr="00D86974">
        <w:t>raisonnable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danger,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si</w:t>
      </w:r>
      <w:r w:rsidR="00C75340">
        <w:t xml:space="preserve"> </w:t>
      </w:r>
      <w:r w:rsidRPr="00D86974">
        <w:t>l’affaire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concerne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encore</w:t>
      </w:r>
      <w:r w:rsidR="00C75340">
        <w:t xml:space="preserve"> </w:t>
      </w:r>
      <w:r w:rsidRPr="00D86974">
        <w:t>l’objet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enquête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police.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l’entrée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loi,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bénéficié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sauvés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100</w:t>
      </w:r>
      <w:r w:rsidR="00C75340">
        <w:t> %</w:t>
      </w:r>
      <w:r w:rsidRPr="00D86974">
        <w:t>.</w:t>
      </w:r>
    </w:p>
    <w:p w14:paraId="4B8D9200" w14:textId="03B2F399" w:rsidR="00C3295C" w:rsidRPr="00D86974" w:rsidRDefault="00C3295C" w:rsidP="00C3295C">
      <w:pPr>
        <w:pStyle w:val="SingleTxtG"/>
      </w:pPr>
      <w:r w:rsidRPr="00D86974">
        <w:t>71.</w:t>
      </w:r>
      <w:r w:rsidRPr="00D86974">
        <w:tab/>
        <w:t>Le</w:t>
      </w:r>
      <w:r w:rsidR="00C75340">
        <w:t xml:space="preserve"> </w:t>
      </w:r>
      <w:r w:rsidRPr="00D86974">
        <w:t>8</w:t>
      </w:r>
      <w:r w:rsidR="002908FD">
        <w:t> </w:t>
      </w:r>
      <w:r w:rsidRPr="00D86974">
        <w:t>février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l’Assemblée</w:t>
      </w:r>
      <w:r w:rsidR="00C75340">
        <w:t xml:space="preserve"> </w:t>
      </w:r>
      <w:r w:rsidRPr="00D86974">
        <w:t>législative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approuvé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médiation</w:t>
      </w:r>
      <w:r w:rsidR="00C75340">
        <w:t xml:space="preserve"> </w:t>
      </w:r>
      <w:r w:rsidRPr="00D86974">
        <w:t>tel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proposé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justice.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médiation</w:t>
      </w:r>
      <w:r w:rsidR="00C75340">
        <w:t xml:space="preserve"> </w:t>
      </w:r>
      <w:r w:rsidRPr="00D86974">
        <w:t>devrait</w:t>
      </w:r>
      <w:r w:rsidR="00C75340">
        <w:t xml:space="preserve"> </w:t>
      </w:r>
      <w:r w:rsidRPr="00D86974">
        <w:t>constituer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mécanisme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règlement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différends</w:t>
      </w:r>
      <w:r w:rsidR="00C75340">
        <w:t xml:space="preserve"> </w:t>
      </w:r>
      <w:r w:rsidRPr="00D86974">
        <w:t>alternatif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civiles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valeur</w:t>
      </w:r>
      <w:r w:rsidR="00C75340">
        <w:t xml:space="preserve"> </w:t>
      </w:r>
      <w:r w:rsidRPr="00D86974">
        <w:t>monétaire</w:t>
      </w:r>
      <w:r w:rsidR="00C75340">
        <w:t xml:space="preserve"> </w:t>
      </w:r>
      <w:r w:rsidRPr="00D86974">
        <w:t>relativement</w:t>
      </w:r>
      <w:r w:rsidR="00C75340">
        <w:t xml:space="preserve"> </w:t>
      </w:r>
      <w:r w:rsidRPr="00D86974">
        <w:t>faible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certaines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pénales.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méthode</w:t>
      </w:r>
      <w:r w:rsidR="00C75340">
        <w:t xml:space="preserve"> </w:t>
      </w:r>
      <w:r w:rsidRPr="00D86974">
        <w:t>alternative</w:t>
      </w:r>
      <w:r w:rsidR="00C75340">
        <w:t xml:space="preserve"> </w:t>
      </w:r>
      <w:r w:rsidRPr="00D86974">
        <w:t>permettra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délais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frais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différend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charge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tribunaux.</w:t>
      </w:r>
    </w:p>
    <w:p w14:paraId="1126E9E9" w14:textId="4317921C" w:rsidR="00C3295C" w:rsidRPr="00D86974" w:rsidRDefault="00C3295C" w:rsidP="00C3295C">
      <w:pPr>
        <w:pStyle w:val="H23G"/>
      </w:pPr>
      <w:r w:rsidRPr="00D86974">
        <w:lastRenderedPageBreak/>
        <w:tab/>
      </w:r>
      <w:r w:rsidRPr="00D86974">
        <w:tab/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plan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réforme</w:t>
      </w:r>
      <w:r w:rsidR="00C75340">
        <w:rPr>
          <w:bCs/>
        </w:rPr>
        <w:t xml:space="preserve"> </w:t>
      </w:r>
      <w:r w:rsidRPr="00D86974">
        <w:rPr>
          <w:bCs/>
        </w:rPr>
        <w:t>du</w:t>
      </w:r>
      <w:r w:rsidR="00C75340">
        <w:rPr>
          <w:bCs/>
        </w:rPr>
        <w:t xml:space="preserve"> </w:t>
      </w:r>
      <w:r w:rsidRPr="00D86974">
        <w:rPr>
          <w:bCs/>
        </w:rPr>
        <w:t>système</w:t>
      </w:r>
      <w:r w:rsidR="00C75340">
        <w:rPr>
          <w:bCs/>
        </w:rPr>
        <w:t xml:space="preserve"> </w:t>
      </w:r>
      <w:r w:rsidRPr="00D86974">
        <w:rPr>
          <w:bCs/>
        </w:rPr>
        <w:t>judiciaire</w:t>
      </w:r>
    </w:p>
    <w:p w14:paraId="1CE8564E" w14:textId="7FB9B3A6" w:rsidR="00C3295C" w:rsidRDefault="00C3295C" w:rsidP="00C3295C">
      <w:pPr>
        <w:pStyle w:val="SingleTxtG"/>
      </w:pPr>
      <w:r w:rsidRPr="00D86974">
        <w:t>72.</w:t>
      </w:r>
      <w:r w:rsidRPr="00D86974">
        <w:tab/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réforme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6</w:t>
      </w:r>
      <w:r w:rsidR="002908FD">
        <w:t> </w:t>
      </w:r>
      <w:r w:rsidRPr="00D86974">
        <w:t>avril</w:t>
      </w:r>
      <w:r w:rsidR="00C75340">
        <w:t xml:space="preserve"> </w:t>
      </w:r>
      <w:r w:rsidRPr="00D86974">
        <w:t>2018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établi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aspects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judiciaire,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fourniture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suffisante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temps</w:t>
      </w:r>
      <w:r w:rsidR="00C75340">
        <w:t xml:space="preserve"> </w:t>
      </w:r>
      <w:r w:rsidRPr="00D86974">
        <w:t>voulu,</w:t>
      </w:r>
      <w:r w:rsidR="00C75340">
        <w:t xml:space="preserve"> </w:t>
      </w:r>
      <w:r w:rsidRPr="00D86974">
        <w:t>l’amélioration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réadaptation</w:t>
      </w:r>
      <w:r w:rsidR="00C75340">
        <w:t xml:space="preserve"> </w:t>
      </w:r>
      <w:r w:rsidRPr="00D86974">
        <w:t>physique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psychologique,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recours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témoins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pénales,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l’amélioration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prisons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détention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pays.</w:t>
      </w:r>
    </w:p>
    <w:p w14:paraId="1843ACD4" w14:textId="31CF19AF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religieux</w:t>
      </w:r>
    </w:p>
    <w:p w14:paraId="774A0738" w14:textId="574FBCE1" w:rsidR="00C3295C" w:rsidRPr="00D86974" w:rsidRDefault="00C3295C" w:rsidP="00C3295C">
      <w:pPr>
        <w:pStyle w:val="SingleTxtG"/>
      </w:pPr>
      <w:r w:rsidRPr="00D86974">
        <w:t>73.</w:t>
      </w:r>
      <w:r w:rsidRPr="00D86974">
        <w:tab/>
        <w:t>En</w:t>
      </w:r>
      <w:r w:rsidR="00C75340">
        <w:t xml:space="preserve"> </w:t>
      </w:r>
      <w:r w:rsidRPr="00D86974">
        <w:t>principe,</w:t>
      </w:r>
      <w:r w:rsidR="00C75340">
        <w:t xml:space="preserve"> </w:t>
      </w:r>
      <w:r w:rsidRPr="00D86974">
        <w:t>aucune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religieuse</w:t>
      </w:r>
      <w:r w:rsidR="00C75340">
        <w:t xml:space="preserve"> </w:t>
      </w:r>
      <w:r w:rsidRPr="00D86974">
        <w:t>n’a</w:t>
      </w:r>
      <w:r w:rsidR="00C75340">
        <w:t xml:space="preserve"> </w:t>
      </w:r>
      <w:r w:rsidRPr="00D86974">
        <w:t>d’effet</w:t>
      </w:r>
      <w:r w:rsidR="00C75340">
        <w:t xml:space="preserve"> </w:t>
      </w:r>
      <w:r w:rsidRPr="00D86974">
        <w:t>juridiquement</w:t>
      </w:r>
      <w:r w:rsidR="00C75340">
        <w:t xml:space="preserve"> </w:t>
      </w:r>
      <w:r w:rsidRPr="00D86974">
        <w:t>contraignant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Thaïlande,</w:t>
      </w:r>
      <w:r w:rsidR="00C75340">
        <w:t xml:space="preserve"> </w:t>
      </w:r>
      <w:r w:rsidRPr="00D86974">
        <w:t>sauf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limité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famille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succession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concernent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musulmans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résident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provinces</w:t>
      </w:r>
      <w:r w:rsidR="00C75340">
        <w:t xml:space="preserve"> </w:t>
      </w:r>
      <w:r w:rsidRPr="00D86974">
        <w:t>de</w:t>
      </w:r>
      <w:r w:rsidR="00C75340">
        <w:t xml:space="preserve"> </w:t>
      </w:r>
      <w:proofErr w:type="spellStart"/>
      <w:r w:rsidRPr="00D86974">
        <w:t>Pattani</w:t>
      </w:r>
      <w:proofErr w:type="spellEnd"/>
      <w:r w:rsidRPr="00D86974">
        <w:t>,</w:t>
      </w:r>
      <w:r w:rsidR="00C75340">
        <w:t xml:space="preserve"> </w:t>
      </w:r>
      <w:r w:rsidRPr="00D86974">
        <w:t>Yala,</w:t>
      </w:r>
      <w:r w:rsidR="00C75340">
        <w:t xml:space="preserve"> </w:t>
      </w:r>
      <w:proofErr w:type="spellStart"/>
      <w:r w:rsidRPr="00D86974">
        <w:t>Narathiwat</w:t>
      </w:r>
      <w:proofErr w:type="spellEnd"/>
      <w:r w:rsidR="00C75340">
        <w:t xml:space="preserve"> </w:t>
      </w:r>
      <w:r w:rsidRPr="00D86974">
        <w:t>et</w:t>
      </w:r>
      <w:r w:rsidR="00C75340">
        <w:t xml:space="preserve"> </w:t>
      </w:r>
      <w:proofErr w:type="spellStart"/>
      <w:r w:rsidRPr="00D86974">
        <w:t>Satun</w:t>
      </w:r>
      <w:proofErr w:type="spellEnd"/>
      <w:r w:rsidRPr="00D86974">
        <w:t>.</w:t>
      </w:r>
    </w:p>
    <w:p w14:paraId="6E03F71C" w14:textId="1807F9C1" w:rsidR="00C3295C" w:rsidRPr="00D86974" w:rsidRDefault="00C3295C" w:rsidP="00C3295C">
      <w:pPr>
        <w:pStyle w:val="H23G"/>
        <w:rPr>
          <w:cs/>
        </w:rPr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coutumier</w:t>
      </w:r>
    </w:p>
    <w:p w14:paraId="292BF279" w14:textId="0C349E58" w:rsidR="00C3295C" w:rsidRPr="00D86974" w:rsidRDefault="00C3295C" w:rsidP="00C3295C">
      <w:pPr>
        <w:pStyle w:val="SingleTxtG"/>
      </w:pPr>
      <w:r w:rsidRPr="00D86974">
        <w:t>74.</w:t>
      </w:r>
      <w:r w:rsidRPr="00D86974">
        <w:tab/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coutumier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concerne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différends</w:t>
      </w:r>
      <w:r w:rsidR="00C75340">
        <w:t xml:space="preserve"> </w:t>
      </w:r>
      <w:r w:rsidRPr="00D86974">
        <w:t>civils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lesquels</w:t>
      </w:r>
      <w:r w:rsidR="00C75340">
        <w:t xml:space="preserve"> </w:t>
      </w:r>
      <w:r w:rsidRPr="00D86974">
        <w:t>aucun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écrit</w:t>
      </w:r>
      <w:r w:rsidR="00C75340">
        <w:t xml:space="preserve"> </w:t>
      </w:r>
      <w:r w:rsidRPr="00D86974">
        <w:t>n’est</w:t>
      </w:r>
      <w:r w:rsidR="00C75340">
        <w:t xml:space="preserve"> </w:t>
      </w:r>
      <w:r w:rsidRPr="00D86974">
        <w:t>applicable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aucune</w:t>
      </w:r>
      <w:r w:rsidR="00C75340">
        <w:t xml:space="preserve"> </w:t>
      </w:r>
      <w:r w:rsidRPr="00D86974">
        <w:t>analogie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écrit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peut</w:t>
      </w:r>
      <w:r w:rsidR="00C75340">
        <w:t xml:space="preserve"> </w:t>
      </w:r>
      <w:r w:rsidRPr="00D86974">
        <w:t>être</w:t>
      </w:r>
      <w:r w:rsidR="00C75340">
        <w:t xml:space="preserve"> </w:t>
      </w:r>
      <w:r w:rsidRPr="00D86974">
        <w:t>utilisée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combler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vide</w:t>
      </w:r>
      <w:r w:rsidR="00C75340">
        <w:t xml:space="preserve"> </w:t>
      </w:r>
      <w:r w:rsidRPr="00D86974">
        <w:t>juridique.</w:t>
      </w:r>
      <w:r w:rsidR="00C75340">
        <w:t xml:space="preserve"> </w:t>
      </w:r>
      <w:r w:rsidRPr="00D86974">
        <w:t>S’agissant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pénal,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applique</w:t>
      </w:r>
      <w:r w:rsidR="00C75340">
        <w:t xml:space="preserve"> </w:t>
      </w:r>
      <w:r w:rsidRPr="00D86974">
        <w:t>rigoureusement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B40C0E">
        <w:rPr>
          <w:i/>
          <w:iCs/>
          <w:lang w:val="la-Latn"/>
        </w:rPr>
        <w:t>lex</w:t>
      </w:r>
      <w:r w:rsidR="00C75340" w:rsidRPr="00B40C0E">
        <w:rPr>
          <w:i/>
          <w:iCs/>
          <w:lang w:val="la-Latn"/>
        </w:rPr>
        <w:t xml:space="preserve"> </w:t>
      </w:r>
      <w:r w:rsidRPr="00B40C0E">
        <w:rPr>
          <w:i/>
          <w:iCs/>
          <w:lang w:val="la-Latn"/>
        </w:rPr>
        <w:t>scripta</w:t>
      </w:r>
      <w:r w:rsidRPr="00D86974">
        <w:t>.</w:t>
      </w:r>
    </w:p>
    <w:p w14:paraId="1601C4D5" w14:textId="66832918" w:rsidR="00C3295C" w:rsidRPr="00D86974" w:rsidRDefault="00C3295C" w:rsidP="00C3295C">
      <w:pPr>
        <w:pStyle w:val="HChG"/>
      </w:pPr>
      <w:r w:rsidRPr="00D86974">
        <w:rPr>
          <w:bCs/>
        </w:rPr>
        <w:tab/>
        <w:t>II.</w:t>
      </w:r>
      <w:r w:rsidRPr="00D86974">
        <w:tab/>
      </w:r>
      <w:r w:rsidRPr="00D86974">
        <w:rPr>
          <w:bCs/>
        </w:rPr>
        <w:t>Cadre</w:t>
      </w:r>
      <w:r w:rsidR="00C75340">
        <w:rPr>
          <w:bCs/>
        </w:rPr>
        <w:t xml:space="preserve"> </w:t>
      </w:r>
      <w:r w:rsidRPr="00D86974">
        <w:rPr>
          <w:bCs/>
        </w:rPr>
        <w:t>général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protection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promotion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bookmarkStart w:id="7" w:name="_Toc89701535"/>
      <w:bookmarkEnd w:id="7"/>
    </w:p>
    <w:p w14:paraId="5CE8CDAF" w14:textId="2A85426C" w:rsidR="00C3295C" w:rsidRPr="00D86974" w:rsidRDefault="00C3295C" w:rsidP="00C3295C">
      <w:pPr>
        <w:pStyle w:val="H1G"/>
      </w:pPr>
      <w:r w:rsidRPr="00D86974">
        <w:rPr>
          <w:bCs/>
        </w:rPr>
        <w:tab/>
        <w:t>A.</w:t>
      </w:r>
      <w:r w:rsidRPr="00D86974">
        <w:tab/>
      </w:r>
      <w:r w:rsidRPr="00D86974">
        <w:rPr>
          <w:bCs/>
        </w:rPr>
        <w:t>Acceptation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normes</w:t>
      </w:r>
      <w:r w:rsidR="00C75340">
        <w:rPr>
          <w:bCs/>
        </w:rPr>
        <w:t xml:space="preserve"> </w:t>
      </w:r>
      <w:r w:rsidRPr="00D86974">
        <w:rPr>
          <w:bCs/>
        </w:rPr>
        <w:t>internationales</w:t>
      </w:r>
      <w:r w:rsidR="00C75340">
        <w:rPr>
          <w:bCs/>
        </w:rPr>
        <w:t xml:space="preserve"> </w:t>
      </w:r>
      <w:r w:rsidRPr="00D86974">
        <w:rPr>
          <w:bCs/>
        </w:rPr>
        <w:t>relatives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bookmarkStart w:id="8" w:name="_Toc89701536"/>
      <w:bookmarkEnd w:id="8"/>
    </w:p>
    <w:p w14:paraId="6A279627" w14:textId="27B6BB46" w:rsidR="00C3295C" w:rsidRDefault="00C3295C" w:rsidP="00C3295C">
      <w:pPr>
        <w:pStyle w:val="SingleTxtG"/>
      </w:pPr>
      <w:r w:rsidRPr="00D86974">
        <w:t>75.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48</w:t>
      </w:r>
      <w:r w:rsidR="002908FD">
        <w:t> </w:t>
      </w:r>
      <w:r w:rsidRPr="00D86974">
        <w:t>premiers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avoir</w:t>
      </w:r>
      <w:r w:rsidR="00C75340">
        <w:t xml:space="preserve"> </w:t>
      </w:r>
      <w:r w:rsidRPr="00D86974">
        <w:t>adopté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universelle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10</w:t>
      </w:r>
      <w:r w:rsidR="002908FD">
        <w:t> </w:t>
      </w:r>
      <w:r w:rsidRPr="00D86974">
        <w:t>décembre</w:t>
      </w:r>
      <w:r w:rsidR="00C75340">
        <w:t xml:space="preserve"> </w:t>
      </w:r>
      <w:r w:rsidRPr="00D86974">
        <w:t>1948.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lors,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adhéré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certain</w:t>
      </w:r>
      <w:r w:rsidR="00C75340">
        <w:t xml:space="preserve"> </w:t>
      </w:r>
      <w:r w:rsidRPr="00D86974">
        <w:t>nombre</w:t>
      </w:r>
      <w:r w:rsidR="00C75340">
        <w:t xml:space="preserve"> </w:t>
      </w:r>
      <w:r w:rsidRPr="00D86974">
        <w:t>d’instruments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directement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indirectement</w:t>
      </w:r>
      <w:r w:rsidR="00C75340">
        <w:t xml:space="preserve"> </w:t>
      </w:r>
      <w:r w:rsidRPr="00D86974">
        <w:t>liés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0BB83F5F" w14:textId="18FD1167" w:rsidR="00C3295C" w:rsidRPr="00D86974" w:rsidRDefault="00C3295C" w:rsidP="00C3295C">
      <w:pPr>
        <w:pStyle w:val="SingleTxtG"/>
      </w:pPr>
      <w:r w:rsidRPr="00D86974">
        <w:t>76.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s’est</w:t>
      </w:r>
      <w:r w:rsidR="00C75340">
        <w:t xml:space="preserve"> </w:t>
      </w:r>
      <w:r w:rsidRPr="00D86974">
        <w:t>engagée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l’Examen</w:t>
      </w:r>
      <w:r w:rsidR="00C75340">
        <w:t xml:space="preserve"> </w:t>
      </w:r>
      <w:r w:rsidRPr="00D86974">
        <w:t>périodique</w:t>
      </w:r>
      <w:r w:rsidR="00C75340">
        <w:t xml:space="preserve"> </w:t>
      </w:r>
      <w:r w:rsidRPr="00D86974">
        <w:t>universel</w:t>
      </w:r>
      <w:r w:rsidR="00C75340">
        <w:t xml:space="preserve"> </w:t>
      </w:r>
      <w:r w:rsidRPr="00D86974">
        <w:t>(EPU)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l’objet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examens,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2011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2016.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volontairement</w:t>
      </w:r>
      <w:r w:rsidR="00C75340">
        <w:t xml:space="preserve"> </w:t>
      </w:r>
      <w:r w:rsidRPr="00D86974">
        <w:t>soumis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mi-parcours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2014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2019.</w:t>
      </w:r>
    </w:p>
    <w:p w14:paraId="3663D3E3" w14:textId="05A3534A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Principaux</w:t>
      </w:r>
      <w:r w:rsidR="00C75340">
        <w:rPr>
          <w:bCs/>
        </w:rPr>
        <w:t xml:space="preserve"> </w:t>
      </w:r>
      <w:r w:rsidRPr="00D86974">
        <w:rPr>
          <w:bCs/>
        </w:rPr>
        <w:t>instruments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Nations</w:t>
      </w:r>
      <w:r w:rsidR="00C75340">
        <w:rPr>
          <w:bCs/>
        </w:rPr>
        <w:t xml:space="preserve"> </w:t>
      </w:r>
      <w:r w:rsidRPr="00D86974">
        <w:rPr>
          <w:bCs/>
        </w:rPr>
        <w:t>Unies</w:t>
      </w:r>
      <w:r w:rsidR="00C75340">
        <w:rPr>
          <w:bCs/>
        </w:rPr>
        <w:t xml:space="preserve"> </w:t>
      </w:r>
      <w:r w:rsidRPr="00D86974">
        <w:rPr>
          <w:bCs/>
        </w:rPr>
        <w:t>relatifs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2EC48408" w14:textId="66DF0980" w:rsidR="00C3295C" w:rsidRPr="00D86974" w:rsidRDefault="00C3295C" w:rsidP="002908FD">
      <w:pPr>
        <w:pStyle w:val="SingleTxtG"/>
      </w:pPr>
      <w:r w:rsidRPr="00D86974">
        <w:t>77.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actuellement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sept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traités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signataire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disparitions</w:t>
      </w:r>
      <w:r w:rsidR="00C75340">
        <w:t xml:space="preserve"> </w:t>
      </w:r>
      <w:r w:rsidRPr="00D86974">
        <w:t>forcées.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précises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suivantes</w:t>
      </w:r>
      <w:r w:rsidR="000E46EC">
        <w:t> 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50"/>
      </w:tblGrid>
      <w:tr w:rsidR="00C3295C" w:rsidRPr="00D86974" w14:paraId="176172AE" w14:textId="77777777" w:rsidTr="002908FD">
        <w:trPr>
          <w:tblHeader/>
        </w:trPr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09F535" w14:textId="77777777" w:rsidR="00C3295C" w:rsidRPr="00D86974" w:rsidRDefault="00C3295C" w:rsidP="0021346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D86974">
              <w:rPr>
                <w:i/>
                <w:iCs/>
                <w:sz w:val="16"/>
                <w:szCs w:val="16"/>
              </w:rPr>
              <w:t>Traités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10C4F9" w14:textId="77777777" w:rsidR="00C3295C" w:rsidRPr="00D86974" w:rsidRDefault="00C3295C" w:rsidP="002908FD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D86974">
              <w:rPr>
                <w:i/>
                <w:iCs/>
                <w:sz w:val="16"/>
                <w:szCs w:val="16"/>
              </w:rPr>
              <w:t>Statut</w:t>
            </w:r>
          </w:p>
        </w:tc>
      </w:tr>
      <w:tr w:rsidR="00C3295C" w:rsidRPr="00D86974" w14:paraId="2678AA3D" w14:textId="77777777" w:rsidTr="002908FD">
        <w:trPr>
          <w:trHeight w:hRule="exact" w:val="113"/>
          <w:tblHeader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14:paraId="1079381C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550" w:type="dxa"/>
            <w:tcBorders>
              <w:top w:val="single" w:sz="12" w:space="0" w:color="auto"/>
            </w:tcBorders>
            <w:shd w:val="clear" w:color="auto" w:fill="auto"/>
          </w:tcPr>
          <w:p w14:paraId="156A34CF" w14:textId="77777777" w:rsidR="00C3295C" w:rsidRPr="00D86974" w:rsidRDefault="00C3295C" w:rsidP="002908FD">
            <w:pPr>
              <w:suppressAutoHyphens w:val="0"/>
              <w:spacing w:before="40" w:after="120" w:line="220" w:lineRule="exact"/>
            </w:pPr>
          </w:p>
        </w:tc>
      </w:tr>
      <w:tr w:rsidR="00C3295C" w:rsidRPr="00D86974" w14:paraId="647B27D4" w14:textId="77777777" w:rsidTr="002908FD">
        <w:tc>
          <w:tcPr>
            <w:tcW w:w="4820" w:type="dxa"/>
            <w:shd w:val="clear" w:color="auto" w:fill="auto"/>
          </w:tcPr>
          <w:p w14:paraId="7E27B31C" w14:textId="041E7910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contre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torture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autres</w:t>
            </w:r>
            <w:r w:rsidR="00C75340">
              <w:t xml:space="preserve"> </w:t>
            </w:r>
            <w:r w:rsidRPr="00D86974">
              <w:t>peines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traitements</w:t>
            </w:r>
            <w:r w:rsidR="00C75340">
              <w:t xml:space="preserve"> </w:t>
            </w:r>
            <w:r w:rsidRPr="00D86974">
              <w:t>cruels,</w:t>
            </w:r>
            <w:r w:rsidR="00C75340">
              <w:t xml:space="preserve"> </w:t>
            </w:r>
            <w:r w:rsidRPr="00D86974">
              <w:t>inhumains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dégradants</w:t>
            </w:r>
          </w:p>
        </w:tc>
        <w:tc>
          <w:tcPr>
            <w:tcW w:w="2550" w:type="dxa"/>
            <w:shd w:val="clear" w:color="auto" w:fill="auto"/>
          </w:tcPr>
          <w:p w14:paraId="540F27EA" w14:textId="70BA96DC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</w:t>
            </w:r>
            <w:r w:rsidR="00C75340">
              <w:t xml:space="preserve"> </w:t>
            </w:r>
            <w:r w:rsidRPr="00D86974">
              <w:t>octobre</w:t>
            </w:r>
            <w:r w:rsidR="00C75340">
              <w:t xml:space="preserve"> </w:t>
            </w:r>
            <w:r w:rsidRPr="00D86974">
              <w:t>2007</w:t>
            </w:r>
          </w:p>
        </w:tc>
      </w:tr>
      <w:tr w:rsidR="00C3295C" w:rsidRPr="00D86974" w14:paraId="3B0C6181" w14:textId="77777777" w:rsidTr="002908FD">
        <w:tc>
          <w:tcPr>
            <w:tcW w:w="4820" w:type="dxa"/>
            <w:shd w:val="clear" w:color="auto" w:fill="auto"/>
          </w:tcPr>
          <w:p w14:paraId="63B3D877" w14:textId="1FE66D2B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Pacte</w:t>
            </w:r>
            <w:r w:rsidR="00C75340">
              <w:t xml:space="preserve"> </w:t>
            </w:r>
            <w:r w:rsidRPr="00D86974">
              <w:t>international</w:t>
            </w:r>
            <w:r w:rsidR="00C75340">
              <w:t xml:space="preserve"> </w:t>
            </w:r>
            <w:r w:rsidRPr="00D86974">
              <w:t>relatif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civils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politiques</w:t>
            </w:r>
          </w:p>
        </w:tc>
        <w:tc>
          <w:tcPr>
            <w:tcW w:w="2550" w:type="dxa"/>
            <w:shd w:val="clear" w:color="auto" w:fill="auto"/>
          </w:tcPr>
          <w:p w14:paraId="05842F04" w14:textId="49AB5A13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29</w:t>
            </w:r>
            <w:r w:rsidR="00C75340">
              <w:t xml:space="preserve"> </w:t>
            </w:r>
            <w:r w:rsidRPr="00D86974">
              <w:t>octobre</w:t>
            </w:r>
            <w:r w:rsidR="00C75340">
              <w:t xml:space="preserve"> </w:t>
            </w:r>
            <w:r w:rsidRPr="00D86974">
              <w:t>1996</w:t>
            </w:r>
          </w:p>
        </w:tc>
      </w:tr>
      <w:tr w:rsidR="00C3295C" w:rsidRPr="00D86974" w14:paraId="26C99F82" w14:textId="77777777" w:rsidTr="002908FD">
        <w:tc>
          <w:tcPr>
            <w:tcW w:w="4820" w:type="dxa"/>
            <w:shd w:val="clear" w:color="auto" w:fill="auto"/>
          </w:tcPr>
          <w:p w14:paraId="65055C6A" w14:textId="314371AC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internationale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protection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B40C0E">
              <w:t> </w:t>
            </w:r>
            <w:r w:rsidRPr="00D86974">
              <w:t>personnes</w:t>
            </w:r>
            <w:r w:rsidR="00C75340">
              <w:t xml:space="preserve"> </w:t>
            </w:r>
            <w:r w:rsidRPr="00D86974">
              <w:t>contre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disparitions</w:t>
            </w:r>
            <w:r w:rsidR="00C75340">
              <w:t xml:space="preserve"> </w:t>
            </w:r>
            <w:r w:rsidRPr="00D86974">
              <w:t>forcées</w:t>
            </w:r>
          </w:p>
        </w:tc>
        <w:tc>
          <w:tcPr>
            <w:tcW w:w="2550" w:type="dxa"/>
            <w:shd w:val="clear" w:color="auto" w:fill="auto"/>
          </w:tcPr>
          <w:p w14:paraId="19B74473" w14:textId="412095DF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Signature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9</w:t>
            </w:r>
            <w:r w:rsidR="00C75340">
              <w:t xml:space="preserve"> </w:t>
            </w:r>
            <w:r w:rsidRPr="00D86974">
              <w:t>janvier</w:t>
            </w:r>
            <w:r w:rsidR="00C75340">
              <w:t xml:space="preserve"> </w:t>
            </w:r>
            <w:r w:rsidRPr="00D86974">
              <w:t>2012</w:t>
            </w:r>
          </w:p>
        </w:tc>
      </w:tr>
      <w:tr w:rsidR="00C3295C" w:rsidRPr="00D86974" w14:paraId="155389BC" w14:textId="77777777" w:rsidTr="002908FD">
        <w:tc>
          <w:tcPr>
            <w:tcW w:w="4820" w:type="dxa"/>
            <w:shd w:val="clear" w:color="auto" w:fill="auto"/>
          </w:tcPr>
          <w:p w14:paraId="1FF90CC1" w14:textId="7950D132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l’élimination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formes</w:t>
            </w:r>
            <w:r w:rsidR="00C75340">
              <w:t xml:space="preserve"> </w:t>
            </w:r>
            <w:r w:rsidRPr="00D86974">
              <w:t>de</w:t>
            </w:r>
            <w:r w:rsidR="00B40C0E">
              <w:t> 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l’égard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femmes</w:t>
            </w:r>
          </w:p>
        </w:tc>
        <w:tc>
          <w:tcPr>
            <w:tcW w:w="2550" w:type="dxa"/>
            <w:shd w:val="clear" w:color="auto" w:fill="auto"/>
          </w:tcPr>
          <w:p w14:paraId="306B0961" w14:textId="4C56E5B6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9</w:t>
            </w:r>
            <w:r w:rsidR="00C75340">
              <w:t xml:space="preserve"> </w:t>
            </w:r>
            <w:r w:rsidRPr="00D86974">
              <w:t>août</w:t>
            </w:r>
            <w:r w:rsidR="00C75340">
              <w:t xml:space="preserve"> </w:t>
            </w:r>
            <w:r w:rsidRPr="00D86974">
              <w:t>1985</w:t>
            </w:r>
          </w:p>
        </w:tc>
      </w:tr>
      <w:tr w:rsidR="00C3295C" w:rsidRPr="00D86974" w14:paraId="5CE041DE" w14:textId="77777777" w:rsidTr="002908FD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D7AD51" w14:textId="4F7F7A01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l’élimination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formes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l’égard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femmes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auto"/>
          </w:tcPr>
          <w:p w14:paraId="2D20C2DC" w14:textId="0580570F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Ratification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14</w:t>
            </w:r>
            <w:r w:rsidR="00C75340">
              <w:t xml:space="preserve"> </w:t>
            </w:r>
            <w:r w:rsidRPr="00D86974">
              <w:t>juin</w:t>
            </w:r>
            <w:r w:rsidR="00C75340">
              <w:t xml:space="preserve"> </w:t>
            </w:r>
            <w:r w:rsidRPr="00D86974">
              <w:t>2000</w:t>
            </w:r>
          </w:p>
        </w:tc>
      </w:tr>
      <w:tr w:rsidR="00C3295C" w:rsidRPr="00D86974" w14:paraId="441EB3A5" w14:textId="77777777" w:rsidTr="002908FD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14:paraId="224BDA96" w14:textId="538C4324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internationale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l’élimination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B40C0E">
              <w:t> </w:t>
            </w:r>
            <w:r w:rsidRPr="00D86974">
              <w:t>formes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raciale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14:paraId="530D6669" w14:textId="3711B9D7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28</w:t>
            </w:r>
            <w:r w:rsidR="00C75340">
              <w:t xml:space="preserve"> </w:t>
            </w:r>
            <w:r w:rsidRPr="00D86974">
              <w:t>janvier</w:t>
            </w:r>
            <w:r w:rsidR="00C75340">
              <w:t xml:space="preserve"> </w:t>
            </w:r>
            <w:r w:rsidRPr="00D86974">
              <w:t>2003</w:t>
            </w:r>
          </w:p>
        </w:tc>
      </w:tr>
      <w:tr w:rsidR="00C3295C" w:rsidRPr="00D86974" w14:paraId="44E4C9E6" w14:textId="77777777" w:rsidTr="002908FD"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68DE9130" w14:textId="67B2AA35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Pacte</w:t>
            </w:r>
            <w:r w:rsidR="00C75340">
              <w:t xml:space="preserve"> </w:t>
            </w:r>
            <w:r w:rsidRPr="00D86974">
              <w:t>international</w:t>
            </w:r>
            <w:r w:rsidR="00C75340">
              <w:t xml:space="preserve"> </w:t>
            </w:r>
            <w:r w:rsidRPr="00D86974">
              <w:t>relatif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économiques,</w:t>
            </w:r>
            <w:r w:rsidR="00C75340">
              <w:t xml:space="preserve"> </w:t>
            </w:r>
            <w:r w:rsidRPr="00D86974">
              <w:t>sociaux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culturels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14:paraId="3D74CCE2" w14:textId="31EABA62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6</w:t>
            </w:r>
            <w:r w:rsidR="00C75340">
              <w:t xml:space="preserve"> </w:t>
            </w:r>
            <w:r w:rsidRPr="00D86974">
              <w:t>septembre</w:t>
            </w:r>
            <w:r w:rsidR="00C75340">
              <w:t xml:space="preserve"> </w:t>
            </w:r>
            <w:r w:rsidRPr="00D86974">
              <w:t>1999</w:t>
            </w:r>
          </w:p>
        </w:tc>
      </w:tr>
      <w:tr w:rsidR="00C3295C" w:rsidRPr="00D86974" w14:paraId="35EAAC23" w14:textId="77777777" w:rsidTr="002908FD">
        <w:tc>
          <w:tcPr>
            <w:tcW w:w="4820" w:type="dxa"/>
            <w:shd w:val="clear" w:color="auto" w:fill="auto"/>
          </w:tcPr>
          <w:p w14:paraId="1822678E" w14:textId="7A07474A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lastRenderedPageBreak/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l’enfant</w:t>
            </w:r>
          </w:p>
        </w:tc>
        <w:tc>
          <w:tcPr>
            <w:tcW w:w="2550" w:type="dxa"/>
            <w:shd w:val="clear" w:color="auto" w:fill="auto"/>
          </w:tcPr>
          <w:p w14:paraId="7AEB74BF" w14:textId="28667510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27</w:t>
            </w:r>
            <w:r w:rsidR="00C75340">
              <w:t xml:space="preserve"> </w:t>
            </w:r>
            <w:r w:rsidRPr="00D86974">
              <w:t>mai</w:t>
            </w:r>
            <w:r w:rsidR="00C75340">
              <w:t xml:space="preserve"> </w:t>
            </w:r>
            <w:r w:rsidRPr="00D86974">
              <w:t>1992</w:t>
            </w:r>
          </w:p>
        </w:tc>
      </w:tr>
      <w:tr w:rsidR="00C3295C" w:rsidRPr="00D86974" w14:paraId="6A44C9DD" w14:textId="77777777" w:rsidTr="002908FD">
        <w:tc>
          <w:tcPr>
            <w:tcW w:w="4820" w:type="dxa"/>
            <w:shd w:val="clear" w:color="auto" w:fill="auto"/>
          </w:tcPr>
          <w:p w14:paraId="06DA9229" w14:textId="663F2684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B40C0E">
              <w:t> </w:t>
            </w:r>
            <w:r w:rsidRPr="00D86974">
              <w:t>l’enfant,</w:t>
            </w:r>
            <w:r w:rsidR="00C75340">
              <w:t xml:space="preserve"> </w:t>
            </w:r>
            <w:r w:rsidRPr="00D86974">
              <w:t>concernant</w:t>
            </w:r>
            <w:r w:rsidR="00C75340">
              <w:t xml:space="preserve"> </w:t>
            </w:r>
            <w:r w:rsidRPr="00D86974">
              <w:t>l’implication</w:t>
            </w:r>
            <w:r w:rsidR="00C75340">
              <w:t xml:space="preserve"> </w:t>
            </w:r>
            <w:r w:rsidRPr="00D86974">
              <w:t>d’enfants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les</w:t>
            </w:r>
            <w:r w:rsidR="00B40C0E">
              <w:t> </w:t>
            </w:r>
            <w:r w:rsidRPr="00D86974">
              <w:t>conflits</w:t>
            </w:r>
            <w:r w:rsidR="00C75340">
              <w:t xml:space="preserve"> </w:t>
            </w:r>
            <w:r w:rsidRPr="00D86974">
              <w:t>armés</w:t>
            </w:r>
          </w:p>
        </w:tc>
        <w:tc>
          <w:tcPr>
            <w:tcW w:w="2550" w:type="dxa"/>
            <w:shd w:val="clear" w:color="auto" w:fill="auto"/>
          </w:tcPr>
          <w:p w14:paraId="0A25E166" w14:textId="77141378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27</w:t>
            </w:r>
            <w:r w:rsidR="00C75340">
              <w:t xml:space="preserve"> </w:t>
            </w:r>
            <w:r w:rsidRPr="00D86974">
              <w:t>février</w:t>
            </w:r>
            <w:r w:rsidR="00C75340">
              <w:t xml:space="preserve"> </w:t>
            </w:r>
            <w:r w:rsidRPr="00D86974">
              <w:t>2006</w:t>
            </w:r>
          </w:p>
        </w:tc>
      </w:tr>
      <w:tr w:rsidR="00C3295C" w:rsidRPr="00D86974" w14:paraId="348B6789" w14:textId="77777777" w:rsidTr="002908FD">
        <w:tc>
          <w:tcPr>
            <w:tcW w:w="4820" w:type="dxa"/>
            <w:shd w:val="clear" w:color="auto" w:fill="auto"/>
          </w:tcPr>
          <w:p w14:paraId="6C010BE2" w14:textId="1832A576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B40C0E">
              <w:t> </w:t>
            </w:r>
            <w:r w:rsidRPr="00D86974">
              <w:t>l’enfant</w:t>
            </w:r>
            <w:r w:rsidR="00C75340">
              <w:t xml:space="preserve"> </w:t>
            </w:r>
            <w:r w:rsidRPr="00D86974">
              <w:t>établissant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procédure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présentation</w:t>
            </w:r>
            <w:r w:rsidR="00C75340">
              <w:t xml:space="preserve"> </w:t>
            </w:r>
            <w:r w:rsidRPr="00D86974">
              <w:t>de</w:t>
            </w:r>
            <w:r w:rsidR="00B40C0E">
              <w:t> </w:t>
            </w:r>
            <w:r w:rsidRPr="00D86974">
              <w:t>communications</w:t>
            </w:r>
          </w:p>
        </w:tc>
        <w:tc>
          <w:tcPr>
            <w:tcW w:w="2550" w:type="dxa"/>
            <w:shd w:val="clear" w:color="auto" w:fill="auto"/>
          </w:tcPr>
          <w:p w14:paraId="7F31CCD1" w14:textId="4A8D886B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Ratification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25</w:t>
            </w:r>
            <w:r w:rsidR="00C75340">
              <w:t xml:space="preserve"> </w:t>
            </w:r>
            <w:r w:rsidRPr="00D86974">
              <w:t>septembre</w:t>
            </w:r>
            <w:r w:rsidR="00C75340">
              <w:t xml:space="preserve"> </w:t>
            </w:r>
            <w:r w:rsidRPr="00D86974">
              <w:t>2012</w:t>
            </w:r>
          </w:p>
        </w:tc>
      </w:tr>
      <w:tr w:rsidR="00C3295C" w:rsidRPr="00D86974" w14:paraId="682E024A" w14:textId="77777777" w:rsidTr="002908FD">
        <w:tc>
          <w:tcPr>
            <w:tcW w:w="4820" w:type="dxa"/>
            <w:shd w:val="clear" w:color="auto" w:fill="auto"/>
          </w:tcPr>
          <w:p w14:paraId="630FC51D" w14:textId="757AB7E0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l’enfant,</w:t>
            </w:r>
            <w:r w:rsidR="00C75340">
              <w:t xml:space="preserve"> </w:t>
            </w:r>
            <w:r w:rsidRPr="00D86974">
              <w:t>concernant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vente</w:t>
            </w:r>
            <w:r w:rsidR="00C75340">
              <w:t xml:space="preserve"> </w:t>
            </w:r>
            <w:r w:rsidRPr="00D86974">
              <w:t>d’enfants,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prostitution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enfants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pornographie</w:t>
            </w:r>
            <w:r w:rsidR="00C75340">
              <w:t xml:space="preserve"> </w:t>
            </w:r>
            <w:r w:rsidRPr="00D86974">
              <w:t>mettant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scène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enfants</w:t>
            </w:r>
          </w:p>
        </w:tc>
        <w:tc>
          <w:tcPr>
            <w:tcW w:w="2550" w:type="dxa"/>
            <w:shd w:val="clear" w:color="auto" w:fill="auto"/>
          </w:tcPr>
          <w:p w14:paraId="6F09DB46" w14:textId="7EF84924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11</w:t>
            </w:r>
            <w:r w:rsidR="00C75340">
              <w:t xml:space="preserve"> </w:t>
            </w:r>
            <w:r w:rsidRPr="00D86974">
              <w:t>janvier</w:t>
            </w:r>
            <w:r w:rsidR="00C75340">
              <w:t xml:space="preserve"> </w:t>
            </w:r>
            <w:r w:rsidRPr="00D86974">
              <w:t>2006</w:t>
            </w:r>
          </w:p>
        </w:tc>
      </w:tr>
      <w:tr w:rsidR="00C3295C" w:rsidRPr="00D86974" w14:paraId="019B38AD" w14:textId="77777777" w:rsidTr="002908FD">
        <w:tc>
          <w:tcPr>
            <w:tcW w:w="4820" w:type="dxa"/>
            <w:shd w:val="clear" w:color="auto" w:fill="auto"/>
          </w:tcPr>
          <w:p w14:paraId="481AC672" w14:textId="10730A5E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personnes</w:t>
            </w:r>
            <w:r w:rsidR="00C75340">
              <w:t xml:space="preserve"> </w:t>
            </w:r>
            <w:r w:rsidRPr="00D86974">
              <w:t>handicapées</w:t>
            </w:r>
          </w:p>
        </w:tc>
        <w:tc>
          <w:tcPr>
            <w:tcW w:w="2550" w:type="dxa"/>
            <w:shd w:val="clear" w:color="auto" w:fill="auto"/>
          </w:tcPr>
          <w:p w14:paraId="463BDD07" w14:textId="1CB6A712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Ratification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29</w:t>
            </w:r>
            <w:r w:rsidR="00C75340">
              <w:t xml:space="preserve"> </w:t>
            </w:r>
            <w:r w:rsidRPr="00D86974">
              <w:t>juillet</w:t>
            </w:r>
            <w:r w:rsidR="00C75340">
              <w:t xml:space="preserve"> </w:t>
            </w:r>
            <w:r w:rsidRPr="00D86974">
              <w:t>2008</w:t>
            </w:r>
          </w:p>
        </w:tc>
      </w:tr>
      <w:tr w:rsidR="00C3295C" w:rsidRPr="00D86974" w14:paraId="59F69D1F" w14:textId="77777777" w:rsidTr="002908FD">
        <w:tc>
          <w:tcPr>
            <w:tcW w:w="4820" w:type="dxa"/>
            <w:shd w:val="clear" w:color="auto" w:fill="auto"/>
          </w:tcPr>
          <w:p w14:paraId="3ADA043D" w14:textId="03946796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se</w:t>
            </w:r>
            <w:r w:rsidR="00C75340">
              <w:t xml:space="preserve"> </w:t>
            </w:r>
            <w:r w:rsidRPr="00D86974">
              <w:t>rapportant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personnes</w:t>
            </w:r>
            <w:r w:rsidR="00C75340">
              <w:t xml:space="preserve"> </w:t>
            </w:r>
            <w:r w:rsidRPr="00D86974">
              <w:t>handicapées</w:t>
            </w:r>
          </w:p>
        </w:tc>
        <w:tc>
          <w:tcPr>
            <w:tcW w:w="2550" w:type="dxa"/>
            <w:shd w:val="clear" w:color="auto" w:fill="auto"/>
          </w:tcPr>
          <w:p w14:paraId="58E16543" w14:textId="4585ACA6" w:rsidR="00C3295C" w:rsidRPr="00D86974" w:rsidRDefault="00C3295C" w:rsidP="002908FD">
            <w:pPr>
              <w:suppressAutoHyphens w:val="0"/>
              <w:spacing w:before="40" w:after="120" w:line="220" w:lineRule="exact"/>
            </w:pPr>
            <w:r w:rsidRPr="00D86974">
              <w:t>Adhésion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</w:t>
            </w:r>
            <w:r w:rsidR="00C75340">
              <w:t xml:space="preserve"> </w:t>
            </w:r>
            <w:r w:rsidRPr="00D86974">
              <w:t>septembre</w:t>
            </w:r>
            <w:r w:rsidR="00C75340">
              <w:t xml:space="preserve"> </w:t>
            </w:r>
            <w:r w:rsidRPr="00D86974">
              <w:t>2016</w:t>
            </w:r>
          </w:p>
        </w:tc>
      </w:tr>
    </w:tbl>
    <w:p w14:paraId="64F689AC" w14:textId="5E92BE8D" w:rsidR="00C3295C" w:rsidRPr="00D86974" w:rsidRDefault="00C3295C" w:rsidP="002908FD">
      <w:pPr>
        <w:pStyle w:val="SingleTxtG"/>
        <w:keepNext/>
        <w:spacing w:before="120"/>
      </w:pPr>
      <w:r w:rsidRPr="00D86974">
        <w:t>78.</w:t>
      </w:r>
      <w:r w:rsidRPr="00D86974">
        <w:tab/>
        <w:t>Les</w:t>
      </w:r>
      <w:r w:rsidR="00C75340">
        <w:t xml:space="preserve"> </w:t>
      </w:r>
      <w:r w:rsidRPr="00D86974">
        <w:t>réserves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déclarations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actuellement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suivantes</w:t>
      </w:r>
      <w:r w:rsidR="000E46EC">
        <w:t> 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5013"/>
      </w:tblGrid>
      <w:tr w:rsidR="00C3295C" w:rsidRPr="00D86974" w14:paraId="1402C85E" w14:textId="77777777" w:rsidTr="0021346A">
        <w:trPr>
          <w:tblHeader/>
        </w:trPr>
        <w:tc>
          <w:tcPr>
            <w:tcW w:w="29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0C7C66" w14:textId="77777777" w:rsidR="00C3295C" w:rsidRPr="00D86974" w:rsidRDefault="00C3295C" w:rsidP="0021346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D86974">
              <w:rPr>
                <w:i/>
                <w:iCs/>
                <w:sz w:val="16"/>
                <w:szCs w:val="16"/>
              </w:rPr>
              <w:t>Conventions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0D4AFE" w14:textId="5F795AB7" w:rsidR="00C3295C" w:rsidRPr="00D86974" w:rsidRDefault="00C3295C" w:rsidP="0021346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D86974">
              <w:rPr>
                <w:i/>
                <w:iCs/>
                <w:sz w:val="16"/>
                <w:szCs w:val="16"/>
              </w:rPr>
              <w:t>Réserves</w:t>
            </w:r>
            <w:r w:rsidR="00C75340">
              <w:rPr>
                <w:i/>
                <w:iCs/>
                <w:sz w:val="16"/>
                <w:szCs w:val="16"/>
              </w:rPr>
              <w:t xml:space="preserve"> </w:t>
            </w:r>
            <w:r w:rsidRPr="00D86974">
              <w:rPr>
                <w:i/>
                <w:iCs/>
                <w:sz w:val="16"/>
                <w:szCs w:val="16"/>
              </w:rPr>
              <w:t>et</w:t>
            </w:r>
            <w:r w:rsidR="00C75340">
              <w:rPr>
                <w:i/>
                <w:iCs/>
                <w:sz w:val="16"/>
                <w:szCs w:val="16"/>
              </w:rPr>
              <w:t xml:space="preserve"> </w:t>
            </w:r>
            <w:r w:rsidRPr="00D86974">
              <w:rPr>
                <w:i/>
                <w:iCs/>
                <w:sz w:val="16"/>
                <w:szCs w:val="16"/>
              </w:rPr>
              <w:t>déclarations</w:t>
            </w:r>
          </w:p>
        </w:tc>
      </w:tr>
      <w:tr w:rsidR="00C3295C" w:rsidRPr="00D86974" w14:paraId="5CB13607" w14:textId="77777777" w:rsidTr="0021346A">
        <w:trPr>
          <w:trHeight w:hRule="exact" w:val="113"/>
          <w:tblHeader/>
        </w:trPr>
        <w:tc>
          <w:tcPr>
            <w:tcW w:w="29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9CD8CAC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single" w:sz="12" w:space="0" w:color="auto"/>
            </w:tcBorders>
            <w:shd w:val="clear" w:color="auto" w:fill="auto"/>
          </w:tcPr>
          <w:p w14:paraId="6D9A8A1C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3295C" w:rsidRPr="00D86974" w14:paraId="6C30B908" w14:textId="77777777" w:rsidTr="0021346A">
        <w:tc>
          <w:tcPr>
            <w:tcW w:w="29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5728D14" w14:textId="6EBB71CC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contre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torture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autres</w:t>
            </w:r>
            <w:r w:rsidR="00C75340">
              <w:t xml:space="preserve"> </w:t>
            </w:r>
            <w:r w:rsidRPr="00D86974">
              <w:t>peines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traitements</w:t>
            </w:r>
            <w:r w:rsidR="00C75340">
              <w:t xml:space="preserve"> </w:t>
            </w:r>
            <w:r w:rsidRPr="00D86974">
              <w:t>cruels,</w:t>
            </w:r>
            <w:r w:rsidR="00C75340">
              <w:t xml:space="preserve"> </w:t>
            </w:r>
            <w:r w:rsidRPr="00D86974">
              <w:t>inhumains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dégradants</w:t>
            </w:r>
          </w:p>
        </w:tc>
        <w:tc>
          <w:tcPr>
            <w:tcW w:w="6269" w:type="dxa"/>
            <w:shd w:val="clear" w:color="auto" w:fill="auto"/>
          </w:tcPr>
          <w:p w14:paraId="669AE645" w14:textId="5AD0585D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Déclarations</w:t>
            </w:r>
            <w:r w:rsidR="00C75340">
              <w:t xml:space="preserve"> </w:t>
            </w:r>
            <w:r w:rsidRPr="00D86974">
              <w:t>interprétatives</w:t>
            </w:r>
            <w:r w:rsidR="000E46EC">
              <w:t> :</w:t>
            </w:r>
          </w:p>
          <w:p w14:paraId="5F80D322" w14:textId="32E6FFAF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1.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ce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concerne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terme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torture</w:t>
            </w:r>
            <w:r w:rsidR="000E46EC">
              <w:t> »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Convention,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Code</w:t>
            </w:r>
            <w:r w:rsidR="00C75340">
              <w:t xml:space="preserve"> </w:t>
            </w:r>
            <w:r w:rsidRPr="00D86974">
              <w:t>pénal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vigueur</w:t>
            </w:r>
            <w:r w:rsidR="00C75340">
              <w:t xml:space="preserve"> </w:t>
            </w:r>
            <w:r w:rsidRPr="00D86974">
              <w:t>ne</w:t>
            </w:r>
            <w:r w:rsidR="00C75340">
              <w:t xml:space="preserve"> </w:t>
            </w:r>
            <w:r w:rsidRPr="00D86974">
              <w:t>prévoit</w:t>
            </w:r>
            <w:r w:rsidR="00C75340">
              <w:t xml:space="preserve"> </w:t>
            </w:r>
            <w:r w:rsidRPr="00D86974">
              <w:t>ni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définition</w:t>
            </w:r>
            <w:r w:rsidR="00C75340">
              <w:t xml:space="preserve"> </w:t>
            </w:r>
            <w:r w:rsidRPr="00D86974">
              <w:t>précise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ce</w:t>
            </w:r>
            <w:r w:rsidR="00C75340">
              <w:t xml:space="preserve"> </w:t>
            </w:r>
            <w:r w:rsidRPr="00D86974">
              <w:t>terme</w:t>
            </w:r>
            <w:r w:rsidR="00C75340">
              <w:t xml:space="preserve"> </w:t>
            </w:r>
            <w:r w:rsidRPr="00D86974">
              <w:t>ni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infraction</w:t>
            </w:r>
            <w:r w:rsidR="00C75340">
              <w:t xml:space="preserve"> </w:t>
            </w:r>
            <w:r w:rsidRPr="00D86974">
              <w:t>particulière</w:t>
            </w:r>
            <w:r w:rsidR="00C75340">
              <w:t xml:space="preserve"> </w:t>
            </w:r>
            <w:r w:rsidRPr="00D86974">
              <w:t>correspondant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ce</w:t>
            </w:r>
            <w:r w:rsidR="00C75340">
              <w:t xml:space="preserve"> </w:t>
            </w:r>
            <w:r w:rsidRPr="00D86974">
              <w:t>terme.</w:t>
            </w:r>
            <w:r w:rsidR="00C75340">
              <w:t xml:space="preserve"> </w:t>
            </w:r>
            <w:r w:rsidRPr="00D86974">
              <w:t>Néanmoins,</w:t>
            </w:r>
            <w:r w:rsidR="00C75340">
              <w:t xml:space="preserve"> </w:t>
            </w:r>
            <w:r w:rsidRPr="00D86974">
              <w:t>il</w:t>
            </w:r>
            <w:r w:rsidR="00C75340">
              <w:t xml:space="preserve"> </w:t>
            </w:r>
            <w:r w:rsidRPr="00D86974">
              <w:t>contient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dispositions</w:t>
            </w:r>
            <w:r w:rsidR="00C75340">
              <w:t xml:space="preserve"> </w:t>
            </w:r>
            <w:r w:rsidRPr="00D86974">
              <w:t>comparables</w:t>
            </w:r>
            <w:r w:rsidR="00C75340">
              <w:t xml:space="preserve"> </w:t>
            </w:r>
            <w:r w:rsidRPr="00D86974">
              <w:t>applicables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actes</w:t>
            </w:r>
            <w:r w:rsidR="00C75340">
              <w:t xml:space="preserve"> </w:t>
            </w:r>
            <w:r w:rsidRPr="00D86974">
              <w:t>visés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terme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torture</w:t>
            </w:r>
            <w:r w:rsidR="000E46EC">
              <w:t> »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donc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interpréter</w:t>
            </w:r>
            <w:r w:rsidR="00C75340">
              <w:t xml:space="preserve"> </w:t>
            </w:r>
            <w:r w:rsidRPr="00D86974">
              <w:t>conformément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Code</w:t>
            </w:r>
            <w:r w:rsidR="00C75340">
              <w:t xml:space="preserve"> </w:t>
            </w:r>
            <w:r w:rsidRPr="00D86974">
              <w:t>pénal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vigueur.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veillera</w:t>
            </w:r>
            <w:r w:rsidR="00C75340">
              <w:t xml:space="preserve"> </w:t>
            </w:r>
            <w:r w:rsidRPr="00D86974">
              <w:t>dès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possible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réviser</w:t>
            </w:r>
            <w:r w:rsidR="00C75340">
              <w:t xml:space="preserve"> </w:t>
            </w:r>
            <w:r w:rsidRPr="00D86974">
              <w:t>son</w:t>
            </w:r>
            <w:r w:rsidR="00C75340">
              <w:t xml:space="preserve"> </w:t>
            </w:r>
            <w:r w:rsidRPr="00D86974">
              <w:t>droit</w:t>
            </w:r>
            <w:r w:rsidR="00C75340">
              <w:t xml:space="preserve"> </w:t>
            </w:r>
            <w:r w:rsidRPr="00D86974">
              <w:t>interne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rendre</w:t>
            </w:r>
            <w:r w:rsidR="00C75340">
              <w:t xml:space="preserve"> </w:t>
            </w:r>
            <w:r w:rsidRPr="00D86974">
              <w:t>plus</w:t>
            </w:r>
            <w:r w:rsidR="00C75340">
              <w:t xml:space="preserve"> </w:t>
            </w:r>
            <w:r w:rsidRPr="00D86974">
              <w:t>conforme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  <w:r w:rsidR="00C75340">
              <w:t xml:space="preserve"> </w:t>
            </w:r>
          </w:p>
        </w:tc>
      </w:tr>
      <w:tr w:rsidR="00C3295C" w:rsidRPr="00D86974" w14:paraId="73E5879A" w14:textId="77777777" w:rsidTr="0021346A">
        <w:tc>
          <w:tcPr>
            <w:tcW w:w="294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376783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bottom w:val="nil"/>
            </w:tcBorders>
            <w:shd w:val="clear" w:color="auto" w:fill="auto"/>
          </w:tcPr>
          <w:p w14:paraId="7C8ACCF3" w14:textId="66E678E5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2.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même</w:t>
            </w:r>
            <w:r w:rsidR="00C75340">
              <w:t xml:space="preserve"> </w:t>
            </w:r>
            <w:r w:rsidRPr="00D86974">
              <w:t>raison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celle</w:t>
            </w:r>
            <w:r w:rsidR="00C75340">
              <w:t xml:space="preserve"> </w:t>
            </w:r>
            <w:r w:rsidRPr="00D86974">
              <w:t>énoncée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paragraphe</w:t>
            </w:r>
            <w:r w:rsidR="00C75340">
              <w:t xml:space="preserve"> </w:t>
            </w:r>
            <w:r w:rsidRPr="00D86974">
              <w:t>précédent,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4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Convention,</w:t>
            </w:r>
            <w:r w:rsidR="00C75340">
              <w:t xml:space="preserve"> </w:t>
            </w:r>
            <w:r w:rsidRPr="00D86974">
              <w:t>selon</w:t>
            </w:r>
            <w:r w:rsidR="00C75340">
              <w:t xml:space="preserve"> </w:t>
            </w:r>
            <w:r w:rsidRPr="00D86974">
              <w:t>lequel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[t]out</w:t>
            </w:r>
            <w:r w:rsidR="00C75340">
              <w:t xml:space="preserve"> </w:t>
            </w:r>
            <w:r w:rsidRPr="00D86974">
              <w:t>État</w:t>
            </w:r>
            <w:r w:rsidR="00C75340">
              <w:t xml:space="preserve"> </w:t>
            </w:r>
            <w:r w:rsidRPr="00D86974">
              <w:t>partie</w:t>
            </w:r>
            <w:r w:rsidR="00C75340">
              <w:t xml:space="preserve"> </w:t>
            </w:r>
            <w:r w:rsidRPr="00D86974">
              <w:t>veille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ce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tous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actes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torture</w:t>
            </w:r>
            <w:r w:rsidR="00C75340">
              <w:t xml:space="preserve"> </w:t>
            </w:r>
            <w:r w:rsidRPr="00D86974">
              <w:t>constituent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infractions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regard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son</w:t>
            </w:r>
            <w:r w:rsidR="00C75340">
              <w:t xml:space="preserve"> </w:t>
            </w:r>
            <w:r w:rsidRPr="00D86974">
              <w:t>droit</w:t>
            </w:r>
            <w:r w:rsidR="00C75340">
              <w:t xml:space="preserve"> </w:t>
            </w:r>
            <w:r w:rsidRPr="00D86974">
              <w:t>pénal.</w:t>
            </w:r>
            <w:r w:rsidR="00C75340">
              <w:t xml:space="preserve"> </w:t>
            </w:r>
            <w:r w:rsidRPr="00D86974">
              <w:t>Il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même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tentative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pratiquer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torture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</w:t>
            </w:r>
            <w:r w:rsidR="00C75340">
              <w:t xml:space="preserve"> </w:t>
            </w:r>
            <w:r w:rsidRPr="00D86974">
              <w:t>acte</w:t>
            </w:r>
            <w:r w:rsidR="00C75340">
              <w:t xml:space="preserve"> </w:t>
            </w:r>
            <w:r w:rsidRPr="00D86974">
              <w:t>commis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n’importe</w:t>
            </w:r>
            <w:r w:rsidR="00C75340">
              <w:t xml:space="preserve"> </w:t>
            </w:r>
            <w:r w:rsidRPr="00D86974">
              <w:t>quelle</w:t>
            </w:r>
            <w:r w:rsidR="00C75340">
              <w:t xml:space="preserve"> </w:t>
            </w:r>
            <w:r w:rsidRPr="00D86974">
              <w:t>personne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constitue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complicité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participation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l’acte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torture</w:t>
            </w:r>
            <w:r w:rsidR="000E46EC">
              <w:t> »</w:t>
            </w:r>
            <w:r w:rsidRPr="00D86974">
              <w:t>,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interpréter</w:t>
            </w:r>
            <w:r w:rsidR="00C75340">
              <w:t xml:space="preserve"> </w:t>
            </w:r>
            <w:r w:rsidRPr="00D86974">
              <w:t>conformément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Code</w:t>
            </w:r>
            <w:r w:rsidR="00C75340">
              <w:t xml:space="preserve"> </w:t>
            </w:r>
            <w:r w:rsidRPr="00D86974">
              <w:t>pénal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vigueur.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veillera</w:t>
            </w:r>
            <w:r w:rsidR="00C75340">
              <w:t xml:space="preserve"> </w:t>
            </w:r>
            <w:r w:rsidRPr="00D86974">
              <w:t>dès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possible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réviser</w:t>
            </w:r>
            <w:r w:rsidR="00C75340">
              <w:t xml:space="preserve"> </w:t>
            </w:r>
            <w:r w:rsidRPr="00D86974">
              <w:t>son</w:t>
            </w:r>
            <w:r w:rsidR="00C75340">
              <w:t xml:space="preserve"> </w:t>
            </w:r>
            <w:r w:rsidRPr="00D86974">
              <w:t>droit</w:t>
            </w:r>
            <w:r w:rsidR="00C75340">
              <w:t xml:space="preserve"> </w:t>
            </w:r>
            <w:r w:rsidRPr="00D86974">
              <w:t>interne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rendre</w:t>
            </w:r>
            <w:r w:rsidR="00C75340">
              <w:t xml:space="preserve"> </w:t>
            </w:r>
            <w:r w:rsidRPr="00D86974">
              <w:t>plus</w:t>
            </w:r>
            <w:r w:rsidR="00C75340">
              <w:t xml:space="preserve"> </w:t>
            </w:r>
            <w:r w:rsidRPr="00D86974">
              <w:t>conforme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4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  <w:r w:rsidR="00C75340">
              <w:t xml:space="preserve"> </w:t>
            </w:r>
          </w:p>
        </w:tc>
      </w:tr>
      <w:tr w:rsidR="00C3295C" w:rsidRPr="00D86974" w14:paraId="14225AB3" w14:textId="77777777" w:rsidTr="0021346A">
        <w:tc>
          <w:tcPr>
            <w:tcW w:w="294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900C91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7C3EE69F" w14:textId="6CF1828F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3.</w:t>
            </w:r>
            <w:r w:rsidR="00C75340">
              <w:t xml:space="preserve"> </w:t>
            </w:r>
            <w:r w:rsidRPr="00D86974">
              <w:t>S’agissant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5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Convention,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dispose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[t]out</w:t>
            </w:r>
            <w:r w:rsidR="00C75340">
              <w:t xml:space="preserve"> </w:t>
            </w:r>
            <w:r w:rsidRPr="00D86974">
              <w:t>État</w:t>
            </w:r>
            <w:r w:rsidR="00C75340">
              <w:t xml:space="preserve"> </w:t>
            </w:r>
            <w:r w:rsidRPr="00D86974">
              <w:t>partie</w:t>
            </w:r>
            <w:r w:rsidR="00C75340">
              <w:t xml:space="preserve"> </w:t>
            </w:r>
            <w:r w:rsidRPr="00D86974">
              <w:t>prend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mesures</w:t>
            </w:r>
            <w:r w:rsidR="00C75340">
              <w:t xml:space="preserve"> </w:t>
            </w:r>
            <w:r w:rsidRPr="00D86974">
              <w:t>nécessaires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établir</w:t>
            </w:r>
            <w:r w:rsidR="00C75340">
              <w:t xml:space="preserve"> </w:t>
            </w:r>
            <w:r w:rsidRPr="00D86974">
              <w:t>sa</w:t>
            </w:r>
            <w:r w:rsidR="00C75340">
              <w:t xml:space="preserve"> </w:t>
            </w:r>
            <w:r w:rsidRPr="00D86974">
              <w:t>compétence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fins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connaître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infractions</w:t>
            </w:r>
            <w:r w:rsidR="00C75340">
              <w:t xml:space="preserve"> </w:t>
            </w:r>
            <w:r w:rsidRPr="00D86974">
              <w:t>visées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4</w:t>
            </w:r>
            <w:r w:rsidR="000E46EC">
              <w:t> »</w:t>
            </w:r>
            <w:r w:rsidRPr="00D86974">
              <w:t>,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l’interprète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signifiant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compétence</w:t>
            </w:r>
            <w:r w:rsidR="00C75340">
              <w:t xml:space="preserve"> </w:t>
            </w:r>
            <w:r w:rsidRPr="00D86974">
              <w:t>visée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5</w:t>
            </w:r>
            <w:r w:rsidR="00C75340">
              <w:t xml:space="preserve"> </w:t>
            </w:r>
            <w:r w:rsidRPr="00D86974">
              <w:t>doit</w:t>
            </w:r>
            <w:r w:rsidR="00C75340">
              <w:t xml:space="preserve"> </w:t>
            </w:r>
            <w:r w:rsidRPr="00D86974">
              <w:t>être</w:t>
            </w:r>
            <w:r w:rsidR="00C75340">
              <w:t xml:space="preserve"> </w:t>
            </w:r>
            <w:r w:rsidRPr="00D86974">
              <w:t>établie</w:t>
            </w:r>
            <w:r w:rsidR="00C75340">
              <w:t xml:space="preserve"> </w:t>
            </w:r>
            <w:r w:rsidRPr="00D86974">
              <w:t>conformément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Code</w:t>
            </w:r>
            <w:r w:rsidR="00C75340">
              <w:t xml:space="preserve"> </w:t>
            </w:r>
            <w:r w:rsidRPr="00D86974">
              <w:t>pénal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vigueur.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veillera</w:t>
            </w:r>
            <w:r w:rsidR="00C75340">
              <w:t xml:space="preserve"> </w:t>
            </w:r>
            <w:r w:rsidRPr="00D86974">
              <w:t>dès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possible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réviser</w:t>
            </w:r>
            <w:r w:rsidR="00C75340">
              <w:t xml:space="preserve"> </w:t>
            </w:r>
            <w:r w:rsidRPr="00D86974">
              <w:t>son</w:t>
            </w:r>
            <w:r w:rsidR="00C75340">
              <w:t xml:space="preserve"> </w:t>
            </w:r>
            <w:r w:rsidRPr="00D86974">
              <w:t>droit</w:t>
            </w:r>
            <w:r w:rsidR="00C75340">
              <w:t xml:space="preserve"> </w:t>
            </w:r>
            <w:r w:rsidRPr="00D86974">
              <w:t>interne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rendre</w:t>
            </w:r>
            <w:r w:rsidR="00C75340">
              <w:t xml:space="preserve"> </w:t>
            </w:r>
            <w:r w:rsidRPr="00D86974">
              <w:t>plus</w:t>
            </w:r>
            <w:r w:rsidR="00C75340">
              <w:t xml:space="preserve"> </w:t>
            </w:r>
            <w:r w:rsidRPr="00D86974">
              <w:t>conforme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5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</w:p>
        </w:tc>
      </w:tr>
      <w:tr w:rsidR="00C3295C" w:rsidRPr="00D86974" w14:paraId="06998D8B" w14:textId="77777777" w:rsidTr="0021346A">
        <w:tc>
          <w:tcPr>
            <w:tcW w:w="294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FE3F1A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28C77328" w14:textId="35795AD5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Réserve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ne</w:t>
            </w:r>
            <w:r w:rsidR="00C75340">
              <w:t xml:space="preserve"> </w:t>
            </w:r>
            <w:r w:rsidRPr="00D86974">
              <w:t>se</w:t>
            </w:r>
            <w:r w:rsidR="00C75340">
              <w:t xml:space="preserve"> </w:t>
            </w:r>
            <w:r w:rsidRPr="00D86974">
              <w:t>considère</w:t>
            </w:r>
            <w:r w:rsidR="00C75340">
              <w:t xml:space="preserve"> </w:t>
            </w:r>
            <w:r w:rsidRPr="00D86974">
              <w:t>pas</w:t>
            </w:r>
            <w:r w:rsidR="00C75340">
              <w:t xml:space="preserve"> </w:t>
            </w:r>
            <w:r w:rsidRPr="00D86974">
              <w:t>lié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30</w:t>
            </w:r>
            <w:r w:rsidR="00C75340">
              <w:t xml:space="preserve"> </w:t>
            </w:r>
            <w:r w:rsidRPr="00D86974">
              <w:t>(</w:t>
            </w:r>
            <w:r w:rsidR="00C75340">
              <w:t>par. </w:t>
            </w:r>
            <w:r w:rsidRPr="00D86974">
              <w:t>1)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</w:p>
        </w:tc>
      </w:tr>
      <w:tr w:rsidR="00C3295C" w:rsidRPr="00D86974" w14:paraId="2CB66A70" w14:textId="77777777" w:rsidTr="0021346A">
        <w:tc>
          <w:tcPr>
            <w:tcW w:w="29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BD7AFF6" w14:textId="19341A3A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lastRenderedPageBreak/>
              <w:t>Pacte</w:t>
            </w:r>
            <w:r w:rsidR="00C75340">
              <w:t xml:space="preserve"> </w:t>
            </w:r>
            <w:r w:rsidRPr="00D86974">
              <w:t>international</w:t>
            </w:r>
            <w:r w:rsidR="00C75340">
              <w:t xml:space="preserve"> </w:t>
            </w:r>
            <w:r w:rsidRPr="00D86974">
              <w:t>relatif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civils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politiques</w:t>
            </w: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2C865F7D" w14:textId="34F6F007" w:rsidR="00C3295C" w:rsidRPr="00D86974" w:rsidRDefault="00C3295C" w:rsidP="002E722F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  <w:r w:rsidRPr="00D86974">
              <w:t>Déclarations</w:t>
            </w:r>
            <w:r w:rsidR="00C75340">
              <w:t xml:space="preserve"> </w:t>
            </w:r>
            <w:r w:rsidRPr="00D86974">
              <w:t>interprétatives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Gouvernement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déclare</w:t>
            </w:r>
            <w:r w:rsidR="00C75340">
              <w:t xml:space="preserve"> </w:t>
            </w:r>
            <w:r w:rsidRPr="00D86974">
              <w:t>ce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suit</w:t>
            </w:r>
            <w:r w:rsidR="000E46EC">
              <w:t> :</w:t>
            </w:r>
          </w:p>
          <w:p w14:paraId="3A0A0033" w14:textId="09FD1EC3" w:rsidR="00C3295C" w:rsidRPr="00D86974" w:rsidRDefault="00C3295C" w:rsidP="002E722F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  <w:r w:rsidRPr="00D86974">
              <w:t>1.</w:t>
            </w:r>
            <w:r w:rsidR="00C75340">
              <w:t xml:space="preserve"> </w:t>
            </w:r>
            <w:r w:rsidRPr="00D86974">
              <w:t>L’expression</w:t>
            </w:r>
            <w:r w:rsidR="00C75340">
              <w:t xml:space="preserve"> </w:t>
            </w:r>
            <w:r w:rsidRPr="00D86974">
              <w:t>«</w:t>
            </w:r>
            <w:r w:rsidR="002E722F">
              <w:t> </w:t>
            </w:r>
            <w:r w:rsidRPr="00D86974">
              <w:t>droit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disposer</w:t>
            </w:r>
            <w:r w:rsidR="00C75340">
              <w:t xml:space="preserve"> </w:t>
            </w:r>
            <w:r w:rsidRPr="00D86974">
              <w:t>d’eux-mêmes</w:t>
            </w:r>
            <w:r w:rsidR="000E46EC">
              <w:t> »</w:t>
            </w:r>
            <w:r w:rsidRPr="00D86974">
              <w:t>,</w:t>
            </w:r>
            <w:r w:rsidR="00C75340">
              <w:t xml:space="preserve"> </w:t>
            </w:r>
            <w:r w:rsidRPr="00D86974">
              <w:t>telle</w:t>
            </w:r>
            <w:r w:rsidR="00C75340">
              <w:t xml:space="preserve"> </w:t>
            </w:r>
            <w:r w:rsidRPr="00D86974">
              <w:t>qu’elle</w:t>
            </w:r>
            <w:r w:rsidR="00C75340">
              <w:t xml:space="preserve"> </w:t>
            </w:r>
            <w:r w:rsidRPr="00D86974">
              <w:t>figure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(</w:t>
            </w:r>
            <w:r w:rsidR="00C75340">
              <w:t>par. </w:t>
            </w:r>
            <w:r w:rsidRPr="00D86974">
              <w:t>1)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Pacte,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interpréter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étant</w:t>
            </w:r>
            <w:r w:rsidR="00C75340">
              <w:t xml:space="preserve"> </w:t>
            </w:r>
            <w:r w:rsidRPr="00D86974">
              <w:t>compatible</w:t>
            </w:r>
            <w:r w:rsidR="00C75340">
              <w:t xml:space="preserve"> </w:t>
            </w:r>
            <w:r w:rsidRPr="00D86974">
              <w:t>avec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contenu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Déclaration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Programme</w:t>
            </w:r>
            <w:r w:rsidR="00C75340">
              <w:t xml:space="preserve"> </w:t>
            </w:r>
            <w:r w:rsidRPr="00D86974">
              <w:t>d’action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Vienne,</w:t>
            </w:r>
            <w:r w:rsidR="00C75340">
              <w:t xml:space="preserve"> </w:t>
            </w:r>
            <w:r w:rsidRPr="00D86974">
              <w:t>adoptés</w:t>
            </w:r>
            <w:r w:rsidR="00C75340">
              <w:t xml:space="preserve"> </w:t>
            </w:r>
            <w:r w:rsidRPr="00D86974">
              <w:t>par</w:t>
            </w:r>
            <w:r w:rsidR="002908FD">
              <w:t> </w:t>
            </w:r>
            <w:r w:rsidRPr="00D86974">
              <w:t>la</w:t>
            </w:r>
            <w:r w:rsidR="002908FD">
              <w:t> </w:t>
            </w:r>
            <w:r w:rsidRPr="00D86974">
              <w:t>Conférence</w:t>
            </w:r>
            <w:r w:rsidR="00C75340">
              <w:t xml:space="preserve"> </w:t>
            </w:r>
            <w:r w:rsidRPr="00D86974">
              <w:t>mondiale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l’homme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25</w:t>
            </w:r>
            <w:r w:rsidR="002908FD">
              <w:t> </w:t>
            </w:r>
            <w:r w:rsidRPr="00D86974">
              <w:t>juin</w:t>
            </w:r>
            <w:r w:rsidR="00C75340">
              <w:t xml:space="preserve"> </w:t>
            </w:r>
            <w:r w:rsidRPr="00D86974">
              <w:t>1993.</w:t>
            </w:r>
          </w:p>
        </w:tc>
      </w:tr>
      <w:tr w:rsidR="00C3295C" w:rsidRPr="00D86974" w14:paraId="6AA5CD93" w14:textId="77777777" w:rsidTr="0021346A">
        <w:tc>
          <w:tcPr>
            <w:tcW w:w="2944" w:type="dxa"/>
            <w:vMerge/>
            <w:tcBorders>
              <w:top w:val="nil"/>
            </w:tcBorders>
            <w:shd w:val="clear" w:color="auto" w:fill="auto"/>
          </w:tcPr>
          <w:p w14:paraId="6D1E1038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</w:tcBorders>
            <w:shd w:val="clear" w:color="auto" w:fill="auto"/>
          </w:tcPr>
          <w:p w14:paraId="356123C3" w14:textId="5DBFDABB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  <w:rPr>
                <w:cs/>
              </w:rPr>
            </w:pPr>
            <w:r w:rsidRPr="00D86974">
              <w:t>2.</w:t>
            </w:r>
            <w:r w:rsidR="00C75340">
              <w:t xml:space="preserve"> </w:t>
            </w:r>
            <w:r w:rsidRPr="00D86974">
              <w:t>S’agissant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20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Pacte,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interprète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terme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guerre</w:t>
            </w:r>
            <w:r w:rsidR="000E46EC">
              <w:t> »</w:t>
            </w:r>
            <w:r w:rsidR="00C75340">
              <w:t xml:space="preserve"> </w:t>
            </w:r>
            <w:r w:rsidRPr="00D86974">
              <w:t>figurant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paragraphe</w:t>
            </w:r>
            <w:r w:rsidR="00C75340">
              <w:t xml:space="preserve"> </w:t>
            </w:r>
            <w:r w:rsidRPr="00D86974">
              <w:t>1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guerre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violation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droit</w:t>
            </w:r>
            <w:r w:rsidR="00C75340">
              <w:t xml:space="preserve"> </w:t>
            </w:r>
            <w:r w:rsidRPr="00D86974">
              <w:t>international.</w:t>
            </w:r>
          </w:p>
        </w:tc>
      </w:tr>
      <w:tr w:rsidR="00C3295C" w:rsidRPr="00D86974" w14:paraId="7EE4669D" w14:textId="77777777" w:rsidTr="0021346A">
        <w:tc>
          <w:tcPr>
            <w:tcW w:w="2944" w:type="dxa"/>
            <w:vMerge w:val="restart"/>
            <w:shd w:val="clear" w:color="auto" w:fill="auto"/>
          </w:tcPr>
          <w:p w14:paraId="75CC6328" w14:textId="0D08577E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l’élimination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formes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l’égard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femmes</w:t>
            </w:r>
          </w:p>
        </w:tc>
        <w:tc>
          <w:tcPr>
            <w:tcW w:w="6269" w:type="dxa"/>
            <w:shd w:val="clear" w:color="auto" w:fill="auto"/>
          </w:tcPr>
          <w:p w14:paraId="3D04DECE" w14:textId="713F6339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Déclaration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Gouvernement</w:t>
            </w:r>
            <w:r w:rsidR="00C75340">
              <w:t xml:space="preserve"> </w:t>
            </w:r>
            <w:r w:rsidRPr="00D86974">
              <w:t>royal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souhaite</w:t>
            </w:r>
            <w:r w:rsidR="00C75340">
              <w:t xml:space="preserve"> </w:t>
            </w:r>
            <w:r w:rsidRPr="00D86974">
              <w:t>préciser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selon</w:t>
            </w:r>
            <w:r w:rsidR="00C75340">
              <w:t xml:space="preserve"> </w:t>
            </w:r>
            <w:r w:rsidRPr="00D86974">
              <w:t>lui,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a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but</w:t>
            </w:r>
            <w:r w:rsidR="00C75340">
              <w:t xml:space="preserve"> </w:t>
            </w:r>
            <w:r w:rsidRPr="00D86974">
              <w:t>d’éliminer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l’égard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femmes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d’accorder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toute</w:t>
            </w:r>
            <w:r w:rsidR="00C75340">
              <w:t xml:space="preserve"> </w:t>
            </w:r>
            <w:r w:rsidRPr="00D86974">
              <w:t>personne,</w:t>
            </w:r>
            <w:r w:rsidR="00C75340">
              <w:t xml:space="preserve"> </w:t>
            </w:r>
            <w:r w:rsidRPr="00D86974">
              <w:t>homme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femme,</w:t>
            </w:r>
            <w:r w:rsidR="00C75340">
              <w:t xml:space="preserve"> </w:t>
            </w:r>
            <w:r w:rsidRPr="00D86974">
              <w:t>l’égalité</w:t>
            </w:r>
            <w:r w:rsidR="00C75340">
              <w:t xml:space="preserve"> </w:t>
            </w:r>
            <w:r w:rsidRPr="00D86974">
              <w:t>devant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loi,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ces</w:t>
            </w:r>
            <w:r w:rsidR="00C75340">
              <w:t xml:space="preserve"> </w:t>
            </w:r>
            <w:r w:rsidRPr="00D86974">
              <w:t>objectifs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conformes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principes</w:t>
            </w:r>
            <w:r w:rsidR="00C75340">
              <w:t xml:space="preserve"> </w:t>
            </w:r>
            <w:r w:rsidRPr="00D86974">
              <w:t>énoncés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Constitution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Thaïlande.</w:t>
            </w:r>
            <w:r w:rsidR="00C75340">
              <w:t xml:space="preserve"> </w:t>
            </w:r>
          </w:p>
        </w:tc>
      </w:tr>
      <w:tr w:rsidR="00C3295C" w:rsidRPr="00D86974" w14:paraId="3CCA7279" w14:textId="77777777" w:rsidTr="0021346A">
        <w:tc>
          <w:tcPr>
            <w:tcW w:w="2944" w:type="dxa"/>
            <w:vMerge/>
            <w:shd w:val="clear" w:color="auto" w:fill="auto"/>
          </w:tcPr>
          <w:p w14:paraId="1B4196D0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shd w:val="clear" w:color="auto" w:fill="auto"/>
          </w:tcPr>
          <w:p w14:paraId="3E43741E" w14:textId="3780319B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  <w:rPr>
                <w:cs/>
              </w:rPr>
            </w:pPr>
            <w:r w:rsidRPr="00D86974">
              <w:t>Réserve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Gouvernement</w:t>
            </w:r>
            <w:r w:rsidR="00C75340">
              <w:t xml:space="preserve"> </w:t>
            </w:r>
            <w:r w:rsidRPr="00D86974">
              <w:t>royal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ne</w:t>
            </w:r>
            <w:r w:rsidR="00C75340">
              <w:t xml:space="preserve"> </w:t>
            </w:r>
            <w:r w:rsidRPr="00D86974">
              <w:t>se</w:t>
            </w:r>
            <w:r w:rsidR="00C75340">
              <w:t xml:space="preserve"> </w:t>
            </w:r>
            <w:r w:rsidRPr="00D86974">
              <w:t>considère</w:t>
            </w:r>
            <w:r w:rsidR="00C75340">
              <w:t xml:space="preserve"> </w:t>
            </w:r>
            <w:r w:rsidRPr="00D86974">
              <w:t>pas</w:t>
            </w:r>
            <w:r w:rsidR="00C75340">
              <w:t xml:space="preserve"> </w:t>
            </w:r>
            <w:r w:rsidRPr="00D86974">
              <w:t>lié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dispositions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29</w:t>
            </w:r>
            <w:r w:rsidR="00C75340">
              <w:t xml:space="preserve"> </w:t>
            </w:r>
            <w:r w:rsidRPr="00D86974">
              <w:t>(</w:t>
            </w:r>
            <w:r w:rsidR="00C75340">
              <w:t>par. </w:t>
            </w:r>
            <w:r w:rsidRPr="00D86974">
              <w:t>1)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</w:p>
        </w:tc>
      </w:tr>
      <w:tr w:rsidR="00C3295C" w:rsidRPr="00D86974" w14:paraId="1F856784" w14:textId="77777777" w:rsidTr="0021346A">
        <w:tc>
          <w:tcPr>
            <w:tcW w:w="2944" w:type="dxa"/>
            <w:vMerge w:val="restart"/>
            <w:shd w:val="clear" w:color="auto" w:fill="auto"/>
          </w:tcPr>
          <w:p w14:paraId="3D96620D" w14:textId="316487FE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internationale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l’élimination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toutes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formes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discrimination</w:t>
            </w:r>
            <w:r w:rsidR="00C75340">
              <w:t xml:space="preserve"> </w:t>
            </w:r>
            <w:r w:rsidRPr="00D86974">
              <w:t>raciale</w:t>
            </w:r>
          </w:p>
        </w:tc>
        <w:tc>
          <w:tcPr>
            <w:tcW w:w="6269" w:type="dxa"/>
            <w:shd w:val="clear" w:color="auto" w:fill="auto"/>
          </w:tcPr>
          <w:p w14:paraId="4D3C5B3F" w14:textId="1A2CD2A4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Déclaration</w:t>
            </w:r>
            <w:r w:rsidR="00C75340">
              <w:t xml:space="preserve"> </w:t>
            </w:r>
            <w:r w:rsidRPr="00D86974">
              <w:t>interprétative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n’interprète</w:t>
            </w:r>
            <w:r w:rsidR="00C75340">
              <w:t xml:space="preserve"> </w:t>
            </w:r>
            <w:r w:rsidRPr="00D86974">
              <w:t>ni</w:t>
            </w:r>
            <w:r w:rsidR="00C75340">
              <w:t xml:space="preserve"> </w:t>
            </w:r>
            <w:r w:rsidRPr="00D86974">
              <w:t>n’applique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dispositions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lui</w:t>
            </w:r>
            <w:r w:rsidR="00C75340">
              <w:t xml:space="preserve"> </w:t>
            </w:r>
            <w:r w:rsidRPr="00D86974">
              <w:t>imposant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obligations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outrepasseraient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limites</w:t>
            </w:r>
            <w:r w:rsidR="00C75340">
              <w:t xml:space="preserve"> </w:t>
            </w:r>
            <w:r w:rsidRPr="00D86974">
              <w:t>fixées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Constitution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législation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Royaume.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outre,</w:t>
            </w:r>
            <w:r w:rsidR="00C75340">
              <w:t xml:space="preserve"> </w:t>
            </w:r>
            <w:r w:rsidRPr="00D86974">
              <w:t>cette</w:t>
            </w:r>
            <w:r w:rsidR="00C75340">
              <w:t xml:space="preserve"> </w:t>
            </w:r>
            <w:r w:rsidRPr="00D86974">
              <w:t>interprétation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cette</w:t>
            </w:r>
            <w:r w:rsidR="00C75340">
              <w:t xml:space="preserve"> </w:t>
            </w:r>
            <w:r w:rsidRPr="00D86974">
              <w:t>application</w:t>
            </w:r>
            <w:r w:rsidR="00C75340">
              <w:t xml:space="preserve"> </w:t>
            </w:r>
            <w:r w:rsidRPr="00D86974">
              <w:t>doivent</w:t>
            </w:r>
            <w:r w:rsidR="00C75340">
              <w:t xml:space="preserve"> </w:t>
            </w:r>
            <w:r w:rsidRPr="00D86974">
              <w:t>être</w:t>
            </w:r>
            <w:r w:rsidR="00C75340">
              <w:t xml:space="preserve"> </w:t>
            </w:r>
            <w:r w:rsidRPr="00D86974">
              <w:t>limitées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obligations</w:t>
            </w:r>
            <w:r w:rsidR="00C75340">
              <w:t xml:space="preserve"> </w:t>
            </w:r>
            <w:r w:rsidRPr="00D86974">
              <w:t>découlant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autres</w:t>
            </w:r>
            <w:r w:rsidR="00C75340">
              <w:t xml:space="preserve"> </w:t>
            </w:r>
            <w:r w:rsidRPr="00D86974">
              <w:t>instruments</w:t>
            </w:r>
            <w:r w:rsidR="00C75340">
              <w:t xml:space="preserve"> </w:t>
            </w:r>
            <w:r w:rsidRPr="00D86974">
              <w:t>internationaux</w:t>
            </w:r>
            <w:r w:rsidR="00C75340">
              <w:t xml:space="preserve"> </w:t>
            </w:r>
            <w:r w:rsidRPr="00D86974">
              <w:t>relatifs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l’homme</w:t>
            </w:r>
            <w:r w:rsidR="00C75340">
              <w:t xml:space="preserve"> </w:t>
            </w:r>
            <w:r w:rsidRPr="00D86974">
              <w:t>auxquels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partie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compatibles</w:t>
            </w:r>
            <w:r w:rsidR="00C75340">
              <w:t xml:space="preserve"> </w:t>
            </w:r>
            <w:r w:rsidRPr="00D86974">
              <w:t>avec</w:t>
            </w:r>
            <w:r w:rsidR="00C75340">
              <w:t xml:space="preserve"> </w:t>
            </w:r>
            <w:r w:rsidRPr="00D86974">
              <w:t>elles.</w:t>
            </w:r>
            <w:r w:rsidR="00C75340">
              <w:t xml:space="preserve"> </w:t>
            </w:r>
          </w:p>
        </w:tc>
      </w:tr>
      <w:tr w:rsidR="00C3295C" w:rsidRPr="00D86974" w14:paraId="2D08F18B" w14:textId="77777777" w:rsidTr="0021346A">
        <w:tc>
          <w:tcPr>
            <w:tcW w:w="2944" w:type="dxa"/>
            <w:vMerge/>
            <w:shd w:val="clear" w:color="auto" w:fill="auto"/>
          </w:tcPr>
          <w:p w14:paraId="5BE0EE72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shd w:val="clear" w:color="auto" w:fill="auto"/>
          </w:tcPr>
          <w:p w14:paraId="5F286DCB" w14:textId="5535D70A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Réserve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ne</w:t>
            </w:r>
            <w:r w:rsidR="00C75340">
              <w:t xml:space="preserve"> </w:t>
            </w:r>
            <w:r w:rsidRPr="00D86974">
              <w:t>se</w:t>
            </w:r>
            <w:r w:rsidR="00C75340">
              <w:t xml:space="preserve"> </w:t>
            </w:r>
            <w:r w:rsidRPr="00D86974">
              <w:t>considère</w:t>
            </w:r>
            <w:r w:rsidR="00C75340">
              <w:t xml:space="preserve"> </w:t>
            </w:r>
            <w:r w:rsidRPr="00D86974">
              <w:t>pas</w:t>
            </w:r>
            <w:r w:rsidR="00C75340">
              <w:t xml:space="preserve"> </w:t>
            </w:r>
            <w:r w:rsidRPr="00D86974">
              <w:t>lié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dispositions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22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Convention.</w:t>
            </w:r>
          </w:p>
        </w:tc>
      </w:tr>
      <w:tr w:rsidR="00C3295C" w:rsidRPr="00D86974" w14:paraId="654C07D4" w14:textId="77777777" w:rsidTr="0021346A">
        <w:tc>
          <w:tcPr>
            <w:tcW w:w="2944" w:type="dxa"/>
            <w:shd w:val="clear" w:color="auto" w:fill="auto"/>
          </w:tcPr>
          <w:p w14:paraId="4B273172" w14:textId="02E75CD2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Pacte</w:t>
            </w:r>
            <w:r w:rsidR="00C75340">
              <w:t xml:space="preserve"> </w:t>
            </w:r>
            <w:r w:rsidRPr="00D86974">
              <w:t>international</w:t>
            </w:r>
            <w:r w:rsidR="00C75340">
              <w:t xml:space="preserve"> </w:t>
            </w:r>
            <w:r w:rsidRPr="00D86974">
              <w:t>relatif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économiques,</w:t>
            </w:r>
            <w:r w:rsidR="00C75340">
              <w:t xml:space="preserve"> </w:t>
            </w:r>
            <w:r w:rsidRPr="00D86974">
              <w:t>sociaux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culturels</w:t>
            </w:r>
          </w:p>
        </w:tc>
        <w:tc>
          <w:tcPr>
            <w:tcW w:w="6269" w:type="dxa"/>
            <w:shd w:val="clear" w:color="auto" w:fill="auto"/>
          </w:tcPr>
          <w:p w14:paraId="39A0B4FC" w14:textId="3EBB056E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Déclaration</w:t>
            </w:r>
            <w:r w:rsidR="00C75340">
              <w:t xml:space="preserve"> </w:t>
            </w:r>
            <w:r w:rsidRPr="00D86974">
              <w:t>interprétative</w:t>
            </w:r>
            <w:r w:rsidR="000E46EC">
              <w:t> :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Gouvernement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Royaume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Thaïlande</w:t>
            </w:r>
            <w:r w:rsidR="00C75340">
              <w:t xml:space="preserve"> </w:t>
            </w:r>
            <w:r w:rsidRPr="00D86974">
              <w:t>déclare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l’expression</w:t>
            </w:r>
            <w:r w:rsidR="00C75340">
              <w:t xml:space="preserve"> </w:t>
            </w:r>
            <w:r w:rsidRPr="00D86974">
              <w:t>«</w:t>
            </w:r>
            <w:r w:rsidR="002908FD">
              <w:t> </w:t>
            </w:r>
            <w:r w:rsidRPr="00D86974">
              <w:t>droit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disposer</w:t>
            </w:r>
            <w:r w:rsidR="00C75340">
              <w:t xml:space="preserve"> </w:t>
            </w:r>
            <w:r w:rsidRPr="00D86974">
              <w:t>d’eux-mêmes</w:t>
            </w:r>
            <w:r w:rsidR="000E46EC">
              <w:t> »</w:t>
            </w:r>
            <w:r w:rsidRPr="00D86974">
              <w:t>,</w:t>
            </w:r>
            <w:r w:rsidR="00C75340">
              <w:t xml:space="preserve"> </w:t>
            </w:r>
            <w:r w:rsidRPr="00D86974">
              <w:t>telle</w:t>
            </w:r>
            <w:r w:rsidR="00C75340">
              <w:t xml:space="preserve"> </w:t>
            </w:r>
            <w:r w:rsidRPr="00D86974">
              <w:t>qu’elle</w:t>
            </w:r>
            <w:r w:rsidR="00C75340">
              <w:t xml:space="preserve"> </w:t>
            </w:r>
            <w:r w:rsidRPr="00D86974">
              <w:t>figure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premier</w:t>
            </w:r>
            <w:r w:rsidR="00C75340">
              <w:t xml:space="preserve"> </w:t>
            </w:r>
            <w:r w:rsidRPr="00D86974">
              <w:t>(</w:t>
            </w:r>
            <w:r w:rsidR="00C75340">
              <w:t>par. </w:t>
            </w:r>
            <w:r w:rsidRPr="00D86974">
              <w:t>1)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Pacte,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interpréter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étant</w:t>
            </w:r>
            <w:r w:rsidR="00C75340">
              <w:t xml:space="preserve"> </w:t>
            </w:r>
            <w:r w:rsidRPr="00D86974">
              <w:t>compatible</w:t>
            </w:r>
            <w:r w:rsidR="00C75340">
              <w:t xml:space="preserve"> </w:t>
            </w:r>
            <w:r w:rsidRPr="00D86974">
              <w:t>avec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contenu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Déclaration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Programme</w:t>
            </w:r>
            <w:r w:rsidR="00C75340">
              <w:t xml:space="preserve"> </w:t>
            </w:r>
            <w:r w:rsidRPr="00D86974">
              <w:t>d’action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Vienne,</w:t>
            </w:r>
            <w:r w:rsidR="00C75340">
              <w:t xml:space="preserve"> </w:t>
            </w:r>
            <w:r w:rsidRPr="00D86974">
              <w:t>adoptés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Conférence</w:t>
            </w:r>
            <w:r w:rsidR="00C75340">
              <w:t xml:space="preserve"> </w:t>
            </w:r>
            <w:r w:rsidRPr="00D86974">
              <w:t>mondiale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l’homme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25</w:t>
            </w:r>
            <w:r w:rsidR="005F3A52">
              <w:t> </w:t>
            </w:r>
            <w:r w:rsidRPr="00D86974">
              <w:t>juin</w:t>
            </w:r>
            <w:r w:rsidR="00C75340">
              <w:t xml:space="preserve"> </w:t>
            </w:r>
            <w:r w:rsidRPr="00D86974">
              <w:t>1993.</w:t>
            </w:r>
          </w:p>
        </w:tc>
      </w:tr>
      <w:tr w:rsidR="00C3295C" w:rsidRPr="00D86974" w14:paraId="15FA8BF9" w14:textId="77777777" w:rsidTr="0021346A">
        <w:tc>
          <w:tcPr>
            <w:tcW w:w="2944" w:type="dxa"/>
            <w:tcBorders>
              <w:bottom w:val="nil"/>
            </w:tcBorders>
            <w:shd w:val="clear" w:color="auto" w:fill="auto"/>
          </w:tcPr>
          <w:p w14:paraId="30D53984" w14:textId="641ABE30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l’enfant</w:t>
            </w:r>
          </w:p>
        </w:tc>
        <w:tc>
          <w:tcPr>
            <w:tcW w:w="6269" w:type="dxa"/>
            <w:tcBorders>
              <w:bottom w:val="nil"/>
            </w:tcBorders>
            <w:shd w:val="clear" w:color="auto" w:fill="auto"/>
          </w:tcPr>
          <w:p w14:paraId="7F0C4D33" w14:textId="58A1A64B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Réserve</w:t>
            </w:r>
            <w:r w:rsidR="000E46EC">
              <w:t> :</w:t>
            </w:r>
            <w:r w:rsidR="00C75340">
              <w:t xml:space="preserve"> </w:t>
            </w:r>
            <w:r w:rsidRPr="00D86974">
              <w:t>L’application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l’article</w:t>
            </w:r>
            <w:r w:rsidR="00C75340">
              <w:t xml:space="preserve"> </w:t>
            </w:r>
            <w:r w:rsidRPr="00D86974">
              <w:t>22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l’enfant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soumise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lois,</w:t>
            </w:r>
            <w:r w:rsidR="00C75340">
              <w:t xml:space="preserve"> </w:t>
            </w:r>
            <w:r w:rsidRPr="00D86974">
              <w:t>règlements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pratiques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vigueur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Thaïlande.</w:t>
            </w:r>
          </w:p>
        </w:tc>
      </w:tr>
      <w:tr w:rsidR="00C3295C" w:rsidRPr="00D86974" w14:paraId="2353FBFB" w14:textId="77777777" w:rsidTr="0021346A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14:paraId="47D89F68" w14:textId="6C2A8829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Protocole</w:t>
            </w:r>
            <w:r w:rsidR="00C75340">
              <w:t xml:space="preserve"> </w:t>
            </w:r>
            <w:r w:rsidRPr="00D86974">
              <w:t>facultatif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Convention</w:t>
            </w:r>
            <w:r w:rsidR="00C75340">
              <w:t xml:space="preserve"> </w:t>
            </w:r>
            <w:r w:rsidRPr="00D86974">
              <w:t>relative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droits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l’enfant,</w:t>
            </w:r>
            <w:r w:rsidR="00C75340">
              <w:t xml:space="preserve"> </w:t>
            </w:r>
            <w:r w:rsidRPr="00D86974">
              <w:t>concernant</w:t>
            </w:r>
            <w:r w:rsidR="00C75340">
              <w:t xml:space="preserve"> </w:t>
            </w:r>
            <w:r w:rsidRPr="00D86974">
              <w:t>l’implication</w:t>
            </w:r>
            <w:r w:rsidR="00C75340">
              <w:t xml:space="preserve"> </w:t>
            </w:r>
            <w:r w:rsidRPr="00D86974">
              <w:t>d’enfants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conflits</w:t>
            </w:r>
            <w:r w:rsidR="00C75340">
              <w:t xml:space="preserve"> </w:t>
            </w:r>
            <w:r w:rsidRPr="00D86974">
              <w:t>armés</w:t>
            </w: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5C682B5A" w14:textId="6CEB0359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Déclarations</w:t>
            </w:r>
            <w:r w:rsidR="000E46EC">
              <w:t> :</w:t>
            </w:r>
            <w:r w:rsidR="00C75340">
              <w:t xml:space="preserve"> </w:t>
            </w:r>
            <w:r w:rsidRPr="00D86974">
              <w:t>1.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service</w:t>
            </w:r>
            <w:r w:rsidR="00C75340">
              <w:t xml:space="preserve"> </w:t>
            </w:r>
            <w:r w:rsidRPr="00D86974">
              <w:t>militaire</w:t>
            </w:r>
            <w:r w:rsidR="00C75340">
              <w:t xml:space="preserve"> </w:t>
            </w:r>
            <w:r w:rsidRPr="00D86974">
              <w:t>est</w:t>
            </w:r>
            <w:r w:rsidR="00C75340">
              <w:t xml:space="preserve"> </w:t>
            </w:r>
            <w:r w:rsidRPr="00D86974">
              <w:t>rendu</w:t>
            </w:r>
            <w:r w:rsidR="00C75340">
              <w:t xml:space="preserve"> </w:t>
            </w:r>
            <w:r w:rsidRPr="00D86974">
              <w:t>obligatoire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loi.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hommes</w:t>
            </w:r>
            <w:r w:rsidR="00C75340">
              <w:t xml:space="preserve"> </w:t>
            </w:r>
            <w:r w:rsidRPr="00D86974">
              <w:t>thaïlandais</w:t>
            </w:r>
            <w:r w:rsidR="00C75340">
              <w:t xml:space="preserve"> </w:t>
            </w:r>
            <w:r w:rsidRPr="00D86974">
              <w:t>ayant</w:t>
            </w:r>
            <w:r w:rsidR="00C75340">
              <w:t xml:space="preserve"> </w:t>
            </w:r>
            <w:r w:rsidRPr="00D86974">
              <w:t>atteint</w:t>
            </w:r>
            <w:r w:rsidR="00C75340">
              <w:t xml:space="preserve"> </w:t>
            </w:r>
            <w:r w:rsidRPr="00D86974">
              <w:t>l’âge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18</w:t>
            </w:r>
            <w:r w:rsidR="005F3A52">
              <w:t> </w:t>
            </w:r>
            <w:r w:rsidRPr="00D86974">
              <w:t>ans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tenus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s’inscrire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liste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personnel</w:t>
            </w:r>
            <w:r w:rsidR="00C75340">
              <w:t xml:space="preserve"> </w:t>
            </w:r>
            <w:r w:rsidRPr="00D86974">
              <w:t>militaire</w:t>
            </w:r>
            <w:r w:rsidR="00C75340">
              <w:t xml:space="preserve"> </w:t>
            </w:r>
            <w:r w:rsidRPr="00D86974">
              <w:t>inactif.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l’âge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21</w:t>
            </w:r>
            <w:r w:rsidR="005F3A52">
              <w:t> </w:t>
            </w:r>
            <w:r w:rsidRPr="00D86974">
              <w:t>ans,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inactifs</w:t>
            </w:r>
            <w:r w:rsidR="00C75340">
              <w:t xml:space="preserve"> </w:t>
            </w:r>
            <w:r w:rsidRPr="00D86974">
              <w:t>sélectionnés</w:t>
            </w:r>
            <w:r w:rsidR="00C75340">
              <w:t xml:space="preserve"> </w:t>
            </w:r>
            <w:r w:rsidRPr="00D86974">
              <w:t>deviendront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actifs.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inactifs</w:t>
            </w:r>
            <w:r w:rsidR="00C75340">
              <w:t xml:space="preserve"> </w:t>
            </w:r>
            <w:r w:rsidRPr="00D86974">
              <w:t>peuvent</w:t>
            </w:r>
            <w:r w:rsidR="00C75340">
              <w:t xml:space="preserve"> </w:t>
            </w:r>
            <w:r w:rsidRPr="00D86974">
              <w:t>aussi</w:t>
            </w:r>
            <w:r w:rsidR="00C75340">
              <w:t xml:space="preserve"> </w:t>
            </w:r>
            <w:r w:rsidRPr="00D86974">
              <w:t>demander</w:t>
            </w:r>
            <w:r w:rsidR="00C75340">
              <w:t xml:space="preserve"> </w:t>
            </w:r>
            <w:r w:rsidRPr="00D86974">
              <w:t>volontairement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devenir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actifs</w:t>
            </w:r>
            <w:r w:rsidR="00C75340">
              <w:t xml:space="preserve"> </w:t>
            </w:r>
            <w:r w:rsidRPr="00D86974">
              <w:t>pour</w:t>
            </w:r>
            <w:r w:rsidR="00C75340">
              <w:t xml:space="preserve"> </w:t>
            </w:r>
            <w:r w:rsidRPr="00D86974">
              <w:t>servir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forces</w:t>
            </w:r>
            <w:r w:rsidR="00C75340">
              <w:t xml:space="preserve"> </w:t>
            </w:r>
            <w:r w:rsidRPr="00D86974">
              <w:t>armées</w:t>
            </w:r>
            <w:r w:rsidR="00C75340">
              <w:t xml:space="preserve"> </w:t>
            </w:r>
            <w:r w:rsidRPr="00D86974">
              <w:t>nationales.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femmes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exemptées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service</w:t>
            </w:r>
            <w:r w:rsidR="00C75340">
              <w:t xml:space="preserve"> </w:t>
            </w:r>
            <w:r w:rsidRPr="00D86974">
              <w:t>militaire</w:t>
            </w:r>
            <w:r w:rsidR="00C75340">
              <w:t xml:space="preserve"> </w:t>
            </w:r>
            <w:r w:rsidRPr="00D86974">
              <w:t>obligatoire,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temps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paix</w:t>
            </w:r>
            <w:r w:rsidR="00C75340">
              <w:t xml:space="preserve"> </w:t>
            </w:r>
            <w:r w:rsidRPr="00D86974">
              <w:t>comme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temps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guerre,</w:t>
            </w:r>
            <w:r w:rsidR="00C75340">
              <w:t xml:space="preserve"> </w:t>
            </w:r>
            <w:r w:rsidRPr="00D86974">
              <w:t>mais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soumises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d’autres</w:t>
            </w:r>
            <w:r w:rsidR="00C75340">
              <w:t xml:space="preserve"> </w:t>
            </w:r>
            <w:r w:rsidRPr="00D86974">
              <w:t>obligations</w:t>
            </w:r>
            <w:r w:rsidR="00C75340">
              <w:t xml:space="preserve"> </w:t>
            </w:r>
            <w:r w:rsidRPr="00D86974">
              <w:t>prévues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loi.</w:t>
            </w:r>
            <w:r w:rsidR="00C75340">
              <w:t xml:space="preserve"> </w:t>
            </w:r>
          </w:p>
        </w:tc>
      </w:tr>
      <w:tr w:rsidR="00C3295C" w:rsidRPr="00D86974" w14:paraId="063200B8" w14:textId="77777777" w:rsidTr="0021346A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14:paraId="67F68F51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78E50D09" w14:textId="477615AC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  <w:rPr>
                <w:cs/>
              </w:rPr>
            </w:pPr>
            <w:r w:rsidRPr="00D86974">
              <w:t>2.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temps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guerre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crise</w:t>
            </w:r>
            <w:r w:rsidR="00C75340">
              <w:t xml:space="preserve"> </w:t>
            </w:r>
            <w:r w:rsidRPr="00D86974">
              <w:t>nationale,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inactifs</w:t>
            </w:r>
            <w:r w:rsidR="00C75340">
              <w:t xml:space="preserve"> </w:t>
            </w:r>
            <w:r w:rsidRPr="00D86974">
              <w:t>(hommes</w:t>
            </w:r>
            <w:r w:rsidR="00C75340">
              <w:t xml:space="preserve"> </w:t>
            </w:r>
            <w:r w:rsidRPr="00D86974">
              <w:t>âgés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plus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18</w:t>
            </w:r>
            <w:r w:rsidR="005F3A52">
              <w:t> </w:t>
            </w:r>
            <w:r w:rsidRPr="00D86974">
              <w:t>ans)</w:t>
            </w:r>
            <w:r w:rsidR="00C75340">
              <w:t xml:space="preserve"> </w:t>
            </w:r>
            <w:r w:rsidRPr="00D86974">
              <w:t>peuvent</w:t>
            </w:r>
            <w:r w:rsidR="00C75340">
              <w:t xml:space="preserve"> </w:t>
            </w:r>
            <w:r w:rsidRPr="00D86974">
              <w:t>être</w:t>
            </w:r>
            <w:r w:rsidR="00C75340">
              <w:t xml:space="preserve"> </w:t>
            </w:r>
            <w:r w:rsidRPr="00D86974">
              <w:t>recrutés</w:t>
            </w:r>
            <w:r w:rsidR="00C75340">
              <w:t xml:space="preserve"> </w:t>
            </w:r>
            <w:r w:rsidRPr="00D86974">
              <w:t>au</w:t>
            </w:r>
            <w:r w:rsidR="00C75340">
              <w:t xml:space="preserve"> </w:t>
            </w:r>
            <w:r w:rsidRPr="00D86974">
              <w:t>sein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forces</w:t>
            </w:r>
            <w:r w:rsidR="00C75340">
              <w:t xml:space="preserve"> </w:t>
            </w:r>
            <w:r w:rsidRPr="00D86974">
              <w:t>armées.</w:t>
            </w:r>
          </w:p>
        </w:tc>
      </w:tr>
      <w:tr w:rsidR="00C3295C" w:rsidRPr="00D86974" w14:paraId="4837B3B0" w14:textId="77777777" w:rsidTr="0021346A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14:paraId="47523C6E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38E51A88" w14:textId="6E29193E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3.</w:t>
            </w:r>
            <w:r w:rsidR="00C75340">
              <w:t xml:space="preserve"> </w:t>
            </w:r>
            <w:r w:rsidRPr="00D86974">
              <w:t>L’admission</w:t>
            </w:r>
            <w:r w:rsidR="00C75340">
              <w:t xml:space="preserve"> </w:t>
            </w:r>
            <w:r w:rsidRPr="00D86974">
              <w:t>dans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écoles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telles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l’école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sous-officiers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l’armée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terre,</w:t>
            </w:r>
            <w:r w:rsidR="00C75340">
              <w:t xml:space="preserve"> </w:t>
            </w:r>
            <w:r w:rsidRPr="00D86974">
              <w:t>l’école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formation</w:t>
            </w:r>
            <w:r w:rsidR="00C75340">
              <w:t xml:space="preserve"> </w:t>
            </w:r>
            <w:r w:rsidRPr="00D86974">
              <w:t>technique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l’armée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l’air,</w:t>
            </w:r>
            <w:r w:rsidR="00C75340">
              <w:t xml:space="preserve"> </w:t>
            </w:r>
            <w:r w:rsidRPr="00D86974">
              <w:t>l’école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sous-officiers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marine,</w:t>
            </w:r>
            <w:r w:rsidR="00C75340">
              <w:t xml:space="preserve"> </w:t>
            </w:r>
            <w:r w:rsidRPr="00D86974">
              <w:t>l’école</w:t>
            </w:r>
            <w:r w:rsidR="00C75340">
              <w:t xml:space="preserve"> </w:t>
            </w:r>
            <w:r w:rsidRPr="00D86974">
              <w:t>préparatoire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académies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forces</w:t>
            </w:r>
            <w:r w:rsidR="00C75340">
              <w:t xml:space="preserve"> </w:t>
            </w:r>
            <w:r w:rsidRPr="00D86974">
              <w:t>armées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académies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l’armée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terre,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marine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l’armée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l’air</w:t>
            </w:r>
            <w:r w:rsidR="00C75340">
              <w:t xml:space="preserve"> </w:t>
            </w:r>
            <w:r w:rsidRPr="00D86974">
              <w:t>se</w:t>
            </w:r>
            <w:r w:rsidR="00C75340">
              <w:t xml:space="preserve"> </w:t>
            </w:r>
            <w:r w:rsidRPr="00D86974">
              <w:t>fait</w:t>
            </w:r>
            <w:r w:rsidR="00C75340">
              <w:t xml:space="preserve"> </w:t>
            </w:r>
            <w:r w:rsidRPr="00D86974">
              <w:t>sur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base</w:t>
            </w:r>
            <w:r w:rsidR="00C75340">
              <w:t xml:space="preserve"> </w:t>
            </w:r>
            <w:r w:rsidRPr="00D86974">
              <w:t>volontaire,</w:t>
            </w:r>
            <w:r w:rsidR="00C75340">
              <w:t xml:space="preserve"> </w:t>
            </w:r>
            <w:r w:rsidRPr="00D86974">
              <w:t>en</w:t>
            </w:r>
            <w:r w:rsidR="00C75340">
              <w:t xml:space="preserve"> </w:t>
            </w:r>
            <w:r w:rsidRPr="00D86974">
              <w:t>fonction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réussite</w:t>
            </w:r>
            <w:r w:rsidR="00C75340">
              <w:t xml:space="preserve"> </w:t>
            </w:r>
            <w:r w:rsidRPr="00D86974">
              <w:t>aux</w:t>
            </w:r>
            <w:r w:rsidR="00C75340">
              <w:t xml:space="preserve"> </w:t>
            </w:r>
            <w:r w:rsidRPr="00D86974">
              <w:t>examens</w:t>
            </w:r>
            <w:r w:rsidR="00C75340">
              <w:t xml:space="preserve"> </w:t>
            </w:r>
            <w:r w:rsidRPr="00D86974">
              <w:t>d’entrée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sous</w:t>
            </w:r>
            <w:r w:rsidR="00C75340">
              <w:t xml:space="preserve"> </w:t>
            </w:r>
            <w:r w:rsidRPr="00D86974">
              <w:t>réserve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consentement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parents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tuteurs</w:t>
            </w:r>
            <w:r w:rsidR="00C75340">
              <w:t xml:space="preserve"> </w:t>
            </w:r>
            <w:r w:rsidRPr="00D86974">
              <w:t>légaux.</w:t>
            </w:r>
          </w:p>
        </w:tc>
      </w:tr>
      <w:tr w:rsidR="00C3295C" w:rsidRPr="00D86974" w14:paraId="192CC745" w14:textId="77777777" w:rsidTr="0021346A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14:paraId="1BF55070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  <w:bottom w:val="nil"/>
            </w:tcBorders>
            <w:shd w:val="clear" w:color="auto" w:fill="auto"/>
          </w:tcPr>
          <w:p w14:paraId="2D1BA8F0" w14:textId="4FB9C47D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4.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lycéens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étudiants,</w:t>
            </w:r>
            <w:r w:rsidR="00C75340">
              <w:t xml:space="preserve"> </w:t>
            </w:r>
            <w:r w:rsidRPr="00D86974">
              <w:t>quel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soit</w:t>
            </w:r>
            <w:r w:rsidR="00C75340">
              <w:t xml:space="preserve"> </w:t>
            </w:r>
            <w:r w:rsidRPr="00D86974">
              <w:t>leur</w:t>
            </w:r>
            <w:r w:rsidR="00C75340">
              <w:t xml:space="preserve"> </w:t>
            </w:r>
            <w:r w:rsidRPr="00D86974">
              <w:t>sexe</w:t>
            </w:r>
            <w:r w:rsidR="00C75340">
              <w:t xml:space="preserve"> </w:t>
            </w:r>
            <w:r w:rsidRPr="00D86974">
              <w:t>et</w:t>
            </w:r>
            <w:r w:rsidR="00C75340">
              <w:t xml:space="preserve"> </w:t>
            </w:r>
            <w:r w:rsidRPr="00D86974">
              <w:t>sans</w:t>
            </w:r>
            <w:r w:rsidR="00C75340">
              <w:t xml:space="preserve"> </w:t>
            </w:r>
            <w:r w:rsidRPr="00D86974">
              <w:t>aucune</w:t>
            </w:r>
            <w:r w:rsidR="00C75340">
              <w:t xml:space="preserve"> </w:t>
            </w:r>
            <w:r w:rsidRPr="00D86974">
              <w:t>exception,</w:t>
            </w:r>
            <w:r w:rsidR="00C75340">
              <w:t xml:space="preserve"> </w:t>
            </w:r>
            <w:r w:rsidRPr="00D86974">
              <w:t>peuvent</w:t>
            </w:r>
            <w:r w:rsidR="00C75340">
              <w:t xml:space="preserve"> </w:t>
            </w:r>
            <w:r w:rsidRPr="00D86974">
              <w:t>demander</w:t>
            </w:r>
            <w:r w:rsidR="00C75340">
              <w:t xml:space="preserve"> </w:t>
            </w:r>
            <w:r w:rsidRPr="00D86974">
              <w:t>volontairement</w:t>
            </w:r>
            <w:r w:rsidR="00C75340">
              <w:t xml:space="preserve"> </w:t>
            </w:r>
            <w:r w:rsidRPr="00D86974">
              <w:t>à</w:t>
            </w:r>
            <w:r w:rsidR="00C75340">
              <w:t xml:space="preserve"> </w:t>
            </w:r>
            <w:r w:rsidRPr="00D86974">
              <w:t>suivre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formation</w:t>
            </w:r>
            <w:r w:rsidR="00C75340">
              <w:t xml:space="preserve"> </w:t>
            </w:r>
            <w:r w:rsidRPr="00D86974">
              <w:t>militaire</w:t>
            </w:r>
            <w:r w:rsidR="00C75340">
              <w:t xml:space="preserve"> </w:t>
            </w:r>
            <w:r w:rsidRPr="00D86974">
              <w:t>auprès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Commandement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l’armée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réserve,</w:t>
            </w:r>
            <w:r w:rsidR="00C75340">
              <w:t xml:space="preserve"> </w:t>
            </w:r>
            <w:r w:rsidRPr="00D86974">
              <w:t>avec</w:t>
            </w:r>
            <w:r w:rsidR="00C75340">
              <w:t xml:space="preserve"> </w:t>
            </w:r>
            <w:r w:rsidRPr="00D86974">
              <w:t>le</w:t>
            </w:r>
            <w:r w:rsidR="00C75340">
              <w:t xml:space="preserve"> </w:t>
            </w:r>
            <w:r w:rsidRPr="00D86974">
              <w:t>consentement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parents</w:t>
            </w:r>
            <w:r w:rsidR="00C75340">
              <w:t xml:space="preserve"> </w:t>
            </w:r>
            <w:r w:rsidRPr="00D86974">
              <w:t>ou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tuteurs</w:t>
            </w:r>
            <w:r w:rsidR="00C75340">
              <w:t xml:space="preserve"> </w:t>
            </w:r>
            <w:r w:rsidRPr="00D86974">
              <w:t>légaux.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étudiants</w:t>
            </w:r>
            <w:r w:rsidR="00C75340">
              <w:t xml:space="preserve"> </w:t>
            </w:r>
            <w:r w:rsidRPr="00D86974">
              <w:t>qui</w:t>
            </w:r>
            <w:r w:rsidR="00C75340">
              <w:t xml:space="preserve"> </w:t>
            </w:r>
            <w:r w:rsidRPr="00D86974">
              <w:t>suivent</w:t>
            </w:r>
            <w:r w:rsidR="00C75340">
              <w:t xml:space="preserve"> </w:t>
            </w:r>
            <w:r w:rsidRPr="00D86974">
              <w:t>une</w:t>
            </w:r>
            <w:r w:rsidR="00C75340">
              <w:t xml:space="preserve"> </w:t>
            </w:r>
            <w:r w:rsidRPr="00D86974">
              <w:t>formation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trois</w:t>
            </w:r>
            <w:r w:rsidR="00C75340">
              <w:t xml:space="preserve"> </w:t>
            </w:r>
            <w:r w:rsidRPr="00D86974">
              <w:t>ans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exemptés</w:t>
            </w:r>
            <w:r w:rsidR="00C75340">
              <w:t xml:space="preserve"> </w:t>
            </w:r>
            <w:r w:rsidRPr="00D86974">
              <w:t>du</w:t>
            </w:r>
            <w:r w:rsidR="00C75340">
              <w:t xml:space="preserve"> </w:t>
            </w:r>
            <w:r w:rsidRPr="00D86974">
              <w:t>service</w:t>
            </w:r>
            <w:r w:rsidR="00C75340">
              <w:t xml:space="preserve"> </w:t>
            </w:r>
            <w:r w:rsidRPr="00D86974">
              <w:t>militaire</w:t>
            </w:r>
            <w:r w:rsidR="00C75340">
              <w:t xml:space="preserve"> </w:t>
            </w:r>
            <w:r w:rsidRPr="00D86974">
              <w:t>(en</w:t>
            </w:r>
            <w:r w:rsidR="00C75340">
              <w:t xml:space="preserve"> </w:t>
            </w:r>
            <w:r w:rsidRPr="00D86974">
              <w:t>tant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militaires</w:t>
            </w:r>
            <w:r w:rsidR="00C75340">
              <w:t xml:space="preserve"> </w:t>
            </w:r>
            <w:r w:rsidRPr="00D86974">
              <w:t>actifs)</w:t>
            </w:r>
            <w:r w:rsidR="00C75340">
              <w:t xml:space="preserve"> </w:t>
            </w:r>
            <w:r w:rsidRPr="00D86974">
              <w:t>lorsqu’ils</w:t>
            </w:r>
            <w:r w:rsidR="00C75340">
              <w:t xml:space="preserve"> </w:t>
            </w:r>
            <w:r w:rsidRPr="00D86974">
              <w:t>atteignent</w:t>
            </w:r>
            <w:r w:rsidR="00C75340">
              <w:t xml:space="preserve"> </w:t>
            </w:r>
            <w:r w:rsidRPr="00D86974">
              <w:t>l’âge</w:t>
            </w:r>
            <w:r w:rsidR="00C75340">
              <w:t xml:space="preserve"> </w:t>
            </w:r>
            <w:r w:rsidRPr="00D86974">
              <w:t>de</w:t>
            </w:r>
            <w:r w:rsidR="00C75340">
              <w:t xml:space="preserve"> </w:t>
            </w:r>
            <w:r w:rsidRPr="00D86974">
              <w:t>21</w:t>
            </w:r>
            <w:r w:rsidR="005F3A52">
              <w:t> </w:t>
            </w:r>
            <w:r w:rsidRPr="00D86974">
              <w:t>ans.</w:t>
            </w:r>
          </w:p>
        </w:tc>
      </w:tr>
      <w:tr w:rsidR="00C3295C" w:rsidRPr="00D86974" w14:paraId="04B9B0AF" w14:textId="77777777" w:rsidTr="0021346A">
        <w:tc>
          <w:tcPr>
            <w:tcW w:w="2944" w:type="dxa"/>
            <w:tcBorders>
              <w:top w:val="nil"/>
            </w:tcBorders>
            <w:shd w:val="clear" w:color="auto" w:fill="auto"/>
          </w:tcPr>
          <w:p w14:paraId="65E571DD" w14:textId="77777777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6269" w:type="dxa"/>
            <w:tcBorders>
              <w:top w:val="nil"/>
            </w:tcBorders>
            <w:shd w:val="clear" w:color="auto" w:fill="auto"/>
          </w:tcPr>
          <w:p w14:paraId="2E4E1649" w14:textId="153516CC" w:rsidR="00C3295C" w:rsidRPr="00D86974" w:rsidRDefault="00C3295C" w:rsidP="0021346A">
            <w:pPr>
              <w:suppressAutoHyphens w:val="0"/>
              <w:spacing w:before="40" w:after="120" w:line="220" w:lineRule="exact"/>
              <w:ind w:right="113"/>
            </w:pPr>
            <w:r w:rsidRPr="00D86974">
              <w:t>5.</w:t>
            </w:r>
            <w:r w:rsidR="00C75340">
              <w:t xml:space="preserve"> </w:t>
            </w:r>
            <w:r w:rsidRPr="00D86974">
              <w:t>Les</w:t>
            </w:r>
            <w:r w:rsidR="00C75340">
              <w:t xml:space="preserve"> </w:t>
            </w:r>
            <w:r w:rsidRPr="00D86974">
              <w:t>milices</w:t>
            </w:r>
            <w:r w:rsidR="00C75340">
              <w:t xml:space="preserve"> </w:t>
            </w:r>
            <w:r w:rsidRPr="00D86974">
              <w:t>non</w:t>
            </w:r>
            <w:r w:rsidR="00C75340">
              <w:t xml:space="preserve"> </w:t>
            </w:r>
            <w:r w:rsidRPr="00D86974">
              <w:t>gouvernementales</w:t>
            </w:r>
            <w:r w:rsidR="00C75340">
              <w:t xml:space="preserve"> </w:t>
            </w:r>
            <w:r w:rsidRPr="00D86974">
              <w:t>sont</w:t>
            </w:r>
            <w:r w:rsidR="00C75340">
              <w:t xml:space="preserve"> </w:t>
            </w:r>
            <w:r w:rsidRPr="00D86974">
              <w:t>interdites</w:t>
            </w:r>
            <w:r w:rsidR="00C75340">
              <w:t xml:space="preserve"> </w:t>
            </w:r>
            <w:r w:rsidRPr="00D86974">
              <w:t>par</w:t>
            </w:r>
            <w:r w:rsidR="00C75340">
              <w:t xml:space="preserve"> </w:t>
            </w:r>
            <w:r w:rsidRPr="00D86974">
              <w:t>la</w:t>
            </w:r>
            <w:r w:rsidR="00C75340">
              <w:t xml:space="preserve"> </w:t>
            </w:r>
            <w:r w:rsidRPr="00D86974">
              <w:t>loi,</w:t>
            </w:r>
            <w:r w:rsidR="00C75340">
              <w:t xml:space="preserve"> </w:t>
            </w:r>
            <w:r w:rsidRPr="00D86974">
              <w:t>quel</w:t>
            </w:r>
            <w:r w:rsidR="00C75340">
              <w:t xml:space="preserve"> </w:t>
            </w:r>
            <w:r w:rsidRPr="00D86974">
              <w:t>que</w:t>
            </w:r>
            <w:r w:rsidR="00C75340">
              <w:t xml:space="preserve"> </w:t>
            </w:r>
            <w:r w:rsidRPr="00D86974">
              <w:t>soit</w:t>
            </w:r>
            <w:r w:rsidR="00C75340">
              <w:t xml:space="preserve"> </w:t>
            </w:r>
            <w:r w:rsidRPr="00D86974">
              <w:t>l’âge</w:t>
            </w:r>
            <w:r w:rsidR="00C75340">
              <w:t xml:space="preserve"> </w:t>
            </w:r>
            <w:r w:rsidRPr="00D86974">
              <w:t>des</w:t>
            </w:r>
            <w:r w:rsidR="00C75340">
              <w:t xml:space="preserve"> </w:t>
            </w:r>
            <w:r w:rsidRPr="00D86974">
              <w:t>personnes</w:t>
            </w:r>
            <w:r w:rsidR="00C75340">
              <w:t xml:space="preserve"> </w:t>
            </w:r>
            <w:r w:rsidRPr="00D86974">
              <w:t>concernées.</w:t>
            </w:r>
          </w:p>
        </w:tc>
      </w:tr>
    </w:tbl>
    <w:p w14:paraId="62BBEBF5" w14:textId="72D9DCFE" w:rsidR="00C3295C" w:rsidRDefault="00C3295C" w:rsidP="005F3A52">
      <w:pPr>
        <w:pStyle w:val="SingleTxtG"/>
        <w:keepNext/>
        <w:spacing w:before="120"/>
      </w:pPr>
      <w:r w:rsidRPr="00D86974">
        <w:t>79.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adhéré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conventions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conventions</w:t>
      </w:r>
      <w:r w:rsidR="00C75340">
        <w:t xml:space="preserve"> </w:t>
      </w:r>
      <w:r w:rsidRPr="00D86974">
        <w:t>connexes</w:t>
      </w:r>
      <w:r w:rsidR="000E46EC">
        <w:t> :</w:t>
      </w:r>
    </w:p>
    <w:p w14:paraId="5E5813A8" w14:textId="1B7560BE" w:rsidR="00C3295C" w:rsidRDefault="00C3295C" w:rsidP="00C3295C">
      <w:pPr>
        <w:pStyle w:val="SingleTxtG"/>
        <w:ind w:left="2268" w:hanging="567"/>
      </w:pPr>
      <w:r w:rsidRPr="00D86974">
        <w:t>1.</w:t>
      </w:r>
      <w:r w:rsidRPr="00D86974">
        <w:tab/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aspects</w:t>
      </w:r>
      <w:r w:rsidR="00C75340">
        <w:t xml:space="preserve"> </w:t>
      </w:r>
      <w:r w:rsidRPr="00D86974">
        <w:t>civils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l’enlèvement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d’enfants,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1</w:t>
      </w:r>
      <w:r w:rsidRPr="00D86974">
        <w:rPr>
          <w:vertAlign w:val="superscript"/>
        </w:rPr>
        <w:t>er</w:t>
      </w:r>
      <w:r w:rsidR="005F3A52">
        <w:t> </w:t>
      </w:r>
      <w:r w:rsidRPr="00D86974">
        <w:t>novembre</w:t>
      </w:r>
      <w:r w:rsidR="00C75340">
        <w:t xml:space="preserve"> </w:t>
      </w:r>
      <w:r w:rsidRPr="00D86974">
        <w:t>2002</w:t>
      </w:r>
      <w:r w:rsidR="000E46EC">
        <w:t> ;</w:t>
      </w:r>
    </w:p>
    <w:p w14:paraId="73F70552" w14:textId="55B5ECCC" w:rsidR="00C3295C" w:rsidRDefault="00C3295C" w:rsidP="00C3295C">
      <w:pPr>
        <w:pStyle w:val="SingleTxtG"/>
        <w:ind w:left="2268" w:hanging="567"/>
      </w:pPr>
      <w:r w:rsidRPr="00D86974">
        <w:t>2.</w:t>
      </w:r>
      <w:r w:rsidRPr="00D86974">
        <w:tab/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Haye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d’adoption</w:t>
      </w:r>
      <w:r w:rsidR="00C75340">
        <w:t xml:space="preserve"> </w:t>
      </w:r>
      <w:r w:rsidRPr="00D86974">
        <w:t>internationale,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1</w:t>
      </w:r>
      <w:r w:rsidRPr="00D86974">
        <w:rPr>
          <w:vertAlign w:val="superscript"/>
        </w:rPr>
        <w:t>er</w:t>
      </w:r>
      <w:r w:rsidR="005F3A52">
        <w:t> </w:t>
      </w:r>
      <w:r w:rsidRPr="00D86974">
        <w:t>août</w:t>
      </w:r>
      <w:r w:rsidR="00C75340">
        <w:t xml:space="preserve"> </w:t>
      </w:r>
      <w:r w:rsidRPr="00D86974">
        <w:t>2004</w:t>
      </w:r>
      <w:r w:rsidR="000E46EC">
        <w:t> ;</w:t>
      </w:r>
    </w:p>
    <w:p w14:paraId="66940D34" w14:textId="526B3FB3" w:rsidR="00C3295C" w:rsidRPr="00D86974" w:rsidRDefault="00C3295C" w:rsidP="00C3295C">
      <w:pPr>
        <w:pStyle w:val="SingleTxtG"/>
        <w:ind w:left="2268" w:hanging="567"/>
      </w:pPr>
      <w:r w:rsidRPr="00D86974">
        <w:t>3.</w:t>
      </w:r>
      <w:r w:rsidRPr="00D86974">
        <w:tab/>
        <w:t>Les</w:t>
      </w:r>
      <w:r w:rsidR="00C75340">
        <w:t xml:space="preserve"> </w:t>
      </w:r>
      <w:r w:rsidR="002E722F" w:rsidRPr="00D86974">
        <w:t>Conventions</w:t>
      </w:r>
      <w:r w:rsidR="002E722F">
        <w:t xml:space="preserve"> </w:t>
      </w:r>
      <w:r w:rsidRPr="00D86974">
        <w:t>n</w:t>
      </w:r>
      <w:r w:rsidR="005F3A52" w:rsidRPr="005F3A52">
        <w:rPr>
          <w:vertAlign w:val="superscript"/>
        </w:rPr>
        <w:t>os</w:t>
      </w:r>
      <w:r w:rsidR="005F3A52">
        <w:t> </w:t>
      </w:r>
      <w:r w:rsidRPr="00D86974">
        <w:t>14,</w:t>
      </w:r>
      <w:r w:rsidR="00C75340">
        <w:t xml:space="preserve"> </w:t>
      </w:r>
      <w:r w:rsidRPr="00D86974">
        <w:t>19,</w:t>
      </w:r>
      <w:r w:rsidR="00C75340">
        <w:t xml:space="preserve"> </w:t>
      </w:r>
      <w:r w:rsidRPr="00D86974">
        <w:t>29,</w:t>
      </w:r>
      <w:r w:rsidR="00C75340">
        <w:t xml:space="preserve"> </w:t>
      </w:r>
      <w:r w:rsidRPr="00D86974">
        <w:t>80,</w:t>
      </w:r>
      <w:r w:rsidR="00C75340">
        <w:t xml:space="preserve"> </w:t>
      </w:r>
      <w:r w:rsidRPr="00D86974">
        <w:t>88,</w:t>
      </w:r>
      <w:r w:rsidR="00C75340">
        <w:t xml:space="preserve"> </w:t>
      </w:r>
      <w:r w:rsidRPr="00D86974">
        <w:t>100,</w:t>
      </w:r>
      <w:r w:rsidR="00C75340">
        <w:t xml:space="preserve"> </w:t>
      </w:r>
      <w:r w:rsidRPr="00D86974">
        <w:t>105,</w:t>
      </w:r>
      <w:r w:rsidR="00C75340">
        <w:t xml:space="preserve"> </w:t>
      </w:r>
      <w:r w:rsidRPr="00D86974">
        <w:t>111,</w:t>
      </w:r>
      <w:r w:rsidR="00C75340">
        <w:t xml:space="preserve"> </w:t>
      </w:r>
      <w:r w:rsidRPr="00D86974">
        <w:t>122,</w:t>
      </w:r>
      <w:r w:rsidR="00C75340">
        <w:t xml:space="preserve"> </w:t>
      </w:r>
      <w:r w:rsidRPr="00D86974">
        <w:t>127,</w:t>
      </w:r>
      <w:r w:rsidR="00C75340">
        <w:t xml:space="preserve"> </w:t>
      </w:r>
      <w:r w:rsidRPr="00D86974">
        <w:t>138,</w:t>
      </w:r>
      <w:r w:rsidR="00C75340">
        <w:t xml:space="preserve"> </w:t>
      </w:r>
      <w:r w:rsidRPr="00D86974">
        <w:t>159,</w:t>
      </w:r>
      <w:r w:rsidR="00C75340">
        <w:t xml:space="preserve"> </w:t>
      </w:r>
      <w:r w:rsidRPr="00D86974">
        <w:t>182,</w:t>
      </w:r>
      <w:r w:rsidR="00C75340">
        <w:t xml:space="preserve"> </w:t>
      </w:r>
      <w:r w:rsidRPr="00D86974">
        <w:t>187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188,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2006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maritime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Protocole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2014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1930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forcé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l’Organisation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(OIT)</w:t>
      </w:r>
      <w:r w:rsidR="000E46EC">
        <w:t> ;</w:t>
      </w:r>
    </w:p>
    <w:p w14:paraId="58CB6BD1" w14:textId="177D3E81" w:rsidR="00C3295C" w:rsidRPr="00D86974" w:rsidRDefault="00C3295C" w:rsidP="00C3295C">
      <w:pPr>
        <w:pStyle w:val="SingleTxtG"/>
        <w:ind w:left="2268" w:hanging="567"/>
      </w:pPr>
      <w:r w:rsidRPr="00D86974">
        <w:t>4.</w:t>
      </w:r>
      <w:r w:rsidRPr="00D86974">
        <w:tab/>
        <w:t>Le</w:t>
      </w:r>
      <w:r w:rsidR="00C75340">
        <w:t xml:space="preserve"> </w:t>
      </w:r>
      <w:r w:rsidRPr="00D86974">
        <w:t>Traité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Marrakech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faciliter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aveugles,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déficients</w:t>
      </w:r>
      <w:r w:rsidR="00C75340">
        <w:t xml:space="preserve"> </w:t>
      </w:r>
      <w:r w:rsidRPr="00D86974">
        <w:t>visuels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difficultés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lecture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textes</w:t>
      </w:r>
      <w:r w:rsidR="00C75340">
        <w:t xml:space="preserve"> </w:t>
      </w:r>
      <w:r w:rsidRPr="00D86974">
        <w:t>imprimés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œuvres</w:t>
      </w:r>
      <w:r w:rsidR="00C75340">
        <w:t xml:space="preserve"> </w:t>
      </w:r>
      <w:r w:rsidRPr="00D86974">
        <w:t>publiées,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28</w:t>
      </w:r>
      <w:r w:rsidR="005F3A52">
        <w:t> </w:t>
      </w:r>
      <w:r w:rsidRPr="00D86974">
        <w:t>avril</w:t>
      </w:r>
      <w:r w:rsidR="00C75340">
        <w:t xml:space="preserve"> </w:t>
      </w:r>
      <w:r w:rsidRPr="00D86974">
        <w:t>2019.</w:t>
      </w:r>
    </w:p>
    <w:p w14:paraId="0EF4084C" w14:textId="2BFCC8B5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Dérogations,</w:t>
      </w:r>
      <w:r w:rsidR="00C75340">
        <w:rPr>
          <w:bCs/>
        </w:rPr>
        <w:t xml:space="preserve"> </w:t>
      </w:r>
      <w:r w:rsidRPr="00D86974">
        <w:rPr>
          <w:bCs/>
        </w:rPr>
        <w:t>restrictions</w:t>
      </w:r>
      <w:r w:rsidR="00C75340">
        <w:rPr>
          <w:bCs/>
        </w:rPr>
        <w:t xml:space="preserve"> </w:t>
      </w:r>
      <w:r w:rsidRPr="00D86974">
        <w:rPr>
          <w:bCs/>
        </w:rPr>
        <w:t>ou</w:t>
      </w:r>
      <w:r w:rsidR="00C75340">
        <w:rPr>
          <w:bCs/>
        </w:rPr>
        <w:t xml:space="preserve"> </w:t>
      </w:r>
      <w:r w:rsidRPr="00D86974">
        <w:rPr>
          <w:bCs/>
        </w:rPr>
        <w:t>limitations</w:t>
      </w:r>
    </w:p>
    <w:p w14:paraId="42EEF725" w14:textId="6665643D" w:rsidR="00C3295C" w:rsidRDefault="00C3295C" w:rsidP="00C3295C">
      <w:pPr>
        <w:pStyle w:val="SingleTxtG"/>
      </w:pPr>
      <w:r w:rsidRPr="00D86974">
        <w:t>80.</w:t>
      </w:r>
      <w:r w:rsidRPr="00D86974">
        <w:tab/>
        <w:t>Le</w:t>
      </w:r>
      <w:r w:rsidR="00C75340">
        <w:t xml:space="preserve"> </w:t>
      </w:r>
      <w:r w:rsidRPr="00D86974">
        <w:t>4</w:t>
      </w:r>
      <w:r w:rsidR="005F3A52">
        <w:t> </w:t>
      </w:r>
      <w:r w:rsidRPr="00D86974">
        <w:t>juin</w:t>
      </w:r>
      <w:r w:rsidR="00C75340">
        <w:t xml:space="preserve"> </w:t>
      </w:r>
      <w:r w:rsidRPr="00D86974">
        <w:t>2020,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5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décret</w:t>
      </w:r>
      <w:r w:rsidR="00C75340">
        <w:t xml:space="preserve"> </w:t>
      </w:r>
      <w:r w:rsidRPr="00D86974">
        <w:t>d’urgence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situations</w:t>
      </w:r>
      <w:r w:rsidR="00C75340">
        <w:t xml:space="preserve"> </w:t>
      </w:r>
      <w:r w:rsidRPr="00D86974">
        <w:t>d’urgence</w:t>
      </w:r>
      <w:r w:rsidR="00C75340">
        <w:t xml:space="preserve"> </w:t>
      </w:r>
      <w:r w:rsidRPr="00D86974">
        <w:t>2548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(2005),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informé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États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Pacte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civils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politiques,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l’intermédiaire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Secrétaire</w:t>
      </w:r>
      <w:r w:rsidR="00C75340">
        <w:t xml:space="preserve"> </w:t>
      </w:r>
      <w:r w:rsidRPr="00D86974">
        <w:t>général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l’Organisation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(ONU),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territoire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trouvait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d’urgence</w:t>
      </w:r>
      <w:r w:rsidR="00C75340">
        <w:t xml:space="preserve"> </w:t>
      </w:r>
      <w:r w:rsidRPr="00D86974">
        <w:t>jusqu’au</w:t>
      </w:r>
      <w:r w:rsidR="00C75340">
        <w:t xml:space="preserve"> </w:t>
      </w:r>
      <w:r w:rsidRPr="00D86974">
        <w:t>30</w:t>
      </w:r>
      <w:r w:rsidR="005F3A52">
        <w:t> </w:t>
      </w:r>
      <w:r w:rsidRPr="00D86974">
        <w:t>juin</w:t>
      </w:r>
      <w:r w:rsidR="00C75340">
        <w:t xml:space="preserve"> </w:t>
      </w:r>
      <w:r w:rsidRPr="00D86974">
        <w:t>2020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réagir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l’épidémie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maladie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coronavirus</w:t>
      </w:r>
      <w:r w:rsidR="00C75340">
        <w:t xml:space="preserve"> </w:t>
      </w:r>
      <w:r w:rsidRPr="00D86974">
        <w:t>2019.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conséquent,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entendait</w:t>
      </w:r>
      <w:r w:rsidR="00C75340">
        <w:t xml:space="preserve"> </w:t>
      </w:r>
      <w:r w:rsidRPr="00D86974">
        <w:t>exercer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dérogation</w:t>
      </w:r>
      <w:r w:rsidR="00C75340">
        <w:t xml:space="preserve"> </w:t>
      </w:r>
      <w:r w:rsidRPr="00D86974">
        <w:t>prévu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4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Pacte.</w:t>
      </w:r>
    </w:p>
    <w:p w14:paraId="648C0E5F" w14:textId="7E010CC1" w:rsidR="00C3295C" w:rsidRDefault="00C3295C" w:rsidP="00C3295C">
      <w:pPr>
        <w:pStyle w:val="SingleTxtG"/>
      </w:pPr>
      <w:r w:rsidRPr="00D86974">
        <w:t>81.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jugeait</w:t>
      </w:r>
      <w:r w:rsidR="00C75340">
        <w:t xml:space="preserve"> </w:t>
      </w:r>
      <w:r w:rsidRPr="00D86974">
        <w:t>nécessaire</w:t>
      </w:r>
      <w:r w:rsidR="00C75340">
        <w:t xml:space="preserve"> </w:t>
      </w:r>
      <w:r w:rsidRPr="00D86974">
        <w:t>d’adopter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temporaires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urgentes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publique,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coexistence</w:t>
      </w:r>
      <w:r w:rsidR="00C75340">
        <w:t xml:space="preserve"> </w:t>
      </w:r>
      <w:r w:rsidRPr="00D86974">
        <w:t>pacifique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d’enrayer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propagation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COVID-19.</w:t>
      </w:r>
      <w:r w:rsidR="00C75340">
        <w:t xml:space="preserve"> </w:t>
      </w:r>
      <w:r w:rsidRPr="00D86974">
        <w:t>Parmi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mesures,</w:t>
      </w:r>
      <w:r w:rsidR="00C75340">
        <w:t xml:space="preserve"> </w:t>
      </w:r>
      <w:r w:rsidRPr="00D86974">
        <w:t>certaines</w:t>
      </w:r>
      <w:r w:rsidR="00C75340">
        <w:t xml:space="preserve"> </w:t>
      </w:r>
      <w:r w:rsidRPr="00D86974">
        <w:t>pouvaient</w:t>
      </w:r>
      <w:r w:rsidR="00C75340">
        <w:t xml:space="preserve"> </w:t>
      </w:r>
      <w:r w:rsidRPr="00D86974">
        <w:t>nécessiter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déroger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certain</w:t>
      </w:r>
      <w:r w:rsidR="00C75340">
        <w:t xml:space="preserve"> </w:t>
      </w:r>
      <w:r w:rsidRPr="00D86974">
        <w:t>nombre</w:t>
      </w:r>
      <w:r w:rsidR="00C75340">
        <w:t xml:space="preserve"> </w:t>
      </w:r>
      <w:r w:rsidRPr="00D86974">
        <w:t>d’obligations</w:t>
      </w:r>
      <w:r w:rsidR="00C75340">
        <w:t xml:space="preserve"> </w:t>
      </w:r>
      <w:r w:rsidRPr="00D86974">
        <w:t>imposées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Pacte,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12.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susceptibles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dérogation</w:t>
      </w:r>
      <w:r w:rsidR="00C75340">
        <w:t xml:space="preserve"> </w:t>
      </w:r>
      <w:r w:rsidRPr="00D86974">
        <w:t>énoncés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6,</w:t>
      </w:r>
      <w:r w:rsidR="00C75340">
        <w:t xml:space="preserve"> </w:t>
      </w:r>
      <w:r w:rsidRPr="00D86974">
        <w:t>7,</w:t>
      </w:r>
      <w:r w:rsidR="00C75340">
        <w:t xml:space="preserve"> </w:t>
      </w:r>
      <w:r w:rsidRPr="00D86974">
        <w:t>8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2),</w:t>
      </w:r>
      <w:r w:rsidR="00C75340">
        <w:t xml:space="preserve"> </w:t>
      </w:r>
      <w:r w:rsidRPr="00D86974">
        <w:t>11,</w:t>
      </w:r>
      <w:r w:rsidR="00C75340">
        <w:t xml:space="preserve"> </w:t>
      </w:r>
      <w:r w:rsidRPr="00D86974">
        <w:t>15,</w:t>
      </w:r>
      <w:r w:rsidR="00C75340">
        <w:t xml:space="preserve"> </w:t>
      </w:r>
      <w:r w:rsidRPr="00D86974">
        <w:t>16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18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Pacte</w:t>
      </w:r>
      <w:r w:rsidR="00C75340">
        <w:t xml:space="preserve"> </w:t>
      </w:r>
      <w:r w:rsidRPr="00D86974">
        <w:t>n’ont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affectés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lesdites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temporaires</w:t>
      </w:r>
      <w:r w:rsidR="00C75340">
        <w:t xml:space="preserve"> </w:t>
      </w:r>
      <w:r w:rsidRPr="00D86974">
        <w:t>d’urgence.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notification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entrée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5</w:t>
      </w:r>
      <w:r w:rsidR="005F3A52">
        <w:t> </w:t>
      </w:r>
      <w:r w:rsidRPr="00D86974">
        <w:t>juin</w:t>
      </w:r>
      <w:r w:rsidR="00C75340">
        <w:t xml:space="preserve"> </w:t>
      </w:r>
      <w:r w:rsidRPr="00D86974">
        <w:t>2020.</w:t>
      </w:r>
    </w:p>
    <w:p w14:paraId="6C103ABC" w14:textId="50318809" w:rsidR="00C3295C" w:rsidRPr="00D86974" w:rsidRDefault="00C3295C" w:rsidP="00B77687">
      <w:pPr>
        <w:pStyle w:val="H1G"/>
        <w:ind w:right="2692"/>
      </w:pPr>
      <w:r w:rsidRPr="00D86974">
        <w:rPr>
          <w:bCs/>
        </w:rPr>
        <w:lastRenderedPageBreak/>
        <w:tab/>
        <w:t>B.</w:t>
      </w:r>
      <w:r w:rsidRPr="00D86974">
        <w:tab/>
      </w:r>
      <w:r w:rsidRPr="00D86974">
        <w:rPr>
          <w:bCs/>
        </w:rPr>
        <w:t>Cadre</w:t>
      </w:r>
      <w:r w:rsidR="00C75340">
        <w:rPr>
          <w:bCs/>
        </w:rPr>
        <w:t xml:space="preserve"> </w:t>
      </w:r>
      <w:r w:rsidRPr="00D86974">
        <w:rPr>
          <w:bCs/>
        </w:rPr>
        <w:t>juridique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protection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r w:rsidR="00C75340">
        <w:rPr>
          <w:bCs/>
        </w:rPr>
        <w:t xml:space="preserve"> </w:t>
      </w:r>
      <w:r w:rsidRPr="00D86974">
        <w:rPr>
          <w:bCs/>
        </w:rPr>
        <w:t>au</w:t>
      </w:r>
      <w:r w:rsidR="00C75340">
        <w:rPr>
          <w:bCs/>
        </w:rPr>
        <w:t xml:space="preserve"> </w:t>
      </w:r>
      <w:r w:rsidRPr="00D86974">
        <w:rPr>
          <w:bCs/>
        </w:rPr>
        <w:t>niveau</w:t>
      </w:r>
      <w:r w:rsidR="00C75340">
        <w:rPr>
          <w:bCs/>
        </w:rPr>
        <w:t xml:space="preserve"> </w:t>
      </w:r>
      <w:r w:rsidRPr="00D86974">
        <w:rPr>
          <w:bCs/>
        </w:rPr>
        <w:t>national</w:t>
      </w:r>
      <w:bookmarkStart w:id="9" w:name="_Toc89701537"/>
      <w:bookmarkEnd w:id="9"/>
    </w:p>
    <w:p w14:paraId="45AA3189" w14:textId="79A8401A" w:rsidR="00C3295C" w:rsidRPr="00D86974" w:rsidRDefault="00C3295C" w:rsidP="00C3295C">
      <w:pPr>
        <w:pStyle w:val="H23G"/>
      </w:pPr>
      <w:r w:rsidRPr="00D86974">
        <w:tab/>
      </w:r>
      <w:r w:rsidRPr="00D86974">
        <w:tab/>
        <w:t>La</w:t>
      </w:r>
      <w:r w:rsidR="00C75340">
        <w:t xml:space="preserve"> </w:t>
      </w:r>
      <w:r w:rsidRPr="00D86974">
        <w:rPr>
          <w:bCs/>
        </w:rPr>
        <w:t>Constitution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2017</w:t>
      </w:r>
    </w:p>
    <w:p w14:paraId="2D3B3CB2" w14:textId="7C88B980" w:rsidR="00C3295C" w:rsidRPr="00D86974" w:rsidRDefault="00C3295C" w:rsidP="00C3295C">
      <w:pPr>
        <w:pStyle w:val="SingleTxtG"/>
      </w:pPr>
      <w:bookmarkStart w:id="10" w:name="_Ref43993388"/>
      <w:r w:rsidRPr="00D86974">
        <w:t>82.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consacre,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précédentes,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fondamentaux</w:t>
      </w:r>
      <w:r w:rsidR="00C75340">
        <w:t xml:space="preserve"> </w:t>
      </w:r>
      <w:r w:rsidRPr="00D86974">
        <w:t>reconnus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universelle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traités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partie.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protège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population,</w:t>
      </w:r>
      <w:r w:rsidR="00C75340">
        <w:t xml:space="preserve"> </w:t>
      </w:r>
      <w:r w:rsidRPr="00D86974">
        <w:t>met</w:t>
      </w:r>
      <w:r w:rsidR="00C75340">
        <w:t xml:space="preserve"> </w:t>
      </w:r>
      <w:r w:rsidRPr="00D86974">
        <w:t>l’accent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devant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interdit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quelque</w:t>
      </w:r>
      <w:r w:rsidR="00C75340">
        <w:t xml:space="preserve"> </w:t>
      </w:r>
      <w:r w:rsidRPr="00D86974">
        <w:t>motif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soit.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</w:t>
      </w:r>
      <w:r w:rsidR="00C75340">
        <w:t xml:space="preserve"> </w:t>
      </w:r>
      <w:r w:rsidRPr="00D86974">
        <w:t>l’exercice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personne,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s’ils</w:t>
      </w:r>
      <w:r w:rsidR="00C75340">
        <w:t xml:space="preserve"> </w:t>
      </w:r>
      <w:r w:rsidRPr="00D86974">
        <w:t>n’y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explicitement</w:t>
      </w:r>
      <w:r w:rsidR="00C75340">
        <w:t xml:space="preserve"> </w:t>
      </w:r>
      <w:r w:rsidRPr="00D86974">
        <w:t>mentionnés,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condition</w:t>
      </w:r>
      <w:r w:rsidR="00C75340">
        <w:t xml:space="preserve"> </w:t>
      </w:r>
      <w:r w:rsidRPr="00D86974">
        <w:t>qu’ils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expressément</w:t>
      </w:r>
      <w:r w:rsidR="00C75340">
        <w:t xml:space="preserve"> </w:t>
      </w:r>
      <w:r w:rsidRPr="00D86974">
        <w:t>interdits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limités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qu’un</w:t>
      </w:r>
      <w:r w:rsidR="00C75340">
        <w:t xml:space="preserve"> </w:t>
      </w:r>
      <w:r w:rsidRPr="00D86974">
        <w:t>tel</w:t>
      </w:r>
      <w:r w:rsidR="00C75340">
        <w:t xml:space="preserve"> </w:t>
      </w:r>
      <w:r w:rsidRPr="00D86974">
        <w:t>exercice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porte</w:t>
      </w:r>
      <w:r w:rsidR="00C75340">
        <w:t xml:space="preserve"> </w:t>
      </w:r>
      <w:r w:rsidRPr="00D86974">
        <w:t>atteinte</w:t>
      </w:r>
      <w:r w:rsidR="00C75340">
        <w:t xml:space="preserve"> </w:t>
      </w:r>
      <w:r w:rsidRPr="00D86974">
        <w:t>ni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ni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l’ordre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ni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bonnes</w:t>
      </w:r>
      <w:r w:rsidR="00C75340">
        <w:t xml:space="preserve"> </w:t>
      </w:r>
      <w:r w:rsidRPr="00D86974">
        <w:t>mœurs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contraire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d’autrui.</w:t>
      </w:r>
      <w:bookmarkEnd w:id="10"/>
    </w:p>
    <w:p w14:paraId="54945008" w14:textId="72A4BAC0" w:rsidR="00C3295C" w:rsidRPr="00D86974" w:rsidRDefault="00C3295C" w:rsidP="00C3295C">
      <w:pPr>
        <w:pStyle w:val="SingleTxtG"/>
      </w:pPr>
      <w:r w:rsidRPr="00D86974">
        <w:t>83.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adopté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budgétisation</w:t>
      </w:r>
      <w:r w:rsidR="00C75340">
        <w:t xml:space="preserve"> </w:t>
      </w:r>
      <w:r w:rsidRPr="00D86974">
        <w:t>tenant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genre.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71</w:t>
      </w:r>
      <w:r w:rsidR="00C75340">
        <w:t xml:space="preserve"> </w:t>
      </w:r>
      <w:r w:rsidRPr="00D86974">
        <w:t>énonce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lors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l’établissement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budget,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tenu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prendre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nécessités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fonction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genre,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l’âge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personnes.</w:t>
      </w:r>
    </w:p>
    <w:p w14:paraId="58CF14CD" w14:textId="70F38030" w:rsidR="00C3295C" w:rsidRDefault="00C3295C" w:rsidP="00C3295C">
      <w:pPr>
        <w:pStyle w:val="SingleTxtG"/>
      </w:pPr>
      <w:bookmarkStart w:id="11" w:name="_Ref43993391"/>
      <w:r w:rsidRPr="00D86974">
        <w:t>84.</w:t>
      </w:r>
      <w:r w:rsidRPr="00D86974">
        <w:tab/>
        <w:t>Parmi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éléments</w:t>
      </w:r>
      <w:r w:rsidR="00C75340">
        <w:t xml:space="preserve"> </w:t>
      </w:r>
      <w:r w:rsidRPr="00D86974">
        <w:t>novateurs,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77</w:t>
      </w:r>
      <w:r w:rsidR="00C75340">
        <w:t xml:space="preserve"> </w:t>
      </w:r>
      <w:r w:rsidRPr="00D86974">
        <w:t>énonce</w:t>
      </w:r>
      <w:r w:rsidR="00C75340">
        <w:t xml:space="preserve"> </w:t>
      </w:r>
      <w:r w:rsidRPr="00D86974">
        <w:t>qu’avant</w:t>
      </w:r>
      <w:r w:rsidR="00C75340">
        <w:t xml:space="preserve"> </w:t>
      </w:r>
      <w:r w:rsidRPr="00D86974">
        <w:t>d’adopter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loi,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tenu</w:t>
      </w:r>
      <w:r w:rsidR="00C75340">
        <w:t xml:space="preserve"> </w:t>
      </w:r>
      <w:r w:rsidRPr="00D86974">
        <w:t>i</w:t>
      </w:r>
      <w:r w:rsidR="00B77687">
        <w:t>) </w:t>
      </w:r>
      <w:r w:rsidRPr="00D86974">
        <w:t>de</w:t>
      </w:r>
      <w:r w:rsidR="00C75340">
        <w:t xml:space="preserve"> </w:t>
      </w:r>
      <w:r w:rsidRPr="00D86974">
        <w:t>consulter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prenantes,</w:t>
      </w:r>
      <w:r w:rsidR="00C75340">
        <w:t xml:space="preserve"> </w:t>
      </w:r>
      <w:r w:rsidRPr="00D86974">
        <w:t>ii</w:t>
      </w:r>
      <w:r w:rsidR="00B77687">
        <w:t>) </w:t>
      </w:r>
      <w:r w:rsidRPr="00D86974">
        <w:t>de</w:t>
      </w:r>
      <w:r w:rsidR="00C75340">
        <w:t xml:space="preserve"> </w:t>
      </w:r>
      <w:r w:rsidRPr="00D86974">
        <w:t>procéder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analyse</w:t>
      </w:r>
      <w:r w:rsidR="00C75340">
        <w:t xml:space="preserve"> </w:t>
      </w:r>
      <w:r w:rsidRPr="00D86974">
        <w:t>approfondie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systématique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effets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pourraient</w:t>
      </w:r>
      <w:r w:rsidR="00C75340">
        <w:t xml:space="preserve"> </w:t>
      </w:r>
      <w:r w:rsidRPr="00D86974">
        <w:t>découler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iii</w:t>
      </w:r>
      <w:r w:rsidR="00B77687">
        <w:t>) </w:t>
      </w:r>
      <w:r w:rsidRPr="00D86974">
        <w:t>de</w:t>
      </w:r>
      <w:r w:rsidR="00C75340">
        <w:t xml:space="preserve"> </w:t>
      </w:r>
      <w:r w:rsidRPr="00D86974">
        <w:t>communiquer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résultats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l’analyse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d’en</w:t>
      </w:r>
      <w:r w:rsidR="00C75340">
        <w:t xml:space="preserve"> </w:t>
      </w:r>
      <w:r w:rsidRPr="00D86974">
        <w:t>tenir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étape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législatif.</w:t>
      </w:r>
      <w:r w:rsidR="00C75340">
        <w:t xml:space="preserve"> </w:t>
      </w:r>
      <w:r w:rsidRPr="00D86974">
        <w:t>Ainsi,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qu’une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entrée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procède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évaluation</w:t>
      </w:r>
      <w:r w:rsidR="00C75340">
        <w:t xml:space="preserve"> </w:t>
      </w:r>
      <w:r w:rsidRPr="00D86974">
        <w:t>complète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période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temps</w:t>
      </w:r>
      <w:r w:rsidR="00C75340">
        <w:t xml:space="preserve"> </w:t>
      </w:r>
      <w:r w:rsidRPr="00D86974">
        <w:t>spécifiée,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menant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cela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prenantes,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s’assurer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adaptées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appropriées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contextes</w:t>
      </w:r>
      <w:r w:rsidR="00C75340">
        <w:t xml:space="preserve"> </w:t>
      </w:r>
      <w:r w:rsidRPr="00D86974">
        <w:t>changeants.</w:t>
      </w:r>
      <w:bookmarkEnd w:id="11"/>
    </w:p>
    <w:p w14:paraId="1B5DEAC5" w14:textId="34B4E212" w:rsidR="00C3295C" w:rsidRPr="00D86974" w:rsidRDefault="00C3295C" w:rsidP="00C3295C">
      <w:pPr>
        <w:pStyle w:val="H23G"/>
        <w:rPr>
          <w:cs/>
        </w:rPr>
      </w:pPr>
      <w:r w:rsidRPr="00D86974">
        <w:tab/>
      </w:r>
      <w:r w:rsidRPr="00D86974">
        <w:tab/>
      </w:r>
      <w:r w:rsidRPr="00D86974">
        <w:rPr>
          <w:bCs/>
        </w:rPr>
        <w:t>Stratégie</w:t>
      </w:r>
      <w:r w:rsidR="00C75340">
        <w:rPr>
          <w:bCs/>
        </w:rPr>
        <w:t xml:space="preserve"> </w:t>
      </w:r>
      <w:r w:rsidRPr="00D86974">
        <w:rPr>
          <w:bCs/>
        </w:rPr>
        <w:t>nationale</w:t>
      </w:r>
    </w:p>
    <w:p w14:paraId="7D04496D" w14:textId="2C23009E" w:rsidR="00C3295C" w:rsidRPr="00D86974" w:rsidRDefault="00C3295C" w:rsidP="00C3295C">
      <w:pPr>
        <w:pStyle w:val="SingleTxtG"/>
      </w:pPr>
      <w:bookmarkStart w:id="12" w:name="_Ref45066033"/>
      <w:bookmarkStart w:id="13" w:name="_Ref51770082"/>
      <w:r w:rsidRPr="00D86974">
        <w:t>85.</w:t>
      </w:r>
      <w:r w:rsidRPr="00D86974">
        <w:tab/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="00C75340">
        <w:t xml:space="preserve"> </w:t>
      </w:r>
      <w:r w:rsidRPr="00D86974">
        <w:t>(2018-2037)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long</w:t>
      </w:r>
      <w:r w:rsidR="00C75340">
        <w:t xml:space="preserve"> </w:t>
      </w:r>
      <w:r w:rsidRPr="00D86974">
        <w:t>terme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élaborée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65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réaliser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vision,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C75340">
        <w:t xml:space="preserve"> </w:t>
      </w:r>
      <w:r w:rsidRPr="00D86974">
        <w:t>devenir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développé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sécurité,</w:t>
      </w:r>
      <w:r w:rsidR="00C75340">
        <w:t xml:space="preserve"> </w:t>
      </w:r>
      <w:r w:rsidRPr="00D86974">
        <w:t>prospérité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durabilité,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l’économie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suffisance.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bonheur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bien-être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peuple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constituent</w:t>
      </w:r>
      <w:r w:rsidR="00C75340">
        <w:t xml:space="preserve"> </w:t>
      </w:r>
      <w:r w:rsidRPr="00D86974">
        <w:t>l’objectif</w:t>
      </w:r>
      <w:r w:rsidR="00C75340">
        <w:t xml:space="preserve"> </w:t>
      </w:r>
      <w:r w:rsidRPr="00D86974">
        <w:t>principal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ultime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nationale.</w:t>
      </w:r>
      <w:bookmarkEnd w:id="12"/>
      <w:bookmarkEnd w:id="13"/>
    </w:p>
    <w:p w14:paraId="2881CDD7" w14:textId="16EE6C62" w:rsidR="00C3295C" w:rsidRPr="00D86974" w:rsidRDefault="00C3295C" w:rsidP="00C3295C">
      <w:pPr>
        <w:pStyle w:val="SingleTxtG"/>
      </w:pPr>
      <w:bookmarkStart w:id="14" w:name="_Ref45066182"/>
      <w:r w:rsidRPr="00D86974">
        <w:t>86.</w:t>
      </w:r>
      <w:r w:rsidRPr="00D86974">
        <w:tab/>
        <w:t>L’évaluation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réussite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s’effectuera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six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d’indicateurs</w:t>
      </w:r>
      <w:r w:rsidR="000E46EC">
        <w:t> :</w:t>
      </w:r>
      <w:r w:rsidR="00C75340">
        <w:t xml:space="preserve"> </w:t>
      </w:r>
      <w:r w:rsidRPr="00D86974">
        <w:t>1</w:t>
      </w:r>
      <w:r w:rsidR="00B77687">
        <w:t>) </w:t>
      </w:r>
      <w:r w:rsidRPr="00D86974">
        <w:t>le</w:t>
      </w:r>
      <w:r w:rsidR="00C75340">
        <w:t xml:space="preserve"> </w:t>
      </w:r>
      <w:r w:rsidRPr="00D86974">
        <w:t>bien-être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thaïlandaises</w:t>
      </w:r>
      <w:r w:rsidR="002E722F">
        <w:t> ;</w:t>
      </w:r>
      <w:r w:rsidR="00C75340">
        <w:t xml:space="preserve"> </w:t>
      </w:r>
      <w:r w:rsidRPr="00D86974">
        <w:t>2</w:t>
      </w:r>
      <w:r w:rsidR="00B77687">
        <w:t>) </w:t>
      </w:r>
      <w:r w:rsidRPr="00D86974">
        <w:t>la</w:t>
      </w:r>
      <w:r w:rsidR="00C75340">
        <w:t xml:space="preserve"> </w:t>
      </w:r>
      <w:r w:rsidRPr="00D86974">
        <w:t>compétitivité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répartition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revenus</w:t>
      </w:r>
      <w:r w:rsidR="002E722F">
        <w:t> ;</w:t>
      </w:r>
      <w:r w:rsidR="00C75340">
        <w:t xml:space="preserve"> </w:t>
      </w:r>
      <w:r w:rsidRPr="00D86974">
        <w:t>3</w:t>
      </w:r>
      <w:r w:rsidR="00B77687">
        <w:t>) 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capital</w:t>
      </w:r>
      <w:r w:rsidR="00C75340">
        <w:t xml:space="preserve"> </w:t>
      </w:r>
      <w:r w:rsidRPr="00D86974">
        <w:t>humain</w:t>
      </w:r>
      <w:r w:rsidR="002E722F">
        <w:t> ;</w:t>
      </w:r>
      <w:r w:rsidR="00C75340">
        <w:t xml:space="preserve"> </w:t>
      </w:r>
      <w:r w:rsidRPr="00D86974">
        <w:t>4</w:t>
      </w:r>
      <w:r w:rsidR="00B77687">
        <w:t>) </w:t>
      </w:r>
      <w:r w:rsidRPr="00D86974">
        <w:t>l’égalité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l’équité</w:t>
      </w:r>
      <w:r w:rsidR="00C75340">
        <w:t xml:space="preserve"> </w:t>
      </w:r>
      <w:r w:rsidRPr="00D86974">
        <w:t>sociales</w:t>
      </w:r>
      <w:r w:rsidR="002E722F">
        <w:t> ;</w:t>
      </w:r>
      <w:r w:rsidR="00C75340">
        <w:t xml:space="preserve"> </w:t>
      </w:r>
      <w:r w:rsidRPr="00D86974">
        <w:t>5</w:t>
      </w:r>
      <w:r w:rsidR="00B77687">
        <w:t>) </w:t>
      </w:r>
      <w:r w:rsidRPr="00D86974">
        <w:t>la</w:t>
      </w:r>
      <w:r w:rsidR="00C75340">
        <w:t xml:space="preserve"> </w:t>
      </w:r>
      <w:r w:rsidRPr="00D86974">
        <w:t>durabilité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biodiversité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l’environnement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ressources</w:t>
      </w:r>
      <w:r w:rsidR="00C75340">
        <w:t xml:space="preserve"> </w:t>
      </w:r>
      <w:r w:rsidRPr="00D86974">
        <w:t>naturelles</w:t>
      </w:r>
      <w:r w:rsidR="002E722F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6</w:t>
      </w:r>
      <w:r w:rsidR="00B77687">
        <w:t>) </w:t>
      </w:r>
      <w:r w:rsidRPr="00D86974">
        <w:t>l’efficacité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l’amélioration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l’accès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publics.</w:t>
      </w:r>
      <w:bookmarkEnd w:id="14"/>
    </w:p>
    <w:p w14:paraId="16C272AC" w14:textId="2FCF6C24" w:rsidR="00C3295C" w:rsidRPr="00D86974" w:rsidRDefault="00C3295C" w:rsidP="00C3295C">
      <w:pPr>
        <w:pStyle w:val="SingleTxtG"/>
      </w:pPr>
      <w:bookmarkStart w:id="15" w:name="_Ref45066037"/>
      <w:r w:rsidRPr="00D86974">
        <w:t>87.</w:t>
      </w:r>
      <w:r w:rsidRPr="00D86974">
        <w:tab/>
        <w:t>Lors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période</w:t>
      </w:r>
      <w:r w:rsidR="00C75340">
        <w:t xml:space="preserve"> </w:t>
      </w:r>
      <w:r w:rsidRPr="00D86974">
        <w:t>d’application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sera</w:t>
      </w:r>
      <w:r w:rsidR="00C75340">
        <w:t xml:space="preserve"> </w:t>
      </w:r>
      <w:r w:rsidRPr="00D86974">
        <w:t>axé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réalisation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équilibre</w:t>
      </w:r>
      <w:r w:rsidR="00C75340">
        <w:t xml:space="preserve"> </w:t>
      </w:r>
      <w:r w:rsidRPr="00D86974">
        <w:t>approprié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social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intendance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l’environnement.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six</w:t>
      </w:r>
      <w:r w:rsidR="00C75340">
        <w:t xml:space="preserve"> </w:t>
      </w:r>
      <w:r w:rsidRPr="00D86974">
        <w:t>stratégies</w:t>
      </w:r>
      <w:r w:rsidR="00B77687">
        <w:t xml:space="preserve"> clef</w:t>
      </w:r>
      <w:r w:rsidRPr="00D86974">
        <w:t>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1)</w:t>
      </w:r>
      <w:r w:rsidR="00B77687">
        <w:t> 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2)</w:t>
      </w:r>
      <w:r w:rsidR="00B77687">
        <w:t> </w:t>
      </w:r>
      <w:r w:rsidRPr="00D86974">
        <w:t>l’amélioration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compétitivité</w:t>
      </w:r>
      <w:r w:rsidR="00C75340">
        <w:t xml:space="preserve"> </w:t>
      </w:r>
      <w:r w:rsidRPr="00D86974">
        <w:t>nationale,</w:t>
      </w:r>
      <w:r w:rsidR="00C75340">
        <w:t xml:space="preserve"> </w:t>
      </w:r>
      <w:r w:rsidRPr="00D86974">
        <w:t>3)</w:t>
      </w:r>
      <w:r w:rsidR="00B77687">
        <w:t> 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renforcement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capital</w:t>
      </w:r>
      <w:r w:rsidR="00C75340">
        <w:t xml:space="preserve"> </w:t>
      </w:r>
      <w:r w:rsidRPr="00D86974">
        <w:t>humain,</w:t>
      </w:r>
      <w:r w:rsidR="00C75340">
        <w:t xml:space="preserve"> </w:t>
      </w:r>
      <w:r w:rsidRPr="00D86974">
        <w:t>4)</w:t>
      </w:r>
      <w:r w:rsidR="00B77687">
        <w:t> </w:t>
      </w:r>
      <w:r w:rsidRPr="00D86974">
        <w:t>la</w:t>
      </w:r>
      <w:r w:rsidR="00C75340">
        <w:t xml:space="preserve"> </w:t>
      </w:r>
      <w:r w:rsidRPr="00D86974">
        <w:t>cohésion</w:t>
      </w:r>
      <w:r w:rsidR="00C75340">
        <w:t xml:space="preserve"> </w:t>
      </w:r>
      <w:r w:rsidRPr="00D86974">
        <w:t>sociale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juste,</w:t>
      </w:r>
      <w:r w:rsidR="00C75340">
        <w:t xml:space="preserve"> </w:t>
      </w:r>
      <w:r w:rsidRPr="00D86974">
        <w:t>5)</w:t>
      </w:r>
      <w:r w:rsidR="00B77687">
        <w:t> 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écologiques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6)</w:t>
      </w:r>
      <w:r w:rsidR="00B77687">
        <w:t> </w:t>
      </w:r>
      <w:r w:rsidRPr="00D86974">
        <w:t>le</w:t>
      </w:r>
      <w:r w:rsidR="00C75340">
        <w:t xml:space="preserve"> </w:t>
      </w:r>
      <w:r w:rsidRPr="00D86974">
        <w:t>rééquilibrage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public.</w:t>
      </w:r>
      <w:bookmarkEnd w:id="15"/>
    </w:p>
    <w:p w14:paraId="3CB5E17D" w14:textId="286E3BF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Plans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réforme</w:t>
      </w:r>
      <w:r w:rsidR="00C75340">
        <w:rPr>
          <w:bCs/>
        </w:rPr>
        <w:t xml:space="preserve"> </w:t>
      </w:r>
      <w:r w:rsidRPr="00D86974">
        <w:rPr>
          <w:bCs/>
        </w:rPr>
        <w:t>nationaux</w:t>
      </w:r>
    </w:p>
    <w:p w14:paraId="28984A4F" w14:textId="075C3B1B" w:rsidR="00C3295C" w:rsidRDefault="00C3295C" w:rsidP="00C3295C">
      <w:pPr>
        <w:pStyle w:val="SingleTxtG"/>
      </w:pPr>
      <w:r w:rsidRPr="00D86974">
        <w:t>88.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entraîné</w:t>
      </w:r>
      <w:r w:rsidR="00C75340">
        <w:t xml:space="preserve"> </w:t>
      </w:r>
      <w:r w:rsidRPr="00D86974">
        <w:t>l’adoption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réforme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11</w:t>
      </w:r>
      <w:r w:rsidR="00B82177">
        <w:t> </w:t>
      </w:r>
      <w:r w:rsidRPr="00D86974">
        <w:t>domaines</w:t>
      </w:r>
      <w:r w:rsidR="00C75340">
        <w:t xml:space="preserve"> </w:t>
      </w:r>
      <w:r w:rsidRPr="00D86974">
        <w:t>suivants</w:t>
      </w:r>
      <w:r w:rsidR="000E46EC">
        <w:t> :</w:t>
      </w:r>
      <w:r w:rsidR="00C75340">
        <w:t xml:space="preserve"> </w:t>
      </w:r>
      <w:r w:rsidRPr="00D86974">
        <w:t>politique,</w:t>
      </w:r>
      <w:r w:rsidR="00C75340">
        <w:t xml:space="preserve"> </w:t>
      </w:r>
      <w:r w:rsidRPr="00D86974">
        <w:t>administration</w:t>
      </w:r>
      <w:r w:rsidR="00C75340">
        <w:t xml:space="preserve"> </w:t>
      </w:r>
      <w:r w:rsidRPr="00D86974">
        <w:t>publique,</w:t>
      </w:r>
      <w:r w:rsidR="00C75340">
        <w:t xml:space="preserve"> </w:t>
      </w:r>
      <w:r w:rsidRPr="00D86974">
        <w:t>droit,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économie,</w:t>
      </w:r>
      <w:r w:rsidR="00C75340">
        <w:t xml:space="preserve"> </w:t>
      </w:r>
      <w:r w:rsidRPr="00D86974">
        <w:t>ressources</w:t>
      </w:r>
      <w:r w:rsidR="00C75340">
        <w:t xml:space="preserve"> </w:t>
      </w:r>
      <w:r w:rsidRPr="00D86974">
        <w:t>naturelles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environnement,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publique,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technologies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l’information,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sociales,</w:t>
      </w:r>
      <w:r w:rsidR="00C75340">
        <w:t xml:space="preserve"> </w:t>
      </w:r>
      <w:r w:rsidRPr="00D86974">
        <w:t>énergie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lutte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corruption.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fournissent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lignes</w:t>
      </w:r>
      <w:r w:rsidR="00C75340">
        <w:t xml:space="preserve"> </w:t>
      </w:r>
      <w:r w:rsidRPr="00D86974">
        <w:t>directrices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suivre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progresser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novatrice</w:t>
      </w:r>
      <w:r w:rsidR="00C75340">
        <w:t xml:space="preserve"> </w:t>
      </w:r>
      <w:r w:rsidRPr="00D86974">
        <w:t>«</w:t>
      </w:r>
      <w:r w:rsidR="00B77687">
        <w:t> </w:t>
      </w:r>
      <w:proofErr w:type="spellStart"/>
      <w:r w:rsidRPr="00D86974">
        <w:t>Thailand</w:t>
      </w:r>
      <w:proofErr w:type="spellEnd"/>
      <w:r w:rsidR="00C75340">
        <w:t xml:space="preserve"> </w:t>
      </w:r>
      <w:r w:rsidRPr="00D86974">
        <w:t>4.0</w:t>
      </w:r>
      <w:r w:rsidR="000E46EC">
        <w:t> »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l’horizon</w:t>
      </w:r>
      <w:r w:rsidR="00C75340">
        <w:t xml:space="preserve"> </w:t>
      </w:r>
      <w:r w:rsidRPr="00D86974">
        <w:t>2030.</w:t>
      </w:r>
      <w:r w:rsidR="00C75340">
        <w:t xml:space="preserve"> </w:t>
      </w:r>
      <w:r w:rsidRPr="00D86974">
        <w:t>Ils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juridiquement</w:t>
      </w:r>
      <w:r w:rsidR="00C75340">
        <w:t xml:space="preserve"> </w:t>
      </w:r>
      <w:r w:rsidRPr="00D86974">
        <w:t>contraignants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tenus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exécuter.</w:t>
      </w:r>
    </w:p>
    <w:p w14:paraId="756780A1" w14:textId="6C67AC61" w:rsidR="00C3295C" w:rsidRPr="00D86974" w:rsidRDefault="00C3295C" w:rsidP="00C3295C">
      <w:pPr>
        <w:pStyle w:val="SingleTxtG"/>
      </w:pPr>
      <w:r w:rsidRPr="00D86974">
        <w:lastRenderedPageBreak/>
        <w:t>89.</w:t>
      </w:r>
      <w:r w:rsidRPr="00D86974">
        <w:tab/>
        <w:t>Les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réforme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abordé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large</w:t>
      </w:r>
      <w:r w:rsidR="00C75340">
        <w:t xml:space="preserve"> </w:t>
      </w:r>
      <w:r w:rsidRPr="00D86974">
        <w:t>éventail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souci</w:t>
      </w:r>
      <w:r w:rsidR="00C75340">
        <w:t xml:space="preserve"> </w:t>
      </w:r>
      <w:r w:rsidRPr="00D86974">
        <w:t>d’inclusion</w:t>
      </w:r>
      <w:r w:rsidR="00C75340">
        <w:t xml:space="preserve"> </w:t>
      </w:r>
      <w:r w:rsidRPr="00D86974">
        <w:t>sociale,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réforme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s’attache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lever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obstacles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font</w:t>
      </w:r>
      <w:r w:rsidR="00C75340">
        <w:t xml:space="preserve"> </w:t>
      </w:r>
      <w:r w:rsidRPr="00D86974">
        <w:t>face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défavorisés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égards.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visés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handicapées,</w:t>
      </w:r>
      <w:r w:rsidR="00C75340">
        <w:t xml:space="preserve"> </w:t>
      </w:r>
      <w:r w:rsidRPr="00D86974">
        <w:t>âgées,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faible</w:t>
      </w:r>
      <w:r w:rsidR="00C75340">
        <w:t xml:space="preserve"> </w:t>
      </w:r>
      <w:r w:rsidRPr="00D86974">
        <w:t>revenu,</w:t>
      </w:r>
      <w:r w:rsidR="00C75340">
        <w:t xml:space="preserve"> </w:t>
      </w:r>
      <w:r w:rsidRPr="00D86974">
        <w:t>frappées</w:t>
      </w:r>
      <w:r w:rsidR="00C75340">
        <w:t xml:space="preserve"> </w:t>
      </w:r>
      <w:r w:rsidRPr="00D86974">
        <w:t>d’incapacité,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statut</w:t>
      </w:r>
      <w:r w:rsidR="00C75340">
        <w:t xml:space="preserve"> </w:t>
      </w:r>
      <w:r w:rsidRPr="00D86974">
        <w:t>légal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regard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civil,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anciens</w:t>
      </w:r>
      <w:r w:rsidR="00C75340">
        <w:t xml:space="preserve"> </w:t>
      </w:r>
      <w:r w:rsidRPr="00D86974">
        <w:t>prisonniers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vivant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VIH/sida.</w:t>
      </w:r>
    </w:p>
    <w:p w14:paraId="1EBE88B7" w14:textId="5B019A0D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Plan</w:t>
      </w:r>
      <w:r w:rsidR="00C75340">
        <w:rPr>
          <w:bCs/>
        </w:rPr>
        <w:t xml:space="preserve"> </w:t>
      </w:r>
      <w:r w:rsidRPr="00D86974">
        <w:rPr>
          <w:bCs/>
        </w:rPr>
        <w:t>national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développement</w:t>
      </w:r>
      <w:r w:rsidR="00C75340">
        <w:rPr>
          <w:bCs/>
        </w:rPr>
        <w:t xml:space="preserve"> </w:t>
      </w:r>
      <w:r w:rsidRPr="00D86974">
        <w:rPr>
          <w:bCs/>
        </w:rPr>
        <w:t>économique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social</w:t>
      </w:r>
    </w:p>
    <w:p w14:paraId="0E8FA16F" w14:textId="07444FCE" w:rsidR="00C3295C" w:rsidRPr="00D86974" w:rsidRDefault="00C3295C" w:rsidP="00C3295C">
      <w:pPr>
        <w:pStyle w:val="SingleTxtG"/>
      </w:pPr>
      <w:r w:rsidRPr="00D86974">
        <w:t>90.</w:t>
      </w:r>
      <w:r w:rsidRPr="00D86974">
        <w:tab/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s’appuie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série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quinquennaux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adopté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1961.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actuel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le</w:t>
      </w:r>
      <w:r w:rsidR="00C75340">
        <w:t xml:space="preserve"> </w:t>
      </w:r>
      <w:r w:rsidR="00DB2064">
        <w:t>douzième 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</w:t>
      </w:r>
      <w:r w:rsidR="00C75340">
        <w:t xml:space="preserve"> </w:t>
      </w:r>
      <w:r w:rsidRPr="00D86974">
        <w:t>(2017-2021).</w:t>
      </w:r>
    </w:p>
    <w:p w14:paraId="3730E7B5" w14:textId="75810AFF" w:rsidR="00C3295C" w:rsidRPr="00D86974" w:rsidRDefault="00C3295C" w:rsidP="00217C33">
      <w:pPr>
        <w:pStyle w:val="SingleTxtG"/>
        <w:keepNext/>
      </w:pPr>
      <w:r w:rsidRPr="00D86974">
        <w:t>91.</w:t>
      </w:r>
      <w:r w:rsidRPr="00D86974">
        <w:tab/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lié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="00C75340">
        <w:t xml:space="preserve"> </w:t>
      </w:r>
      <w:r w:rsidRPr="00D86974">
        <w:t>(voir</w:t>
      </w:r>
      <w:r w:rsidR="00C75340">
        <w:t xml:space="preserve"> par. </w:t>
      </w:r>
      <w:r w:rsidRPr="00D86974">
        <w:t>85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87).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cinq</w:t>
      </w:r>
      <w:r w:rsidR="00C75340">
        <w:t xml:space="preserve"> </w:t>
      </w:r>
      <w:r w:rsidRPr="00D86974">
        <w:t>prochaines</w:t>
      </w:r>
      <w:r w:rsidR="00C75340">
        <w:t xml:space="preserve"> </w:t>
      </w:r>
      <w:r w:rsidRPr="00D86974">
        <w:t>années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axés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suivants</w:t>
      </w:r>
      <w:r w:rsidR="000E46EC">
        <w:t> :</w:t>
      </w:r>
    </w:p>
    <w:p w14:paraId="6A35D00F" w14:textId="727D22BE" w:rsidR="00C3295C" w:rsidRPr="00D86974" w:rsidRDefault="00C3295C" w:rsidP="00C3295C">
      <w:pPr>
        <w:pStyle w:val="SingleTxtG"/>
        <w:ind w:left="2268" w:hanging="567"/>
      </w:pPr>
      <w:r w:rsidRPr="00D86974">
        <w:t>1.</w:t>
      </w:r>
      <w:r w:rsidRPr="00D86974">
        <w:tab/>
        <w:t>Le</w:t>
      </w:r>
      <w:r w:rsidR="00C75340">
        <w:t xml:space="preserve"> </w:t>
      </w:r>
      <w:r w:rsidR="00DB2064">
        <w:t>douzième Plan</w:t>
      </w:r>
      <w:r w:rsidR="00C75340">
        <w:t xml:space="preserve"> </w:t>
      </w:r>
      <w:r w:rsidRPr="00D86974">
        <w:t>repose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l’économie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suffisance,</w:t>
      </w:r>
      <w:r w:rsidR="00C75340">
        <w:t xml:space="preserve"> </w:t>
      </w:r>
      <w:r w:rsidRPr="00D86974">
        <w:t>fondement</w:t>
      </w:r>
      <w:r w:rsidR="00C75340">
        <w:t xml:space="preserve"> </w:t>
      </w:r>
      <w:r w:rsidRPr="00D86974">
        <w:t>essentiel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le</w:t>
      </w:r>
      <w:r w:rsidR="00C75340">
        <w:t xml:space="preserve"> </w:t>
      </w:r>
      <w:r w:rsidR="00DB2064">
        <w:t>n</w:t>
      </w:r>
      <w:r w:rsidRPr="00D86974">
        <w:t>euvième</w:t>
      </w:r>
      <w:r w:rsidR="00C75340">
        <w:t xml:space="preserve"> </w:t>
      </w:r>
      <w:r w:rsidR="00DB2064" w:rsidRPr="00D86974">
        <w:t>Plan</w:t>
      </w:r>
      <w:r w:rsidRPr="00D86974">
        <w:t>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équilibré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appliquant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modération,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raisonnabilité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résilience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gestion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risques</w:t>
      </w:r>
      <w:r w:rsidR="000E46EC">
        <w:t> ;</w:t>
      </w:r>
    </w:p>
    <w:p w14:paraId="2D7BD054" w14:textId="5D1055E6" w:rsidR="00C3295C" w:rsidRPr="00D86974" w:rsidRDefault="00C3295C" w:rsidP="00C3295C">
      <w:pPr>
        <w:pStyle w:val="SingleTxtG"/>
        <w:ind w:left="2268" w:hanging="567"/>
      </w:pPr>
      <w:r w:rsidRPr="00D86974">
        <w:t>2.</w:t>
      </w:r>
      <w:r w:rsidRPr="00D86974">
        <w:tab/>
        <w:t>Le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développement</w:t>
      </w:r>
      <w:r w:rsidR="00C75340">
        <w:t xml:space="preserve"> </w:t>
      </w:r>
      <w:r w:rsidRPr="00D86974">
        <w:t>centré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personne</w:t>
      </w:r>
      <w:r w:rsidR="000E46EC">
        <w:t> »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mettre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durables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Thaïlandais.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citoyens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qualité,</w:t>
      </w:r>
      <w:r w:rsidR="00C75340">
        <w:t xml:space="preserve"> </w:t>
      </w:r>
      <w:r w:rsidRPr="00D86974">
        <w:t>disciplinés,</w:t>
      </w:r>
      <w:r w:rsidR="00C75340">
        <w:t xml:space="preserve"> </w:t>
      </w:r>
      <w:r w:rsidRPr="00D86974">
        <w:t>réceptifs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l’apprentissage,</w:t>
      </w:r>
      <w:r w:rsidR="00C75340">
        <w:t xml:space="preserve"> </w:t>
      </w:r>
      <w:r w:rsidRPr="00D86974">
        <w:t>instruits,</w:t>
      </w:r>
      <w:r w:rsidR="00C75340">
        <w:t xml:space="preserve"> </w:t>
      </w:r>
      <w:r w:rsidRPr="00D86974">
        <w:t>habiles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créatifs.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souhaitable</w:t>
      </w:r>
      <w:r w:rsidR="00C75340">
        <w:t xml:space="preserve"> </w:t>
      </w:r>
      <w:r w:rsidRPr="00D86974">
        <w:t>qu’ils</w:t>
      </w:r>
      <w:r w:rsidR="00C75340">
        <w:t xml:space="preserve"> </w:t>
      </w:r>
      <w:r w:rsidRPr="00D86974">
        <w:t>adoptent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attitude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fassent</w:t>
      </w:r>
      <w:r w:rsidR="00C75340">
        <w:t xml:space="preserve"> </w:t>
      </w:r>
      <w:r w:rsidRPr="00D86974">
        <w:t>preuve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responsabilité</w:t>
      </w:r>
      <w:r w:rsidR="00C75340">
        <w:t xml:space="preserve"> </w:t>
      </w:r>
      <w:r w:rsidRPr="00D86974">
        <w:t>sociale,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d’éthique.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âges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formées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bien</w:t>
      </w:r>
      <w:r w:rsidR="00C75340">
        <w:t xml:space="preserve"> </w:t>
      </w:r>
      <w:r w:rsidRPr="00D86974">
        <w:t>préparées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vivre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vieillissante.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capables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vivre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environnement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d’en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usage</w:t>
      </w:r>
      <w:r w:rsidR="00C75340">
        <w:t xml:space="preserve"> </w:t>
      </w:r>
      <w:r w:rsidRPr="00D86974">
        <w:t>harmonieux,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préserver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restaurer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ressources</w:t>
      </w:r>
      <w:r w:rsidR="00C75340">
        <w:t xml:space="preserve"> </w:t>
      </w:r>
      <w:r w:rsidRPr="00D86974">
        <w:t>naturelles</w:t>
      </w:r>
      <w:r w:rsidR="000E46EC">
        <w:t> ;</w:t>
      </w:r>
    </w:p>
    <w:p w14:paraId="01F3EA2E" w14:textId="3B8058A2" w:rsidR="00C3295C" w:rsidRPr="00D86974" w:rsidRDefault="00C3295C" w:rsidP="00C3295C">
      <w:pPr>
        <w:pStyle w:val="SingleTxtG"/>
        <w:ind w:left="2268" w:hanging="567"/>
      </w:pPr>
      <w:r w:rsidRPr="00D86974">
        <w:t>3.</w:t>
      </w:r>
      <w:r w:rsidRPr="00D86974">
        <w:tab/>
        <w:t>Selon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Pr="00D86974">
        <w:t>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développé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règnent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prospérité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durabilité,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l’économie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suffisance.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vision</w:t>
      </w:r>
      <w:r w:rsidR="00C75340">
        <w:t xml:space="preserve"> </w:t>
      </w:r>
      <w:r w:rsidRPr="00D86974">
        <w:t>constitue,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devise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sécurité,</w:t>
      </w:r>
      <w:r w:rsidR="00C75340">
        <w:t xml:space="preserve"> </w:t>
      </w:r>
      <w:r w:rsidRPr="00D86974">
        <w:t>prospérité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durabilité</w:t>
      </w:r>
      <w:r w:rsidR="000E46EC">
        <w:t> »</w:t>
      </w:r>
      <w:r w:rsidRPr="00D86974">
        <w:t>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sous-tend</w:t>
      </w:r>
      <w:r w:rsidR="00C75340">
        <w:t xml:space="preserve"> </w:t>
      </w:r>
      <w:r w:rsidRPr="00D86974">
        <w:t>le</w:t>
      </w:r>
      <w:r w:rsidR="00C75340">
        <w:t xml:space="preserve"> </w:t>
      </w:r>
      <w:r w:rsidR="00DB2064">
        <w:t>douzième Plan</w:t>
      </w:r>
      <w:r w:rsidR="000E46EC">
        <w:t> ;</w:t>
      </w:r>
    </w:p>
    <w:p w14:paraId="056B9B04" w14:textId="201A4F76" w:rsidR="00C3295C" w:rsidRDefault="00C3295C" w:rsidP="00C3295C">
      <w:pPr>
        <w:pStyle w:val="SingleTxtG"/>
        <w:ind w:left="2268" w:hanging="567"/>
      </w:pPr>
      <w:r w:rsidRPr="00D86974">
        <w:t>4.</w:t>
      </w:r>
      <w:r w:rsidRPr="00D86974">
        <w:tab/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2036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servent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référence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fixer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buts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secondaires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cinq</w:t>
      </w:r>
      <w:r w:rsidR="00C75340">
        <w:t xml:space="preserve"> </w:t>
      </w:r>
      <w:r w:rsidRPr="00D86974">
        <w:t>premières</w:t>
      </w:r>
      <w:r w:rsidR="00C75340">
        <w:t xml:space="preserve"> </w:t>
      </w:r>
      <w:r w:rsidRPr="00D86974">
        <w:t>années.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objectif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indicateur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conforme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l’horizon</w:t>
      </w:r>
      <w:r w:rsidR="00C75340">
        <w:t xml:space="preserve"> </w:t>
      </w:r>
      <w:r w:rsidRPr="00D86974">
        <w:t>2030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fixé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évaluation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problèmes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modèles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tendances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production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0E46EC">
        <w:t> ;</w:t>
      </w:r>
    </w:p>
    <w:p w14:paraId="0C2693B1" w14:textId="1B494E2A" w:rsidR="00C3295C" w:rsidRDefault="00C3295C" w:rsidP="00C3295C">
      <w:pPr>
        <w:pStyle w:val="SingleTxtG"/>
        <w:ind w:left="2268" w:hanging="567"/>
      </w:pPr>
      <w:r w:rsidRPr="00D86974">
        <w:t>5.</w:t>
      </w:r>
      <w:r w:rsidRPr="00D86974">
        <w:tab/>
        <w:t>Le</w:t>
      </w:r>
      <w:r w:rsidR="00C75340">
        <w:t xml:space="preserve"> </w:t>
      </w:r>
      <w:r w:rsidR="00DB2064">
        <w:t>douzième Plan</w:t>
      </w:r>
      <w:r w:rsidR="00C75340">
        <w:t xml:space="preserve"> </w:t>
      </w:r>
      <w:r w:rsidRPr="00D86974">
        <w:t>promeut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contribue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réduction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inégalités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favorise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productivité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élevé,</w:t>
      </w:r>
      <w:r w:rsidR="00C75340">
        <w:t xml:space="preserve"> </w:t>
      </w:r>
      <w:r w:rsidRPr="00D86974">
        <w:t>fondé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l’expérience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l’innovation</w:t>
      </w:r>
      <w:r w:rsidR="00C75340">
        <w:t xml:space="preserve"> </w:t>
      </w:r>
      <w:r w:rsidRPr="00D86974">
        <w:t>locales.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met</w:t>
      </w:r>
      <w:r w:rsidR="00C75340">
        <w:t xml:space="preserve"> </w:t>
      </w:r>
      <w:r w:rsidRPr="00D86974">
        <w:t>l’accent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croissance</w:t>
      </w:r>
      <w:r w:rsidR="00C75340">
        <w:t xml:space="preserve"> </w:t>
      </w:r>
      <w:r w:rsidRPr="00D86974">
        <w:t>inclusive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élargir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groupe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classe</w:t>
      </w:r>
      <w:r w:rsidR="00C75340">
        <w:t xml:space="preserve"> </w:t>
      </w:r>
      <w:r w:rsidRPr="00D86974">
        <w:t>moyenne.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objectif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opportunités</w:t>
      </w:r>
      <w:r w:rsidR="00C75340">
        <w:t xml:space="preserve"> </w:t>
      </w:r>
      <w:r w:rsidRPr="00D86974">
        <w:t>économiques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revenus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40</w:t>
      </w:r>
      <w:r w:rsidR="00C75340">
        <w:t xml:space="preserve"> %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revenus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bas</w:t>
      </w:r>
      <w:r w:rsidR="000E46EC">
        <w:t> ;</w:t>
      </w:r>
    </w:p>
    <w:p w14:paraId="3EFCB05A" w14:textId="02B061E6" w:rsidR="00C3295C" w:rsidRDefault="00C3295C" w:rsidP="00C3295C">
      <w:pPr>
        <w:pStyle w:val="SingleTxtG"/>
        <w:ind w:left="2268" w:hanging="567"/>
      </w:pPr>
      <w:r w:rsidRPr="00D86974">
        <w:t>6.</w:t>
      </w:r>
      <w:r w:rsidRPr="00D86974">
        <w:tab/>
        <w:t>Le</w:t>
      </w:r>
      <w:r w:rsidR="00C75340">
        <w:t xml:space="preserve"> </w:t>
      </w:r>
      <w:r w:rsidR="00DB2064">
        <w:t>douzième Plan</w:t>
      </w:r>
      <w:r w:rsidR="00C75340">
        <w:t xml:space="preserve"> </w:t>
      </w:r>
      <w:r w:rsidRPr="00D86974">
        <w:t>doit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d’atteindre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long</w:t>
      </w:r>
      <w:r w:rsidR="00C75340">
        <w:t xml:space="preserve"> </w:t>
      </w:r>
      <w:r w:rsidRPr="00D86974">
        <w:t>terme.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constitue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mécanisme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relie,</w:t>
      </w:r>
      <w:r w:rsidR="00C75340">
        <w:t xml:space="preserve"> </w:t>
      </w:r>
      <w:r w:rsidRPr="00D86974">
        <w:t>supervise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porte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orientations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="00C75340">
        <w:t xml:space="preserve"> </w:t>
      </w:r>
      <w:r w:rsidRPr="00D86974">
        <w:t>jusqu’à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niveaux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tenant</w:t>
      </w:r>
      <w:r w:rsidR="00C75340">
        <w:t xml:space="preserve"> </w:t>
      </w:r>
      <w:r w:rsidRPr="00D86974">
        <w:t>harmonieusement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aspects</w:t>
      </w:r>
      <w:r w:rsidR="000E46EC">
        <w:t> ;</w:t>
      </w:r>
    </w:p>
    <w:p w14:paraId="7F064D14" w14:textId="30AB7590" w:rsidR="00C3295C" w:rsidRPr="00D86974" w:rsidRDefault="00C3295C" w:rsidP="00C3295C">
      <w:pPr>
        <w:pStyle w:val="SingleTxtG"/>
        <w:ind w:left="2268" w:hanging="567"/>
      </w:pPr>
      <w:r w:rsidRPr="00D86974">
        <w:t>7.</w:t>
      </w:r>
      <w:r w:rsidRPr="00D86974">
        <w:tab/>
        <w:t>Le</w:t>
      </w:r>
      <w:r w:rsidR="00C75340">
        <w:t xml:space="preserve"> </w:t>
      </w:r>
      <w:r w:rsidR="00DB2064">
        <w:t>douzième Plan</w:t>
      </w:r>
      <w:r w:rsidR="00C75340">
        <w:t xml:space="preserve"> </w:t>
      </w:r>
      <w:r w:rsidRPr="00D86974">
        <w:t>détermine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hautement</w:t>
      </w:r>
      <w:r w:rsidR="00C75340">
        <w:t xml:space="preserve"> </w:t>
      </w:r>
      <w:r w:rsidRPr="00D86974">
        <w:t>prioritaires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doivent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l’objet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intégrée</w:t>
      </w:r>
      <w:r w:rsidR="000E46EC">
        <w:t> ;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définit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correspondent</w:t>
      </w:r>
      <w:r w:rsidR="00C75340">
        <w:t xml:space="preserve"> </w:t>
      </w:r>
      <w:r w:rsidRPr="00D86974">
        <w:t>effectivement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fixe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indicateurs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vont</w:t>
      </w:r>
      <w:r w:rsidR="00C75340">
        <w:t xml:space="preserve"> </w:t>
      </w:r>
      <w:r w:rsidRPr="00D86974">
        <w:t>au</w:t>
      </w:r>
      <w:r w:rsidR="00B82177">
        <w:noBreakHyphen/>
      </w:r>
      <w:r w:rsidRPr="00D86974">
        <w:t>delà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l’éventail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décrit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précédents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lastRenderedPageBreak/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définis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fonction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nombreux</w:t>
      </w:r>
      <w:r w:rsidR="00C75340">
        <w:t xml:space="preserve"> </w:t>
      </w:r>
      <w:r w:rsidRPr="00D86974">
        <w:t>facteurs,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convergence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proofErr w:type="spellStart"/>
      <w:r w:rsidRPr="00D86974">
        <w:t>bidécennale</w:t>
      </w:r>
      <w:proofErr w:type="spellEnd"/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long</w:t>
      </w:r>
      <w:r w:rsidR="00C75340">
        <w:t xml:space="preserve"> </w:t>
      </w:r>
      <w:r w:rsidRPr="00D86974">
        <w:t>terme,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détermine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structure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fixer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indicateurs</w:t>
      </w:r>
      <w:r w:rsidR="00C75340">
        <w:t xml:space="preserve"> </w:t>
      </w:r>
      <w:r w:rsidRPr="00D86974">
        <w:t>secondaires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utiliser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budgétaire</w:t>
      </w:r>
      <w:r w:rsidR="00C75340">
        <w:t xml:space="preserve"> </w:t>
      </w:r>
      <w:r w:rsidRPr="00D86974">
        <w:t>fixé,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l’évaluation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dépenses,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performance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développement,</w:t>
      </w:r>
      <w:r w:rsidR="00C75340">
        <w:t xml:space="preserve"> </w:t>
      </w:r>
      <w:r w:rsidRPr="00D86974">
        <w:t>autant</w:t>
      </w:r>
      <w:r w:rsidR="00C75340">
        <w:t xml:space="preserve"> </w:t>
      </w:r>
      <w:r w:rsidRPr="00D86974">
        <w:t>d’éléments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doivent</w:t>
      </w:r>
      <w:r w:rsidR="00C75340">
        <w:t xml:space="preserve"> </w:t>
      </w:r>
      <w:r w:rsidRPr="00D86974">
        <w:t>être</w:t>
      </w:r>
      <w:r w:rsidR="00C75340">
        <w:t xml:space="preserve"> </w:t>
      </w:r>
      <w:r w:rsidRPr="00D86974">
        <w:t>cohérents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mutuellement.</w:t>
      </w:r>
    </w:p>
    <w:p w14:paraId="2FC7F027" w14:textId="023A65AB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Programme</w:t>
      </w:r>
      <w:r w:rsidR="00C75340">
        <w:rPr>
          <w:bCs/>
        </w:rPr>
        <w:t xml:space="preserve"> </w:t>
      </w:r>
      <w:r w:rsidRPr="00D86974">
        <w:rPr>
          <w:bCs/>
        </w:rPr>
        <w:t>relatif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2454D39F" w14:textId="3CE67CDB" w:rsidR="00C3295C" w:rsidRDefault="00C3295C" w:rsidP="00C3295C">
      <w:pPr>
        <w:pStyle w:val="SingleTxtG"/>
      </w:pPr>
      <w:r w:rsidRPr="00D86974">
        <w:t>92.</w:t>
      </w:r>
      <w:r w:rsidRPr="00D86974">
        <w:tab/>
        <w:t>Afin</w:t>
      </w:r>
      <w:r w:rsidR="00C75340">
        <w:t xml:space="preserve"> </w:t>
      </w:r>
      <w:r w:rsidRPr="00D86974">
        <w:t>d’intégrer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politiques,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désigné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années</w:t>
      </w:r>
      <w:r w:rsidR="00C75340">
        <w:t xml:space="preserve"> </w:t>
      </w:r>
      <w:r w:rsidRPr="00D86974">
        <w:t>2018-2019,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associant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«</w:t>
      </w:r>
      <w:r w:rsidR="00217C33">
        <w:t> </w:t>
      </w:r>
      <w:proofErr w:type="spellStart"/>
      <w:r w:rsidRPr="0039022D">
        <w:t>Thailand</w:t>
      </w:r>
      <w:proofErr w:type="spellEnd"/>
      <w:r w:rsidR="00C75340">
        <w:t xml:space="preserve"> </w:t>
      </w:r>
      <w:r w:rsidRPr="00D86974">
        <w:t>4.0</w:t>
      </w:r>
      <w:r w:rsidR="000E46EC">
        <w:t> »</w:t>
      </w:r>
      <w:r w:rsidR="00C75340">
        <w:t xml:space="preserve"> </w:t>
      </w:r>
      <w:r w:rsidRPr="00D86974">
        <w:t>axée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l’innovation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efforts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parvenir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durable.</w:t>
      </w:r>
    </w:p>
    <w:p w14:paraId="6547513A" w14:textId="068914B9" w:rsidR="00C3295C" w:rsidRDefault="00C3295C" w:rsidP="00C3295C">
      <w:pPr>
        <w:pStyle w:val="SingleTxtG"/>
      </w:pPr>
      <w:r w:rsidRPr="00D86974">
        <w:t>93.</w:t>
      </w:r>
      <w:r w:rsidRPr="00D86974">
        <w:tab/>
        <w:t>Le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suit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points</w:t>
      </w:r>
      <w:r w:rsidR="00C75340">
        <w:t xml:space="preserve"> </w:t>
      </w:r>
      <w:r w:rsidRPr="00D86974">
        <w:t>appelé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4+3+2+1=But</w:t>
      </w:r>
      <w:r w:rsidR="000E46EC">
        <w:t> »</w:t>
      </w:r>
      <w:r w:rsidRPr="00D86974">
        <w:t>,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quatre</w:t>
      </w:r>
      <w:r w:rsidR="000E46EC">
        <w:t> »</w:t>
      </w:r>
      <w:r w:rsidR="00C75340">
        <w:t xml:space="preserve"> </w:t>
      </w:r>
      <w:r w:rsidRPr="00D86974">
        <w:t>désigne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créer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environnement</w:t>
      </w:r>
      <w:r w:rsidR="00C75340">
        <w:t xml:space="preserve"> </w:t>
      </w:r>
      <w:r w:rsidRPr="00D86974">
        <w:t>favorable,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trois</w:t>
      </w:r>
      <w:r w:rsidR="000E46EC">
        <w:t> »</w:t>
      </w:r>
      <w:r w:rsidR="00C75340">
        <w:t xml:space="preserve"> </w:t>
      </w:r>
      <w:r w:rsidRPr="00D86974">
        <w:t>l’amélioration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l’actuel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pays,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deux</w:t>
      </w:r>
      <w:r w:rsidR="000E46EC">
        <w:t> »</w:t>
      </w:r>
      <w:r w:rsidR="00C75340">
        <w:t xml:space="preserve"> </w:t>
      </w:r>
      <w:r w:rsidRPr="00D86974">
        <w:t>l’orientation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institutions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un</w:t>
      </w:r>
      <w:r w:rsidR="000E46EC">
        <w:t> »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lutte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violations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«</w:t>
      </w:r>
      <w:r w:rsidR="00217C33">
        <w:t> </w:t>
      </w:r>
      <w:r w:rsidRPr="00D86974">
        <w:t>But</w:t>
      </w:r>
      <w:r w:rsidR="000E46EC">
        <w:t> »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gage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pacifique.</w:t>
      </w:r>
    </w:p>
    <w:p w14:paraId="7C040F6F" w14:textId="3F6045E4" w:rsidR="00C3295C" w:rsidRPr="00D86974" w:rsidRDefault="00C3295C" w:rsidP="00C3295C">
      <w:pPr>
        <w:pStyle w:val="SingleTxtG"/>
      </w:pPr>
      <w:r w:rsidRPr="00D86974">
        <w:t>94.</w:t>
      </w:r>
      <w:r w:rsidRPr="00D86974">
        <w:tab/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créé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décembre</w:t>
      </w:r>
      <w:r w:rsidR="00C75340">
        <w:t xml:space="preserve"> </w:t>
      </w:r>
      <w:r w:rsidRPr="00D86974">
        <w:t>2018.</w:t>
      </w:r>
      <w:r w:rsidR="00C75340">
        <w:t xml:space="preserve"> </w:t>
      </w:r>
      <w:r w:rsidRPr="00D86974">
        <w:t>Présidé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Vice-Premier</w:t>
      </w:r>
      <w:r w:rsidR="00C75340">
        <w:t xml:space="preserve"> </w:t>
      </w:r>
      <w:r w:rsidRPr="00D86974">
        <w:t>Ministre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comprend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chargé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avancer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connexes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manière</w:t>
      </w:r>
      <w:r w:rsidR="00C75340">
        <w:t xml:space="preserve"> </w:t>
      </w:r>
      <w:r w:rsidRPr="00D86974">
        <w:t>transversale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intégrée.</w:t>
      </w:r>
    </w:p>
    <w:p w14:paraId="42D10EB5" w14:textId="4E2D152B" w:rsidR="00C3295C" w:rsidRPr="00D86974" w:rsidRDefault="00C3295C" w:rsidP="00C3295C">
      <w:pPr>
        <w:pStyle w:val="SingleTxtG"/>
      </w:pPr>
      <w:r w:rsidRPr="00D86974">
        <w:t>95.</w:t>
      </w:r>
      <w:r w:rsidRPr="00D86974">
        <w:tab/>
        <w:t>Selon</w:t>
      </w:r>
      <w:r w:rsidR="00C75340">
        <w:t xml:space="preserve"> </w:t>
      </w:r>
      <w:r w:rsidRPr="00D86974">
        <w:t>ledit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national,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considère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essentiels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atteindre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</w:t>
      </w:r>
      <w:r w:rsidR="00C75340">
        <w:t xml:space="preserve"> </w:t>
      </w:r>
      <w:r w:rsidRPr="00D86974">
        <w:t>(ODD)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veillant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laissé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compte,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vulnérables.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souligne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complémentarités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synergies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ODD.</w:t>
      </w:r>
    </w:p>
    <w:p w14:paraId="692E197B" w14:textId="28929262" w:rsidR="00C3295C" w:rsidRPr="00D86974" w:rsidRDefault="00C3295C" w:rsidP="00C3295C">
      <w:pPr>
        <w:pStyle w:val="SingleTxtG"/>
      </w:pPr>
      <w:r w:rsidRPr="00D86974">
        <w:t>96.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travaille</w:t>
      </w:r>
      <w:r w:rsidR="00C75340">
        <w:t xml:space="preserve"> </w:t>
      </w:r>
      <w:r w:rsidRPr="00D86974">
        <w:t>actuellement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renouvellement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2021-2022.</w:t>
      </w:r>
    </w:p>
    <w:p w14:paraId="28947AD2" w14:textId="3556722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Plan</w:t>
      </w:r>
      <w:r w:rsidR="00C75340">
        <w:rPr>
          <w:bCs/>
        </w:rPr>
        <w:t xml:space="preserve"> </w:t>
      </w:r>
      <w:r w:rsidRPr="00D86974">
        <w:rPr>
          <w:bCs/>
        </w:rPr>
        <w:t>national</w:t>
      </w:r>
      <w:r w:rsidR="00C75340">
        <w:rPr>
          <w:bCs/>
        </w:rPr>
        <w:t xml:space="preserve"> </w:t>
      </w:r>
      <w:r w:rsidRPr="00D86974">
        <w:rPr>
          <w:bCs/>
        </w:rPr>
        <w:t>relatif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63389CC9" w14:textId="610571C7" w:rsidR="00C3295C" w:rsidRDefault="00C3295C" w:rsidP="00C3295C">
      <w:pPr>
        <w:pStyle w:val="SingleTxtG"/>
      </w:pPr>
      <w:r w:rsidRPr="00D86974">
        <w:t>97.</w:t>
      </w:r>
      <w:r w:rsidRPr="00D86974">
        <w:tab/>
        <w:t>Lorsque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troisième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(2014-2018)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arrivé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terme,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procédé,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coordination,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évaluation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exécution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="00DB2064">
        <w:t>quatrième 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(2019-2023).</w:t>
      </w:r>
      <w:r w:rsidR="00C75340">
        <w:t xml:space="preserve"> </w:t>
      </w:r>
      <w:r w:rsidRPr="00D86974">
        <w:t>Le</w:t>
      </w:r>
      <w:r w:rsidR="00C75340">
        <w:t xml:space="preserve"> </w:t>
      </w:r>
      <w:r w:rsidR="00DB2064">
        <w:t>quatrième Plan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soumis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série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publiques,</w:t>
      </w:r>
      <w:r w:rsidR="00C75340">
        <w:t xml:space="preserve"> </w:t>
      </w:r>
      <w:r w:rsidRPr="00D86974">
        <w:t>puis</w:t>
      </w:r>
      <w:r w:rsidR="00C75340">
        <w:t xml:space="preserve"> </w:t>
      </w:r>
      <w:r w:rsidRPr="00D86974">
        <w:t>révisé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examiné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avant</w:t>
      </w:r>
      <w:r w:rsidR="00C75340">
        <w:t xml:space="preserve"> </w:t>
      </w:r>
      <w:r w:rsidRPr="00D86974">
        <w:t>d’être</w:t>
      </w:r>
      <w:r w:rsidR="00C75340">
        <w:t xml:space="preserve"> </w:t>
      </w:r>
      <w:r w:rsidRPr="00D86974">
        <w:t>approuvé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30</w:t>
      </w:r>
      <w:r w:rsidR="00217C33">
        <w:t> </w:t>
      </w:r>
      <w:r w:rsidRPr="00D86974">
        <w:t>juin</w:t>
      </w:r>
      <w:r w:rsidR="00C75340">
        <w:t xml:space="preserve"> </w:t>
      </w:r>
      <w:r w:rsidRPr="00D86974">
        <w:t>2020.</w:t>
      </w:r>
    </w:p>
    <w:p w14:paraId="0DE3A456" w14:textId="509C15B6" w:rsidR="00C3295C" w:rsidRDefault="00C3295C" w:rsidP="00C3295C">
      <w:pPr>
        <w:pStyle w:val="SingleTxtG"/>
      </w:pPr>
      <w:r w:rsidRPr="00D86974">
        <w:t>98.</w:t>
      </w:r>
      <w:r w:rsidRPr="00D86974">
        <w:tab/>
        <w:t>Les</w:t>
      </w:r>
      <w:r w:rsidR="00C75340">
        <w:t xml:space="preserve"> </w:t>
      </w:r>
      <w:r w:rsidRPr="00D86974">
        <w:t>éléments</w:t>
      </w:r>
      <w:r w:rsidR="00B77687">
        <w:t xml:space="preserve"> clef</w:t>
      </w:r>
      <w:r w:rsidRPr="00D86974">
        <w:t>s</w:t>
      </w:r>
      <w:r w:rsidR="00C75340">
        <w:t xml:space="preserve"> </w:t>
      </w:r>
      <w:r w:rsidRPr="00D86974">
        <w:t>du</w:t>
      </w:r>
      <w:r w:rsidR="00C75340">
        <w:t xml:space="preserve"> </w:t>
      </w:r>
      <w:r w:rsidR="00DB2064">
        <w:t>quatrième Plan</w:t>
      </w:r>
      <w:r w:rsidR="00C75340">
        <w:t xml:space="preserve"> </w:t>
      </w:r>
      <w:r w:rsidRPr="00D86974">
        <w:t>traitent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proposent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d’action.</w:t>
      </w:r>
      <w:r w:rsidR="00C75340">
        <w:t xml:space="preserve"> </w:t>
      </w:r>
      <w:r w:rsidRPr="00D86974">
        <w:t>Celui-ci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divisé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22</w:t>
      </w:r>
      <w:r w:rsidR="00217C33">
        <w:t> </w:t>
      </w:r>
      <w:r w:rsidRPr="00D86974">
        <w:t>sous-plans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portent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10</w:t>
      </w:r>
      <w:r w:rsidR="00217C33">
        <w:t> </w:t>
      </w:r>
      <w:r w:rsidRPr="00D86974">
        <w:t>questions</w:t>
      </w:r>
      <w:r w:rsidR="00C75340">
        <w:t xml:space="preserve"> </w:t>
      </w:r>
      <w:r w:rsidRPr="00D86974">
        <w:t>thématiques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12</w:t>
      </w:r>
      <w:r w:rsidR="00217C33">
        <w:t> </w:t>
      </w:r>
      <w:r w:rsidRPr="00D86974">
        <w:t>groupes</w:t>
      </w:r>
      <w:r w:rsidR="00C75340">
        <w:t xml:space="preserve"> </w:t>
      </w:r>
      <w:r w:rsidRPr="00D86974">
        <w:t>vulnérables</w:t>
      </w:r>
      <w:r w:rsidR="000E46EC">
        <w:t> :</w:t>
      </w:r>
    </w:p>
    <w:p w14:paraId="71243E7F" w14:textId="6A06FBD6" w:rsidR="00C3295C" w:rsidRPr="00D86974" w:rsidRDefault="00C3295C" w:rsidP="00C57168">
      <w:pPr>
        <w:pStyle w:val="Bullet1G"/>
      </w:pPr>
      <w:r w:rsidRPr="00D86974">
        <w:t>Les</w:t>
      </w:r>
      <w:r w:rsidR="00C75340">
        <w:t xml:space="preserve"> </w:t>
      </w:r>
      <w:r w:rsidRPr="00D86974">
        <w:t>10</w:t>
      </w:r>
      <w:r w:rsidR="00217C33">
        <w:t> </w:t>
      </w:r>
      <w:r w:rsidRPr="00D86974">
        <w:t>plans</w:t>
      </w:r>
      <w:r w:rsidR="00C75340">
        <w:t xml:space="preserve"> </w:t>
      </w:r>
      <w:r w:rsidRPr="00D86974">
        <w:t>thématiques</w:t>
      </w:r>
      <w:r w:rsidR="00C75340">
        <w:t xml:space="preserve"> </w:t>
      </w:r>
      <w:r w:rsidRPr="00D86974">
        <w:t>abordent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sujets</w:t>
      </w:r>
      <w:r w:rsidR="00C75340">
        <w:t xml:space="preserve"> </w:t>
      </w:r>
      <w:r w:rsidRPr="00D86974">
        <w:t>suivants</w:t>
      </w:r>
      <w:r w:rsidR="000E46EC">
        <w:t> :</w:t>
      </w:r>
      <w:r w:rsidR="00C75340">
        <w:t xml:space="preserve"> </w:t>
      </w:r>
      <w:r w:rsidRPr="00D86974">
        <w:t>1)</w:t>
      </w:r>
      <w:r w:rsidR="00217C33">
        <w:t> </w:t>
      </w:r>
      <w:r w:rsidRPr="00D86974">
        <w:t>santé</w:t>
      </w:r>
      <w:r w:rsidR="00C75340">
        <w:t xml:space="preserve"> </w:t>
      </w:r>
      <w:r w:rsidRPr="00D86974">
        <w:t>publique</w:t>
      </w:r>
      <w:r w:rsidR="00217C33">
        <w:t> ;</w:t>
      </w:r>
      <w:r w:rsidR="00C75340">
        <w:t xml:space="preserve"> </w:t>
      </w:r>
      <w:r w:rsidRPr="00D86974">
        <w:t>2)</w:t>
      </w:r>
      <w:r w:rsidR="00217C33">
        <w:t> </w:t>
      </w:r>
      <w:r w:rsidRPr="00D86974">
        <w:t>éducation</w:t>
      </w:r>
      <w:r w:rsidR="00217C33">
        <w:t> ;</w:t>
      </w:r>
      <w:r w:rsidR="00C75340">
        <w:t xml:space="preserve"> </w:t>
      </w:r>
      <w:r w:rsidRPr="00D86974">
        <w:t>3)</w:t>
      </w:r>
      <w:r w:rsidR="00217C33">
        <w:t> </w:t>
      </w:r>
      <w:r w:rsidRPr="00D86974">
        <w:t>ressources</w:t>
      </w:r>
      <w:r w:rsidR="00C75340">
        <w:t xml:space="preserve"> </w:t>
      </w:r>
      <w:r w:rsidRPr="00D86974">
        <w:t>naturelles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environnement</w:t>
      </w:r>
      <w:r w:rsidR="00217C33">
        <w:t> ;</w:t>
      </w:r>
      <w:r w:rsidR="00C75340">
        <w:t xml:space="preserve"> </w:t>
      </w:r>
      <w:r w:rsidRPr="00D86974">
        <w:t>4)</w:t>
      </w:r>
      <w:r w:rsidR="00217C33">
        <w:t> </w:t>
      </w:r>
      <w:r w:rsidRPr="00D86974">
        <w:t>logement,</w:t>
      </w:r>
      <w:r w:rsidR="00C75340">
        <w:t xml:space="preserve"> </w:t>
      </w:r>
      <w:r w:rsidRPr="00D86974">
        <w:t>5)</w:t>
      </w:r>
      <w:r w:rsidR="00C75340">
        <w:t xml:space="preserve"> </w:t>
      </w:r>
      <w:r w:rsidRPr="00D86974">
        <w:t>transports</w:t>
      </w:r>
      <w:r w:rsidR="00217C33">
        <w:t> ;</w:t>
      </w:r>
      <w:r w:rsidR="00C75340">
        <w:t xml:space="preserve"> </w:t>
      </w:r>
      <w:r w:rsidRPr="00D86974">
        <w:t>6)</w:t>
      </w:r>
      <w:r w:rsidR="00217C33">
        <w:t> </w:t>
      </w:r>
      <w:r w:rsidRPr="00D86974">
        <w:t>droits</w:t>
      </w:r>
      <w:r w:rsidR="00C75340">
        <w:t xml:space="preserve"> </w:t>
      </w:r>
      <w:r w:rsidRPr="00D86974">
        <w:t>économiques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commerciaux</w:t>
      </w:r>
      <w:r w:rsidR="00217C33">
        <w:t> ;</w:t>
      </w:r>
      <w:r w:rsidR="00C75340">
        <w:t xml:space="preserve"> </w:t>
      </w:r>
      <w:r w:rsidRPr="00D86974">
        <w:t>7)</w:t>
      </w:r>
      <w:r w:rsidR="00217C33">
        <w:t> </w:t>
      </w:r>
      <w:r w:rsidRPr="00D86974">
        <w:t>droits</w:t>
      </w:r>
      <w:r w:rsidR="00C75340">
        <w:t xml:space="preserve"> </w:t>
      </w:r>
      <w:r w:rsidRPr="00D86974">
        <w:t>civils,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57168">
        <w:t> ;</w:t>
      </w:r>
      <w:r w:rsidR="00C75340">
        <w:t xml:space="preserve"> </w:t>
      </w:r>
      <w:r w:rsidRPr="00D86974">
        <w:t>8)</w:t>
      </w:r>
      <w:r w:rsidR="00C57168">
        <w:t> </w:t>
      </w:r>
      <w:r w:rsidRPr="00D86974">
        <w:t>droits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communautés,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culturels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religions</w:t>
      </w:r>
      <w:r w:rsidR="00C57168">
        <w:t> ;</w:t>
      </w:r>
      <w:r w:rsidR="00C75340">
        <w:t xml:space="preserve"> </w:t>
      </w:r>
      <w:r w:rsidRPr="00D86974">
        <w:t>9)</w:t>
      </w:r>
      <w:r w:rsidR="00C57168">
        <w:t> </w:t>
      </w:r>
      <w:r w:rsidRPr="00D86974">
        <w:t>données,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technologies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l’information</w:t>
      </w:r>
      <w:r w:rsidR="00C57168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10)</w:t>
      </w:r>
      <w:r w:rsidR="00C57168">
        <w:t> </w:t>
      </w:r>
      <w:r w:rsidRPr="00D86974">
        <w:t>processus</w:t>
      </w:r>
      <w:r w:rsidR="00C75340">
        <w:t xml:space="preserve"> </w:t>
      </w:r>
      <w:r w:rsidRPr="00D86974">
        <w:t>judiciaire</w:t>
      </w:r>
      <w:r w:rsidR="000E46EC">
        <w:t> ;</w:t>
      </w:r>
    </w:p>
    <w:p w14:paraId="167E8460" w14:textId="50F21E18" w:rsidR="00C3295C" w:rsidRPr="00D86974" w:rsidRDefault="00C3295C" w:rsidP="00C57168">
      <w:pPr>
        <w:pStyle w:val="Bullet1G"/>
      </w:pPr>
      <w:r w:rsidRPr="00D86974">
        <w:t>Les</w:t>
      </w:r>
      <w:r w:rsidR="00C75340">
        <w:t xml:space="preserve"> </w:t>
      </w:r>
      <w:r w:rsidRPr="00D86974">
        <w:t>1</w:t>
      </w:r>
      <w:r w:rsidR="00217C33">
        <w:t>2 </w:t>
      </w:r>
      <w:r w:rsidRPr="00D86974">
        <w:t>plans</w:t>
      </w:r>
      <w:r w:rsidR="00C75340">
        <w:t xml:space="preserve"> </w:t>
      </w:r>
      <w:r w:rsidRPr="00D86974">
        <w:t>axés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C57168">
        <w:t>concernent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populations</w:t>
      </w:r>
      <w:r w:rsidR="00C75340">
        <w:t xml:space="preserve"> </w:t>
      </w:r>
      <w:r w:rsidRPr="00D86974">
        <w:t>suivantes</w:t>
      </w:r>
      <w:r w:rsidR="000E46EC">
        <w:t> :</w:t>
      </w:r>
      <w:r w:rsidR="00C75340">
        <w:t xml:space="preserve"> </w:t>
      </w:r>
      <w:r w:rsidRPr="00D86974">
        <w:t>1)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jeunes</w:t>
      </w:r>
      <w:r w:rsidR="00C57168">
        <w:t> ;</w:t>
      </w:r>
      <w:r w:rsidR="00C75340">
        <w:t xml:space="preserve"> </w:t>
      </w:r>
      <w:r w:rsidRPr="00D86974">
        <w:t>2)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âgées</w:t>
      </w:r>
      <w:r w:rsidR="00C57168">
        <w:t> ;</w:t>
      </w:r>
      <w:r w:rsidR="00C75340">
        <w:t xml:space="preserve"> </w:t>
      </w:r>
      <w:r w:rsidRPr="00D86974">
        <w:t>3)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femmes</w:t>
      </w:r>
      <w:r w:rsidR="00C57168">
        <w:t> ;</w:t>
      </w:r>
      <w:r w:rsidR="00C75340">
        <w:t xml:space="preserve"> </w:t>
      </w:r>
      <w:r w:rsidRPr="00D86974">
        <w:t>4)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57168">
        <w:t> ;</w:t>
      </w:r>
      <w:r w:rsidR="00C75340">
        <w:t xml:space="preserve"> </w:t>
      </w:r>
      <w:r w:rsidRPr="00D86974">
        <w:t>5)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agriculteurs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travailleurs</w:t>
      </w:r>
      <w:r w:rsidR="00C57168">
        <w:t> ;</w:t>
      </w:r>
      <w:r w:rsidR="00C75340">
        <w:t xml:space="preserve"> </w:t>
      </w:r>
      <w:r w:rsidRPr="00D86974">
        <w:t>6)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patients,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vivant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VIH/sida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toxicomanes</w:t>
      </w:r>
      <w:r w:rsidR="00C57168">
        <w:t> ;</w:t>
      </w:r>
      <w:r w:rsidR="00C75340">
        <w:t xml:space="preserve"> </w:t>
      </w:r>
      <w:r w:rsidRPr="00D86974">
        <w:t>7)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ethniques,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demandeurs</w:t>
      </w:r>
      <w:r w:rsidR="00C75340">
        <w:t xml:space="preserve"> </w:t>
      </w:r>
      <w:r w:rsidRPr="00D86974">
        <w:t>d’asile</w:t>
      </w:r>
      <w:r w:rsidR="00C57168">
        <w:t> ;</w:t>
      </w:r>
      <w:r w:rsidR="00C75340">
        <w:t xml:space="preserve"> </w:t>
      </w:r>
      <w:r w:rsidRPr="00D86974">
        <w:t>8)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lesbiennes,</w:t>
      </w:r>
      <w:r w:rsidR="00C75340">
        <w:t xml:space="preserve"> </w:t>
      </w:r>
      <w:r w:rsidRPr="00D86974">
        <w:t>gays,</w:t>
      </w:r>
      <w:r w:rsidR="00C75340">
        <w:t xml:space="preserve"> </w:t>
      </w:r>
      <w:r w:rsidRPr="00D86974">
        <w:t>bisexuels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transgenres</w:t>
      </w:r>
      <w:r w:rsidR="00C75340">
        <w:t xml:space="preserve"> </w:t>
      </w:r>
      <w:r w:rsidRPr="00D86974">
        <w:t>(LGBT)</w:t>
      </w:r>
      <w:r w:rsidR="00C57168">
        <w:t> ;</w:t>
      </w:r>
      <w:r w:rsidR="00C75340">
        <w:t xml:space="preserve"> </w:t>
      </w:r>
      <w:r w:rsidRPr="00D86974">
        <w:t>9)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57168">
        <w:t xml:space="preserve"> ; </w:t>
      </w:r>
      <w:r w:rsidRPr="00D86974">
        <w:t>10)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privées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liberté,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accusés,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auteurs</w:t>
      </w:r>
      <w:r w:rsidR="00C75340">
        <w:t xml:space="preserve"> </w:t>
      </w:r>
      <w:r w:rsidRPr="00D86974">
        <w:t>présumés</w:t>
      </w:r>
      <w:r w:rsidR="00C75340">
        <w:t xml:space="preserve"> </w:t>
      </w:r>
      <w:r w:rsidRPr="00D86974">
        <w:t>d’infractions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prisonniers</w:t>
      </w:r>
      <w:r w:rsidR="00C57168">
        <w:t> ;</w:t>
      </w:r>
      <w:r w:rsidR="00C75340">
        <w:t xml:space="preserve"> </w:t>
      </w:r>
      <w:r w:rsidRPr="00D86974">
        <w:t>11)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anciens</w:t>
      </w:r>
      <w:r w:rsidR="00C75340">
        <w:t xml:space="preserve"> </w:t>
      </w:r>
      <w:r w:rsidRPr="00D86974">
        <w:t>détenus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purgé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peine</w:t>
      </w:r>
      <w:r w:rsidR="00C57168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12)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blessées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victimes,</w:t>
      </w:r>
      <w:r w:rsidR="00C75340">
        <w:t xml:space="preserve"> </w:t>
      </w:r>
      <w:r w:rsidRPr="00D86974">
        <w:lastRenderedPageBreak/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d’infractions,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violations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violence</w:t>
      </w:r>
      <w:r w:rsidR="00C75340">
        <w:t xml:space="preserve"> </w:t>
      </w:r>
      <w:r w:rsidRPr="00D86974">
        <w:t>domestique,</w:t>
      </w:r>
      <w:r w:rsidR="00C75340">
        <w:t xml:space="preserve"> </w:t>
      </w:r>
      <w:r w:rsidRPr="00D86974">
        <w:t>etc.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témoins.</w:t>
      </w:r>
    </w:p>
    <w:p w14:paraId="0EA922A1" w14:textId="337AA61C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vie</w:t>
      </w:r>
    </w:p>
    <w:p w14:paraId="09A24678" w14:textId="7FDBB7A3" w:rsidR="00C3295C" w:rsidRPr="00D86974" w:rsidRDefault="00C3295C" w:rsidP="00C3295C">
      <w:pPr>
        <w:pStyle w:val="SingleTxtG"/>
      </w:pPr>
      <w:bookmarkStart w:id="16" w:name="_Ref43992964"/>
      <w:r w:rsidRPr="00D86974">
        <w:t>99.</w:t>
      </w:r>
      <w:r w:rsidRPr="00D86974">
        <w:tab/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érige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privation</w:t>
      </w:r>
      <w:r w:rsidR="00C75340">
        <w:t xml:space="preserve"> </w:t>
      </w:r>
      <w:r w:rsidRPr="00D86974">
        <w:t>arbitraire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infraction,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pénal</w:t>
      </w:r>
      <w:r w:rsidR="000E46EC">
        <w:t> :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288</w:t>
      </w:r>
      <w:r w:rsidR="00C75340">
        <w:t xml:space="preserve"> </w:t>
      </w:r>
      <w:r w:rsidRPr="00D86974">
        <w:t>(homicide</w:t>
      </w:r>
      <w:r w:rsidR="00C75340">
        <w:t xml:space="preserve"> </w:t>
      </w:r>
      <w:r w:rsidRPr="00D86974">
        <w:t>volontaire),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289</w:t>
      </w:r>
      <w:r w:rsidR="00C75340">
        <w:t xml:space="preserve"> </w:t>
      </w:r>
      <w:r w:rsidRPr="00D86974">
        <w:t>(meurtre</w:t>
      </w:r>
      <w:r w:rsidR="00C75340">
        <w:t xml:space="preserve"> </w:t>
      </w:r>
      <w:r w:rsidRPr="00D86974">
        <w:t>aggravé),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290</w:t>
      </w:r>
      <w:r w:rsidR="00C75340">
        <w:t xml:space="preserve"> </w:t>
      </w:r>
      <w:r w:rsidRPr="00D86974">
        <w:t>(voies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entraîné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mort)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291</w:t>
      </w:r>
      <w:r w:rsidR="00C75340">
        <w:t xml:space="preserve"> </w:t>
      </w:r>
      <w:r w:rsidRPr="00D86974">
        <w:t>(négligence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entraîné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mort).</w:t>
      </w:r>
      <w:bookmarkEnd w:id="16"/>
    </w:p>
    <w:p w14:paraId="3176241D" w14:textId="42C37394" w:rsidR="00C3295C" w:rsidRPr="00C57168" w:rsidRDefault="00C3295C" w:rsidP="00C3295C">
      <w:pPr>
        <w:pStyle w:val="SingleTxtG"/>
        <w:rPr>
          <w:spacing w:val="-2"/>
        </w:rPr>
      </w:pPr>
      <w:r w:rsidRPr="00C57168">
        <w:rPr>
          <w:spacing w:val="-2"/>
        </w:rPr>
        <w:t>100.</w:t>
      </w:r>
      <w:r w:rsidRPr="00C57168">
        <w:rPr>
          <w:spacing w:val="-2"/>
        </w:rPr>
        <w:tab/>
        <w:t>L’article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18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(</w:t>
      </w:r>
      <w:r w:rsidR="00C75340" w:rsidRPr="00C57168">
        <w:rPr>
          <w:spacing w:val="-2"/>
        </w:rPr>
        <w:t>par. </w:t>
      </w:r>
      <w:r w:rsidRPr="00C57168">
        <w:rPr>
          <w:spacing w:val="-2"/>
        </w:rPr>
        <w:t>2)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du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Code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pénal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interdit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condamner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à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la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peine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capitale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une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personne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qui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n’avait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pas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encore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18</w:t>
      </w:r>
      <w:r w:rsidR="00B82177">
        <w:rPr>
          <w:spacing w:val="-2"/>
        </w:rPr>
        <w:t> </w:t>
      </w:r>
      <w:r w:rsidRPr="00C57168">
        <w:rPr>
          <w:spacing w:val="-2"/>
        </w:rPr>
        <w:t>ans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au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moment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des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faits,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tandis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que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les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articles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247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et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248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du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Code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procédure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pénale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énoncent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respectivement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que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cette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peine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peut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être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imposée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à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une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personne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reconnue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coupable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qui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est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enceinte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ou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présente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des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signes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déséquilibre</w:t>
      </w:r>
      <w:r w:rsidR="00C75340" w:rsidRPr="00C57168">
        <w:rPr>
          <w:spacing w:val="-2"/>
        </w:rPr>
        <w:t xml:space="preserve"> </w:t>
      </w:r>
      <w:r w:rsidRPr="00C57168">
        <w:rPr>
          <w:spacing w:val="-2"/>
        </w:rPr>
        <w:t>mental.</w:t>
      </w:r>
    </w:p>
    <w:p w14:paraId="1C54410F" w14:textId="41E3B5A4" w:rsidR="00C3295C" w:rsidRDefault="00C3295C" w:rsidP="00C3295C">
      <w:pPr>
        <w:pStyle w:val="SingleTxtG"/>
      </w:pPr>
      <w:r w:rsidRPr="00D86974">
        <w:t>101.</w:t>
      </w:r>
      <w:r w:rsidRPr="00D86974">
        <w:tab/>
        <w:t>Les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approche</w:t>
      </w:r>
      <w:r w:rsidR="00C75340">
        <w:t xml:space="preserve"> </w:t>
      </w:r>
      <w:r w:rsidRPr="00D86974">
        <w:t>progressive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réviser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peine</w:t>
      </w:r>
      <w:r w:rsidR="00C75340">
        <w:t xml:space="preserve"> </w:t>
      </w:r>
      <w:r w:rsidRPr="00D86974">
        <w:t>capitale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Cet</w:t>
      </w:r>
      <w:r w:rsidR="00C75340">
        <w:t xml:space="preserve"> </w:t>
      </w:r>
      <w:r w:rsidRPr="00D86974">
        <w:t>engagement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retrouve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succédé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2009.</w:t>
      </w:r>
      <w:r w:rsidR="00C75340">
        <w:t xml:space="preserve"> </w:t>
      </w:r>
      <w:r w:rsidRPr="00D86974">
        <w:t>Étant</w:t>
      </w:r>
      <w:r w:rsidR="00C75340">
        <w:t xml:space="preserve"> </w:t>
      </w:r>
      <w:r w:rsidRPr="00D86974">
        <w:t>donné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l’opinion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nettement</w:t>
      </w:r>
      <w:r w:rsidR="00C75340">
        <w:t xml:space="preserve"> </w:t>
      </w:r>
      <w:r w:rsidRPr="00D86974">
        <w:t>favorable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mort,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s’efforce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sensibiliser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population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mieux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comprendre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débat</w:t>
      </w:r>
      <w:r w:rsidR="00C75340">
        <w:t xml:space="preserve"> </w:t>
      </w:r>
      <w:r w:rsidRPr="00D86974">
        <w:t>actuel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peine</w:t>
      </w:r>
      <w:r w:rsidR="00C75340">
        <w:t xml:space="preserve"> </w:t>
      </w:r>
      <w:r w:rsidRPr="00D86974">
        <w:t>capitale.</w:t>
      </w:r>
    </w:p>
    <w:p w14:paraId="67508BBA" w14:textId="3872767F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ne</w:t>
      </w:r>
      <w:r w:rsidR="00C75340">
        <w:rPr>
          <w:bCs/>
        </w:rPr>
        <w:t xml:space="preserve"> </w:t>
      </w:r>
      <w:r w:rsidRPr="00D86974">
        <w:rPr>
          <w:bCs/>
        </w:rPr>
        <w:t>pas</w:t>
      </w:r>
      <w:r w:rsidR="00C75340">
        <w:rPr>
          <w:bCs/>
        </w:rPr>
        <w:t xml:space="preserve"> </w:t>
      </w:r>
      <w:r w:rsidRPr="00D86974">
        <w:rPr>
          <w:bCs/>
        </w:rPr>
        <w:t>être</w:t>
      </w:r>
      <w:r w:rsidR="00C75340">
        <w:rPr>
          <w:bCs/>
        </w:rPr>
        <w:t xml:space="preserve"> </w:t>
      </w:r>
      <w:r w:rsidRPr="00D86974">
        <w:rPr>
          <w:bCs/>
        </w:rPr>
        <w:t>soumis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torture</w:t>
      </w:r>
      <w:r w:rsidR="00C75340">
        <w:rPr>
          <w:bCs/>
        </w:rPr>
        <w:t xml:space="preserve"> </w:t>
      </w:r>
      <w:r w:rsidRPr="00D86974">
        <w:rPr>
          <w:bCs/>
        </w:rPr>
        <w:t>ou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mauvais</w:t>
      </w:r>
      <w:r w:rsidR="00C75340">
        <w:rPr>
          <w:bCs/>
        </w:rPr>
        <w:t xml:space="preserve"> </w:t>
      </w:r>
      <w:r w:rsidRPr="00D86974">
        <w:rPr>
          <w:bCs/>
        </w:rPr>
        <w:t>traitements</w:t>
      </w:r>
    </w:p>
    <w:p w14:paraId="180D5004" w14:textId="741934ED" w:rsidR="00C3295C" w:rsidRPr="00D86974" w:rsidRDefault="00C3295C" w:rsidP="00C3295C">
      <w:pPr>
        <w:pStyle w:val="SingleTxtG"/>
      </w:pPr>
      <w:r w:rsidRPr="00D86974">
        <w:t>102.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(art</w:t>
      </w:r>
      <w:r w:rsidR="00C57168">
        <w:t>. </w:t>
      </w:r>
      <w:r w:rsidRPr="00D86974">
        <w:t>29)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pénal</w:t>
      </w:r>
      <w:r w:rsidR="00C75340">
        <w:t xml:space="preserve"> </w:t>
      </w:r>
      <w:r w:rsidRPr="00D86974">
        <w:t>(notamment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157,</w:t>
      </w:r>
      <w:r w:rsidR="00C75340">
        <w:t xml:space="preserve"> </w:t>
      </w:r>
      <w:r w:rsidRPr="00D86974">
        <w:t>200,</w:t>
      </w:r>
      <w:r w:rsidR="00C75340">
        <w:t xml:space="preserve"> </w:t>
      </w:r>
      <w:r w:rsidRPr="00D86974">
        <w:t>295,</w:t>
      </w:r>
      <w:r w:rsidR="00C75340">
        <w:t xml:space="preserve"> </w:t>
      </w:r>
      <w:r w:rsidRPr="00D86974">
        <w:t>296,</w:t>
      </w:r>
      <w:r w:rsidR="00C75340">
        <w:t xml:space="preserve"> </w:t>
      </w:r>
      <w:r w:rsidRPr="00D86974">
        <w:t>297,</w:t>
      </w:r>
      <w:r w:rsidR="00C75340">
        <w:t xml:space="preserve"> </w:t>
      </w:r>
      <w:r w:rsidRPr="00D86974">
        <w:t>298,</w:t>
      </w:r>
      <w:r w:rsidR="00C75340">
        <w:t xml:space="preserve"> </w:t>
      </w:r>
      <w:r w:rsidRPr="00D86974">
        <w:t>288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289)</w:t>
      </w:r>
      <w:r w:rsidR="00C75340">
        <w:t xml:space="preserve"> </w:t>
      </w:r>
      <w:r w:rsidRPr="00D86974">
        <w:t>interdisent</w:t>
      </w:r>
      <w:r w:rsidR="00C75340">
        <w:t xml:space="preserve"> </w:t>
      </w:r>
      <w:r w:rsidRPr="00D86974">
        <w:t>strictement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acte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mauvais</w:t>
      </w:r>
      <w:r w:rsidR="00C75340">
        <w:t xml:space="preserve"> </w:t>
      </w:r>
      <w:r w:rsidRPr="00D86974">
        <w:t>traitement.</w:t>
      </w:r>
    </w:p>
    <w:p w14:paraId="51C35D14" w14:textId="24BABCFF" w:rsidR="00C3295C" w:rsidRPr="00C57168" w:rsidRDefault="00C3295C" w:rsidP="00C3295C">
      <w:pPr>
        <w:pStyle w:val="SingleTxtG"/>
        <w:rPr>
          <w:spacing w:val="-1"/>
        </w:rPr>
      </w:pPr>
      <w:r w:rsidRPr="00C57168">
        <w:rPr>
          <w:spacing w:val="-1"/>
        </w:rPr>
        <w:t>103.</w:t>
      </w:r>
      <w:r w:rsidRPr="00C57168">
        <w:rPr>
          <w:spacing w:val="-1"/>
        </w:rPr>
        <w:tab/>
        <w:t>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projet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loi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sur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prévention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répression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torture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disparitions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forcées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recueilli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l’approbation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principe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du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Conseil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ministres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mai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2016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été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soumis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aux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délibérations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l’Assemblée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législative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nationale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mars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2017.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raison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difficultés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techniques,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l’Assemblée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n’a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toutefois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pas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pu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terminer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ses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délibérations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avant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sa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dissolution,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c’est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pourquoi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Ministère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justice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retiré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projet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loi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procédé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à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nouvelles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consultations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publiques,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conformément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à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l’article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77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Constitution.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projet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révisé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ensuite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une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nouvelle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fois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été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soumis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à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l’examen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du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Conseil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des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ministres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en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avril</w:t>
      </w:r>
      <w:r w:rsidR="00C75340" w:rsidRPr="00C57168">
        <w:rPr>
          <w:spacing w:val="-1"/>
        </w:rPr>
        <w:t xml:space="preserve"> </w:t>
      </w:r>
      <w:r w:rsidRPr="00C57168">
        <w:rPr>
          <w:spacing w:val="-1"/>
        </w:rPr>
        <w:t>2020.</w:t>
      </w:r>
    </w:p>
    <w:p w14:paraId="4ED6A7E0" w14:textId="14A6FEEE" w:rsidR="00C3295C" w:rsidRPr="00D86974" w:rsidRDefault="00C3295C" w:rsidP="00C3295C">
      <w:pPr>
        <w:pStyle w:val="SingleTxtG"/>
      </w:pPr>
      <w:r w:rsidRPr="00D86974">
        <w:t>104.</w:t>
      </w:r>
      <w:r w:rsidRPr="00D86974">
        <w:tab/>
        <w:t>Alors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prévention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répression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disparitions</w:t>
      </w:r>
      <w:r w:rsidR="00C75340">
        <w:t xml:space="preserve"> </w:t>
      </w:r>
      <w:r w:rsidRPr="00D86974">
        <w:t>forcées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l’examen,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Ministre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rendu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ordonnances</w:t>
      </w:r>
      <w:r w:rsidR="00C75340">
        <w:t xml:space="preserve"> </w:t>
      </w:r>
      <w:r w:rsidR="00C57168">
        <w:rPr>
          <w:rFonts w:eastAsia="MS Mincho"/>
        </w:rPr>
        <w:t>n</w:t>
      </w:r>
      <w:r w:rsidR="00C57168">
        <w:rPr>
          <w:rFonts w:eastAsia="MS Mincho"/>
          <w:vertAlign w:val="superscript"/>
        </w:rPr>
        <w:t>o</w:t>
      </w:r>
      <w:r w:rsidR="00C57168">
        <w:t> </w:t>
      </w:r>
      <w:r w:rsidRPr="00D86974">
        <w:t>131/2560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23</w:t>
      </w:r>
      <w:r w:rsidR="00C57168">
        <w:t> </w:t>
      </w:r>
      <w:r w:rsidRPr="00D86974">
        <w:t>mai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="00C57168">
        <w:rPr>
          <w:rFonts w:eastAsia="MS Mincho"/>
        </w:rPr>
        <w:t>n</w:t>
      </w:r>
      <w:r w:rsidR="00C57168">
        <w:rPr>
          <w:rFonts w:eastAsia="MS Mincho"/>
          <w:vertAlign w:val="superscript"/>
        </w:rPr>
        <w:t>o</w:t>
      </w:r>
      <w:r w:rsidR="00C57168">
        <w:t> </w:t>
      </w:r>
      <w:r w:rsidRPr="00D86974">
        <w:t>198/2560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18</w:t>
      </w:r>
      <w:r w:rsidR="00C57168">
        <w:t> </w:t>
      </w:r>
      <w:r w:rsidRPr="00D86974">
        <w:t>août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(membres</w:t>
      </w:r>
      <w:r w:rsidR="00C75340">
        <w:t xml:space="preserve"> </w:t>
      </w:r>
      <w:r w:rsidRPr="00D86974">
        <w:t>supplémentaires)</w:t>
      </w:r>
      <w:r w:rsidR="00C75340">
        <w:t xml:space="preserve"> </w:t>
      </w:r>
      <w:r w:rsidRPr="00D86974">
        <w:t>et</w:t>
      </w:r>
      <w:r w:rsidR="00C75340">
        <w:t xml:space="preserve"> </w:t>
      </w:r>
      <w:r w:rsidR="00C57168">
        <w:rPr>
          <w:rFonts w:eastAsia="MS Mincho"/>
        </w:rPr>
        <w:t>n</w:t>
      </w:r>
      <w:r w:rsidR="00C57168">
        <w:rPr>
          <w:rFonts w:eastAsia="MS Mincho"/>
          <w:vertAlign w:val="superscript"/>
        </w:rPr>
        <w:t>o</w:t>
      </w:r>
      <w:r w:rsidR="00C57168">
        <w:t> </w:t>
      </w:r>
      <w:r w:rsidRPr="00D86974">
        <w:t>338/2562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15</w:t>
      </w:r>
      <w:r w:rsidR="00C57168">
        <w:t> </w:t>
      </w:r>
      <w:r w:rsidRPr="00D86974">
        <w:t>novembre</w:t>
      </w:r>
      <w:r w:rsidR="00C75340">
        <w:t xml:space="preserve"> </w:t>
      </w:r>
      <w:r w:rsidRPr="00D86974">
        <w:t>2019</w:t>
      </w:r>
      <w:r w:rsidR="00C75340">
        <w:t xml:space="preserve"> </w:t>
      </w:r>
      <w:r w:rsidRPr="00D86974">
        <w:t>(renouvellement)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créer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gestion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disparition</w:t>
      </w:r>
      <w:r w:rsidR="00C75340">
        <w:t xml:space="preserve"> </w:t>
      </w:r>
      <w:r w:rsidRPr="00D86974">
        <w:t>forcée.</w:t>
      </w:r>
      <w:r w:rsidR="00C75340">
        <w:t xml:space="preserve"> </w:t>
      </w:r>
      <w:r w:rsidRPr="00D86974">
        <w:t>Présidé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composé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chargé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traiter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cas</w:t>
      </w:r>
      <w:r w:rsidR="00C75340">
        <w:t xml:space="preserve"> </w:t>
      </w:r>
      <w:r w:rsidRPr="00D86974">
        <w:t>présumés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disparition</w:t>
      </w:r>
      <w:r w:rsidR="00C75340">
        <w:t xml:space="preserve"> </w:t>
      </w:r>
      <w:r w:rsidRPr="00D86974">
        <w:t>forcée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d’empêcher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actes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reproduisent.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épaulé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sous-comités</w:t>
      </w:r>
      <w:r w:rsidR="00C75340">
        <w:t xml:space="preserve"> </w:t>
      </w:r>
      <w:r w:rsidRPr="00D86974">
        <w:t>respectivement</w:t>
      </w:r>
      <w:r w:rsidR="00C75340">
        <w:t xml:space="preserve"> </w:t>
      </w:r>
      <w:r w:rsidRPr="00D86974">
        <w:t>chargés</w:t>
      </w:r>
      <w:r w:rsidR="00C75340">
        <w:t xml:space="preserve"> </w:t>
      </w:r>
      <w:r w:rsidRPr="00D86974">
        <w:t>1)</w:t>
      </w:r>
      <w:r w:rsidR="00C57168">
        <w:t> </w:t>
      </w:r>
      <w:r w:rsidRPr="00D86974">
        <w:t>du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contrôle,</w:t>
      </w:r>
      <w:r w:rsidR="00C75340">
        <w:t xml:space="preserve"> </w:t>
      </w:r>
      <w:r w:rsidRPr="00D86974">
        <w:t>2)</w:t>
      </w:r>
      <w:r w:rsidR="00C57168">
        <w:t> </w:t>
      </w:r>
      <w:r w:rsidRPr="00D86974">
        <w:t>de</w:t>
      </w:r>
      <w:r w:rsidR="00C75340">
        <w:t xml:space="preserve"> </w:t>
      </w:r>
      <w:r w:rsidRPr="00D86974">
        <w:t>l’assistance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recours,</w:t>
      </w:r>
      <w:r w:rsidR="00C75340">
        <w:t xml:space="preserve"> </w:t>
      </w:r>
      <w:r w:rsidRPr="00D86974">
        <w:t>3)</w:t>
      </w:r>
      <w:r w:rsidR="00C57168">
        <w:t> 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prévention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4)</w:t>
      </w:r>
      <w:r w:rsidR="00C57168">
        <w:t> 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sélection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affaires.</w:t>
      </w:r>
      <w:r w:rsidR="00C75340">
        <w:t xml:space="preserve"> </w:t>
      </w:r>
      <w:r w:rsidRPr="00D86974">
        <w:t>Lorsqu’il</w:t>
      </w:r>
      <w:r w:rsidR="00C75340">
        <w:t xml:space="preserve"> </w:t>
      </w:r>
      <w:r w:rsidRPr="00D86974">
        <w:t>s’avère</w:t>
      </w:r>
      <w:r w:rsidR="00C75340">
        <w:t xml:space="preserve"> </w:t>
      </w:r>
      <w:r w:rsidRPr="00D86974">
        <w:t>qu’un</w:t>
      </w:r>
      <w:r w:rsidR="00C75340">
        <w:t xml:space="preserve"> </w:t>
      </w:r>
      <w:r w:rsidRPr="00D86974">
        <w:t>agent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pris</w:t>
      </w:r>
      <w:r w:rsidR="00C75340">
        <w:t xml:space="preserve"> </w:t>
      </w:r>
      <w:r w:rsidRPr="00D86974">
        <w:t>part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disparitions</w:t>
      </w:r>
      <w:r w:rsidR="00C75340">
        <w:t xml:space="preserve"> </w:t>
      </w:r>
      <w:r w:rsidRPr="00D86974">
        <w:t>forcées,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poursuivi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loi.</w:t>
      </w:r>
    </w:p>
    <w:p w14:paraId="1BF30D86" w14:textId="768213DE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liberté</w:t>
      </w:r>
      <w:r w:rsidR="00C75340">
        <w:rPr>
          <w:bCs/>
        </w:rPr>
        <w:t xml:space="preserve"> </w:t>
      </w:r>
      <w:r w:rsidRPr="00D86974">
        <w:rPr>
          <w:bCs/>
        </w:rPr>
        <w:t>d’expression</w:t>
      </w:r>
    </w:p>
    <w:p w14:paraId="565A9CA7" w14:textId="66C37180" w:rsidR="00C3295C" w:rsidRDefault="00C3295C" w:rsidP="00C3295C">
      <w:pPr>
        <w:pStyle w:val="SingleTxtG"/>
      </w:pPr>
      <w:r w:rsidRPr="00D86974">
        <w:t>105.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d’expression,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internationales,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19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Pacte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civils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politiques.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reconnaît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catalyseur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fondement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notre</w:t>
      </w:r>
      <w:r w:rsidR="00C75340">
        <w:t xml:space="preserve"> </w:t>
      </w:r>
      <w:r w:rsidRPr="00D86974">
        <w:t>démocratie.</w:t>
      </w:r>
    </w:p>
    <w:p w14:paraId="6D389DBD" w14:textId="29B4B4DB" w:rsidR="00C3295C" w:rsidRPr="00D86974" w:rsidRDefault="00C3295C" w:rsidP="00C57168">
      <w:pPr>
        <w:pStyle w:val="SingleTxtG"/>
        <w:keepNext/>
      </w:pPr>
      <w:r w:rsidRPr="00D86974">
        <w:t>106.</w:t>
      </w:r>
      <w:r w:rsidRPr="00D86974">
        <w:tab/>
        <w:t>L’article</w:t>
      </w:r>
      <w:r w:rsidR="00C75340">
        <w:t xml:space="preserve"> </w:t>
      </w:r>
      <w:r w:rsidRPr="00D86974">
        <w:t>35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énonce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garanties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presse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suivantes</w:t>
      </w:r>
      <w:r w:rsidR="000E46EC">
        <w:t> :</w:t>
      </w:r>
    </w:p>
    <w:p w14:paraId="30084B28" w14:textId="3C16A48C" w:rsidR="00C3295C" w:rsidRPr="00D86974" w:rsidRDefault="00C3295C" w:rsidP="00C3295C">
      <w:pPr>
        <w:pStyle w:val="SingleTxtG"/>
        <w:ind w:left="2268" w:hanging="567"/>
      </w:pPr>
      <w:r w:rsidRPr="00D86974">
        <w:t>1.</w:t>
      </w:r>
      <w:r w:rsidRPr="00D86974">
        <w:tab/>
        <w:t>Les</w:t>
      </w:r>
      <w:r w:rsidR="00C75340">
        <w:t xml:space="preserve"> </w:t>
      </w:r>
      <w:r w:rsidRPr="00D86974">
        <w:t>professionnels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jouissent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présenter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d’exprimer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opinions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respect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l’éthique</w:t>
      </w:r>
      <w:r w:rsidR="00C75340">
        <w:t xml:space="preserve"> </w:t>
      </w:r>
      <w:r w:rsidRPr="00D86974">
        <w:t>professionnelle</w:t>
      </w:r>
      <w:r w:rsidR="000E46EC">
        <w:t> ;</w:t>
      </w:r>
    </w:p>
    <w:p w14:paraId="4937FBCC" w14:textId="55CE058F" w:rsidR="00C3295C" w:rsidRPr="00D86974" w:rsidRDefault="00C3295C" w:rsidP="000C6F67">
      <w:pPr>
        <w:pStyle w:val="SingleTxtG"/>
        <w:keepLines/>
        <w:ind w:left="2268" w:hanging="567"/>
      </w:pPr>
      <w:r w:rsidRPr="00D86974">
        <w:lastRenderedPageBreak/>
        <w:t>2.</w:t>
      </w:r>
      <w:r w:rsidRPr="00D86974">
        <w:tab/>
        <w:t>La</w:t>
      </w:r>
      <w:r w:rsidR="00C75340">
        <w:t xml:space="preserve"> </w:t>
      </w:r>
      <w:r w:rsidRPr="00D86974">
        <w:t>fermeture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journal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autre</w:t>
      </w:r>
      <w:r w:rsidR="00C75340">
        <w:t xml:space="preserve"> </w:t>
      </w:r>
      <w:proofErr w:type="spellStart"/>
      <w:r w:rsidRPr="00D86974">
        <w:t>média</w:t>
      </w:r>
      <w:proofErr w:type="spellEnd"/>
      <w:r w:rsidRPr="00D86974">
        <w:t>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priver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prévue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paragraphe,</w:t>
      </w:r>
      <w:r w:rsidR="00C75340">
        <w:t xml:space="preserve"> </w:t>
      </w:r>
      <w:r w:rsidRPr="00D86974">
        <w:t>n’est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autorisée.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censure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fonctionnaire</w:t>
      </w:r>
      <w:r w:rsidR="00C75340">
        <w:t xml:space="preserve"> </w:t>
      </w:r>
      <w:r w:rsidRPr="00D86974">
        <w:t>compétent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information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faite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professionnel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avant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publication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journal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autre</w:t>
      </w:r>
      <w:r w:rsidR="00C75340">
        <w:t xml:space="preserve"> </w:t>
      </w:r>
      <w:proofErr w:type="spellStart"/>
      <w:r w:rsidRPr="00D86974">
        <w:t>média</w:t>
      </w:r>
      <w:proofErr w:type="spellEnd"/>
      <w:r w:rsidR="00C75340">
        <w:t xml:space="preserve"> </w:t>
      </w:r>
      <w:r w:rsidRPr="00D86974">
        <w:t>n’est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autorisée,</w:t>
      </w:r>
      <w:r w:rsidR="00C75340">
        <w:t xml:space="preserve"> </w:t>
      </w:r>
      <w:r w:rsidRPr="00D86974">
        <w:t>sauf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moment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trouve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état</w:t>
      </w:r>
      <w:r w:rsidR="00C75340">
        <w:t xml:space="preserve"> </w:t>
      </w:r>
      <w:r w:rsidRPr="00D86974">
        <w:t>de</w:t>
      </w:r>
      <w:r w:rsidR="00C57168">
        <w:t> </w:t>
      </w:r>
      <w:r w:rsidRPr="00D86974">
        <w:t>guerre</w:t>
      </w:r>
      <w:r w:rsidR="000E46EC">
        <w:t> ;</w:t>
      </w:r>
    </w:p>
    <w:p w14:paraId="03C398C8" w14:textId="62213822" w:rsidR="00C3295C" w:rsidRPr="00D86974" w:rsidRDefault="00C3295C" w:rsidP="00C3295C">
      <w:pPr>
        <w:pStyle w:val="SingleTxtG"/>
        <w:ind w:left="2268" w:hanging="567"/>
      </w:pPr>
      <w:r w:rsidRPr="00D86974">
        <w:t>3.</w:t>
      </w:r>
      <w:r w:rsidRPr="00D86974">
        <w:tab/>
        <w:t>L’État</w:t>
      </w:r>
      <w:r w:rsidR="00C75340">
        <w:t xml:space="preserve"> </w:t>
      </w:r>
      <w:r w:rsidRPr="00D86974">
        <w:t>n’accorde</w:t>
      </w:r>
      <w:r w:rsidR="00C75340">
        <w:t xml:space="preserve"> </w:t>
      </w:r>
      <w:r w:rsidRPr="00D86974">
        <w:t>aucune</w:t>
      </w:r>
      <w:r w:rsidR="00C75340">
        <w:t xml:space="preserve"> </w:t>
      </w:r>
      <w:r w:rsidRPr="00D86974">
        <w:t>subvention</w:t>
      </w:r>
      <w:r w:rsidR="00C75340">
        <w:t xml:space="preserve"> </w:t>
      </w:r>
      <w:r w:rsidRPr="00D86974">
        <w:t>sous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dons</w:t>
      </w:r>
      <w:r w:rsidR="00C75340">
        <w:t xml:space="preserve"> </w:t>
      </w:r>
      <w:r w:rsidRPr="00D86974">
        <w:t>d’argent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biens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journaux</w:t>
      </w:r>
      <w:r w:rsidR="00C75340">
        <w:t xml:space="preserve"> </w:t>
      </w:r>
      <w:r w:rsidRPr="00D86974">
        <w:t>privés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privés.</w:t>
      </w:r>
    </w:p>
    <w:p w14:paraId="01C8D1B4" w14:textId="44C2CB13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Droit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ne</w:t>
      </w:r>
      <w:r w:rsidR="00C75340">
        <w:rPr>
          <w:bCs/>
        </w:rPr>
        <w:t xml:space="preserve"> </w:t>
      </w:r>
      <w:r w:rsidRPr="00D86974">
        <w:rPr>
          <w:bCs/>
        </w:rPr>
        <w:t>pas</w:t>
      </w:r>
      <w:r w:rsidR="00C75340">
        <w:rPr>
          <w:bCs/>
        </w:rPr>
        <w:t xml:space="preserve"> </w:t>
      </w:r>
      <w:r w:rsidRPr="00D86974">
        <w:rPr>
          <w:bCs/>
        </w:rPr>
        <w:t>être</w:t>
      </w:r>
      <w:r w:rsidR="00C75340">
        <w:rPr>
          <w:bCs/>
        </w:rPr>
        <w:t xml:space="preserve"> </w:t>
      </w:r>
      <w:r w:rsidRPr="00D86974">
        <w:rPr>
          <w:bCs/>
        </w:rPr>
        <w:t>soumis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l’esclavage</w:t>
      </w:r>
    </w:p>
    <w:p w14:paraId="10219DD7" w14:textId="20FC1594" w:rsidR="00C3295C" w:rsidRPr="00D86974" w:rsidRDefault="00C3295C" w:rsidP="00C3295C">
      <w:pPr>
        <w:pStyle w:val="SingleTxtG"/>
      </w:pPr>
      <w:r w:rsidRPr="00D86974">
        <w:t>107.</w:t>
      </w:r>
      <w:r w:rsidRPr="00D86974">
        <w:tab/>
        <w:t>L’esclavage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contraire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312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pénal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lutte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</w:t>
      </w:r>
      <w:r w:rsidR="00C75340">
        <w:t xml:space="preserve"> </w:t>
      </w:r>
      <w:r w:rsidRPr="00D86974">
        <w:t>2551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(2008).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dernier</w:t>
      </w:r>
      <w:r w:rsidR="00C75340">
        <w:t xml:space="preserve"> </w:t>
      </w:r>
      <w:r w:rsidRPr="00D86974">
        <w:t>texte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récemment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modifié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l’action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lutter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nouvelles</w:t>
      </w:r>
      <w:r w:rsidR="00C75340">
        <w:t xml:space="preserve"> </w:t>
      </w:r>
      <w:r w:rsidRPr="00D86974">
        <w:t>dispositions</w:t>
      </w:r>
      <w:r w:rsidR="00C75340">
        <w:t xml:space="preserve"> </w:t>
      </w:r>
      <w:r w:rsidRPr="00D86974">
        <w:t>permettent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autorités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fermer</w:t>
      </w:r>
      <w:r w:rsidR="00C75340">
        <w:t xml:space="preserve"> </w:t>
      </w:r>
      <w:r w:rsidRPr="00D86974">
        <w:t>temporairement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commerciaux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usines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protègent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responsabilité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pénale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signalent,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foi,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manquements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loi.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nouvelles</w:t>
      </w:r>
      <w:r w:rsidR="00C75340">
        <w:t xml:space="preserve"> </w:t>
      </w:r>
      <w:r w:rsidRPr="00D86974">
        <w:t>modifications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ensuite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apportées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2019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traiter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question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efficacement,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donnant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définition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claire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«</w:t>
      </w:r>
      <w:r w:rsidR="00C57168">
        <w:t> 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0E46EC">
        <w:t> »</w:t>
      </w:r>
      <w:r w:rsidRPr="00D86974">
        <w:t>,</w:t>
      </w:r>
      <w:r w:rsidR="00C75340">
        <w:t xml:space="preserve"> </w:t>
      </w:r>
      <w:r w:rsidRPr="00D86974">
        <w:t>puis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mettant</w:t>
      </w:r>
      <w:r w:rsidR="00C75340">
        <w:t xml:space="preserve"> </w:t>
      </w:r>
      <w:r w:rsidRPr="00D86974">
        <w:t>l’accent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prévention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suppression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forcé,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recours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disposition.</w:t>
      </w:r>
    </w:p>
    <w:p w14:paraId="74B10477" w14:textId="4DB8C5C9" w:rsidR="00C3295C" w:rsidRPr="00D86974" w:rsidRDefault="00C3295C" w:rsidP="00C3295C">
      <w:pPr>
        <w:pStyle w:val="SingleTxtG"/>
      </w:pPr>
      <w:r w:rsidRPr="00D86974">
        <w:t>108.</w:t>
      </w:r>
      <w:r w:rsidRPr="00D86974">
        <w:tab/>
        <w:t>En</w:t>
      </w:r>
      <w:r w:rsidR="00C75340">
        <w:t xml:space="preserve"> </w:t>
      </w:r>
      <w:r w:rsidRPr="00D86974">
        <w:t>tant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d’origine,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transit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destination,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attire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nombreux</w:t>
      </w:r>
      <w:r w:rsidR="00C75340">
        <w:t xml:space="preserve"> </w:t>
      </w:r>
      <w:r w:rsidRPr="00D86974">
        <w:t>migrants,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voisins,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certains</w:t>
      </w:r>
      <w:r w:rsidR="00C75340">
        <w:t xml:space="preserve"> </w:t>
      </w:r>
      <w:r w:rsidRPr="00D86974">
        <w:t>risquent</w:t>
      </w:r>
      <w:r w:rsidR="00C75340">
        <w:t xml:space="preserve"> </w:t>
      </w:r>
      <w:r w:rsidRPr="00D86974">
        <w:t>d’être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d’exploitation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traite.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efforts</w:t>
      </w:r>
      <w:r w:rsidR="00C75340">
        <w:t xml:space="preserve"> </w:t>
      </w:r>
      <w:r w:rsidRPr="00D86974">
        <w:t>considérables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déployés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lutter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aider</w:t>
      </w:r>
      <w:r w:rsidR="00C75340">
        <w:t xml:space="preserve"> </w:t>
      </w:r>
      <w:r w:rsidRPr="00D86974">
        <w:t>ceux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victimes,</w:t>
      </w:r>
      <w:r w:rsidR="00C75340">
        <w:t xml:space="preserve"> </w:t>
      </w:r>
      <w:r w:rsidRPr="00D86974">
        <w:t>qu’il</w:t>
      </w:r>
      <w:r w:rsidR="00C75340">
        <w:t xml:space="preserve"> </w:t>
      </w:r>
      <w:r w:rsidRPr="00D86974">
        <w:t>s’agisse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ressortissants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migrants.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seront</w:t>
      </w:r>
      <w:r w:rsidR="00C75340">
        <w:t xml:space="preserve"> </w:t>
      </w:r>
      <w:r w:rsidRPr="00D86974">
        <w:t>autorisées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résider</w:t>
      </w:r>
      <w:r w:rsidR="00C75340">
        <w:t xml:space="preserve"> </w:t>
      </w:r>
      <w:r w:rsidRPr="00D86974">
        <w:t>temporairement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pendant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légales</w:t>
      </w:r>
      <w:r w:rsidR="00C75340">
        <w:t xml:space="preserve"> </w:t>
      </w:r>
      <w:r w:rsidRPr="00D86974">
        <w:t>pertinentes.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peuvent</w:t>
      </w:r>
      <w:r w:rsidR="00C75340">
        <w:t xml:space="preserve"> </w:t>
      </w:r>
      <w:r w:rsidRPr="00D86974">
        <w:t>choisir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séjourner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foyers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social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structures</w:t>
      </w:r>
      <w:r w:rsidR="00C75340">
        <w:t xml:space="preserve"> </w:t>
      </w:r>
      <w:r w:rsidRPr="00D86974">
        <w:t>gérées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gouvernementales</w:t>
      </w:r>
      <w:r w:rsidR="00C75340">
        <w:t xml:space="preserve"> </w:t>
      </w:r>
      <w:r w:rsidRPr="00D86974">
        <w:t>(ONG)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auront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possibilité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percevoir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revenu.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demeure</w:t>
      </w:r>
      <w:r w:rsidR="00C75340">
        <w:t xml:space="preserve"> </w:t>
      </w:r>
      <w:r w:rsidRPr="00D86974">
        <w:t>attachée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collaboration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d’origine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partenaires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assurer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favoriser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réintégration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travaillé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étroite</w:t>
      </w:r>
      <w:r w:rsidR="00C75340">
        <w:t xml:space="preserve"> </w:t>
      </w:r>
      <w:r w:rsidRPr="00D86974">
        <w:t>collaboration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ambassades</w:t>
      </w:r>
      <w:r w:rsidR="00C75340">
        <w:t xml:space="preserve"> </w:t>
      </w:r>
      <w:r w:rsidRPr="00D86974">
        <w:t>concernées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rapatrier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s’appuie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réunions</w:t>
      </w:r>
      <w:r w:rsidR="00C75340">
        <w:t xml:space="preserve"> </w:t>
      </w:r>
      <w:r w:rsidRPr="00D86974">
        <w:t>bilatérales</w:t>
      </w:r>
      <w:r w:rsidR="00C75340">
        <w:t xml:space="preserve"> </w:t>
      </w:r>
      <w:r w:rsidRPr="00D86974">
        <w:t>organisées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voisins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rapatriement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réintégration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assurer</w:t>
      </w:r>
      <w:r w:rsidR="00C75340">
        <w:t xml:space="preserve"> </w:t>
      </w:r>
      <w:r w:rsidRPr="00D86974">
        <w:t>efficacement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personnes,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d’échanges</w:t>
      </w:r>
      <w:r w:rsidR="00C75340">
        <w:t xml:space="preserve"> </w:t>
      </w:r>
      <w:r w:rsidRPr="00D86974">
        <w:t>d’informations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coordination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poursuites.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collaboré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privé,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ONG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humains.</w:t>
      </w:r>
    </w:p>
    <w:p w14:paraId="46054563" w14:textId="69F338D0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Entreprises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5343C00E" w14:textId="0FFD3AF6" w:rsidR="00C3295C" w:rsidRPr="00D86974" w:rsidRDefault="00C3295C" w:rsidP="00C3295C">
      <w:pPr>
        <w:pStyle w:val="SingleTxtG"/>
      </w:pPr>
      <w:r w:rsidRPr="00D86974">
        <w:t>109.</w:t>
      </w:r>
      <w:r w:rsidRPr="00D86974">
        <w:tab/>
        <w:t>Le</w:t>
      </w:r>
      <w:r w:rsidR="00C75340">
        <w:t xml:space="preserve"> </w:t>
      </w:r>
      <w:r w:rsidRPr="00D86974">
        <w:t>31</w:t>
      </w:r>
      <w:r w:rsidR="00C57168">
        <w:t> </w:t>
      </w:r>
      <w:r w:rsidRPr="00D86974">
        <w:t>mai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ministères</w:t>
      </w:r>
      <w:r w:rsidR="00C75340">
        <w:t xml:space="preserve"> </w:t>
      </w:r>
      <w:r w:rsidRPr="00D86974">
        <w:t>concernés,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chambres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commerce,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réseau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Pacte</w:t>
      </w:r>
      <w:r w:rsidR="00C75340">
        <w:t xml:space="preserve"> </w:t>
      </w:r>
      <w:r w:rsidRPr="00D86974">
        <w:t>mondial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signé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directeurs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entreprises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692BB1CD" w14:textId="68F326F2" w:rsidR="00C3295C" w:rsidRPr="00D86974" w:rsidRDefault="00C3295C" w:rsidP="00C3295C">
      <w:pPr>
        <w:pStyle w:val="SingleTxtG"/>
      </w:pPr>
      <w:r w:rsidRPr="00D86974">
        <w:t>110.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d’Asie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adopter,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29</w:t>
      </w:r>
      <w:r w:rsidR="00C57168">
        <w:t> </w:t>
      </w:r>
      <w:r w:rsidRPr="00D86974">
        <w:t>octobre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d’action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entreprises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comporte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domaines</w:t>
      </w:r>
      <w:r w:rsidR="00C75340">
        <w:t xml:space="preserve"> </w:t>
      </w:r>
      <w:r w:rsidRPr="00D86974">
        <w:t>prioritaires</w:t>
      </w:r>
      <w:r w:rsidR="000E46EC">
        <w:t> :</w:t>
      </w:r>
      <w:r w:rsidR="00C75340">
        <w:t xml:space="preserve"> </w:t>
      </w:r>
      <w:r w:rsidRPr="00D86974">
        <w:t>1)</w:t>
      </w:r>
      <w:r w:rsidR="00C57168">
        <w:t> </w:t>
      </w:r>
      <w:r w:rsidRPr="00D86974">
        <w:t>le</w:t>
      </w:r>
      <w:r w:rsidR="00C75340">
        <w:t xml:space="preserve"> </w:t>
      </w:r>
      <w:r w:rsidRPr="00D86974">
        <w:t>travail</w:t>
      </w:r>
      <w:r w:rsidR="00C57168">
        <w:t> ;</w:t>
      </w:r>
      <w:r w:rsidR="00C75340">
        <w:t xml:space="preserve"> </w:t>
      </w:r>
      <w:r w:rsidRPr="00D86974">
        <w:t>2)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terres,</w:t>
      </w:r>
      <w:r w:rsidR="00C75340">
        <w:t xml:space="preserve"> </w:t>
      </w:r>
      <w:r w:rsidRPr="00D86974">
        <w:t>l’environnement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ressources</w:t>
      </w:r>
      <w:r w:rsidR="00C75340">
        <w:t xml:space="preserve"> </w:t>
      </w:r>
      <w:r w:rsidRPr="00D86974">
        <w:t>naturelles</w:t>
      </w:r>
      <w:r w:rsidR="00C57168">
        <w:t> ;</w:t>
      </w:r>
      <w:r w:rsidR="00C75340">
        <w:t xml:space="preserve"> </w:t>
      </w:r>
      <w:r w:rsidRPr="00D86974">
        <w:t>3)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57168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4)</w:t>
      </w:r>
      <w:r w:rsidR="00C57168">
        <w:t> </w:t>
      </w:r>
      <w:r w:rsidRPr="00D86974">
        <w:t>les</w:t>
      </w:r>
      <w:r w:rsidR="00C75340">
        <w:t xml:space="preserve"> </w:t>
      </w:r>
      <w:r w:rsidRPr="00D86974">
        <w:t>investissements</w:t>
      </w:r>
      <w:r w:rsidR="00C75340">
        <w:t xml:space="preserve"> </w:t>
      </w:r>
      <w:r w:rsidRPr="00D86974">
        <w:t>transfrontières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entreprises</w:t>
      </w:r>
      <w:r w:rsidR="00C75340">
        <w:t xml:space="preserve"> </w:t>
      </w:r>
      <w:r w:rsidRPr="00D86974">
        <w:t>multinationales.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multipartite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créé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prescrire,</w:t>
      </w:r>
      <w:r w:rsidR="00C75340">
        <w:t xml:space="preserve"> </w:t>
      </w:r>
      <w:r w:rsidRPr="00D86974">
        <w:t>préparer,</w:t>
      </w:r>
      <w:r w:rsidR="00C75340">
        <w:t xml:space="preserve"> </w:t>
      </w:r>
      <w:r w:rsidRPr="00D86974">
        <w:t>suivre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analyser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Plan.</w:t>
      </w:r>
    </w:p>
    <w:p w14:paraId="4C50E1B5" w14:textId="3D039075" w:rsidR="00C3295C" w:rsidRPr="00D86974" w:rsidRDefault="00C3295C" w:rsidP="00C3295C">
      <w:pPr>
        <w:pStyle w:val="SingleTxtG"/>
      </w:pPr>
      <w:r w:rsidRPr="00D86974">
        <w:t>111.</w:t>
      </w:r>
      <w:r w:rsidRPr="00D86974">
        <w:tab/>
        <w:t>L’exécution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sera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soutenue,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autres,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l’OCDE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comportement</w:t>
      </w:r>
      <w:r w:rsidR="00C75340">
        <w:t xml:space="preserve"> </w:t>
      </w:r>
      <w:r w:rsidRPr="00D86974">
        <w:t>responsable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entreprises,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ans</w:t>
      </w:r>
      <w:r w:rsidR="00C75340">
        <w:t xml:space="preserve"> </w:t>
      </w:r>
      <w:r w:rsidRPr="00D86974">
        <w:t>étant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d’élaboration.</w:t>
      </w:r>
    </w:p>
    <w:p w14:paraId="55EFCD98" w14:textId="007718F2" w:rsidR="00C3295C" w:rsidRPr="00D86974" w:rsidRDefault="00C3295C" w:rsidP="00C3295C">
      <w:pPr>
        <w:pStyle w:val="H23G"/>
      </w:pPr>
      <w:r w:rsidRPr="00D86974">
        <w:lastRenderedPageBreak/>
        <w:tab/>
      </w:r>
      <w:r w:rsidRPr="00D86974">
        <w:tab/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groupes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population</w:t>
      </w:r>
      <w:r w:rsidR="00C75340">
        <w:rPr>
          <w:bCs/>
        </w:rPr>
        <w:t xml:space="preserve"> </w:t>
      </w:r>
      <w:r w:rsidRPr="00D86974">
        <w:rPr>
          <w:bCs/>
        </w:rPr>
        <w:t>particuliers</w:t>
      </w:r>
    </w:p>
    <w:p w14:paraId="6BAF2F2F" w14:textId="77777777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Enfants</w:t>
      </w:r>
    </w:p>
    <w:p w14:paraId="3AB21EA7" w14:textId="5D919621" w:rsidR="00C3295C" w:rsidRDefault="00C3295C" w:rsidP="00C3295C">
      <w:pPr>
        <w:pStyle w:val="SingleTxtG"/>
      </w:pPr>
      <w:r w:rsidRPr="00D86974">
        <w:t>112.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l’adolescent</w:t>
      </w:r>
      <w:r w:rsidR="00C75340">
        <w:t xml:space="preserve"> </w:t>
      </w:r>
      <w:r w:rsidRPr="00D86974">
        <w:t>2550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(2007)</w:t>
      </w:r>
      <w:r w:rsidR="00C75340">
        <w:t xml:space="preserve"> </w:t>
      </w:r>
      <w:r w:rsidRPr="00D86974">
        <w:t>promeut</w:t>
      </w:r>
      <w:r w:rsidR="00C75340">
        <w:t xml:space="preserve"> </w:t>
      </w:r>
      <w:r w:rsidRPr="00D86974">
        <w:t>l’intérêt</w:t>
      </w:r>
      <w:r w:rsidR="00C75340">
        <w:t xml:space="preserve"> </w:t>
      </w:r>
      <w:r w:rsidRPr="00D86974">
        <w:t>supérieur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fondamentaux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discrimination.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inculquer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éthique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valeurs,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lien</w:t>
      </w:r>
      <w:r w:rsidR="00C75340">
        <w:t xml:space="preserve"> </w:t>
      </w:r>
      <w:r w:rsidRPr="00D86974">
        <w:t>familial,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fierté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valeurs</w:t>
      </w:r>
      <w:r w:rsidR="00C75340">
        <w:t xml:space="preserve"> </w:t>
      </w:r>
      <w:r w:rsidRPr="00D86974">
        <w:t>démocratiques,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d’expression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participation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publique.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réaffirme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bénéficier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meilleurs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possibles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jouer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participer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culturelles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sociales.</w:t>
      </w:r>
    </w:p>
    <w:p w14:paraId="5E4EBAD1" w14:textId="0D88BF25" w:rsidR="00C3295C" w:rsidRDefault="00C3295C" w:rsidP="00C3295C">
      <w:pPr>
        <w:pStyle w:val="SingleTxtG"/>
      </w:pPr>
      <w:r w:rsidRPr="00D86974">
        <w:t>113.</w:t>
      </w:r>
      <w:r w:rsidRPr="00D86974">
        <w:tab/>
        <w:t>Le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l’adolescent</w:t>
      </w:r>
      <w:r w:rsidR="00C75340">
        <w:t xml:space="preserve"> </w:t>
      </w:r>
      <w:r w:rsidRPr="00D86974">
        <w:t>2560-2564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(2017-2021)</w:t>
      </w:r>
      <w:r w:rsidR="00C75340">
        <w:t xml:space="preserve"> </w:t>
      </w:r>
      <w:r w:rsidRPr="00D86974">
        <w:t>fournit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élaborer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conformes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douzième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principal</w:t>
      </w:r>
      <w:r w:rsidR="00C75340">
        <w:t xml:space="preserve"> </w:t>
      </w:r>
      <w:r w:rsidRPr="00D86974">
        <w:t>objectif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sorte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mènent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sûre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sécurisée,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physique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mentale,</w:t>
      </w:r>
      <w:r w:rsidR="00C75340">
        <w:t xml:space="preserve"> </w:t>
      </w:r>
      <w:r w:rsidRPr="00D86974">
        <w:t>disposent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éthique,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bonne</w:t>
      </w:r>
      <w:r w:rsidR="00C75340">
        <w:t xml:space="preserve"> </w:t>
      </w:r>
      <w:r w:rsidRPr="00D86974">
        <w:t>morale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sens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devoir</w:t>
      </w:r>
      <w:r w:rsidR="00C75340">
        <w:t xml:space="preserve"> </w:t>
      </w:r>
      <w:r w:rsidRPr="00D86974">
        <w:t>civique,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capables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s’exprimer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manière</w:t>
      </w:r>
      <w:r w:rsidR="00C75340">
        <w:t xml:space="preserve"> </w:t>
      </w:r>
      <w:r w:rsidRPr="00D86974">
        <w:t>créative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fondamentalement</w:t>
      </w:r>
      <w:r w:rsidR="00C75340">
        <w:t xml:space="preserve"> </w:t>
      </w:r>
      <w:r w:rsidRPr="00D86974">
        <w:t>heureux.</w:t>
      </w:r>
    </w:p>
    <w:p w14:paraId="0D61CF14" w14:textId="782E45E4" w:rsidR="00C3295C" w:rsidRPr="00D86974" w:rsidRDefault="00C3295C" w:rsidP="00C3295C">
      <w:pPr>
        <w:pStyle w:val="SingleTxtG"/>
      </w:pPr>
      <w:bookmarkStart w:id="17" w:name="_Ref51771110"/>
      <w:r w:rsidRPr="00D86974">
        <w:t>114.</w:t>
      </w:r>
      <w:r w:rsidRPr="00D86974">
        <w:tab/>
        <w:t>Un</w:t>
      </w:r>
      <w:r w:rsidR="00C75340">
        <w:t xml:space="preserve"> </w:t>
      </w:r>
      <w:r w:rsidRPr="00D86974">
        <w:t>décret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date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2005</w:t>
      </w:r>
      <w:r w:rsidR="00C75340">
        <w:t xml:space="preserve"> </w:t>
      </w:r>
      <w:r w:rsidRPr="00D86974">
        <w:t>dispose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quinze</w:t>
      </w:r>
      <w:r w:rsidR="00C75340">
        <w:t xml:space="preserve"> </w:t>
      </w:r>
      <w:r w:rsidRPr="00D86974">
        <w:t>années</w:t>
      </w:r>
      <w:r w:rsidR="00C75340">
        <w:t xml:space="preserve"> </w:t>
      </w:r>
      <w:r w:rsidRPr="00D86974">
        <w:t>d’instruction</w:t>
      </w:r>
      <w:r w:rsidR="00C75340">
        <w:t xml:space="preserve"> </w:t>
      </w:r>
      <w:r w:rsidRPr="00D86974">
        <w:t>élémentaire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aucune,</w:t>
      </w:r>
      <w:r w:rsidR="00C75340">
        <w:t xml:space="preserve"> </w:t>
      </w:r>
      <w:r w:rsidRPr="00D86974">
        <w:t>quelle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s’ils</w:t>
      </w:r>
      <w:r w:rsidR="00C75340">
        <w:t xml:space="preserve"> </w:t>
      </w:r>
      <w:r w:rsidRPr="00D86974">
        <w:t>n’ont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documents</w:t>
      </w:r>
      <w:r w:rsidR="00C75340">
        <w:t xml:space="preserve"> </w:t>
      </w:r>
      <w:r w:rsidRPr="00D86974">
        <w:t>justifiant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statut,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tous.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alloue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subvention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élève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participent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réalisation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cet</w:t>
      </w:r>
      <w:r w:rsidR="00C75340">
        <w:t xml:space="preserve"> </w:t>
      </w:r>
      <w:r w:rsidRPr="00D86974">
        <w:t>objectif.</w:t>
      </w:r>
      <w:bookmarkEnd w:id="17"/>
    </w:p>
    <w:p w14:paraId="7C51DBFF" w14:textId="3332476C" w:rsidR="00C3295C" w:rsidRDefault="00C3295C" w:rsidP="00C3295C">
      <w:pPr>
        <w:pStyle w:val="SingleTxtG"/>
      </w:pPr>
      <w:bookmarkStart w:id="18" w:name="_Ref51770753"/>
      <w:r w:rsidRPr="00D86974">
        <w:t>115.</w:t>
      </w:r>
      <w:r w:rsidRPr="00D86974">
        <w:tab/>
        <w:t>Le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équitable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créé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2018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d’éducation,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vigueur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14</w:t>
      </w:r>
      <w:r w:rsidR="00C57168">
        <w:t> </w:t>
      </w:r>
      <w:r w:rsidRPr="00D86974">
        <w:t>mai</w:t>
      </w:r>
      <w:r w:rsidR="00C75340">
        <w:t xml:space="preserve"> </w:t>
      </w:r>
      <w:r w:rsidRPr="00D86974">
        <w:t>2018.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constitue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outil</w:t>
      </w:r>
      <w:r w:rsidR="00C75340">
        <w:t xml:space="preserve"> </w:t>
      </w:r>
      <w:r w:rsidRPr="00D86974">
        <w:t>important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inégalités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étendre</w:t>
      </w:r>
      <w:r w:rsidR="00C75340">
        <w:t xml:space="preserve"> </w:t>
      </w:r>
      <w:r w:rsidRPr="00D86974">
        <w:t>l’éventail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possibilités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d’enseignement.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répond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défavorisées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recevoir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éducation</w:t>
      </w:r>
      <w:r w:rsidR="00C75340">
        <w:t xml:space="preserve"> </w:t>
      </w:r>
      <w:r w:rsidRPr="00D86974">
        <w:t>collective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permet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l’efficacité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enseignants.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finance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développer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compétences</w:t>
      </w:r>
      <w:r w:rsidR="00C75340">
        <w:t xml:space="preserve"> </w:t>
      </w:r>
      <w:r w:rsidRPr="00D86974">
        <w:t>professionnelles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compétences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courante.</w:t>
      </w:r>
      <w:bookmarkEnd w:id="18"/>
    </w:p>
    <w:p w14:paraId="6B71CC81" w14:textId="06522310" w:rsidR="00C3295C" w:rsidRPr="00D86974" w:rsidRDefault="00C3295C" w:rsidP="00C3295C">
      <w:pPr>
        <w:pStyle w:val="SingleTxtG"/>
      </w:pPr>
      <w:r w:rsidRPr="00D86974">
        <w:t>116.</w:t>
      </w:r>
      <w:r w:rsidRPr="00D86974">
        <w:tab/>
        <w:t>L’article</w:t>
      </w:r>
      <w:r w:rsidR="00C75340">
        <w:t xml:space="preserve"> </w:t>
      </w:r>
      <w:r w:rsidRPr="00D86974">
        <w:t>287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pénal</w:t>
      </w:r>
      <w:r w:rsidR="00C75340">
        <w:t xml:space="preserve"> </w:t>
      </w:r>
      <w:r w:rsidRPr="00D86974">
        <w:t>érige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pornographie</w:t>
      </w:r>
      <w:r w:rsidR="00C75340">
        <w:t xml:space="preserve"> </w:t>
      </w:r>
      <w:r w:rsidRPr="00D86974">
        <w:t>mettant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scène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infraction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prévoit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sanctions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auteurs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actes.</w:t>
      </w:r>
    </w:p>
    <w:p w14:paraId="07BF6F45" w14:textId="43BB7DBC" w:rsidR="00C3295C" w:rsidRPr="00D86974" w:rsidRDefault="00C3295C" w:rsidP="00C3295C">
      <w:pPr>
        <w:pStyle w:val="SingleTxtG"/>
      </w:pPr>
      <w:r w:rsidRPr="00D86974">
        <w:t>117.</w:t>
      </w:r>
      <w:r w:rsidRPr="00D86974">
        <w:tab/>
        <w:t>Le</w:t>
      </w:r>
      <w:r w:rsidR="00C75340">
        <w:t xml:space="preserve"> </w:t>
      </w:r>
      <w:r w:rsidRPr="00D86974">
        <w:t>21</w:t>
      </w:r>
      <w:r w:rsidR="00C57168">
        <w:t> </w:t>
      </w:r>
      <w:r w:rsidRPr="00D86974">
        <w:t>janvier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sept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signé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mémorandum</w:t>
      </w:r>
      <w:r w:rsidR="00C75340">
        <w:t xml:space="preserve"> </w:t>
      </w:r>
      <w:r w:rsidRPr="00D86974">
        <w:t>d’accord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détermination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démarches</w:t>
      </w:r>
      <w:r w:rsidR="00C75340">
        <w:t xml:space="preserve"> </w:t>
      </w:r>
      <w:r w:rsidRPr="00D86974">
        <w:t>remplaçant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d’immigration.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mémorandum</w:t>
      </w:r>
      <w:r w:rsidR="00C75340">
        <w:t xml:space="preserve"> </w:t>
      </w:r>
      <w:r w:rsidRPr="00D86974">
        <w:t>d’accord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définir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responsabilités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fournir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communes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intégrer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procédures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non-détention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migrants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18</w:t>
      </w:r>
      <w:r w:rsidR="00DB2064">
        <w:t> </w:t>
      </w:r>
      <w:r w:rsidRPr="00D86974">
        <w:t>ans.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lieu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rester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d’immigration,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mères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tuteurs</w:t>
      </w:r>
      <w:r w:rsidR="00C75340">
        <w:t xml:space="preserve"> </w:t>
      </w:r>
      <w:r w:rsidRPr="00D86974">
        <w:t>seront</w:t>
      </w:r>
      <w:r w:rsidR="00C75340">
        <w:t xml:space="preserve"> </w:t>
      </w:r>
      <w:r w:rsidRPr="00D86974">
        <w:t>confiés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social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privées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attendant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trouvées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solutions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long</w:t>
      </w:r>
      <w:r w:rsidR="00C75340">
        <w:t xml:space="preserve"> </w:t>
      </w:r>
      <w:r w:rsidRPr="00D86974">
        <w:t>terme.</w:t>
      </w:r>
    </w:p>
    <w:p w14:paraId="561C6E06" w14:textId="77777777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Femmes</w:t>
      </w:r>
      <w:bookmarkStart w:id="19" w:name="_Ref45066190"/>
    </w:p>
    <w:p w14:paraId="1BB5D2B8" w14:textId="054E60B3" w:rsidR="00C3295C" w:rsidRDefault="00C3295C" w:rsidP="00C3295C">
      <w:pPr>
        <w:pStyle w:val="SingleTxtG"/>
      </w:pPr>
      <w:r w:rsidRPr="00D86974">
        <w:t>118.</w:t>
      </w:r>
      <w:r w:rsidRPr="00D86974">
        <w:tab/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renforcé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législation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pertinentes,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sexes</w:t>
      </w:r>
      <w:r w:rsidR="00C75340">
        <w:t xml:space="preserve"> </w:t>
      </w:r>
      <w:r w:rsidRPr="00D86974">
        <w:t>(2015),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sociale</w:t>
      </w:r>
      <w:r w:rsidR="00C75340">
        <w:t xml:space="preserve"> </w:t>
      </w:r>
      <w:r w:rsidRPr="00D86974">
        <w:t>(1990)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modifiée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(2008),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chances</w:t>
      </w:r>
      <w:r w:rsidR="00C75340">
        <w:t xml:space="preserve"> </w:t>
      </w:r>
      <w:r w:rsidRPr="00D86974">
        <w:t>économiques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garantir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rémunérations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hommes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femmes.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créé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l’autonomisation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thaïlandaises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huit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éducatifs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famille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pays.</w:t>
      </w:r>
    </w:p>
    <w:p w14:paraId="29619DF5" w14:textId="1C875FC5" w:rsidR="00C3295C" w:rsidRDefault="00C3295C" w:rsidP="00C3295C">
      <w:pPr>
        <w:pStyle w:val="SingleTxtG"/>
      </w:pPr>
      <w:r w:rsidRPr="00D86974">
        <w:t>119.</w:t>
      </w:r>
      <w:r w:rsidRPr="00D86974">
        <w:tab/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identifié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filles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groupe</w:t>
      </w:r>
      <w:r w:rsidR="00C75340">
        <w:t xml:space="preserve"> </w:t>
      </w:r>
      <w:r w:rsidRPr="00D86974">
        <w:t>cible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prévu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stratégies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obligations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Stratégie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femme</w:t>
      </w:r>
      <w:r w:rsidR="00C75340">
        <w:t xml:space="preserve"> </w:t>
      </w:r>
      <w:r w:rsidRPr="00D86974">
        <w:t>(2017-2021)</w:t>
      </w:r>
      <w:r w:rsidR="00C75340">
        <w:t xml:space="preserve"> </w:t>
      </w:r>
      <w:r w:rsidRPr="00D86974">
        <w:t>établit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feuille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route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progresser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sexes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l’autonomisation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intégrant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l’élimination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l’égard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d’action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Beijing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l’horizon</w:t>
      </w:r>
      <w:r w:rsidR="00C75340">
        <w:t xml:space="preserve"> </w:t>
      </w:r>
      <w:r w:rsidRPr="00D86974">
        <w:t>2030.</w:t>
      </w:r>
      <w:bookmarkEnd w:id="19"/>
    </w:p>
    <w:p w14:paraId="20F593ED" w14:textId="77777777" w:rsidR="00C3295C" w:rsidRPr="00D86974" w:rsidRDefault="00C3295C" w:rsidP="00C3295C">
      <w:pPr>
        <w:pStyle w:val="H4G"/>
      </w:pPr>
      <w:r w:rsidRPr="00D86974">
        <w:lastRenderedPageBreak/>
        <w:tab/>
      </w:r>
      <w:r w:rsidRPr="00D86974">
        <w:tab/>
      </w:r>
      <w:r w:rsidRPr="00D86974">
        <w:rPr>
          <w:iCs/>
        </w:rPr>
        <w:t>LGBT</w:t>
      </w:r>
    </w:p>
    <w:p w14:paraId="0838AF5C" w14:textId="04E25D77" w:rsidR="00C3295C" w:rsidRPr="00D86974" w:rsidRDefault="00C3295C" w:rsidP="00C3295C">
      <w:pPr>
        <w:pStyle w:val="SingleTxtG"/>
      </w:pPr>
      <w:r w:rsidRPr="00D86974">
        <w:t>120.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sexes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texte</w:t>
      </w:r>
      <w:r w:rsidR="00C75340">
        <w:t xml:space="preserve"> </w:t>
      </w:r>
      <w:r w:rsidRPr="00D86974">
        <w:t>législatif</w:t>
      </w:r>
      <w:r w:rsidR="00C75340">
        <w:t xml:space="preserve"> </w:t>
      </w:r>
      <w:r w:rsidRPr="00D86974">
        <w:t>important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lutter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fondée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genre,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soit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homme,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femme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genre</w:t>
      </w:r>
      <w:r w:rsidR="00C75340">
        <w:t xml:space="preserve"> </w:t>
      </w:r>
      <w:r w:rsidRPr="00D86974">
        <w:t>différent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sexe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naissance.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établit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mécanismes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rationaliser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connexes,</w:t>
      </w:r>
      <w:r w:rsidR="00C75340">
        <w:t xml:space="preserve"> </w:t>
      </w:r>
      <w:r w:rsidRPr="00D86974">
        <w:t>superviser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pétitions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offrir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recours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fondée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sexe.</w:t>
      </w:r>
    </w:p>
    <w:p w14:paraId="01AC221C" w14:textId="6E166C98" w:rsidR="00C3295C" w:rsidRPr="00D86974" w:rsidRDefault="00C3295C" w:rsidP="00C3295C">
      <w:pPr>
        <w:pStyle w:val="SingleTxtG"/>
      </w:pPr>
      <w:r w:rsidRPr="00D86974">
        <w:t>121.</w:t>
      </w:r>
      <w:r w:rsidRPr="00D86974">
        <w:tab/>
        <w:t>Le</w:t>
      </w:r>
      <w:r w:rsidR="00C75340">
        <w:t xml:space="preserve"> </w:t>
      </w:r>
      <w:r w:rsidR="00DB2064">
        <w:t>quatrième 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(2019-2023)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acteurs</w:t>
      </w:r>
      <w:r w:rsidR="00C75340">
        <w:t xml:space="preserve"> </w:t>
      </w:r>
      <w:r w:rsidRPr="00D86974">
        <w:t>s’engagent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sexes,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essentiel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parvenir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durable.</w:t>
      </w:r>
    </w:p>
    <w:p w14:paraId="43A53CCD" w14:textId="7B9ADFDA" w:rsidR="00C3295C" w:rsidRPr="00D86974" w:rsidRDefault="00C3295C" w:rsidP="00C3295C">
      <w:pPr>
        <w:pStyle w:val="SingleTxtG"/>
      </w:pPr>
      <w:r w:rsidRPr="00D86974">
        <w:t>122.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élabore</w:t>
      </w:r>
      <w:r w:rsidR="00C75340">
        <w:t xml:space="preserve"> </w:t>
      </w:r>
      <w:r w:rsidRPr="00D86974">
        <w:t>actuellement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partenariat</w:t>
      </w:r>
      <w:r w:rsidR="00C75340">
        <w:t xml:space="preserve"> </w:t>
      </w:r>
      <w:r w:rsidRPr="00D86974">
        <w:t>civil,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garantir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légaux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LGBT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souhaitent</w:t>
      </w:r>
      <w:r w:rsidR="00C75340">
        <w:t xml:space="preserve"> </w:t>
      </w:r>
      <w:r w:rsidRPr="00D86974">
        <w:t>s’engager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tel</w:t>
      </w:r>
      <w:r w:rsidR="00C75340">
        <w:t xml:space="preserve"> </w:t>
      </w:r>
      <w:r w:rsidRPr="00D86974">
        <w:t>partenariat.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relation</w:t>
      </w:r>
      <w:r w:rsidR="00C75340">
        <w:t xml:space="preserve"> </w:t>
      </w:r>
      <w:r w:rsidRPr="00D86974">
        <w:t>juridique,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propriété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57168">
        <w:t> </w:t>
      </w:r>
      <w:r w:rsidRPr="00D86974">
        <w:t>succession.</w:t>
      </w:r>
    </w:p>
    <w:p w14:paraId="351A59E5" w14:textId="4243C293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Personnes</w:t>
      </w:r>
      <w:r w:rsidR="00C75340">
        <w:rPr>
          <w:iCs/>
        </w:rPr>
        <w:t xml:space="preserve"> </w:t>
      </w:r>
      <w:r w:rsidRPr="00D86974">
        <w:rPr>
          <w:iCs/>
        </w:rPr>
        <w:t>handicapées</w:t>
      </w:r>
    </w:p>
    <w:p w14:paraId="4EF7735E" w14:textId="6B1F8A5B" w:rsidR="00C3295C" w:rsidRPr="00D86974" w:rsidRDefault="00C3295C" w:rsidP="00C3295C">
      <w:pPr>
        <w:pStyle w:val="SingleTxtG"/>
      </w:pPr>
      <w:r w:rsidRPr="00D86974">
        <w:t>123.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l’autonomisation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2550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(2007),</w:t>
      </w:r>
      <w:r w:rsidR="00C75340">
        <w:t xml:space="preserve"> </w:t>
      </w:r>
      <w:r w:rsidRPr="00D86974">
        <w:t>telle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modifiée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2013,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jouissent</w:t>
      </w:r>
      <w:r w:rsidR="00C75340">
        <w:t xml:space="preserve"> </w:t>
      </w:r>
      <w:r w:rsidRPr="00D86974">
        <w:t>pleinement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mêmes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fondamentaux.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protège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déloyale.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d’accéder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installations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utiliser,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médicaux,</w:t>
      </w:r>
      <w:r w:rsidR="00C75340">
        <w:t xml:space="preserve"> </w:t>
      </w:r>
      <w:r w:rsidRPr="00D86974">
        <w:t>d’éducation,</w:t>
      </w:r>
      <w:r w:rsidR="00C75340">
        <w:t xml:space="preserve"> </w:t>
      </w:r>
      <w:r w:rsidRPr="00D86974">
        <w:t>d’emploi,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prestations</w:t>
      </w:r>
      <w:r w:rsidR="00C75340">
        <w:t xml:space="preserve"> </w:t>
      </w:r>
      <w:r w:rsidRPr="00D86974">
        <w:t>sociales,</w:t>
      </w:r>
      <w:r w:rsidR="00C75340">
        <w:t xml:space="preserve"> </w:t>
      </w:r>
      <w:r w:rsidRPr="00D86974">
        <w:t>d’interprétation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langue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signes,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disposition</w:t>
      </w:r>
      <w:r w:rsidR="00C75340">
        <w:t xml:space="preserve"> </w:t>
      </w:r>
      <w:r w:rsidRPr="00D86974">
        <w:t>d’assistants</w:t>
      </w:r>
      <w:r w:rsidR="00C75340">
        <w:t xml:space="preserve"> </w:t>
      </w:r>
      <w:r w:rsidRPr="00D86974">
        <w:t>personnels,</w:t>
      </w:r>
      <w:r w:rsidR="00C75340">
        <w:t xml:space="preserve"> </w:t>
      </w:r>
      <w:r w:rsidRPr="00D86974">
        <w:t>d’aménagement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domicile,</w:t>
      </w:r>
      <w:r w:rsidR="00C75340">
        <w:t xml:space="preserve"> </w:t>
      </w:r>
      <w:r w:rsidRPr="00D86974">
        <w:t>d’accessibilité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l’information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technologies</w:t>
      </w:r>
      <w:r w:rsidR="00C75340">
        <w:t xml:space="preserve"> </w:t>
      </w:r>
      <w:r w:rsidRPr="00D86974">
        <w:t>d’assistance.</w:t>
      </w:r>
    </w:p>
    <w:p w14:paraId="0611BA70" w14:textId="0E14CDFD" w:rsidR="00C3295C" w:rsidRPr="00D86974" w:rsidRDefault="00C3295C" w:rsidP="00C3295C">
      <w:pPr>
        <w:pStyle w:val="SingleTxtG"/>
      </w:pPr>
      <w:r w:rsidRPr="00D86974">
        <w:t>124.</w:t>
      </w:r>
      <w:r w:rsidRPr="00D86974">
        <w:tab/>
        <w:t>L’actuel</w:t>
      </w:r>
      <w:r w:rsidR="00C75340">
        <w:t xml:space="preserve"> </w:t>
      </w:r>
      <w:r w:rsidRPr="00D86974">
        <w:t>cinquième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l’autonomisation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(2017-2020)</w:t>
      </w:r>
      <w:r w:rsidR="00C75340">
        <w:t xml:space="preserve"> </w:t>
      </w:r>
      <w:r w:rsidRPr="00D86974">
        <w:t>établit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global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concernés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met</w:t>
      </w:r>
      <w:r w:rsidR="00C75340">
        <w:t xml:space="preserve"> </w:t>
      </w:r>
      <w:r w:rsidRPr="00D86974">
        <w:t>l’accent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renforcement</w:t>
      </w:r>
      <w:r w:rsidR="00C75340">
        <w:t xml:space="preserve"> </w:t>
      </w:r>
      <w:r w:rsidRPr="00D86974">
        <w:t>durable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moyens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permettent</w:t>
      </w:r>
      <w:r w:rsidR="00C75340">
        <w:t xml:space="preserve"> </w:t>
      </w:r>
      <w:r w:rsidRPr="00D86974">
        <w:t>d’exercer</w:t>
      </w:r>
      <w:r w:rsidR="00C75340">
        <w:t xml:space="preserve"> </w:t>
      </w:r>
      <w:r w:rsidRPr="00D86974">
        <w:t>pleinement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équitablement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l’accessibilité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environnement,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outils</w:t>
      </w:r>
      <w:r w:rsidR="00C75340">
        <w:t xml:space="preserve"> </w:t>
      </w:r>
      <w:r w:rsidRPr="00D86974">
        <w:t>technologiques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centres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zones</w:t>
      </w:r>
      <w:r w:rsidR="00C75340">
        <w:t xml:space="preserve"> </w:t>
      </w:r>
      <w:r w:rsidRPr="00D86974">
        <w:t>rurales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reculées.</w:t>
      </w:r>
    </w:p>
    <w:p w14:paraId="712A13A1" w14:textId="2690465F" w:rsidR="00C3295C" w:rsidRDefault="00C3295C" w:rsidP="00C3295C">
      <w:pPr>
        <w:pStyle w:val="SingleTxtG"/>
      </w:pPr>
      <w:r w:rsidRPr="00D86974">
        <w:t>125.</w:t>
      </w:r>
      <w:r w:rsidRPr="00D86974">
        <w:tab/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domaine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l’emploi,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décret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2558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(2015)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27</w:t>
      </w:r>
      <w:r w:rsidR="00C57168">
        <w:t> </w:t>
      </w:r>
      <w:r w:rsidRPr="00D86974">
        <w:t>octobre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exige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comptant</w:t>
      </w:r>
      <w:r w:rsidR="00C75340">
        <w:t xml:space="preserve"> </w:t>
      </w:r>
      <w:r w:rsidRPr="00D86974">
        <w:t>100</w:t>
      </w:r>
      <w:r w:rsidR="00C57168">
        <w:t> </w:t>
      </w:r>
      <w:r w:rsidRPr="00D86974">
        <w:t>employés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embauchent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selon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ratio</w:t>
      </w:r>
      <w:r w:rsidR="00C75340">
        <w:t xml:space="preserve"> </w:t>
      </w:r>
      <w:r w:rsidRPr="00D86974">
        <w:t>prévu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loi.</w:t>
      </w:r>
    </w:p>
    <w:p w14:paraId="7640097C" w14:textId="340C13EF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Prisonniers</w:t>
      </w:r>
      <w:r w:rsidR="00C75340">
        <w:rPr>
          <w:iCs/>
        </w:rPr>
        <w:t xml:space="preserve"> </w:t>
      </w:r>
      <w:r w:rsidRPr="00D86974">
        <w:rPr>
          <w:iCs/>
        </w:rPr>
        <w:t>et</w:t>
      </w:r>
      <w:r w:rsidR="00C75340">
        <w:rPr>
          <w:iCs/>
        </w:rPr>
        <w:t xml:space="preserve"> </w:t>
      </w:r>
      <w:r w:rsidRPr="00D86974">
        <w:rPr>
          <w:iCs/>
        </w:rPr>
        <w:t>personnes</w:t>
      </w:r>
      <w:r w:rsidR="00C75340">
        <w:rPr>
          <w:iCs/>
        </w:rPr>
        <w:t xml:space="preserve"> </w:t>
      </w:r>
      <w:r w:rsidRPr="00D86974">
        <w:rPr>
          <w:iCs/>
        </w:rPr>
        <w:t>en</w:t>
      </w:r>
      <w:r w:rsidR="00C75340">
        <w:rPr>
          <w:iCs/>
        </w:rPr>
        <w:t xml:space="preserve"> </w:t>
      </w:r>
      <w:r w:rsidRPr="00D86974">
        <w:rPr>
          <w:iCs/>
        </w:rPr>
        <w:t>détention</w:t>
      </w:r>
    </w:p>
    <w:p w14:paraId="11B8DFF2" w14:textId="21CADA6C" w:rsidR="00C3295C" w:rsidRDefault="00C3295C" w:rsidP="00C3295C">
      <w:pPr>
        <w:pStyle w:val="SingleTxtG"/>
      </w:pPr>
      <w:r w:rsidRPr="00D86974">
        <w:t>126.</w:t>
      </w:r>
      <w:r w:rsidRPr="00D86974">
        <w:tab/>
        <w:t>La</w:t>
      </w:r>
      <w:r w:rsidR="00C75340">
        <w:t xml:space="preserve"> </w:t>
      </w:r>
      <w:r w:rsidRPr="00D86974">
        <w:t>nouvelle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pénitentiaires</w:t>
      </w:r>
      <w:r w:rsidR="00C75340">
        <w:t xml:space="preserve"> </w:t>
      </w:r>
      <w:r w:rsidRPr="00D86974">
        <w:t>garantit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détenus,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l’Ensemble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minima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traitement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détenus,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Nelson</w:t>
      </w:r>
      <w:r w:rsidR="00C75340">
        <w:t xml:space="preserve"> </w:t>
      </w:r>
      <w:r w:rsidRPr="00D86974">
        <w:t>Mandela,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connexes.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juillet</w:t>
      </w:r>
      <w:r w:rsidR="00C75340">
        <w:t xml:space="preserve"> </w:t>
      </w:r>
      <w:r w:rsidRPr="00D86974">
        <w:t>2016,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pilote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mettre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Nelson</w:t>
      </w:r>
      <w:r w:rsidR="00C75340">
        <w:t xml:space="preserve"> </w:t>
      </w:r>
      <w:r w:rsidRPr="00D86974">
        <w:t>Mandela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maison</w:t>
      </w:r>
      <w:r w:rsidR="00C75340">
        <w:t xml:space="preserve"> </w:t>
      </w:r>
      <w:r w:rsidRPr="00D86974">
        <w:t>d’arrêt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Thonburi.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d’extension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prisons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correctionnels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Thaïlande.</w:t>
      </w:r>
    </w:p>
    <w:p w14:paraId="7C74112A" w14:textId="78BF583D" w:rsidR="00C3295C" w:rsidRPr="00D86974" w:rsidRDefault="00C3295C" w:rsidP="00C3295C">
      <w:pPr>
        <w:pStyle w:val="SingleTxtG"/>
      </w:pPr>
      <w:bookmarkStart w:id="20" w:name="_Ref41082581"/>
      <w:r w:rsidRPr="00D86974">
        <w:t>127.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joué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rôle</w:t>
      </w:r>
      <w:r w:rsidR="00C75340">
        <w:t xml:space="preserve"> </w:t>
      </w:r>
      <w:r w:rsidRPr="00D86974">
        <w:t>majeur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traitement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détenues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l’imposition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privatives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délinquantes</w:t>
      </w:r>
      <w:r w:rsidR="00C75340">
        <w:t xml:space="preserve"> </w:t>
      </w:r>
      <w:r w:rsidRPr="00D86974">
        <w:t>(Règles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Bangkok),</w:t>
      </w:r>
      <w:r w:rsidR="00C75340">
        <w:t xml:space="preserve"> </w:t>
      </w:r>
      <w:r w:rsidRPr="00D86974">
        <w:t>inspirées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S.</w:t>
      </w:r>
      <w:r w:rsidR="00C57168">
        <w:t> </w:t>
      </w:r>
      <w:r w:rsidRPr="00D86974">
        <w:t>A.</w:t>
      </w:r>
      <w:r w:rsidR="00C57168">
        <w:t> </w:t>
      </w:r>
      <w:r w:rsidRPr="00D86974">
        <w:t>R.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Princesse</w:t>
      </w:r>
      <w:r w:rsidR="00C75340">
        <w:t xml:space="preserve"> </w:t>
      </w:r>
      <w:proofErr w:type="spellStart"/>
      <w:r w:rsidRPr="00D86974">
        <w:t>Bajrakitiyabha</w:t>
      </w:r>
      <w:proofErr w:type="spellEnd"/>
      <w:r w:rsidR="00C75340">
        <w:t xml:space="preserve"> </w:t>
      </w:r>
      <w:proofErr w:type="spellStart"/>
      <w:r w:rsidRPr="00D86974">
        <w:t>Narendira</w:t>
      </w:r>
      <w:proofErr w:type="spellEnd"/>
      <w:r w:rsidR="00C75340">
        <w:t xml:space="preserve"> </w:t>
      </w:r>
      <w:proofErr w:type="spellStart"/>
      <w:r w:rsidRPr="00D86974">
        <w:t>Debyavati</w:t>
      </w:r>
      <w:proofErr w:type="spellEnd"/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détenues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approuvées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l’Assemblée</w:t>
      </w:r>
      <w:r w:rsidR="00C75340">
        <w:t xml:space="preserve"> </w:t>
      </w:r>
      <w:r w:rsidRPr="00D86974">
        <w:t>générale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soixante-cinquième</w:t>
      </w:r>
      <w:r w:rsidR="00C75340">
        <w:t xml:space="preserve"> </w:t>
      </w:r>
      <w:r w:rsidRPr="00D86974">
        <w:t>session,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21</w:t>
      </w:r>
      <w:r w:rsidR="00C57168">
        <w:t> </w:t>
      </w:r>
      <w:r w:rsidRPr="00D86974">
        <w:t>décembre</w:t>
      </w:r>
      <w:r w:rsidR="00C75340">
        <w:t xml:space="preserve"> </w:t>
      </w:r>
      <w:r w:rsidRPr="00D86974">
        <w:t>2010.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fournissent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lignes</w:t>
      </w:r>
      <w:r w:rsidR="00C75340">
        <w:t xml:space="preserve"> </w:t>
      </w:r>
      <w:r w:rsidRPr="00D86974">
        <w:t>directrices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traitement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détenues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prisons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pays,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tenant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différences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sexes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spécifiques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femmes.</w:t>
      </w:r>
      <w:bookmarkEnd w:id="20"/>
    </w:p>
    <w:p w14:paraId="0BC378B0" w14:textId="68873398" w:rsidR="00C3295C" w:rsidRPr="00D86974" w:rsidRDefault="00C3295C" w:rsidP="00C3295C">
      <w:pPr>
        <w:pStyle w:val="SingleTxtG"/>
      </w:pPr>
      <w:bookmarkStart w:id="21" w:name="_Ref41082606"/>
      <w:r w:rsidRPr="00D86974">
        <w:t>128.</w:t>
      </w:r>
      <w:r w:rsidRPr="00D86974">
        <w:tab/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pénitentiaire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l’Institut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travaillé</w:t>
      </w:r>
      <w:r w:rsidR="00C75340">
        <w:t xml:space="preserve"> </w:t>
      </w:r>
      <w:r w:rsidRPr="00D86974">
        <w:t>ensemble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mettre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Bangkok.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2015,</w:t>
      </w:r>
      <w:r w:rsidR="00C75340">
        <w:t xml:space="preserve"> </w:t>
      </w:r>
      <w:r w:rsidRPr="00D86974">
        <w:t>six</w:t>
      </w:r>
      <w:r w:rsidR="00C75340">
        <w:t xml:space="preserve"> </w:t>
      </w:r>
      <w:r w:rsidRPr="00D86974">
        <w:t>prisons</w:t>
      </w:r>
      <w:r w:rsidR="00C75340">
        <w:t xml:space="preserve"> </w:t>
      </w:r>
      <w:r w:rsidRPr="00D86974">
        <w:t>modèles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travers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adopté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Règles.</w:t>
      </w:r>
      <w:bookmarkEnd w:id="21"/>
    </w:p>
    <w:p w14:paraId="64F9B84D" w14:textId="1E4E48CF" w:rsidR="00C3295C" w:rsidRPr="00090F16" w:rsidRDefault="00C3295C" w:rsidP="000C6F67">
      <w:pPr>
        <w:pStyle w:val="SingleTxtG"/>
        <w:keepLines/>
      </w:pPr>
      <w:r w:rsidRPr="00090F16">
        <w:t>129.</w:t>
      </w:r>
      <w:r w:rsidRPr="00090F16">
        <w:tab/>
        <w:t>Conscient</w:t>
      </w:r>
      <w:r w:rsidR="00C75340" w:rsidRPr="00090F16">
        <w:t xml:space="preserve"> </w:t>
      </w:r>
      <w:r w:rsidRPr="00090F16">
        <w:t>du</w:t>
      </w:r>
      <w:r w:rsidR="00C75340" w:rsidRPr="00090F16">
        <w:t xml:space="preserve"> </w:t>
      </w:r>
      <w:r w:rsidRPr="00090F16">
        <w:t>problème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surpopulation</w:t>
      </w:r>
      <w:r w:rsidR="00C75340" w:rsidRPr="00090F16">
        <w:t xml:space="preserve"> </w:t>
      </w:r>
      <w:r w:rsidRPr="00090F16">
        <w:t>dans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lieux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placés</w:t>
      </w:r>
      <w:r w:rsidR="00C75340" w:rsidRPr="00090F16">
        <w:t xml:space="preserve"> </w:t>
      </w:r>
      <w:r w:rsidRPr="00090F16">
        <w:t>sous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responsabilité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Direction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l’administration</w:t>
      </w:r>
      <w:r w:rsidR="00C75340" w:rsidRPr="00090F16">
        <w:t xml:space="preserve"> </w:t>
      </w:r>
      <w:r w:rsidRPr="00090F16">
        <w:t>pénitentiaire,</w:t>
      </w:r>
      <w:r w:rsidR="00C75340" w:rsidRPr="00090F16">
        <w:t xml:space="preserve"> </w:t>
      </w:r>
      <w:r w:rsidRPr="00090F16">
        <w:t>le</w:t>
      </w:r>
      <w:r w:rsidR="00C75340" w:rsidRPr="00090F16">
        <w:t xml:space="preserve"> </w:t>
      </w:r>
      <w:r w:rsidRPr="00090F16">
        <w:t>Ministère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justice</w:t>
      </w:r>
      <w:r w:rsidR="00C75340" w:rsidRPr="00090F16">
        <w:t xml:space="preserve"> </w:t>
      </w:r>
      <w:r w:rsidRPr="00090F16">
        <w:lastRenderedPageBreak/>
        <w:t>élabore</w:t>
      </w:r>
      <w:r w:rsidR="00C75340" w:rsidRPr="00090F16">
        <w:t xml:space="preserve"> </w:t>
      </w:r>
      <w:r w:rsidRPr="00090F16">
        <w:t>actuellement,</w:t>
      </w:r>
      <w:r w:rsidR="00C75340" w:rsidRPr="00090F16">
        <w:t xml:space="preserve"> </w:t>
      </w:r>
      <w:r w:rsidRPr="00090F16">
        <w:t>en</w:t>
      </w:r>
      <w:r w:rsidR="00C75340" w:rsidRPr="00090F16">
        <w:t xml:space="preserve"> </w:t>
      </w:r>
      <w:r w:rsidRPr="00090F16">
        <w:t>application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loi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2017</w:t>
      </w:r>
      <w:r w:rsidR="00C75340" w:rsidRPr="00090F16">
        <w:t xml:space="preserve"> </w:t>
      </w:r>
      <w:r w:rsidRPr="00090F16">
        <w:t>relative</w:t>
      </w:r>
      <w:r w:rsidR="00C75340" w:rsidRPr="00090F16">
        <w:t xml:space="preserve"> </w:t>
      </w:r>
      <w:r w:rsidRPr="00090F16">
        <w:t>aux</w:t>
      </w:r>
      <w:r w:rsidR="00C75340" w:rsidRPr="00090F16">
        <w:t xml:space="preserve"> </w:t>
      </w:r>
      <w:r w:rsidRPr="00090F16">
        <w:t>établissements</w:t>
      </w:r>
      <w:r w:rsidR="00C75340" w:rsidRPr="00090F16">
        <w:t xml:space="preserve"> </w:t>
      </w:r>
      <w:r w:rsidRPr="00090F16">
        <w:t>pénitentiaires,</w:t>
      </w:r>
      <w:r w:rsidR="00C75340" w:rsidRPr="00090F16">
        <w:t xml:space="preserve"> </w:t>
      </w:r>
      <w:r w:rsidRPr="00090F16">
        <w:t>un</w:t>
      </w:r>
      <w:r w:rsidR="00C75340" w:rsidRPr="00090F16">
        <w:t xml:space="preserve"> </w:t>
      </w:r>
      <w:r w:rsidRPr="00090F16">
        <w:t>règlement</w:t>
      </w:r>
      <w:r w:rsidR="00C75340" w:rsidRPr="00090F16">
        <w:t xml:space="preserve"> </w:t>
      </w:r>
      <w:r w:rsidRPr="00090F16">
        <w:t>ministériel</w:t>
      </w:r>
      <w:r w:rsidR="00C75340" w:rsidRPr="00090F16">
        <w:t xml:space="preserve"> </w:t>
      </w:r>
      <w:r w:rsidRPr="00090F16">
        <w:t>qui</w:t>
      </w:r>
      <w:r w:rsidR="00C75340" w:rsidRPr="00090F16">
        <w:t xml:space="preserve"> </w:t>
      </w:r>
      <w:r w:rsidRPr="00090F16">
        <w:t>prévoit</w:t>
      </w:r>
      <w:r w:rsidR="00C75340" w:rsidRPr="00090F16">
        <w:t xml:space="preserve"> </w:t>
      </w:r>
      <w:r w:rsidRPr="00090F16">
        <w:t>six</w:t>
      </w:r>
      <w:r w:rsidR="00C75340" w:rsidRPr="00090F16">
        <w:t xml:space="preserve"> </w:t>
      </w:r>
      <w:r w:rsidRPr="00090F16">
        <w:t>sanctions</w:t>
      </w:r>
      <w:r w:rsidR="00C75340" w:rsidRPr="00090F16">
        <w:t xml:space="preserve"> </w:t>
      </w:r>
      <w:r w:rsidRPr="00090F16">
        <w:t>pénales</w:t>
      </w:r>
      <w:r w:rsidR="00C75340" w:rsidRPr="00090F16">
        <w:t xml:space="preserve"> </w:t>
      </w:r>
      <w:r w:rsidRPr="00090F16">
        <w:t>susceptibles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remplacer</w:t>
      </w:r>
      <w:r w:rsidR="00C75340" w:rsidRPr="00090F16">
        <w:t xml:space="preserve"> </w:t>
      </w:r>
      <w:r w:rsidRPr="00090F16">
        <w:t>l’emprisonnement</w:t>
      </w:r>
      <w:r w:rsidR="000E46EC" w:rsidRPr="00090F16">
        <w:t> :</w:t>
      </w:r>
      <w:r w:rsidR="00C75340" w:rsidRPr="00090F16">
        <w:t xml:space="preserve"> </w:t>
      </w:r>
      <w:r w:rsidRPr="00090F16">
        <w:t>i)</w:t>
      </w:r>
      <w:r w:rsidR="00C57168" w:rsidRPr="00090F16">
        <w:t> </w:t>
      </w:r>
      <w:r w:rsidRPr="00090F16">
        <w:t>la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intermittente</w:t>
      </w:r>
      <w:r w:rsidR="00C57168" w:rsidRPr="00090F16">
        <w:t> ;</w:t>
      </w:r>
      <w:r w:rsidR="00C75340" w:rsidRPr="00090F16">
        <w:t xml:space="preserve"> </w:t>
      </w:r>
      <w:r w:rsidRPr="00090F16">
        <w:t>ii)</w:t>
      </w:r>
      <w:r w:rsidR="00C57168" w:rsidRPr="00090F16">
        <w:t> </w:t>
      </w:r>
      <w:r w:rsidRPr="00090F16">
        <w:t>la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pendant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heures</w:t>
      </w:r>
      <w:r w:rsidR="00C75340" w:rsidRPr="00090F16">
        <w:t xml:space="preserve"> </w:t>
      </w:r>
      <w:r w:rsidRPr="00090F16">
        <w:t>précises</w:t>
      </w:r>
      <w:r w:rsidR="00C57168" w:rsidRPr="00090F16">
        <w:t> ;</w:t>
      </w:r>
      <w:r w:rsidR="00C75340" w:rsidRPr="00090F16">
        <w:t xml:space="preserve"> </w:t>
      </w:r>
      <w:r w:rsidRPr="00090F16">
        <w:t>iii)</w:t>
      </w:r>
      <w:r w:rsidR="00C57168" w:rsidRPr="00090F16">
        <w:t> </w:t>
      </w:r>
      <w:r w:rsidRPr="00090F16">
        <w:t>la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dans</w:t>
      </w:r>
      <w:r w:rsidR="00C75340" w:rsidRPr="00090F16">
        <w:t xml:space="preserve"> </w:t>
      </w:r>
      <w:r w:rsidRPr="00090F16">
        <w:t>un</w:t>
      </w:r>
      <w:r w:rsidR="00C75340" w:rsidRPr="00090F16">
        <w:t xml:space="preserve"> </w:t>
      </w:r>
      <w:r w:rsidRPr="00090F16">
        <w:t>lieu</w:t>
      </w:r>
      <w:r w:rsidR="00C75340" w:rsidRPr="00090F16">
        <w:t xml:space="preserve"> </w:t>
      </w:r>
      <w:r w:rsidRPr="00090F16">
        <w:t>précis</w:t>
      </w:r>
      <w:r w:rsidR="00C57168" w:rsidRPr="00090F16">
        <w:t> ;</w:t>
      </w:r>
      <w:r w:rsidR="00C75340" w:rsidRPr="00090F16">
        <w:t xml:space="preserve"> </w:t>
      </w:r>
      <w:r w:rsidRPr="00090F16">
        <w:t>iv)</w:t>
      </w:r>
      <w:r w:rsidR="00C57168" w:rsidRPr="00090F16">
        <w:t> </w:t>
      </w:r>
      <w:r w:rsidRPr="00090F16">
        <w:t>le</w:t>
      </w:r>
      <w:r w:rsidR="00C75340" w:rsidRPr="00090F16">
        <w:t xml:space="preserve"> </w:t>
      </w:r>
      <w:r w:rsidRPr="00090F16">
        <w:t>travail</w:t>
      </w:r>
      <w:r w:rsidR="00C75340" w:rsidRPr="00090F16">
        <w:t xml:space="preserve"> </w:t>
      </w:r>
      <w:r w:rsidRPr="00090F16">
        <w:t>d’intérêt</w:t>
      </w:r>
      <w:r w:rsidR="00C75340" w:rsidRPr="00090F16">
        <w:t xml:space="preserve"> </w:t>
      </w:r>
      <w:r w:rsidRPr="00090F16">
        <w:t>général</w:t>
      </w:r>
      <w:r w:rsidR="00C57168" w:rsidRPr="00090F16">
        <w:t> ;</w:t>
      </w:r>
      <w:r w:rsidR="00C75340" w:rsidRPr="00090F16">
        <w:t xml:space="preserve"> </w:t>
      </w:r>
      <w:r w:rsidRPr="00090F16">
        <w:t>v)</w:t>
      </w:r>
      <w:r w:rsidR="00C57168" w:rsidRPr="00090F16">
        <w:t> </w:t>
      </w:r>
      <w:r w:rsidRPr="00090F16">
        <w:t>les</w:t>
      </w:r>
      <w:r w:rsidR="00C75340" w:rsidRPr="00090F16">
        <w:t xml:space="preserve"> </w:t>
      </w:r>
      <w:r w:rsidRPr="00090F16">
        <w:t>restrictions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déplacements</w:t>
      </w:r>
      <w:r w:rsidR="00C75340" w:rsidRPr="00090F16">
        <w:t xml:space="preserve"> </w:t>
      </w:r>
      <w:r w:rsidRPr="00090F16">
        <w:t>conformément</w:t>
      </w:r>
      <w:r w:rsidR="00C75340" w:rsidRPr="00090F16">
        <w:t xml:space="preserve"> </w:t>
      </w:r>
      <w:r w:rsidRPr="00090F16">
        <w:t>à</w:t>
      </w:r>
      <w:r w:rsidR="00C75340" w:rsidRPr="00090F16">
        <w:t xml:space="preserve"> </w:t>
      </w:r>
      <w:r w:rsidRPr="00090F16">
        <w:t>l’article</w:t>
      </w:r>
      <w:r w:rsidR="00C75340" w:rsidRPr="00090F16">
        <w:t xml:space="preserve"> </w:t>
      </w:r>
      <w:r w:rsidRPr="00090F16">
        <w:t>89</w:t>
      </w:r>
      <w:r w:rsidR="00C75340" w:rsidRPr="00090F16">
        <w:t xml:space="preserve"> </w:t>
      </w:r>
      <w:r w:rsidRPr="00090F16">
        <w:t>(</w:t>
      </w:r>
      <w:r w:rsidR="00C75340" w:rsidRPr="00090F16">
        <w:t>par. </w:t>
      </w:r>
      <w:r w:rsidRPr="00090F16">
        <w:t>2)</w:t>
      </w:r>
      <w:r w:rsidR="00C75340" w:rsidRPr="00090F16">
        <w:t xml:space="preserve"> </w:t>
      </w:r>
      <w:r w:rsidRPr="00090F16">
        <w:t>du</w:t>
      </w:r>
      <w:r w:rsidR="00C75340" w:rsidRPr="00090F16">
        <w:t xml:space="preserve"> </w:t>
      </w:r>
      <w:r w:rsidRPr="00090F16">
        <w:t>Code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procédure</w:t>
      </w:r>
      <w:r w:rsidR="00C75340" w:rsidRPr="00090F16">
        <w:t xml:space="preserve"> </w:t>
      </w:r>
      <w:r w:rsidRPr="00090F16">
        <w:t>pénale</w:t>
      </w:r>
      <w:r w:rsidR="00C57168" w:rsidRPr="00090F16">
        <w:t> ;</w:t>
      </w:r>
      <w:r w:rsidR="00C75340" w:rsidRPr="00090F16">
        <w:t xml:space="preserve"> </w:t>
      </w:r>
      <w:r w:rsidRPr="00090F16">
        <w:t>et</w:t>
      </w:r>
      <w:r w:rsidR="00C75340" w:rsidRPr="00090F16">
        <w:t xml:space="preserve"> </w:t>
      </w:r>
      <w:r w:rsidRPr="00090F16">
        <w:t>vi)</w:t>
      </w:r>
      <w:r w:rsidR="00C57168" w:rsidRPr="00090F16">
        <w:t> </w:t>
      </w:r>
      <w:r w:rsidRPr="00090F16">
        <w:t>toute</w:t>
      </w:r>
      <w:r w:rsidR="00C75340" w:rsidRPr="00090F16">
        <w:t xml:space="preserve"> </w:t>
      </w:r>
      <w:r w:rsidRPr="00090F16">
        <w:t>autre</w:t>
      </w:r>
      <w:r w:rsidR="00C75340" w:rsidRPr="00090F16">
        <w:t xml:space="preserve"> </w:t>
      </w:r>
      <w:r w:rsidRPr="00090F16">
        <w:t>sanction</w:t>
      </w:r>
      <w:r w:rsidR="00C75340" w:rsidRPr="00090F16">
        <w:t xml:space="preserve"> </w:t>
      </w:r>
      <w:r w:rsidRPr="00090F16">
        <w:t>spécifiée</w:t>
      </w:r>
      <w:r w:rsidR="00C75340" w:rsidRPr="00090F16">
        <w:t xml:space="preserve"> </w:t>
      </w:r>
      <w:r w:rsidRPr="00090F16">
        <w:t>par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Direction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l’administration</w:t>
      </w:r>
      <w:r w:rsidR="00C75340" w:rsidRPr="00090F16">
        <w:t xml:space="preserve"> </w:t>
      </w:r>
      <w:r w:rsidRPr="00090F16">
        <w:t>pénitentiaire.</w:t>
      </w:r>
    </w:p>
    <w:p w14:paraId="5B203CEF" w14:textId="2AC84B04" w:rsidR="00C3295C" w:rsidRDefault="00C3295C" w:rsidP="00C3295C">
      <w:pPr>
        <w:pStyle w:val="SingleTxtG"/>
      </w:pPr>
      <w:r w:rsidRPr="00090F16">
        <w:t>130.</w:t>
      </w:r>
      <w:r w:rsidRPr="00090F16">
        <w:tab/>
        <w:t>Le</w:t>
      </w:r>
      <w:r w:rsidR="00C75340" w:rsidRPr="00090F16">
        <w:t xml:space="preserve"> </w:t>
      </w:r>
      <w:r w:rsidRPr="00090F16">
        <w:t>1</w:t>
      </w:r>
      <w:r w:rsidRPr="00090F16">
        <w:rPr>
          <w:vertAlign w:val="superscript"/>
        </w:rPr>
        <w:t>er</w:t>
      </w:r>
      <w:r w:rsidR="00C57168" w:rsidRPr="00090F16">
        <w:t> </w:t>
      </w:r>
      <w:r w:rsidRPr="00090F16">
        <w:t>mars</w:t>
      </w:r>
      <w:r w:rsidR="00C75340" w:rsidRPr="00090F16">
        <w:t xml:space="preserve"> </w:t>
      </w:r>
      <w:r w:rsidRPr="00090F16">
        <w:t>2018,</w:t>
      </w:r>
      <w:r w:rsidR="00C75340" w:rsidRPr="00090F16">
        <w:t xml:space="preserve"> </w:t>
      </w:r>
      <w:r w:rsidRPr="00090F16">
        <w:t>l’autorité</w:t>
      </w:r>
      <w:r w:rsidR="00C75340" w:rsidRPr="00090F16">
        <w:t xml:space="preserve"> </w:t>
      </w:r>
      <w:r w:rsidRPr="00090F16">
        <w:t>judiciaire</w:t>
      </w:r>
      <w:r w:rsidR="00C75340" w:rsidRPr="00090F16">
        <w:t xml:space="preserve"> </w:t>
      </w:r>
      <w:r w:rsidRPr="00090F16">
        <w:t>et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Direction</w:t>
      </w:r>
      <w:r w:rsidR="00C75340" w:rsidRPr="00090F16">
        <w:t xml:space="preserve"> </w:t>
      </w:r>
      <w:r w:rsidRPr="00090F16">
        <w:t>du</w:t>
      </w:r>
      <w:r w:rsidR="00C75340" w:rsidRPr="00090F16">
        <w:t xml:space="preserve"> </w:t>
      </w:r>
      <w:r w:rsidRPr="00090F16">
        <w:t>régime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probation</w:t>
      </w:r>
      <w:r w:rsidR="00C75340" w:rsidRPr="00090F16">
        <w:t xml:space="preserve"> </w:t>
      </w:r>
      <w:r w:rsidRPr="00090F16">
        <w:t>ont</w:t>
      </w:r>
      <w:r w:rsidR="00C75340" w:rsidRPr="00090F16">
        <w:t xml:space="preserve"> </w:t>
      </w:r>
      <w:r w:rsidRPr="00090F16">
        <w:t>instauré</w:t>
      </w:r>
      <w:r w:rsidR="00C75340" w:rsidRPr="00090F16">
        <w:t xml:space="preserve"> </w:t>
      </w:r>
      <w:r w:rsidRPr="00090F16">
        <w:t>un</w:t>
      </w:r>
      <w:r w:rsidR="00C75340" w:rsidRPr="00090F16">
        <w:t xml:space="preserve"> </w:t>
      </w:r>
      <w:r w:rsidRPr="00090F16">
        <w:t>système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surveillance</w:t>
      </w:r>
      <w:r w:rsidR="00C75340" w:rsidRPr="00090F16">
        <w:t xml:space="preserve"> </w:t>
      </w:r>
      <w:r w:rsidRPr="00090F16">
        <w:t>électronique,</w:t>
      </w:r>
      <w:r w:rsidR="00C75340" w:rsidRPr="00090F16">
        <w:t xml:space="preserve"> </w:t>
      </w:r>
      <w:r w:rsidRPr="00090F16">
        <w:t>qui</w:t>
      </w:r>
      <w:r w:rsidR="00C75340" w:rsidRPr="00090F16">
        <w:t xml:space="preserve"> </w:t>
      </w:r>
      <w:r w:rsidRPr="00090F16">
        <w:t>remplace</w:t>
      </w:r>
      <w:r w:rsidR="00C75340" w:rsidRPr="00090F16">
        <w:t xml:space="preserve"> </w:t>
      </w:r>
      <w:r w:rsidRPr="00090F16">
        <w:t>le</w:t>
      </w:r>
      <w:r w:rsidR="00C75340" w:rsidRPr="00090F16">
        <w:t xml:space="preserve"> </w:t>
      </w:r>
      <w:r w:rsidRPr="00090F16">
        <w:t>versement</w:t>
      </w:r>
      <w:r w:rsidR="00C75340" w:rsidRPr="00090F16">
        <w:t xml:space="preserve"> </w:t>
      </w:r>
      <w:r w:rsidRPr="00090F16">
        <w:t>d’une</w:t>
      </w:r>
      <w:r w:rsidR="00C75340" w:rsidRPr="00090F16">
        <w:t xml:space="preserve"> </w:t>
      </w:r>
      <w:r w:rsidRPr="00090F16">
        <w:t>caution</w:t>
      </w:r>
      <w:r w:rsidR="00C75340" w:rsidRPr="00090F16">
        <w:t xml:space="preserve"> </w:t>
      </w:r>
      <w:r w:rsidRPr="00090F16">
        <w:t>en</w:t>
      </w:r>
      <w:r w:rsidR="00C75340" w:rsidRPr="00090F16">
        <w:t xml:space="preserve"> </w:t>
      </w:r>
      <w:r w:rsidRPr="00090F16">
        <w:t>tant</w:t>
      </w:r>
      <w:r w:rsidR="00C75340" w:rsidRPr="00090F16">
        <w:t xml:space="preserve"> </w:t>
      </w:r>
      <w:r w:rsidRPr="00090F16">
        <w:t>que</w:t>
      </w:r>
      <w:r w:rsidR="00C75340" w:rsidRPr="00090F16">
        <w:t xml:space="preserve"> </w:t>
      </w:r>
      <w:r w:rsidRPr="00090F16">
        <w:t>mesure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substitution</w:t>
      </w:r>
      <w:r w:rsidR="00C75340" w:rsidRPr="00090F16">
        <w:t xml:space="preserve"> </w:t>
      </w:r>
      <w:r w:rsidRPr="00090F16">
        <w:t>à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pour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détenus</w:t>
      </w:r>
      <w:r w:rsidR="00C75340" w:rsidRPr="00090F16">
        <w:t xml:space="preserve"> </w:t>
      </w:r>
      <w:r w:rsidRPr="00090F16">
        <w:t>qui</w:t>
      </w:r>
      <w:r w:rsidR="00C75340" w:rsidRPr="00090F16">
        <w:t xml:space="preserve"> </w:t>
      </w:r>
      <w:r w:rsidRPr="00090F16">
        <w:t>ont</w:t>
      </w:r>
      <w:r w:rsidR="00C75340" w:rsidRPr="00090F16">
        <w:t xml:space="preserve"> </w:t>
      </w:r>
      <w:r w:rsidRPr="00090F16">
        <w:t>obtenu</w:t>
      </w:r>
      <w:r w:rsidR="00C75340" w:rsidRPr="00090F16">
        <w:t xml:space="preserve"> </w:t>
      </w:r>
      <w:r w:rsidRPr="00090F16">
        <w:t>une</w:t>
      </w:r>
      <w:r w:rsidR="00C75340" w:rsidRPr="00090F16">
        <w:t xml:space="preserve"> </w:t>
      </w:r>
      <w:r w:rsidRPr="00090F16">
        <w:t>mise</w:t>
      </w:r>
      <w:r w:rsidR="00C75340" w:rsidRPr="00090F16">
        <w:t xml:space="preserve"> </w:t>
      </w:r>
      <w:r w:rsidRPr="00090F16">
        <w:t>en</w:t>
      </w:r>
      <w:r w:rsidR="00C75340" w:rsidRPr="00090F16">
        <w:t xml:space="preserve"> </w:t>
      </w:r>
      <w:r w:rsidRPr="00090F16">
        <w:t>liberté</w:t>
      </w:r>
      <w:r w:rsidR="00C75340" w:rsidRPr="00090F16">
        <w:t xml:space="preserve"> </w:t>
      </w:r>
      <w:r w:rsidRPr="00090F16">
        <w:t>provisoire.</w:t>
      </w:r>
      <w:r w:rsidR="00C75340" w:rsidRPr="00090F16">
        <w:t xml:space="preserve"> </w:t>
      </w:r>
      <w:r w:rsidRPr="00090F16">
        <w:t>Le</w:t>
      </w:r>
      <w:r w:rsidR="00C75340" w:rsidRPr="00090F16">
        <w:t xml:space="preserve"> </w:t>
      </w:r>
      <w:r w:rsidRPr="00090F16">
        <w:t>Centre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surveillance</w:t>
      </w:r>
      <w:r w:rsidR="00C75340" w:rsidRPr="00090F16">
        <w:t xml:space="preserve"> </w:t>
      </w:r>
      <w:r w:rsidRPr="00090F16">
        <w:t>électronique</w:t>
      </w:r>
      <w:r w:rsidR="00C75340" w:rsidRPr="00090F16">
        <w:t xml:space="preserve"> </w:t>
      </w:r>
      <w:r w:rsidRPr="00090F16">
        <w:t>créé</w:t>
      </w:r>
      <w:r w:rsidR="00C75340" w:rsidRPr="00090F16">
        <w:t xml:space="preserve"> </w:t>
      </w:r>
      <w:r w:rsidRPr="00090F16">
        <w:t>en</w:t>
      </w:r>
      <w:r w:rsidR="00C75340" w:rsidRPr="00090F16">
        <w:t xml:space="preserve"> </w:t>
      </w:r>
      <w:r w:rsidRPr="00090F16">
        <w:t>septembre</w:t>
      </w:r>
      <w:r w:rsidR="00C75340" w:rsidRPr="00090F16">
        <w:t xml:space="preserve"> </w:t>
      </w:r>
      <w:r w:rsidRPr="00090F16">
        <w:t>2017</w:t>
      </w:r>
      <w:r w:rsidR="00C75340" w:rsidRPr="00090F16">
        <w:t xml:space="preserve"> </w:t>
      </w:r>
      <w:r w:rsidRPr="00090F16">
        <w:t>a</w:t>
      </w:r>
      <w:r w:rsidR="00C75340" w:rsidRPr="00090F16">
        <w:t xml:space="preserve"> </w:t>
      </w:r>
      <w:r w:rsidRPr="00090F16">
        <w:t>permis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libérer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accusés</w:t>
      </w:r>
      <w:r w:rsidR="00C75340" w:rsidRPr="00090F16">
        <w:t xml:space="preserve"> </w:t>
      </w:r>
      <w:r w:rsidRPr="00090F16">
        <w:t>ou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prévenus</w:t>
      </w:r>
      <w:r w:rsidR="00C75340" w:rsidRPr="00090F16">
        <w:t xml:space="preserve"> </w:t>
      </w:r>
      <w:r w:rsidRPr="00090F16">
        <w:t>qui</w:t>
      </w:r>
      <w:r w:rsidR="00C75340" w:rsidRPr="00090F16">
        <w:t xml:space="preserve"> </w:t>
      </w:r>
      <w:r w:rsidRPr="00090F16">
        <w:t>ne</w:t>
      </w:r>
      <w:r w:rsidR="00C75340" w:rsidRPr="00090F16">
        <w:t xml:space="preserve"> </w:t>
      </w:r>
      <w:r w:rsidRPr="00090F16">
        <w:t>peuvent</w:t>
      </w:r>
      <w:r w:rsidR="00C75340" w:rsidRPr="00090F16">
        <w:t xml:space="preserve"> </w:t>
      </w:r>
      <w:r w:rsidRPr="00090F16">
        <w:t>pas</w:t>
      </w:r>
      <w:r w:rsidR="00C75340" w:rsidRPr="00090F16">
        <w:t xml:space="preserve"> </w:t>
      </w:r>
      <w:r w:rsidRPr="00090F16">
        <w:t>payer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caution.</w:t>
      </w:r>
      <w:r w:rsidR="00C75340" w:rsidRPr="00090F16">
        <w:t xml:space="preserve"> </w:t>
      </w:r>
      <w:r w:rsidRPr="00090F16">
        <w:t>Cette</w:t>
      </w:r>
      <w:r w:rsidR="00C75340" w:rsidRPr="00090F16">
        <w:t xml:space="preserve"> </w:t>
      </w:r>
      <w:r w:rsidRPr="00090F16">
        <w:t>mesure</w:t>
      </w:r>
      <w:r w:rsidR="00C75340" w:rsidRPr="00090F16">
        <w:t xml:space="preserve"> </w:t>
      </w:r>
      <w:r w:rsidRPr="00090F16">
        <w:t>permettra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réduire</w:t>
      </w:r>
      <w:r w:rsidR="00C75340" w:rsidRPr="00090F16">
        <w:t xml:space="preserve"> </w:t>
      </w:r>
      <w:r w:rsidRPr="00090F16">
        <w:t>le</w:t>
      </w:r>
      <w:r w:rsidR="00C75340" w:rsidRPr="00090F16">
        <w:t xml:space="preserve"> </w:t>
      </w:r>
      <w:r w:rsidRPr="00090F16">
        <w:t>nombre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détenus</w:t>
      </w:r>
      <w:r w:rsidR="00C75340" w:rsidRPr="00090F16">
        <w:t xml:space="preserve"> </w:t>
      </w:r>
      <w:r w:rsidRPr="00090F16">
        <w:t>et,</w:t>
      </w:r>
      <w:r w:rsidR="00C75340" w:rsidRPr="00090F16">
        <w:t xml:space="preserve"> </w:t>
      </w:r>
      <w:r w:rsidRPr="00090F16">
        <w:t>surtout,</w:t>
      </w:r>
      <w:r w:rsidR="00C75340" w:rsidRPr="00090F16">
        <w:t xml:space="preserve"> </w:t>
      </w:r>
      <w:r w:rsidRPr="00090F16">
        <w:t>d’atténuer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disparités</w:t>
      </w:r>
      <w:r w:rsidR="00C75340" w:rsidRPr="00090F16">
        <w:t xml:space="preserve"> </w:t>
      </w:r>
      <w:r w:rsidRPr="00090F16">
        <w:t>sociales</w:t>
      </w:r>
      <w:r w:rsidR="00C75340" w:rsidRPr="00090F16">
        <w:t xml:space="preserve"> </w:t>
      </w:r>
      <w:r w:rsidRPr="00090F16">
        <w:t>et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surreprésentation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démunis</w:t>
      </w:r>
      <w:r w:rsidR="00C75340" w:rsidRPr="00090F16">
        <w:t xml:space="preserve"> </w:t>
      </w:r>
      <w:r w:rsidRPr="00090F16">
        <w:t>en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provisoire.</w:t>
      </w:r>
      <w:r w:rsidR="00C75340" w:rsidRPr="00090F16">
        <w:t xml:space="preserve"> </w:t>
      </w:r>
      <w:r w:rsidRPr="00090F16">
        <w:t>Afin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veiller</w:t>
      </w:r>
      <w:r w:rsidR="00C75340" w:rsidRPr="00090F16">
        <w:t xml:space="preserve"> </w:t>
      </w:r>
      <w:r w:rsidRPr="00090F16">
        <w:t>à</w:t>
      </w:r>
      <w:r w:rsidR="00C75340" w:rsidRPr="00090F16">
        <w:t xml:space="preserve"> </w:t>
      </w:r>
      <w:r w:rsidRPr="00090F16">
        <w:t>ce</w:t>
      </w:r>
      <w:r w:rsidR="00C75340" w:rsidRPr="00090F16">
        <w:t xml:space="preserve"> </w:t>
      </w:r>
      <w:r w:rsidRPr="00090F16">
        <w:t>que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liberté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personnes</w:t>
      </w:r>
      <w:r w:rsidR="00C75340" w:rsidRPr="00090F16">
        <w:t xml:space="preserve"> </w:t>
      </w:r>
      <w:r w:rsidRPr="00090F16">
        <w:t>accusées</w:t>
      </w:r>
      <w:r w:rsidR="00C75340" w:rsidRPr="00090F16">
        <w:t xml:space="preserve"> </w:t>
      </w:r>
      <w:r w:rsidRPr="00090F16">
        <w:t>dans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affaires</w:t>
      </w:r>
      <w:r w:rsidR="00C75340" w:rsidRPr="00090F16">
        <w:t xml:space="preserve"> </w:t>
      </w:r>
      <w:r w:rsidRPr="00090F16">
        <w:t>pénales</w:t>
      </w:r>
      <w:r w:rsidR="00C75340" w:rsidRPr="00090F16">
        <w:t xml:space="preserve"> </w:t>
      </w:r>
      <w:r w:rsidRPr="00090F16">
        <w:t>ne</w:t>
      </w:r>
      <w:r w:rsidR="00C75340" w:rsidRPr="00090F16">
        <w:t xml:space="preserve"> </w:t>
      </w:r>
      <w:r w:rsidRPr="00090F16">
        <w:t>soit</w:t>
      </w:r>
      <w:r w:rsidR="00C75340" w:rsidRPr="00090F16">
        <w:t xml:space="preserve"> </w:t>
      </w:r>
      <w:r w:rsidRPr="00090F16">
        <w:t>limitée</w:t>
      </w:r>
      <w:r w:rsidR="00C75340" w:rsidRPr="00090F16">
        <w:t xml:space="preserve"> </w:t>
      </w:r>
      <w:r w:rsidRPr="00090F16">
        <w:t>que</w:t>
      </w:r>
      <w:r w:rsidR="00C75340" w:rsidRPr="00090F16">
        <w:t xml:space="preserve"> </w:t>
      </w:r>
      <w:r w:rsidRPr="00090F16">
        <w:t>dans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mesure</w:t>
      </w:r>
      <w:r w:rsidR="00C75340" w:rsidRPr="00090F16">
        <w:t xml:space="preserve"> </w:t>
      </w:r>
      <w:r w:rsidRPr="00090F16">
        <w:t>nécessaire,</w:t>
      </w:r>
      <w:r w:rsidR="00C75340" w:rsidRPr="00090F16">
        <w:t xml:space="preserve"> </w:t>
      </w:r>
      <w:r w:rsidRPr="00090F16">
        <w:t>et</w:t>
      </w:r>
      <w:r w:rsidR="00C75340" w:rsidRPr="00090F16">
        <w:t xml:space="preserve"> </w:t>
      </w:r>
      <w:r w:rsidRPr="00090F16">
        <w:t>le</w:t>
      </w:r>
      <w:r w:rsidR="00C75340" w:rsidRPr="00090F16">
        <w:t xml:space="preserve"> </w:t>
      </w:r>
      <w:r w:rsidRPr="00090F16">
        <w:t>moins</w:t>
      </w:r>
      <w:r w:rsidR="00C75340" w:rsidRPr="00090F16">
        <w:t xml:space="preserve"> </w:t>
      </w:r>
      <w:r w:rsidRPr="00090F16">
        <w:t>possible,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pratique</w:t>
      </w:r>
      <w:r w:rsidR="00C75340" w:rsidRPr="00090F16">
        <w:t xml:space="preserve"> </w:t>
      </w:r>
      <w:r w:rsidRPr="00090F16">
        <w:t>actuelle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tribunaux</w:t>
      </w:r>
      <w:r w:rsidR="00C75340" w:rsidRPr="00090F16">
        <w:t xml:space="preserve"> </w:t>
      </w:r>
      <w:r w:rsidRPr="00090F16">
        <w:t>consiste</w:t>
      </w:r>
      <w:r w:rsidR="00C75340" w:rsidRPr="00090F16">
        <w:t xml:space="preserve"> </w:t>
      </w:r>
      <w:r w:rsidRPr="00090F16">
        <w:t>à</w:t>
      </w:r>
      <w:r w:rsidR="00C75340" w:rsidRPr="00090F16">
        <w:t xml:space="preserve"> </w:t>
      </w:r>
      <w:r w:rsidRPr="00090F16">
        <w:t>trancher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affaires</w:t>
      </w:r>
      <w:r w:rsidR="00C75340" w:rsidRPr="00090F16">
        <w:t xml:space="preserve"> </w:t>
      </w:r>
      <w:r w:rsidRPr="00090F16">
        <w:t>pénales</w:t>
      </w:r>
      <w:r w:rsidR="00C75340" w:rsidRPr="00090F16">
        <w:t xml:space="preserve"> </w:t>
      </w:r>
      <w:r w:rsidRPr="00090F16">
        <w:t>impliquant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détention</w:t>
      </w:r>
      <w:r w:rsidR="00C75340" w:rsidRPr="00090F16">
        <w:t xml:space="preserve"> </w:t>
      </w:r>
      <w:r w:rsidRPr="00090F16">
        <w:t>des</w:t>
      </w:r>
      <w:r w:rsidR="00C75340" w:rsidRPr="00090F16">
        <w:t xml:space="preserve"> </w:t>
      </w:r>
      <w:r w:rsidRPr="00090F16">
        <w:t>accusés</w:t>
      </w:r>
      <w:r w:rsidR="00C75340" w:rsidRPr="00090F16">
        <w:t xml:space="preserve"> </w:t>
      </w:r>
      <w:r w:rsidRPr="00090F16">
        <w:t>dans</w:t>
      </w:r>
      <w:r w:rsidR="00C75340" w:rsidRPr="00090F16">
        <w:t xml:space="preserve"> </w:t>
      </w:r>
      <w:r w:rsidRPr="00090F16">
        <w:t>les</w:t>
      </w:r>
      <w:r w:rsidR="00C75340" w:rsidRPr="00090F16">
        <w:t xml:space="preserve"> </w:t>
      </w:r>
      <w:r w:rsidRPr="00090F16">
        <w:t>six</w:t>
      </w:r>
      <w:r w:rsidR="00C75340" w:rsidRPr="00090F16">
        <w:t xml:space="preserve"> </w:t>
      </w:r>
      <w:r w:rsidRPr="00090F16">
        <w:t>mois</w:t>
      </w:r>
      <w:r w:rsidR="00C75340" w:rsidRPr="00090F16">
        <w:t xml:space="preserve"> </w:t>
      </w:r>
      <w:r w:rsidRPr="00090F16">
        <w:t>suivant</w:t>
      </w:r>
      <w:r w:rsidR="00C75340" w:rsidRPr="00090F16">
        <w:t xml:space="preserve"> </w:t>
      </w:r>
      <w:r w:rsidRPr="00090F16">
        <w:t>la</w:t>
      </w:r>
      <w:r w:rsidR="00C75340" w:rsidRPr="00090F16">
        <w:t xml:space="preserve"> </w:t>
      </w:r>
      <w:r w:rsidRPr="00090F16">
        <w:t>date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début</w:t>
      </w:r>
      <w:r w:rsidR="00C75340" w:rsidRPr="00090F16">
        <w:t xml:space="preserve"> </w:t>
      </w:r>
      <w:r w:rsidRPr="00090F16">
        <w:t>de</w:t>
      </w:r>
      <w:r w:rsidR="00C75340" w:rsidRPr="00090F16">
        <w:t xml:space="preserve"> </w:t>
      </w:r>
      <w:r w:rsidRPr="00090F16">
        <w:t>l’incarcération.</w:t>
      </w:r>
    </w:p>
    <w:p w14:paraId="7ECE8A4A" w14:textId="74E0644F" w:rsidR="00C3295C" w:rsidRDefault="00C3295C" w:rsidP="00C3295C">
      <w:pPr>
        <w:pStyle w:val="SingleTxtG"/>
      </w:pPr>
      <w:r w:rsidRPr="00D86974">
        <w:t>131.</w:t>
      </w:r>
      <w:r w:rsidRPr="00D86974">
        <w:tab/>
        <w:t>Le</w:t>
      </w:r>
      <w:r w:rsidR="00C75340">
        <w:t xml:space="preserve"> </w:t>
      </w:r>
      <w:r w:rsidRPr="00D86974">
        <w:t>22</w:t>
      </w:r>
      <w:r w:rsidR="00C57168">
        <w:t> </w:t>
      </w:r>
      <w:r w:rsidRPr="00D86974">
        <w:t>janvier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pénitentiaire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sanitaire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conclu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protocole</w:t>
      </w:r>
      <w:r w:rsidR="00C75340">
        <w:t xml:space="preserve"> </w:t>
      </w:r>
      <w:r w:rsidRPr="00D86974">
        <w:t>d’accord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détenus.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démarche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effectuée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décret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17</w:t>
      </w:r>
      <w:r w:rsidR="00C57168">
        <w:t> </w:t>
      </w:r>
      <w:r w:rsidRPr="00D86974">
        <w:t>novembre</w:t>
      </w:r>
      <w:r w:rsidR="00C75340">
        <w:t xml:space="preserve"> </w:t>
      </w:r>
      <w:r w:rsidRPr="00D86974">
        <w:t>2015,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demandait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autorités</w:t>
      </w:r>
      <w:r w:rsidR="00C75340">
        <w:t xml:space="preserve"> </w:t>
      </w:r>
      <w:r w:rsidRPr="00D86974">
        <w:t>compétentes</w:t>
      </w:r>
      <w:r w:rsidR="00C75340">
        <w:t xml:space="preserve"> </w:t>
      </w:r>
      <w:r w:rsidRPr="00D86974">
        <w:t>d’affecter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personnel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hôpitaux</w:t>
      </w:r>
      <w:r w:rsidR="00C75340">
        <w:t xml:space="preserve"> </w:t>
      </w:r>
      <w:r w:rsidRPr="00D86974">
        <w:t>locaux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fournir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prisons,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créer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service</w:t>
      </w:r>
      <w:r w:rsidR="00C75340">
        <w:t xml:space="preserve"> </w:t>
      </w:r>
      <w:r w:rsidRPr="00D86974">
        <w:t>spécial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détenus</w:t>
      </w:r>
      <w:r w:rsidR="00C75340">
        <w:t xml:space="preserve"> </w:t>
      </w:r>
      <w:r w:rsidRPr="00D86974">
        <w:t>nécessitant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traitement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dehors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pénitentiaires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d’améliorer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global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détenus.</w:t>
      </w:r>
    </w:p>
    <w:p w14:paraId="549C478C" w14:textId="77777777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Apatrides</w:t>
      </w:r>
    </w:p>
    <w:p w14:paraId="0A7199B5" w14:textId="1D94B059" w:rsidR="00C3295C" w:rsidRDefault="00C3295C" w:rsidP="00C3295C">
      <w:pPr>
        <w:pStyle w:val="SingleTxtG"/>
      </w:pPr>
      <w:r w:rsidRPr="00D86974">
        <w:t>132.</w:t>
      </w:r>
      <w:r w:rsidRPr="00D86974">
        <w:tab/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(</w:t>
      </w:r>
      <w:r w:rsidR="00C57168">
        <w:rPr>
          <w:rFonts w:eastAsia="MS Mincho"/>
        </w:rPr>
        <w:t>n</w:t>
      </w:r>
      <w:r w:rsidR="00C57168">
        <w:rPr>
          <w:rFonts w:eastAsia="MS Mincho"/>
          <w:vertAlign w:val="superscript"/>
        </w:rPr>
        <w:t>o</w:t>
      </w:r>
      <w:r w:rsidR="00C57168">
        <w:t> </w:t>
      </w:r>
      <w:r w:rsidRPr="00D86974">
        <w:t>2)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l’enregistrement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faits</w:t>
      </w:r>
      <w:r w:rsidR="00C75340">
        <w:t xml:space="preserve"> </w:t>
      </w:r>
      <w:r w:rsidRPr="00D86974">
        <w:t>d’état</w:t>
      </w:r>
      <w:r w:rsidR="00C75340">
        <w:t xml:space="preserve"> </w:t>
      </w:r>
      <w:r w:rsidRPr="00D86974">
        <w:t>civil</w:t>
      </w:r>
      <w:r w:rsidR="00C75340">
        <w:t xml:space="preserve"> </w:t>
      </w:r>
      <w:r w:rsidRPr="00D86974">
        <w:t>2551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(2008)</w:t>
      </w:r>
      <w:r w:rsidR="00C75340">
        <w:t xml:space="preserve"> </w:t>
      </w:r>
      <w:r w:rsidRPr="00D86974">
        <w:t>prévoit</w:t>
      </w:r>
      <w:r w:rsidR="00C75340">
        <w:t xml:space="preserve"> </w:t>
      </w:r>
      <w:r w:rsidRPr="00D86974">
        <w:t>l’enregistrement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(n</w:t>
      </w:r>
      <w:r w:rsidR="00C57168" w:rsidRPr="00C57168">
        <w:rPr>
          <w:vertAlign w:val="superscript"/>
        </w:rPr>
        <w:t>o</w:t>
      </w:r>
      <w:r w:rsidR="00C57168">
        <w:t> </w:t>
      </w:r>
      <w:r w:rsidRPr="00D86974">
        <w:t>4)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2551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(2008)</w:t>
      </w:r>
      <w:r w:rsidR="00C75340">
        <w:t xml:space="preserve"> </w:t>
      </w:r>
      <w:r w:rsidRPr="00D86974">
        <w:t>portant</w:t>
      </w:r>
      <w:r w:rsidR="00C75340">
        <w:t xml:space="preserve"> </w:t>
      </w:r>
      <w:r w:rsidRPr="00D86974">
        <w:t>modification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permet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demander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fixées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éviter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parents</w:t>
      </w:r>
      <w:r w:rsidR="00C75340">
        <w:t xml:space="preserve"> </w:t>
      </w:r>
      <w:r w:rsidRPr="00D86974">
        <w:t>étrangers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deviennent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statut</w:t>
      </w:r>
      <w:r w:rsidR="00C75340">
        <w:t xml:space="preserve"> </w:t>
      </w:r>
      <w:r w:rsidRPr="00D86974">
        <w:t>juridique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migrants</w:t>
      </w:r>
      <w:r w:rsidR="00C75340">
        <w:t xml:space="preserve"> </w:t>
      </w:r>
      <w:r w:rsidRPr="00D86974">
        <w:t>illégaux,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approuvé,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7</w:t>
      </w:r>
      <w:r w:rsidR="00C57168">
        <w:t> </w:t>
      </w:r>
      <w:r w:rsidRPr="00D86974">
        <w:t>décembre</w:t>
      </w:r>
      <w:r w:rsidR="00C75340">
        <w:t xml:space="preserve"> </w:t>
      </w:r>
      <w:r w:rsidRPr="00D86974">
        <w:t>2016,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résolutions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1)</w:t>
      </w:r>
      <w:r w:rsidR="00C57168">
        <w:t> </w:t>
      </w:r>
      <w:r w:rsidRPr="00D86974">
        <w:t>accorder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étrangers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séjourner</w:t>
      </w:r>
      <w:r w:rsidR="00C75340">
        <w:t xml:space="preserve"> </w:t>
      </w:r>
      <w:r w:rsidRPr="00D86974">
        <w:t>légalement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éviter</w:t>
      </w:r>
      <w:r w:rsidR="00C75340">
        <w:t xml:space="preserve"> </w:t>
      </w:r>
      <w:r w:rsidRPr="00D86974">
        <w:t>qu’ils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deviennent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migrants</w:t>
      </w:r>
      <w:r w:rsidR="00C75340">
        <w:t xml:space="preserve"> </w:t>
      </w:r>
      <w:r w:rsidRPr="00D86974">
        <w:t>illégaux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2)</w:t>
      </w:r>
      <w:r w:rsidR="00C57168">
        <w:t> </w:t>
      </w:r>
      <w:r w:rsidRPr="00D86974">
        <w:t>fournir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étrangers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légal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demander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thaïlandaise.</w:t>
      </w:r>
    </w:p>
    <w:p w14:paraId="4322720C" w14:textId="5005FD19" w:rsidR="00C3295C" w:rsidRPr="00D86974" w:rsidRDefault="00C3295C" w:rsidP="00C3295C">
      <w:pPr>
        <w:pStyle w:val="SingleTxtG"/>
      </w:pPr>
      <w:r w:rsidRPr="00D86974">
        <w:t>133.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question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l’apatridie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trois</w:t>
      </w:r>
      <w:r w:rsidR="00C75340">
        <w:t xml:space="preserve"> </w:t>
      </w:r>
      <w:r w:rsidRPr="00D86974">
        <w:t>décennies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appliquant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approche</w:t>
      </w:r>
      <w:r w:rsidR="00C75340">
        <w:t xml:space="preserve"> </w:t>
      </w:r>
      <w:r w:rsidRPr="00D86974">
        <w:t>progressive.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première</w:t>
      </w:r>
      <w:r w:rsidR="00C75340">
        <w:t xml:space="preserve"> </w:t>
      </w:r>
      <w:r w:rsidRPr="00D86974">
        <w:t>étape</w:t>
      </w:r>
      <w:r w:rsidR="00C75340">
        <w:t xml:space="preserve"> </w:t>
      </w:r>
      <w:r w:rsidRPr="00D86974">
        <w:t>consiste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enregistrer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nés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accorder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statut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légaux</w:t>
      </w:r>
      <w:r w:rsidR="00C75340">
        <w:t xml:space="preserve"> </w:t>
      </w:r>
      <w:r w:rsidRPr="00D86974">
        <w:t>pendant</w:t>
      </w:r>
      <w:r w:rsidR="00C75340">
        <w:t xml:space="preserve"> </w:t>
      </w:r>
      <w:r w:rsidRPr="00D86974">
        <w:t>qu’ils</w:t>
      </w:r>
      <w:r w:rsidR="00C75340">
        <w:t xml:space="preserve"> </w:t>
      </w:r>
      <w:r w:rsidRPr="00D86974">
        <w:t>résident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suivent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demande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thaïlandaise.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l’étape</w:t>
      </w:r>
      <w:r w:rsidR="00C75340">
        <w:t xml:space="preserve"> </w:t>
      </w:r>
      <w:r w:rsidRPr="00D86974">
        <w:t>suivante,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modification</w:t>
      </w:r>
      <w:r w:rsidR="00C75340">
        <w:t xml:space="preserve"> </w:t>
      </w:r>
      <w:r w:rsidRPr="00D86974">
        <w:t>apportée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2551</w:t>
      </w:r>
      <w:r w:rsidR="00C75340">
        <w:t xml:space="preserve"> </w:t>
      </w:r>
      <w:r w:rsidRPr="00D86974">
        <w:t>EB</w:t>
      </w:r>
      <w:r w:rsidR="00C75340">
        <w:t xml:space="preserve"> </w:t>
      </w:r>
      <w:r w:rsidRPr="00D86974">
        <w:t>(2008)</w:t>
      </w:r>
      <w:r w:rsidR="00C75340">
        <w:t xml:space="preserve"> </w:t>
      </w:r>
      <w:r w:rsidRPr="00D86974">
        <w:t>facilite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démarches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nationalisation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spécifiques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citoyens</w:t>
      </w:r>
      <w:r w:rsidR="00C75340">
        <w:t xml:space="preserve"> </w:t>
      </w:r>
      <w:r w:rsidRPr="00D86974">
        <w:t>non</w:t>
      </w:r>
      <w:r w:rsidR="00C75340">
        <w:t xml:space="preserve"> </w:t>
      </w:r>
      <w:r w:rsidRPr="00D86974">
        <w:t>thaïlandais,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immigrants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fui</w:t>
      </w:r>
      <w:r w:rsidR="00C75340">
        <w:t xml:space="preserve"> </w:t>
      </w:r>
      <w:r w:rsidRPr="00D86974">
        <w:t>vers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résident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longtemps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retourner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d’origine,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apatrides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déracinées.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délivre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susmentionnés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cartes</w:t>
      </w:r>
      <w:r w:rsidR="00C75340">
        <w:t xml:space="preserve"> </w:t>
      </w:r>
      <w:r w:rsidRPr="00D86974">
        <w:t>d’identité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autorisent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travailler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donnent</w:t>
      </w:r>
      <w:r w:rsidR="00C75340">
        <w:t xml:space="preserve"> </w:t>
      </w:r>
      <w:r w:rsidRPr="00D86974">
        <w:t>accès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l’éducation,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permettant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mener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normale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participer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pays.</w:t>
      </w:r>
    </w:p>
    <w:p w14:paraId="1B7E002B" w14:textId="42C72D0B" w:rsidR="00C3295C" w:rsidRPr="00D86974" w:rsidRDefault="00C3295C" w:rsidP="00C3295C">
      <w:pPr>
        <w:pStyle w:val="H4G"/>
      </w:pPr>
      <w:r w:rsidRPr="00D86974">
        <w:tab/>
      </w:r>
      <w:r w:rsidRPr="00D86974">
        <w:tab/>
      </w:r>
      <w:r w:rsidRPr="00D86974">
        <w:rPr>
          <w:iCs/>
        </w:rPr>
        <w:t>Défenseurs</w:t>
      </w:r>
      <w:r w:rsidR="00C75340">
        <w:rPr>
          <w:iCs/>
        </w:rPr>
        <w:t xml:space="preserve"> </w:t>
      </w:r>
      <w:r w:rsidRPr="00D86974">
        <w:rPr>
          <w:iCs/>
        </w:rPr>
        <w:t>des</w:t>
      </w:r>
      <w:r w:rsidR="00C75340">
        <w:rPr>
          <w:iCs/>
        </w:rPr>
        <w:t xml:space="preserve"> </w:t>
      </w:r>
      <w:r w:rsidRPr="00D86974">
        <w:rPr>
          <w:iCs/>
        </w:rPr>
        <w:t>droits</w:t>
      </w:r>
      <w:r w:rsidR="00C75340">
        <w:rPr>
          <w:iCs/>
        </w:rPr>
        <w:t xml:space="preserve"> </w:t>
      </w:r>
      <w:r w:rsidRPr="00D86974">
        <w:rPr>
          <w:iCs/>
        </w:rPr>
        <w:t>de</w:t>
      </w:r>
      <w:r w:rsidR="00C75340">
        <w:rPr>
          <w:iCs/>
        </w:rPr>
        <w:t xml:space="preserve"> </w:t>
      </w:r>
      <w:r w:rsidRPr="00D86974">
        <w:rPr>
          <w:iCs/>
        </w:rPr>
        <w:t>l’homme</w:t>
      </w:r>
    </w:p>
    <w:p w14:paraId="4BD921E0" w14:textId="583F3515" w:rsidR="00C3295C" w:rsidRPr="00D86974" w:rsidRDefault="00C3295C" w:rsidP="00C3295C">
      <w:pPr>
        <w:pStyle w:val="SingleTxtG"/>
      </w:pPr>
      <w:r w:rsidRPr="00D86974">
        <w:t>134.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reconnaît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rôle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respecte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="00DB2064">
        <w:t>quatrième Plan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(2019-2023)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parmi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cibles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prévoit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spécifiques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droits.</w:t>
      </w:r>
    </w:p>
    <w:p w14:paraId="63F56750" w14:textId="3C912A70" w:rsidR="00C3295C" w:rsidRPr="00D86974" w:rsidRDefault="00C3295C" w:rsidP="00C3295C">
      <w:pPr>
        <w:pStyle w:val="SingleTxtG"/>
      </w:pPr>
      <w:r w:rsidRPr="00D86974">
        <w:lastRenderedPageBreak/>
        <w:t>135.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série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défenseurs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élaboré,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régional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Sud-Est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Haut-Commissariat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(HCDH),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manuel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sujet.</w:t>
      </w:r>
    </w:p>
    <w:p w14:paraId="58895934" w14:textId="4E406744" w:rsidR="00C3295C" w:rsidRDefault="00C3295C" w:rsidP="00C3295C">
      <w:pPr>
        <w:pStyle w:val="SingleTxtG"/>
      </w:pPr>
      <w:r w:rsidRPr="00D86974">
        <w:t>136.</w:t>
      </w:r>
      <w:r w:rsidRPr="00D86974">
        <w:tab/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mettre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outil</w:t>
      </w:r>
      <w:r w:rsidR="00C75340">
        <w:t xml:space="preserve"> </w:t>
      </w:r>
      <w:r w:rsidRPr="00D86974">
        <w:t>global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liberté</w:t>
      </w:r>
      <w:r w:rsidR="00C75340">
        <w:t xml:space="preserve"> </w:t>
      </w:r>
      <w:r w:rsidRPr="00D86974">
        <w:t>d’expression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procès-bâillons,</w:t>
      </w:r>
      <w:r w:rsidR="00C75340">
        <w:t xml:space="preserve"> </w:t>
      </w:r>
      <w:r w:rsidRPr="00D86974">
        <w:t>l’autorité</w:t>
      </w:r>
      <w:r w:rsidR="00C75340">
        <w:t xml:space="preserve"> </w:t>
      </w:r>
      <w:r w:rsidRPr="00D86974">
        <w:t>judiciaire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ajouté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nouveaux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Code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pénale.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161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  <w:r w:rsidR="00C75340">
        <w:t xml:space="preserve"> </w:t>
      </w:r>
      <w:r w:rsidRPr="00D86974">
        <w:t>autorise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tribunal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rejeter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affaire</w:t>
      </w:r>
      <w:r w:rsidR="00C75340">
        <w:t xml:space="preserve"> </w:t>
      </w:r>
      <w:r w:rsidRPr="00D86974">
        <w:t>pénale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stade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dépôt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plainte</w:t>
      </w:r>
      <w:r w:rsidR="00C75340">
        <w:t xml:space="preserve"> </w:t>
      </w:r>
      <w:r w:rsidRPr="00D86974">
        <w:t>s’il</w:t>
      </w:r>
      <w:r w:rsidR="00C75340">
        <w:t xml:space="preserve"> </w:t>
      </w:r>
      <w:r w:rsidRPr="00D86974">
        <w:t>considère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l’action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motivée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malveillante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harceler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tirer</w:t>
      </w:r>
      <w:r w:rsidR="00C75340">
        <w:t xml:space="preserve"> </w:t>
      </w:r>
      <w:r w:rsidRPr="00D86974">
        <w:t>profit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personne.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165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2)</w:t>
      </w:r>
      <w:r w:rsidR="00C75340">
        <w:t xml:space="preserve"> </w:t>
      </w:r>
      <w:r w:rsidRPr="00D86974">
        <w:t>confère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tribunal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rôle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actif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lui</w:t>
      </w:r>
      <w:r w:rsidR="00C75340">
        <w:t xml:space="preserve"> </w:t>
      </w:r>
      <w:r w:rsidRPr="00D86974">
        <w:t>attribuant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pouvoir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convoquer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témoins,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examen</w:t>
      </w:r>
      <w:r w:rsidR="00C75340">
        <w:t xml:space="preserve"> </w:t>
      </w:r>
      <w:r w:rsidRPr="00D86974">
        <w:t>contradictoire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présumer</w:t>
      </w:r>
      <w:r w:rsidR="00C75340">
        <w:t xml:space="preserve"> </w:t>
      </w:r>
      <w:r w:rsidRPr="00D86974">
        <w:t>l’accusé</w:t>
      </w:r>
      <w:r w:rsidR="00C75340">
        <w:t xml:space="preserve"> </w:t>
      </w:r>
      <w:r w:rsidRPr="00D86974">
        <w:t>innocent</w:t>
      </w:r>
      <w:r w:rsidR="00C75340">
        <w:t xml:space="preserve"> </w:t>
      </w:r>
      <w:r w:rsidRPr="00D86974">
        <w:t>tant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culpabilité</w:t>
      </w:r>
      <w:r w:rsidR="00C75340">
        <w:t xml:space="preserve"> </w:t>
      </w:r>
      <w:r w:rsidRPr="00D86974">
        <w:t>n’a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établie.</w:t>
      </w:r>
    </w:p>
    <w:p w14:paraId="2830045F" w14:textId="44D31B04" w:rsidR="00C3295C" w:rsidRPr="00D86974" w:rsidRDefault="00C3295C" w:rsidP="00D84B61">
      <w:pPr>
        <w:pStyle w:val="H23G"/>
        <w:ind w:right="1983"/>
      </w:pPr>
      <w:r w:rsidRPr="00D86974">
        <w:tab/>
      </w:r>
      <w:r w:rsidRPr="00D86974">
        <w:tab/>
      </w:r>
      <w:r w:rsidRPr="00D86974">
        <w:rPr>
          <w:bCs/>
        </w:rPr>
        <w:t>Instruments</w:t>
      </w:r>
      <w:r w:rsidR="00C75340">
        <w:rPr>
          <w:bCs/>
        </w:rPr>
        <w:t xml:space="preserve"> </w:t>
      </w:r>
      <w:r w:rsidRPr="00D86974">
        <w:rPr>
          <w:bCs/>
        </w:rPr>
        <w:t>relatifs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r w:rsidR="00C75340">
        <w:rPr>
          <w:bCs/>
        </w:rPr>
        <w:t xml:space="preserve"> </w:t>
      </w:r>
      <w:r w:rsidRPr="00D86974">
        <w:rPr>
          <w:bCs/>
        </w:rPr>
        <w:t>directement</w:t>
      </w:r>
      <w:r w:rsidR="00C75340">
        <w:rPr>
          <w:bCs/>
        </w:rPr>
        <w:t xml:space="preserve"> </w:t>
      </w:r>
      <w:r w:rsidRPr="00D86974">
        <w:rPr>
          <w:bCs/>
        </w:rPr>
        <w:t>invoqués/appliqués</w:t>
      </w:r>
      <w:r w:rsidR="00C75340">
        <w:rPr>
          <w:bCs/>
        </w:rPr>
        <w:t xml:space="preserve"> </w:t>
      </w:r>
      <w:r w:rsidRPr="00D86974">
        <w:rPr>
          <w:bCs/>
        </w:rPr>
        <w:t>par</w:t>
      </w:r>
      <w:r w:rsidR="00C75340">
        <w:rPr>
          <w:bCs/>
        </w:rPr>
        <w:t xml:space="preserve"> </w:t>
      </w:r>
      <w:r w:rsidRPr="00D86974">
        <w:rPr>
          <w:bCs/>
        </w:rPr>
        <w:t>les</w:t>
      </w:r>
      <w:r w:rsidR="00C75340">
        <w:rPr>
          <w:bCs/>
        </w:rPr>
        <w:t xml:space="preserve"> </w:t>
      </w:r>
      <w:r w:rsidRPr="00D86974">
        <w:rPr>
          <w:bCs/>
        </w:rPr>
        <w:t>tribunaux/autorités</w:t>
      </w:r>
      <w:r w:rsidR="00C75340">
        <w:rPr>
          <w:bCs/>
        </w:rPr>
        <w:t xml:space="preserve"> </w:t>
      </w:r>
      <w:r w:rsidRPr="00D86974">
        <w:rPr>
          <w:bCs/>
        </w:rPr>
        <w:t>administrative</w:t>
      </w:r>
      <w:r w:rsidRPr="00D86974">
        <w:t>s</w:t>
      </w:r>
    </w:p>
    <w:p w14:paraId="55247A3D" w14:textId="75D29B38" w:rsidR="00C3295C" w:rsidRPr="00D86974" w:rsidRDefault="00C3295C" w:rsidP="00C3295C">
      <w:pPr>
        <w:pStyle w:val="SingleTxtG"/>
      </w:pPr>
      <w:r w:rsidRPr="00D86974">
        <w:t>137.</w:t>
      </w:r>
      <w:r w:rsidRPr="00D86974">
        <w:tab/>
        <w:t>En</w:t>
      </w:r>
      <w:r w:rsidR="00C75340">
        <w:t xml:space="preserve"> </w:t>
      </w:r>
      <w:r w:rsidRPr="00D86974">
        <w:t>tant</w:t>
      </w:r>
      <w:r w:rsidR="00C75340">
        <w:t xml:space="preserve"> </w:t>
      </w:r>
      <w:r w:rsidRPr="00D86974">
        <w:t>qu’État</w:t>
      </w:r>
      <w:r w:rsidR="00C75340">
        <w:t xml:space="preserve"> </w:t>
      </w:r>
      <w:r w:rsidRPr="00D86974">
        <w:t>dualiste,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s’acquitte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obligations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législatives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administratives</w:t>
      </w:r>
      <w:r w:rsidR="00C75340">
        <w:t xml:space="preserve"> </w:t>
      </w:r>
      <w:r w:rsidRPr="00D86974">
        <w:t>appropriées,</w:t>
      </w:r>
      <w:r w:rsidR="00C75340">
        <w:t xml:space="preserve"> </w:t>
      </w:r>
      <w:r w:rsidRPr="00D86974">
        <w:t>puisque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s’appliquent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directement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interne</w:t>
      </w:r>
      <w:r w:rsidR="00C75340">
        <w:t xml:space="preserve"> </w:t>
      </w:r>
      <w:r w:rsidRPr="00D86974">
        <w:t>thaïlandais.</w:t>
      </w:r>
    </w:p>
    <w:p w14:paraId="73726C2B" w14:textId="5420D1A7" w:rsidR="00C3295C" w:rsidRDefault="00C3295C" w:rsidP="00C3295C">
      <w:pPr>
        <w:pStyle w:val="SingleTxtG"/>
      </w:pPr>
      <w:r w:rsidRPr="00D86974">
        <w:t>138.</w:t>
      </w:r>
      <w:r w:rsidRPr="00D86974">
        <w:tab/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consacrés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adhéré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protégés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lois.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périodiques</w:t>
      </w:r>
      <w:r w:rsidR="00C75340">
        <w:t xml:space="preserve"> </w:t>
      </w:r>
      <w:r w:rsidRPr="00D86974">
        <w:t>spécifiques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traités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présenté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détaillées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textes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garantissent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droits.</w:t>
      </w:r>
    </w:p>
    <w:p w14:paraId="07ACB10D" w14:textId="061C8439" w:rsidR="00C3295C" w:rsidRPr="00D86974" w:rsidRDefault="00C3295C" w:rsidP="00C3295C">
      <w:pPr>
        <w:pStyle w:val="SingleTxtG"/>
      </w:pPr>
      <w:r w:rsidRPr="00D86974">
        <w:t>139.</w:t>
      </w:r>
      <w:r w:rsidRPr="00D86974">
        <w:tab/>
        <w:t>Il</w:t>
      </w:r>
      <w:r w:rsidR="00C75340">
        <w:t xml:space="preserve"> </w:t>
      </w:r>
      <w:r w:rsidRPr="00D86974">
        <w:t>existe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exemples</w:t>
      </w:r>
      <w:r w:rsidR="00C75340">
        <w:t xml:space="preserve"> </w:t>
      </w:r>
      <w:r w:rsidRPr="00D86974">
        <w:t>d’affaires</w:t>
      </w:r>
      <w:r w:rsidR="00C75340">
        <w:t xml:space="preserve"> </w:t>
      </w:r>
      <w:r w:rsidRPr="00D86974">
        <w:t>où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directement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invoqués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appliqués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tribunaux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autorités</w:t>
      </w:r>
      <w:r w:rsidR="00C75340">
        <w:t xml:space="preserve"> </w:t>
      </w:r>
      <w:r w:rsidRPr="00D86974">
        <w:t>administratives.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l’affaire</w:t>
      </w:r>
      <w:r w:rsidR="00C75340">
        <w:t xml:space="preserve"> </w:t>
      </w:r>
      <w:r w:rsidRPr="00D86974">
        <w:t>1350/2559,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déterminer</w:t>
      </w:r>
      <w:r w:rsidR="00C75340">
        <w:t xml:space="preserve"> </w:t>
      </w:r>
      <w:r w:rsidRPr="00D86974">
        <w:t>si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Cabinet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="00090F16" w:rsidRPr="00D86974">
        <w:t>Ministre</w:t>
      </w:r>
      <w:r w:rsidR="00090F16">
        <w:t xml:space="preserve"> </w:t>
      </w:r>
      <w:r w:rsidRPr="00D86974">
        <w:t>devait</w:t>
      </w:r>
      <w:r w:rsidR="00C75340">
        <w:t xml:space="preserve"> </w:t>
      </w:r>
      <w:r w:rsidRPr="00D86974">
        <w:t>verser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indemnisation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victime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tortures</w:t>
      </w:r>
      <w:r w:rsidR="00C75340">
        <w:t xml:space="preserve"> </w:t>
      </w:r>
      <w:r w:rsidRPr="00D86974">
        <w:t>commises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fonctionnaire,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administrative</w:t>
      </w:r>
      <w:r w:rsidR="00C75340">
        <w:t xml:space="preserve"> </w:t>
      </w:r>
      <w:r w:rsidRPr="00D86974">
        <w:t>suprême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jugé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peines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traitements</w:t>
      </w:r>
      <w:r w:rsidR="00C75340">
        <w:t xml:space="preserve"> </w:t>
      </w:r>
      <w:r w:rsidRPr="00D86974">
        <w:t>cruels,</w:t>
      </w:r>
      <w:r w:rsidR="00C75340">
        <w:t xml:space="preserve"> </w:t>
      </w:r>
      <w:r w:rsidRPr="00D86974">
        <w:t>inhumains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dégradants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adhésion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2</w:t>
      </w:r>
      <w:r w:rsidR="003B4F14">
        <w:t> </w:t>
      </w:r>
      <w:r w:rsidRPr="00D86974">
        <w:t>octobre</w:t>
      </w:r>
      <w:r w:rsidR="00C75340">
        <w:t xml:space="preserve"> </w:t>
      </w:r>
      <w:r w:rsidRPr="00D86974">
        <w:t>2007,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tenue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s’y</w:t>
      </w:r>
      <w:r w:rsidR="00C75340">
        <w:t xml:space="preserve"> </w:t>
      </w:r>
      <w:r w:rsidRPr="00D86974">
        <w:t>conformer.</w:t>
      </w:r>
    </w:p>
    <w:p w14:paraId="0710E3EB" w14:textId="41C7EEE6" w:rsidR="00C3295C" w:rsidRPr="00D86974" w:rsidRDefault="00C3295C" w:rsidP="00C3295C">
      <w:pPr>
        <w:pStyle w:val="SingleTxtG"/>
      </w:pPr>
      <w:bookmarkStart w:id="22" w:name="_Ref45066201"/>
      <w:r w:rsidRPr="00D86974">
        <w:t>140.</w:t>
      </w:r>
      <w:r w:rsidRPr="00D86974">
        <w:tab/>
        <w:t>Un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exemple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celui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affaire</w:t>
      </w:r>
      <w:r w:rsidR="00C75340">
        <w:t xml:space="preserve"> </w:t>
      </w:r>
      <w:r w:rsidRPr="00D86974">
        <w:t>jugée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laquelle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d’appel</w:t>
      </w:r>
      <w:r w:rsidR="00C75340">
        <w:t xml:space="preserve"> </w:t>
      </w:r>
      <w:r w:rsidRPr="00D86974">
        <w:t>(18776/2561)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décidé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si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partenariat</w:t>
      </w:r>
      <w:r w:rsidR="00C75340">
        <w:t xml:space="preserve"> </w:t>
      </w:r>
      <w:r w:rsidRPr="00D86974">
        <w:t>civil</w:t>
      </w:r>
      <w:r w:rsidR="00C75340">
        <w:t xml:space="preserve"> </w:t>
      </w:r>
      <w:r w:rsidRPr="00D86974">
        <w:t>enregistré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Royaume-Uni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défunt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demandeur</w:t>
      </w:r>
      <w:r w:rsidR="00C75340">
        <w:t xml:space="preserve"> </w:t>
      </w:r>
      <w:r w:rsidRPr="00D86974">
        <w:t>(qui</w:t>
      </w:r>
      <w:r w:rsidR="00C75340">
        <w:t xml:space="preserve"> </w:t>
      </w:r>
      <w:r w:rsidRPr="00D86974">
        <w:t>demandait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Cour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désigner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exécuteur</w:t>
      </w:r>
      <w:r w:rsidR="00C75340">
        <w:t xml:space="preserve"> </w:t>
      </w:r>
      <w:r w:rsidRPr="00D86974">
        <w:t>testamentaire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défunt)</w:t>
      </w:r>
      <w:r w:rsidR="00C75340">
        <w:t xml:space="preserve"> </w:t>
      </w:r>
      <w:r w:rsidRPr="00D86974">
        <w:t>n’était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encore</w:t>
      </w:r>
      <w:r w:rsidR="00C75340">
        <w:t xml:space="preserve"> </w:t>
      </w:r>
      <w:r w:rsidRPr="00D86974">
        <w:t>reconnu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thaïlandaise,</w:t>
      </w:r>
      <w:r w:rsidR="00C75340">
        <w:t xml:space="preserve"> </w:t>
      </w:r>
      <w:r w:rsidRPr="00D86974">
        <w:t>l’accord</w:t>
      </w:r>
      <w:r w:rsidR="00C75340">
        <w:t xml:space="preserve"> </w:t>
      </w:r>
      <w:r w:rsidRPr="00D86974">
        <w:t>proprement</w:t>
      </w:r>
      <w:r w:rsidR="00C75340">
        <w:t xml:space="preserve"> </w:t>
      </w:r>
      <w:r w:rsidRPr="00D86974">
        <w:t>dit</w:t>
      </w:r>
      <w:r w:rsidR="00C75340">
        <w:t xml:space="preserve"> </w:t>
      </w:r>
      <w:r w:rsidRPr="00D86974">
        <w:t>n’était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contraire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maintien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l’ordre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bonnes</w:t>
      </w:r>
      <w:r w:rsidR="00C75340">
        <w:t xml:space="preserve"> </w:t>
      </w:r>
      <w:r w:rsidRPr="00D86974">
        <w:t>mœurs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Cela</w:t>
      </w:r>
      <w:r w:rsidR="00C75340">
        <w:t xml:space="preserve"> </w:t>
      </w:r>
      <w:r w:rsidRPr="00D86974">
        <w:t>s’explique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respecte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d’égalité</w:t>
      </w:r>
      <w:r w:rsidR="00C75340">
        <w:t xml:space="preserve"> </w:t>
      </w:r>
      <w:r w:rsidRPr="00D86974">
        <w:t>devant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non-discrimination</w:t>
      </w:r>
      <w:r w:rsidR="00C75340">
        <w:t xml:space="preserve"> </w:t>
      </w:r>
      <w:r w:rsidRPr="00D86974">
        <w:t>fondée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genre,</w:t>
      </w:r>
      <w:r w:rsidR="00C75340">
        <w:t xml:space="preserve"> </w:t>
      </w:r>
      <w:r w:rsidRPr="00D86974">
        <w:t>conformément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universelle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bookmarkEnd w:id="22"/>
    </w:p>
    <w:p w14:paraId="2E045795" w14:textId="598A3F7C" w:rsidR="00C3295C" w:rsidRPr="00D86974" w:rsidRDefault="00C3295C" w:rsidP="00C3295C">
      <w:pPr>
        <w:pStyle w:val="H1G"/>
      </w:pPr>
      <w:r w:rsidRPr="00D86974">
        <w:rPr>
          <w:bCs/>
        </w:rPr>
        <w:tab/>
        <w:t>C.</w:t>
      </w:r>
      <w:r w:rsidRPr="00D86974">
        <w:tab/>
      </w:r>
      <w:r w:rsidRPr="00D86974">
        <w:rPr>
          <w:bCs/>
        </w:rPr>
        <w:t>Cadre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promotion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r w:rsidR="00C75340">
        <w:rPr>
          <w:bCs/>
        </w:rPr>
        <w:t xml:space="preserve"> </w:t>
      </w:r>
      <w:r w:rsidRPr="00D86974">
        <w:rPr>
          <w:bCs/>
        </w:rPr>
        <w:t>au</w:t>
      </w:r>
      <w:r w:rsidR="00C75340">
        <w:rPr>
          <w:bCs/>
        </w:rPr>
        <w:t xml:space="preserve"> </w:t>
      </w:r>
      <w:r w:rsidRPr="00D86974">
        <w:rPr>
          <w:bCs/>
        </w:rPr>
        <w:t>niveau</w:t>
      </w:r>
      <w:r w:rsidR="00C75340">
        <w:rPr>
          <w:bCs/>
        </w:rPr>
        <w:t xml:space="preserve"> </w:t>
      </w:r>
      <w:r w:rsidRPr="00D86974">
        <w:rPr>
          <w:bCs/>
        </w:rPr>
        <w:t>national</w:t>
      </w:r>
      <w:bookmarkStart w:id="23" w:name="_Toc89701538"/>
      <w:bookmarkEnd w:id="23"/>
    </w:p>
    <w:p w14:paraId="77A0C538" w14:textId="6F560949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Parlements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organes</w:t>
      </w:r>
      <w:r w:rsidR="00C75340">
        <w:rPr>
          <w:bCs/>
        </w:rPr>
        <w:t xml:space="preserve"> </w:t>
      </w:r>
      <w:r w:rsidRPr="00D86974">
        <w:rPr>
          <w:bCs/>
        </w:rPr>
        <w:t>délibérants</w:t>
      </w:r>
      <w:r w:rsidR="00C75340">
        <w:rPr>
          <w:bCs/>
        </w:rPr>
        <w:t xml:space="preserve"> </w:t>
      </w:r>
      <w:r w:rsidRPr="00D86974">
        <w:rPr>
          <w:bCs/>
        </w:rPr>
        <w:t>nationaux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régionaux</w:t>
      </w:r>
    </w:p>
    <w:p w14:paraId="6DBAEA3B" w14:textId="6E96F889" w:rsidR="00C3295C" w:rsidRPr="00D86974" w:rsidRDefault="00C3295C" w:rsidP="00C3295C">
      <w:pPr>
        <w:pStyle w:val="SingleTxtG"/>
        <w:rPr>
          <w:rFonts w:eastAsia="Cordia New"/>
        </w:rPr>
      </w:pPr>
      <w:r w:rsidRPr="00D86974">
        <w:t>141.</w:t>
      </w:r>
      <w:r w:rsidRPr="00D86974">
        <w:tab/>
        <w:t>Le</w:t>
      </w:r>
      <w:r w:rsidR="00C75340">
        <w:t xml:space="preserve"> </w:t>
      </w:r>
      <w:r w:rsidRPr="00D86974">
        <w:t>Parlement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l’organe</w:t>
      </w:r>
      <w:r w:rsidR="00B77687">
        <w:t xml:space="preserve"> clef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législatif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(voir</w:t>
      </w:r>
      <w:r w:rsidR="00C75340">
        <w:t xml:space="preserve"> par. </w:t>
      </w:r>
      <w:r w:rsidRPr="00D86974">
        <w:t>37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40).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comporte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membres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Chambres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électeurs</w:t>
      </w:r>
      <w:r w:rsidR="00C75340">
        <w:t xml:space="preserve"> </w:t>
      </w:r>
      <w:r w:rsidRPr="00D86974">
        <w:t>inscrits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habilités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soumettre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l’examen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Parlement.</w:t>
      </w:r>
    </w:p>
    <w:p w14:paraId="36B8C10F" w14:textId="7919FF3E" w:rsidR="00C3295C" w:rsidRPr="00D84B61" w:rsidRDefault="00C3295C" w:rsidP="00C3295C">
      <w:pPr>
        <w:pStyle w:val="SingleTxtG"/>
        <w:rPr>
          <w:rFonts w:eastAsia="Cordia New"/>
          <w:spacing w:val="-1"/>
        </w:rPr>
      </w:pPr>
      <w:r w:rsidRPr="00D84B61">
        <w:rPr>
          <w:spacing w:val="-1"/>
        </w:rPr>
        <w:t>142.</w:t>
      </w:r>
      <w:r w:rsidRPr="00D84B61">
        <w:rPr>
          <w:spacing w:val="-1"/>
        </w:rPr>
        <w:tab/>
        <w:t>Comme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mentionné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au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paragraphe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84,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l’article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77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la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Constitution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2017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établit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un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nouveau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mécanisme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consultation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publique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parties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prenantes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dans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processus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législatif.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consultations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doivent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avoir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lieu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avant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l’adoption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chaque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loi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et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après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son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entrée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en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vigueur,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afin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d’évaluer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l’adéquation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la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loi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dans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des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contextes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sociaux</w:t>
      </w:r>
      <w:r w:rsidR="00C75340" w:rsidRPr="00D84B61">
        <w:rPr>
          <w:spacing w:val="-1"/>
        </w:rPr>
        <w:t xml:space="preserve"> </w:t>
      </w:r>
      <w:r w:rsidRPr="00D84B61">
        <w:rPr>
          <w:spacing w:val="-1"/>
        </w:rPr>
        <w:t>changeants.</w:t>
      </w:r>
    </w:p>
    <w:p w14:paraId="68D33E61" w14:textId="1D94777C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Institutions</w:t>
      </w:r>
      <w:r w:rsidR="00C75340">
        <w:rPr>
          <w:bCs/>
        </w:rPr>
        <w:t xml:space="preserve"> </w:t>
      </w:r>
      <w:r w:rsidRPr="00D86974">
        <w:rPr>
          <w:bCs/>
        </w:rPr>
        <w:t>nationales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0B0CF897" w14:textId="16B42439" w:rsidR="00C3295C" w:rsidRDefault="00C3295C" w:rsidP="00C3295C">
      <w:pPr>
        <w:pStyle w:val="SingleTxtG"/>
      </w:pPr>
      <w:r w:rsidRPr="00D86974">
        <w:t>143.</w:t>
      </w:r>
      <w:r w:rsidRPr="00D86974">
        <w:tab/>
        <w:t>Les</w:t>
      </w:r>
      <w:r w:rsidR="00C75340">
        <w:t xml:space="preserve"> </w:t>
      </w:r>
      <w:r w:rsidRPr="00D86974">
        <w:t>attributions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compétences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conformes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l’article</w:t>
      </w:r>
      <w:r w:rsidR="00C75340">
        <w:t xml:space="preserve"> </w:t>
      </w:r>
      <w:r w:rsidRPr="00D86974">
        <w:t>247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  <w:r w:rsidR="00C75340">
        <w:t xml:space="preserve"> </w:t>
      </w:r>
      <w:r w:rsidRPr="00D86974">
        <w:lastRenderedPageBreak/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26,</w:t>
      </w:r>
      <w:r w:rsidR="00C75340">
        <w:t xml:space="preserve"> </w:t>
      </w:r>
      <w:r w:rsidRPr="00D86974">
        <w:t>27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34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46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organique</w:t>
      </w:r>
      <w:r w:rsidR="00C75340">
        <w:t xml:space="preserve"> </w:t>
      </w:r>
      <w:r w:rsidRPr="00D86974">
        <w:t>(voir</w:t>
      </w:r>
      <w:r w:rsidR="00C75340">
        <w:t xml:space="preserve"> </w:t>
      </w:r>
      <w:r w:rsidRPr="00D86974">
        <w:t>aussi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paragraphe</w:t>
      </w:r>
      <w:r w:rsidR="00C75340">
        <w:t xml:space="preserve"> </w:t>
      </w:r>
      <w:r w:rsidRPr="00D86974">
        <w:t>55).</w:t>
      </w:r>
    </w:p>
    <w:p w14:paraId="0BA97B2C" w14:textId="55D00844" w:rsidR="00C3295C" w:rsidRPr="00D86974" w:rsidRDefault="00C3295C" w:rsidP="00C3295C">
      <w:pPr>
        <w:pStyle w:val="SingleTxtG"/>
      </w:pPr>
      <w:r w:rsidRPr="00D86974">
        <w:t>144.</w:t>
      </w:r>
      <w:r w:rsidRPr="00D86974">
        <w:tab/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s’acquitte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sensibilisation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recherche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d’actions</w:t>
      </w:r>
      <w:r w:rsidR="00C75340">
        <w:t xml:space="preserve"> </w:t>
      </w:r>
      <w:r w:rsidRPr="00D86974">
        <w:t>d’information</w:t>
      </w:r>
      <w:r w:rsidR="00C75340">
        <w:t xml:space="preserve"> </w:t>
      </w:r>
      <w:r w:rsidRPr="00D86974">
        <w:t>auprès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public.</w:t>
      </w:r>
    </w:p>
    <w:p w14:paraId="7FE6F0F1" w14:textId="402AC548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Diffusion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instruments</w:t>
      </w:r>
      <w:r w:rsidR="00C75340">
        <w:rPr>
          <w:bCs/>
        </w:rPr>
        <w:t xml:space="preserve"> </w:t>
      </w:r>
      <w:r w:rsidRPr="00D86974">
        <w:rPr>
          <w:bCs/>
        </w:rPr>
        <w:t>relatifs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</w:p>
    <w:p w14:paraId="59B642F6" w14:textId="3609A685" w:rsidR="00C3295C" w:rsidRPr="00D86974" w:rsidRDefault="00C3295C" w:rsidP="00C3295C">
      <w:pPr>
        <w:pStyle w:val="SingleTxtG"/>
      </w:pPr>
      <w:r w:rsidRPr="00D86974">
        <w:t>145.</w:t>
      </w:r>
      <w:r w:rsidRPr="00D86974">
        <w:tab/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traduits,</w:t>
      </w:r>
      <w:r w:rsidR="00C75340">
        <w:t xml:space="preserve"> </w:t>
      </w:r>
      <w:r w:rsidRPr="00D86974">
        <w:t>publiés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diffusés</w:t>
      </w:r>
      <w:r w:rsidR="00C75340">
        <w:t xml:space="preserve"> </w:t>
      </w:r>
      <w:r w:rsidRPr="00D86974">
        <w:t>auprès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grand</w:t>
      </w:r>
      <w:r w:rsidR="00C75340">
        <w:t xml:space="preserve"> </w:t>
      </w:r>
      <w:r w:rsidRPr="00D86974">
        <w:t>public.</w:t>
      </w:r>
    </w:p>
    <w:p w14:paraId="4033C97C" w14:textId="33EE1A0D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Action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sensibilisation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agents</w:t>
      </w:r>
      <w:r w:rsidR="00C75340">
        <w:rPr>
          <w:bCs/>
        </w:rPr>
        <w:t xml:space="preserve"> </w:t>
      </w:r>
      <w:r w:rsidRPr="00D86974">
        <w:rPr>
          <w:bCs/>
        </w:rPr>
        <w:t>publics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d’autres</w:t>
      </w:r>
      <w:r w:rsidR="00C75340">
        <w:rPr>
          <w:bCs/>
        </w:rPr>
        <w:t xml:space="preserve"> </w:t>
      </w:r>
      <w:r w:rsidRPr="00D86974">
        <w:rPr>
          <w:bCs/>
        </w:rPr>
        <w:t>professionnels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D84B61">
        <w:rPr>
          <w:bCs/>
        </w:rPr>
        <w:t> </w:t>
      </w:r>
      <w:r w:rsidRPr="00D86974">
        <w:rPr>
          <w:bCs/>
        </w:rPr>
        <w:t>l’homme</w:t>
      </w:r>
    </w:p>
    <w:p w14:paraId="1DC56607" w14:textId="594B662C" w:rsidR="00C3295C" w:rsidRPr="003B4F14" w:rsidRDefault="00C3295C" w:rsidP="00C3295C">
      <w:pPr>
        <w:pStyle w:val="SingleTxtG"/>
      </w:pPr>
      <w:r w:rsidRPr="00D86974">
        <w:t>146.</w:t>
      </w:r>
      <w:r w:rsidRPr="00D86974">
        <w:tab/>
        <w:t>Divers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institutions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efforcés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sensibiliser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responsables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l’application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lois,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procureurs,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juges,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agents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pénitentiaire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personnel</w:t>
      </w:r>
      <w:r w:rsidR="00C75340">
        <w:t xml:space="preserve"> </w:t>
      </w:r>
      <w:r w:rsidRPr="00D86974">
        <w:t>chargé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l’enfance,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professionnels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réunions,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ateliers,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formations,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séminaires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conférences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organisés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publications</w:t>
      </w:r>
      <w:r w:rsidR="00C75340">
        <w:t xml:space="preserve"> </w:t>
      </w:r>
      <w:r w:rsidRPr="00D86974">
        <w:t>rédigées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diffuser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standards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faciliter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partage</w:t>
      </w:r>
      <w:r w:rsidR="00C75340">
        <w:t xml:space="preserve"> </w:t>
      </w:r>
      <w:r w:rsidRPr="00D86974">
        <w:t>d’expériences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thaïlandais,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privé,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milieux</w:t>
      </w:r>
      <w:r w:rsidR="00C75340">
        <w:t xml:space="preserve"> </w:t>
      </w:r>
      <w:r w:rsidRPr="00D86974">
        <w:t>universitaires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concernées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grand</w:t>
      </w:r>
      <w:r w:rsidR="00C75340">
        <w:t xml:space="preserve"> </w:t>
      </w:r>
      <w:r w:rsidRPr="00D86974">
        <w:t>public.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communauté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="00D84B61">
        <w:t>(</w:t>
      </w:r>
      <w:r w:rsidRPr="00D86974">
        <w:t>par</w:t>
      </w:r>
      <w:r w:rsidR="00C75340">
        <w:t xml:space="preserve"> </w:t>
      </w:r>
      <w:r w:rsidRPr="00D86974">
        <w:t>exemple</w:t>
      </w:r>
      <w:r w:rsidR="00C75340">
        <w:t xml:space="preserve"> </w:t>
      </w:r>
      <w:r w:rsidRPr="00D86974">
        <w:t>l’Entité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sexes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l’autonomisation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(ONU-Femmes),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l’enfance</w:t>
      </w:r>
      <w:r w:rsidR="00C75340">
        <w:t xml:space="preserve"> </w:t>
      </w:r>
      <w:r w:rsidRPr="00D86974">
        <w:t>(UNICEF),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(PNUD)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Croix-Rouge</w:t>
      </w:r>
      <w:r w:rsidR="00C75340">
        <w:t xml:space="preserve"> </w:t>
      </w:r>
      <w:r w:rsidRPr="00D86974">
        <w:t>(CICR)</w:t>
      </w:r>
      <w:r w:rsidR="00D84B61">
        <w:t>)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contribué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élaborer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conformes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normes</w:t>
      </w:r>
      <w:r w:rsidR="00C75340">
        <w:t xml:space="preserve"> </w:t>
      </w:r>
      <w:r w:rsidRPr="00D86974">
        <w:t>internationales.</w:t>
      </w:r>
    </w:p>
    <w:p w14:paraId="38E7D510" w14:textId="39930A44" w:rsidR="00C3295C" w:rsidRPr="00D86974" w:rsidRDefault="00C3295C" w:rsidP="00D84B61">
      <w:pPr>
        <w:pStyle w:val="SingleTxtG"/>
        <w:keepNext/>
      </w:pPr>
      <w:r w:rsidRPr="00D86974">
        <w:t>147.</w:t>
      </w:r>
      <w:r w:rsidRPr="00D86974">
        <w:tab/>
        <w:t>Voici</w:t>
      </w:r>
      <w:r w:rsidR="00C75340">
        <w:t xml:space="preserve"> </w:t>
      </w:r>
      <w:r w:rsidRPr="00D86974">
        <w:t>quelques</w:t>
      </w:r>
      <w:r w:rsidR="00C75340">
        <w:t xml:space="preserve"> </w:t>
      </w:r>
      <w:r w:rsidRPr="00D86974">
        <w:t>exemples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sensibilisation</w:t>
      </w:r>
      <w:r w:rsidR="000E46EC">
        <w:t> :</w:t>
      </w:r>
    </w:p>
    <w:p w14:paraId="30E59B55" w14:textId="33E723C0" w:rsidR="00C3295C" w:rsidRPr="00D86974" w:rsidRDefault="00C3295C" w:rsidP="00D84B61">
      <w:pPr>
        <w:pStyle w:val="Bullet1G"/>
      </w:pPr>
      <w:r w:rsidRPr="00D86974">
        <w:t>Entre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2019,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appliqués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maintien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l’ordre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concernés.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était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mieux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comprendre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obligations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incombent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vertu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traités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autant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possible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risque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agents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violent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l’exercice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fonctions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l’application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règlements</w:t>
      </w:r>
      <w:r w:rsidR="000E46EC">
        <w:t> ;</w:t>
      </w:r>
    </w:p>
    <w:p w14:paraId="7384E185" w14:textId="1402E229" w:rsidR="00C3295C" w:rsidRPr="00D86974" w:rsidRDefault="00C3295C" w:rsidP="00D84B61">
      <w:pPr>
        <w:pStyle w:val="Bullet1G"/>
      </w:pPr>
      <w:r w:rsidRPr="00D86974">
        <w:t>Depuis</w:t>
      </w:r>
      <w:r w:rsidR="00C75340">
        <w:t xml:space="preserve"> </w:t>
      </w:r>
      <w:r w:rsidRPr="00D86974">
        <w:t>2018,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organise,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collaboration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HCDH,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atelier</w:t>
      </w:r>
      <w:r w:rsidR="00C75340">
        <w:t xml:space="preserve"> </w:t>
      </w:r>
      <w:r w:rsidRPr="00D86974">
        <w:t>annuel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fins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l’établissement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présenter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conventionnels,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4B61">
        <w:t>fonctionnaires</w:t>
      </w:r>
      <w:r w:rsidR="00C75340">
        <w:t xml:space="preserve"> </w:t>
      </w:r>
      <w:r w:rsidRPr="00D86974">
        <w:t>chargés</w:t>
      </w:r>
      <w:r w:rsidR="00C75340">
        <w:t xml:space="preserve"> </w:t>
      </w:r>
      <w:r w:rsidRPr="00D86974">
        <w:t>d’établir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partie.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ateliers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objectif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personnel,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sensibilisation,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compréhension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compétences</w:t>
      </w:r>
      <w:r w:rsidR="00C75340">
        <w:t xml:space="preserve"> </w:t>
      </w:r>
      <w:r w:rsidRPr="00D86974">
        <w:t>requises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présenter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rédiger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national</w:t>
      </w:r>
      <w:r w:rsidR="000E46EC">
        <w:t> ;</w:t>
      </w:r>
    </w:p>
    <w:p w14:paraId="4BCC9CC2" w14:textId="0D8CA499" w:rsidR="00C3295C" w:rsidRDefault="00C3295C" w:rsidP="00D84B61">
      <w:pPr>
        <w:pStyle w:val="Bullet1G"/>
      </w:pP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fonction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met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4B61">
        <w:t>disposition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membres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personnel,</w:t>
      </w:r>
      <w:r w:rsidR="00C75340">
        <w:t xml:space="preserve"> </w:t>
      </w:r>
      <w:r w:rsidRPr="00D86974">
        <w:t>en</w:t>
      </w:r>
      <w:r w:rsidR="00C75340">
        <w:t xml:space="preserve"> </w:t>
      </w:r>
      <w:proofErr w:type="spellStart"/>
      <w:r w:rsidRPr="00D86974">
        <w:t>autoapprentissage</w:t>
      </w:r>
      <w:proofErr w:type="spellEnd"/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mois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fondamentaux.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année,</w:t>
      </w:r>
      <w:r w:rsidR="00C75340">
        <w:t xml:space="preserve"> </w:t>
      </w:r>
      <w:r w:rsidRPr="00D86974">
        <w:t>quelque</w:t>
      </w:r>
      <w:r w:rsidR="00C75340">
        <w:t xml:space="preserve"> </w:t>
      </w:r>
      <w:r w:rsidRPr="00D86974">
        <w:t>600</w:t>
      </w:r>
      <w:r w:rsidR="00D84B61">
        <w:t> </w:t>
      </w:r>
      <w:r w:rsidRPr="00D86974">
        <w:t>participants</w:t>
      </w:r>
      <w:r w:rsidR="00C75340">
        <w:t xml:space="preserve"> </w:t>
      </w:r>
      <w:r w:rsidRPr="00D86974">
        <w:t>suivent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stage.</w:t>
      </w:r>
    </w:p>
    <w:p w14:paraId="03A6989F" w14:textId="4AB024B2" w:rsidR="00C3295C" w:rsidRPr="00D86974" w:rsidRDefault="00C3295C" w:rsidP="00C3295C">
      <w:pPr>
        <w:pStyle w:val="SingleTxtG"/>
      </w:pPr>
      <w:r w:rsidRPr="00D86974">
        <w:t>148.</w:t>
      </w:r>
      <w:r w:rsidRPr="00D86974">
        <w:tab/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professionnels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droit,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module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obligatoire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présenter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l’examen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barreau.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enseignée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plupart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facultés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pays.</w:t>
      </w:r>
    </w:p>
    <w:p w14:paraId="2939AC95" w14:textId="0FC34959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Action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sensibilisation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r w:rsidR="00C75340">
        <w:rPr>
          <w:bCs/>
        </w:rPr>
        <w:t xml:space="preserve"> </w:t>
      </w:r>
      <w:r w:rsidRPr="00D86974">
        <w:rPr>
          <w:bCs/>
        </w:rPr>
        <w:t>au</w:t>
      </w:r>
      <w:r w:rsidR="00C75340">
        <w:rPr>
          <w:bCs/>
        </w:rPr>
        <w:t xml:space="preserve"> </w:t>
      </w:r>
      <w:r w:rsidRPr="00D86974">
        <w:rPr>
          <w:bCs/>
        </w:rPr>
        <w:t>moyen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programmes</w:t>
      </w:r>
      <w:r w:rsidR="00C75340">
        <w:rPr>
          <w:bCs/>
        </w:rPr>
        <w:t xml:space="preserve"> </w:t>
      </w:r>
      <w:r w:rsidRPr="00D86974">
        <w:rPr>
          <w:bCs/>
        </w:rPr>
        <w:t>éducatifs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D84B61">
        <w:rPr>
          <w:bCs/>
        </w:rPr>
        <w:t> </w:t>
      </w:r>
      <w:r w:rsidRPr="00D86974">
        <w:rPr>
          <w:bCs/>
        </w:rPr>
        <w:t>par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diffusion</w:t>
      </w:r>
      <w:r w:rsidR="00C75340">
        <w:rPr>
          <w:bCs/>
        </w:rPr>
        <w:t xml:space="preserve"> </w:t>
      </w:r>
      <w:r w:rsidRPr="00D86974">
        <w:rPr>
          <w:bCs/>
        </w:rPr>
        <w:t>d’informations</w:t>
      </w:r>
      <w:r w:rsidR="00C75340">
        <w:rPr>
          <w:bCs/>
        </w:rPr>
        <w:t xml:space="preserve"> </w:t>
      </w:r>
      <w:r w:rsidRPr="00D86974">
        <w:rPr>
          <w:bCs/>
        </w:rPr>
        <w:t>avec</w:t>
      </w:r>
      <w:r w:rsidR="00C75340">
        <w:rPr>
          <w:bCs/>
        </w:rPr>
        <w:t xml:space="preserve"> </w:t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soutien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pouvoirs</w:t>
      </w:r>
      <w:r w:rsidR="00C75340">
        <w:rPr>
          <w:bCs/>
        </w:rPr>
        <w:t xml:space="preserve"> </w:t>
      </w:r>
      <w:r w:rsidRPr="00D86974">
        <w:rPr>
          <w:bCs/>
        </w:rPr>
        <w:t>publics</w:t>
      </w:r>
    </w:p>
    <w:p w14:paraId="249E9909" w14:textId="13033E10" w:rsidR="00C3295C" w:rsidRDefault="00C3295C" w:rsidP="00C3295C">
      <w:pPr>
        <w:pStyle w:val="SingleTxtG"/>
      </w:pPr>
      <w:r w:rsidRPr="00D86974">
        <w:t>149.</w:t>
      </w:r>
      <w:r w:rsidRPr="00D86974">
        <w:tab/>
        <w:t>L’éducation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travers</w:t>
      </w:r>
      <w:r w:rsidR="00C75340">
        <w:t xml:space="preserve"> </w:t>
      </w:r>
      <w:r w:rsidRPr="00D86974">
        <w:t>l’enseignement</w:t>
      </w:r>
      <w:r w:rsidR="00C75340">
        <w:t xml:space="preserve"> </w:t>
      </w:r>
      <w:r w:rsidRPr="00D86974">
        <w:t>classique,</w:t>
      </w:r>
      <w:r w:rsidR="00C75340">
        <w:t xml:space="preserve"> </w:t>
      </w:r>
      <w:r w:rsidRPr="00D86974">
        <w:t>mais</w:t>
      </w:r>
      <w:r w:rsidR="00C75340">
        <w:t xml:space="preserve"> </w:t>
      </w:r>
      <w:r w:rsidRPr="00D86974">
        <w:t>aussi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filières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formations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séminaires.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lastRenderedPageBreak/>
        <w:t>programmes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d’apprentissage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conçus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sensibiliser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enseignants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personnel</w:t>
      </w:r>
      <w:r w:rsidR="00C75340">
        <w:t xml:space="preserve"> </w:t>
      </w:r>
      <w:r w:rsidRPr="00D86974">
        <w:t>éducatif,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responsables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collectivités</w:t>
      </w:r>
      <w:r w:rsidR="00C75340">
        <w:t xml:space="preserve"> </w:t>
      </w:r>
      <w:r w:rsidRPr="00D86974">
        <w:t>locales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bénévoles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œuvrent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7361BDFE" w14:textId="41F9A5FB" w:rsidR="00C3295C" w:rsidRDefault="00C3295C" w:rsidP="00C3295C">
      <w:pPr>
        <w:pStyle w:val="SingleTxtG"/>
      </w:pPr>
      <w:r w:rsidRPr="00D86974">
        <w:t>150.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joue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rôle</w:t>
      </w:r>
      <w:r w:rsidR="00B77687">
        <w:t xml:space="preserve"> clef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cultiver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milieu</w:t>
      </w:r>
      <w:r w:rsidR="00C75340">
        <w:t xml:space="preserve"> </w:t>
      </w:r>
      <w:r w:rsidRPr="00D86974">
        <w:t>scolaire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valeurs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prévenance,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respect,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responsabilité,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paix,</w:t>
      </w:r>
      <w:r w:rsidR="00C75340">
        <w:t xml:space="preserve"> </w:t>
      </w:r>
      <w:r w:rsidRPr="00D86974">
        <w:t>l’harmonie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coexistence</w:t>
      </w:r>
      <w:r w:rsidR="00C75340">
        <w:t xml:space="preserve"> </w:t>
      </w:r>
      <w:r w:rsidRPr="00D86974">
        <w:t>pacifique.</w:t>
      </w:r>
      <w:r w:rsidR="00C75340">
        <w:t xml:space="preserve"> </w:t>
      </w:r>
      <w:r w:rsidRPr="00D86974">
        <w:t>Ses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éducatives</w:t>
      </w:r>
      <w:r w:rsidR="00C75340">
        <w:t xml:space="preserve"> </w:t>
      </w:r>
      <w:r w:rsidRPr="00D86974">
        <w:t>mettent</w:t>
      </w:r>
      <w:r w:rsidR="00C75340">
        <w:t xml:space="preserve"> </w:t>
      </w:r>
      <w:r w:rsidRPr="00D86974">
        <w:t>l’accent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l’importance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diffusion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connaissances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s’y</w:t>
      </w:r>
      <w:r w:rsidR="00C75340">
        <w:t xml:space="preserve"> </w:t>
      </w:r>
      <w:r w:rsidRPr="00D86974">
        <w:t>rapportent.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prises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scolaires,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particulier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études</w:t>
      </w:r>
      <w:r w:rsidR="00C75340">
        <w:t xml:space="preserve"> </w:t>
      </w:r>
      <w:r w:rsidRPr="00D86974">
        <w:t>sociales.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prémunir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préjugés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stéréotypes</w:t>
      </w:r>
      <w:r w:rsidR="00C75340">
        <w:t xml:space="preserve"> </w:t>
      </w:r>
      <w:r w:rsidRPr="00D86974">
        <w:t>nocifs,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élèves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formés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respecter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célébrer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multiculturalisme,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d’outils</w:t>
      </w:r>
      <w:r w:rsidR="00C75340">
        <w:t xml:space="preserve"> </w:t>
      </w:r>
      <w:r w:rsidRPr="00D86974">
        <w:t>d’apprentissage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jeux,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d’élèves,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camps</w:t>
      </w:r>
      <w:r w:rsidR="00C75340">
        <w:t xml:space="preserve"> </w:t>
      </w:r>
      <w:r w:rsidRPr="00D86974">
        <w:t>scolaires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excursions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visiter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musées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sites</w:t>
      </w:r>
      <w:r w:rsidR="00C75340">
        <w:t xml:space="preserve"> </w:t>
      </w:r>
      <w:r w:rsidRPr="00D86974">
        <w:t>patrimoniaux.</w:t>
      </w:r>
    </w:p>
    <w:p w14:paraId="07C29D4E" w14:textId="796F1B78" w:rsidR="00C3295C" w:rsidRPr="00D86974" w:rsidRDefault="00C3295C" w:rsidP="00C3295C">
      <w:pPr>
        <w:pStyle w:val="SingleTxtG"/>
      </w:pPr>
      <w:r w:rsidRPr="00D86974">
        <w:t>151.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stratégies,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spécialement</w:t>
      </w:r>
      <w:r w:rsidR="00C75340">
        <w:t xml:space="preserve"> </w:t>
      </w:r>
      <w:r w:rsidRPr="00D86974">
        <w:t>conçus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répondre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manière</w:t>
      </w:r>
      <w:r w:rsidR="00C75340">
        <w:t xml:space="preserve"> </w:t>
      </w:r>
      <w:r w:rsidRPr="00D86974">
        <w:t>globale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particuliers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membres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ethniques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s’agit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éducatif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zone</w:t>
      </w:r>
      <w:r w:rsidR="00C75340">
        <w:t xml:space="preserve"> </w:t>
      </w:r>
      <w:r w:rsidRPr="00D86974">
        <w:t>frontalière</w:t>
      </w:r>
      <w:r w:rsidR="00C75340">
        <w:t xml:space="preserve"> </w:t>
      </w:r>
      <w:r w:rsidRPr="00D86974">
        <w:t>(2017-2021),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améliorer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élèves,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étudiants</w:t>
      </w:r>
      <w:r w:rsidR="00C75340">
        <w:t xml:space="preserve"> </w:t>
      </w:r>
      <w:r w:rsidRPr="00D86974">
        <w:t>universitaires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vivent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zones</w:t>
      </w:r>
      <w:r w:rsidR="00C75340">
        <w:t xml:space="preserve"> </w:t>
      </w:r>
      <w:r w:rsidRPr="00D86974">
        <w:t>frontalières</w:t>
      </w:r>
      <w:r w:rsidR="00C75340">
        <w:t xml:space="preserve"> </w:t>
      </w:r>
      <w:r w:rsidRPr="00D86974">
        <w:t>jouxtant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Myanmar,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République</w:t>
      </w:r>
      <w:r w:rsidR="00C75340">
        <w:t xml:space="preserve"> </w:t>
      </w:r>
      <w:r w:rsidRPr="00D86974">
        <w:t>démocratique</w:t>
      </w:r>
      <w:r w:rsidR="00C75340">
        <w:t xml:space="preserve"> </w:t>
      </w:r>
      <w:r w:rsidRPr="00D86974">
        <w:t>populaire</w:t>
      </w:r>
      <w:r w:rsidR="00C75340">
        <w:t xml:space="preserve"> </w:t>
      </w:r>
      <w:r w:rsidRPr="00D86974">
        <w:t>lao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D84B61">
        <w:t> </w:t>
      </w:r>
      <w:r w:rsidRPr="00D86974">
        <w:t>Cambodge.</w:t>
      </w:r>
    </w:p>
    <w:p w14:paraId="50197FB1" w14:textId="0F6D1B97" w:rsidR="00C3295C" w:rsidRPr="00D86974" w:rsidRDefault="00C3295C" w:rsidP="00C3295C">
      <w:pPr>
        <w:pStyle w:val="SingleTxtG"/>
      </w:pPr>
      <w:r w:rsidRPr="00D86974">
        <w:t>152.</w:t>
      </w:r>
      <w:r w:rsidRPr="00D86974">
        <w:tab/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partenariat</w:t>
      </w:r>
      <w:r w:rsidR="00C75340">
        <w:t xml:space="preserve"> </w:t>
      </w:r>
      <w:r w:rsidRPr="00D86974">
        <w:t>scolaire</w:t>
      </w:r>
      <w:r w:rsidR="00C75340">
        <w:t xml:space="preserve"> </w:t>
      </w:r>
      <w:r w:rsidRPr="00D86974">
        <w:t>public-privé,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utilise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approche</w:t>
      </w:r>
      <w:r w:rsidR="00C75340">
        <w:t xml:space="preserve"> </w:t>
      </w:r>
      <w:r w:rsidRPr="00D86974">
        <w:t>globale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intégrée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faveur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enfants,</w:t>
      </w:r>
      <w:r w:rsidR="00C75340">
        <w:t xml:space="preserve"> </w:t>
      </w:r>
      <w:r w:rsidRPr="00D86974">
        <w:t>surtout</w:t>
      </w:r>
      <w:r w:rsidR="00C75340">
        <w:t xml:space="preserve"> </w:t>
      </w:r>
      <w:r w:rsidRPr="00D86974">
        <w:t>lorsqu’ils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issus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milieux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faible</w:t>
      </w:r>
      <w:r w:rsidR="00C75340">
        <w:t xml:space="preserve"> </w:t>
      </w:r>
      <w:r w:rsidRPr="00D86974">
        <w:t>revenu,</w:t>
      </w:r>
      <w:r w:rsidR="00C75340">
        <w:t xml:space="preserve"> </w:t>
      </w:r>
      <w:r w:rsidRPr="00D86974">
        <w:t>défavorisés,</w:t>
      </w:r>
      <w:r w:rsidR="00C75340">
        <w:t xml:space="preserve"> </w:t>
      </w:r>
      <w:r w:rsidRPr="00D86974">
        <w:t>vulnérables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orphelins.</w:t>
      </w:r>
    </w:p>
    <w:p w14:paraId="7D4498A4" w14:textId="4A61F5C3" w:rsidR="00C3295C" w:rsidRPr="000E46EC" w:rsidRDefault="00C3295C" w:rsidP="00C3295C">
      <w:pPr>
        <w:pStyle w:val="SingleTxtG"/>
        <w:rPr>
          <w:spacing w:val="-1"/>
        </w:rPr>
      </w:pPr>
      <w:r w:rsidRPr="000E46EC">
        <w:rPr>
          <w:spacing w:val="-1"/>
        </w:rPr>
        <w:t>153.</w:t>
      </w:r>
      <w:r w:rsidRPr="000E46EC">
        <w:rPr>
          <w:spacing w:val="-1"/>
        </w:rPr>
        <w:tab/>
        <w:t>Le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Ministère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la</w:t>
      </w:r>
      <w:r w:rsidR="00C75340" w:rsidRPr="000E46EC">
        <w:rPr>
          <w:spacing w:val="-1"/>
        </w:rPr>
        <w:t xml:space="preserve"> </w:t>
      </w:r>
      <w:r w:rsidR="003B4F14">
        <w:rPr>
          <w:spacing w:val="-1"/>
        </w:rPr>
        <w:t>j</w:t>
      </w:r>
      <w:r w:rsidRPr="000E46EC">
        <w:rPr>
          <w:spacing w:val="-1"/>
        </w:rPr>
        <w:t>ustice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continuellement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organisé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ateliers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pour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promouvoir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principes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droits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l’homme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auprès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jeunes.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L’accent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été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mis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sur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principes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d’égalité,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non-discrimination,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diversité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culturelle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multiculturalisme,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notamment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au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moyen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stratégies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d’apprentissage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comme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débats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dirigés,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dialogues,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arts,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musique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jeux.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outre,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Ministère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justice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lancé,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partenariat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avec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organismes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gouvernementaux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non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gouvernementaux,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«</w:t>
      </w:r>
      <w:r w:rsidR="000E46EC" w:rsidRPr="000E46EC">
        <w:rPr>
          <w:spacing w:val="-1"/>
        </w:rPr>
        <w:t> </w:t>
      </w:r>
      <w:r w:rsidRPr="000E46EC">
        <w:rPr>
          <w:spacing w:val="-1"/>
        </w:rPr>
        <w:t>Projet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scolaire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appuyé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par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la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justice</w:t>
      </w:r>
      <w:r w:rsidR="000E46EC" w:rsidRPr="000E46EC">
        <w:rPr>
          <w:spacing w:val="-1"/>
        </w:rPr>
        <w:t> »</w:t>
      </w:r>
      <w:r w:rsidRPr="000E46EC">
        <w:rPr>
          <w:spacing w:val="-1"/>
        </w:rPr>
        <w:t>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un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programme</w:t>
      </w:r>
      <w:r w:rsidR="00C75340" w:rsidRPr="000E46EC">
        <w:rPr>
          <w:spacing w:val="-1"/>
        </w:rPr>
        <w:t xml:space="preserve"> </w:t>
      </w:r>
      <w:proofErr w:type="spellStart"/>
      <w:r w:rsidRPr="000E46EC">
        <w:rPr>
          <w:spacing w:val="-1"/>
        </w:rPr>
        <w:t>extrascolaire</w:t>
      </w:r>
      <w:proofErr w:type="spellEnd"/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destiné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aux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jeunes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visant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favoriser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leur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participation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l’élaboration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règles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qui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touchent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leur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vie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quotidienne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l’école,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notamment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celles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relatives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aux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problèmes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harcèlement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toxicomanie.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élèves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apprennent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respecter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droits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d’autrui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se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conformer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aux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règles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qu’ils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ont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établies.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jour,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plus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850</w:t>
      </w:r>
      <w:r w:rsidR="000E46EC" w:rsidRPr="000E46EC">
        <w:rPr>
          <w:spacing w:val="-1"/>
        </w:rPr>
        <w:t> </w:t>
      </w:r>
      <w:r w:rsidRPr="000E46EC">
        <w:rPr>
          <w:spacing w:val="-1"/>
        </w:rPr>
        <w:t>écoles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primaires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et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secondaires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pilotes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réparties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dans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tout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le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pays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ont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participé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à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ce</w:t>
      </w:r>
      <w:r w:rsidR="00C75340" w:rsidRPr="000E46EC">
        <w:rPr>
          <w:spacing w:val="-1"/>
        </w:rPr>
        <w:t xml:space="preserve"> </w:t>
      </w:r>
      <w:r w:rsidRPr="000E46EC">
        <w:rPr>
          <w:spacing w:val="-1"/>
        </w:rPr>
        <w:t>projet.</w:t>
      </w:r>
    </w:p>
    <w:p w14:paraId="4BA0C8A2" w14:textId="0C6ED156" w:rsidR="00C3295C" w:rsidRPr="00D86974" w:rsidRDefault="00C3295C" w:rsidP="00C3295C">
      <w:pPr>
        <w:pStyle w:val="SingleTxtG"/>
      </w:pPr>
      <w:r w:rsidRPr="00D86974">
        <w:t>154.</w:t>
      </w:r>
      <w:r w:rsidRPr="00D86974">
        <w:tab/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mieux</w:t>
      </w:r>
      <w:r w:rsidR="00C75340">
        <w:t xml:space="preserve"> </w:t>
      </w:r>
      <w:r w:rsidRPr="00D86974">
        <w:t>sensibiliser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questions</w:t>
      </w:r>
      <w:r w:rsidR="00C75340">
        <w:t xml:space="preserve"> </w:t>
      </w:r>
      <w:r w:rsidRPr="00D86974"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proposé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public,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suivants</w:t>
      </w:r>
      <w:r w:rsidR="000E46EC">
        <w:t> :</w:t>
      </w:r>
      <w:r w:rsidR="00C75340">
        <w:t xml:space="preserve"> </w:t>
      </w:r>
      <w:r w:rsidRPr="00D86974">
        <w:t>i)</w:t>
      </w:r>
      <w:r w:rsidR="000E46EC">
        <w:t> </w:t>
      </w:r>
      <w:r w:rsidRPr="00D86974">
        <w:t>le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exécutif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l’Institut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Roi</w:t>
      </w:r>
      <w:r w:rsidR="00C75340">
        <w:t xml:space="preserve"> </w:t>
      </w:r>
      <w:proofErr w:type="spellStart"/>
      <w:r w:rsidRPr="00D86974">
        <w:t>Prajadhipok</w:t>
      </w:r>
      <w:proofErr w:type="spellEnd"/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0E46EC">
        <w:t> ;</w:t>
      </w:r>
      <w:r w:rsidR="00C75340">
        <w:t xml:space="preserve"> </w:t>
      </w:r>
      <w:r w:rsidRPr="00D86974">
        <w:t>ii)</w:t>
      </w:r>
      <w:r w:rsidR="000E46EC">
        <w:t> </w:t>
      </w:r>
      <w:r w:rsidRPr="00D86974">
        <w:t>le</w:t>
      </w:r>
      <w:r w:rsidR="00C75340">
        <w:t xml:space="preserve"> </w:t>
      </w:r>
      <w:r w:rsidRPr="00D86974">
        <w:t>certificat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délivré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universités</w:t>
      </w:r>
      <w:r w:rsidR="000E46EC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iii)</w:t>
      </w:r>
      <w:r w:rsidR="000E46EC">
        <w:t> </w:t>
      </w:r>
      <w:r w:rsidRPr="00D86974">
        <w:t>la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dispensée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libertés.</w:t>
      </w:r>
    </w:p>
    <w:p w14:paraId="723DCED5" w14:textId="1E414F1C" w:rsidR="00C3295C" w:rsidRPr="00D86974" w:rsidRDefault="00C3295C" w:rsidP="00C3295C">
      <w:pPr>
        <w:pStyle w:val="SingleTxtG"/>
      </w:pPr>
      <w:r w:rsidRPr="00D86974">
        <w:t>155.</w:t>
      </w:r>
      <w:r w:rsidRPr="00D86974">
        <w:tab/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nationale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série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formateurs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portent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matières</w:t>
      </w:r>
      <w:r w:rsidR="00C75340">
        <w:t xml:space="preserve"> </w:t>
      </w:r>
      <w:r w:rsidRPr="00D86974">
        <w:t>apparentées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destinés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instructeurs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personnel</w:t>
      </w:r>
      <w:r w:rsidR="00C75340">
        <w:t xml:space="preserve"> </w:t>
      </w:r>
      <w:r w:rsidRPr="00D86974">
        <w:t>enseignant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universitaire.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conclu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mémorandums</w:t>
      </w:r>
      <w:r w:rsidR="00C75340">
        <w:t xml:space="preserve"> </w:t>
      </w:r>
      <w:r w:rsidRPr="00D86974">
        <w:t>d’accord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50</w:t>
      </w:r>
      <w:r w:rsidR="000E46EC">
        <w:t> </w:t>
      </w:r>
      <w:r w:rsidRPr="00D86974">
        <w:t>universités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2016.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programmes,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entend,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truchement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instructeurs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personnel</w:t>
      </w:r>
      <w:r w:rsidR="00C75340">
        <w:t xml:space="preserve"> </w:t>
      </w:r>
      <w:r w:rsidRPr="00D86974">
        <w:t>enseignant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suivis,</w:t>
      </w:r>
      <w:r w:rsidR="00C75340">
        <w:t xml:space="preserve"> </w:t>
      </w:r>
      <w:r w:rsidRPr="00D86974">
        <w:t>diffuser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connaissances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sujet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sensibiliser</w:t>
      </w:r>
      <w:r w:rsidR="00C75340">
        <w:t xml:space="preserve"> </w:t>
      </w:r>
      <w:r w:rsidRPr="00D86974">
        <w:t>davantage</w:t>
      </w:r>
      <w:r w:rsidR="00C75340">
        <w:t xml:space="preserve"> </w:t>
      </w:r>
      <w:r w:rsidRPr="00D86974">
        <w:t>ceux-ci,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qu’ils</w:t>
      </w:r>
      <w:r w:rsidR="00C75340">
        <w:t xml:space="preserve"> </w:t>
      </w:r>
      <w:r w:rsidRPr="00D86974">
        <w:t>puissent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progresser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0E46EC">
        <w:t> </w:t>
      </w:r>
      <w:r w:rsidRPr="00D86974">
        <w:t>société.</w:t>
      </w:r>
    </w:p>
    <w:p w14:paraId="4834B55E" w14:textId="67A30062" w:rsidR="00C3295C" w:rsidRPr="00D86974" w:rsidRDefault="00C3295C" w:rsidP="000C6F67">
      <w:pPr>
        <w:pStyle w:val="SingleTxtG"/>
        <w:keepLines/>
      </w:pPr>
      <w:r w:rsidRPr="00D86974">
        <w:t>156.</w:t>
      </w:r>
      <w:r w:rsidRPr="00D86974">
        <w:tab/>
        <w:t>À</w:t>
      </w:r>
      <w:r w:rsidR="00C75340">
        <w:t xml:space="preserve"> </w:t>
      </w:r>
      <w:r w:rsidRPr="00D86974">
        <w:t>Bangkok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provinces,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supérieur,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universités,</w:t>
      </w:r>
      <w:r w:rsidR="00C75340">
        <w:t xml:space="preserve"> </w:t>
      </w:r>
      <w:r w:rsidRPr="00D86974">
        <w:t>proposent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destinés</w:t>
      </w:r>
      <w:r w:rsidR="00C75340">
        <w:t xml:space="preserve"> </w:t>
      </w:r>
      <w:r w:rsidRPr="00D86974">
        <w:t>d’une</w:t>
      </w:r>
      <w:r w:rsidR="00C75340">
        <w:t xml:space="preserve"> </w:t>
      </w:r>
      <w:r w:rsidRPr="00D86974">
        <w:t>part,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étudiants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niveaux</w:t>
      </w:r>
      <w:r w:rsidR="00C75340">
        <w:t xml:space="preserve"> </w:t>
      </w:r>
      <w:r w:rsidRPr="00D86974">
        <w:t>et,</w:t>
      </w:r>
      <w:r w:rsidR="00C75340">
        <w:t xml:space="preserve"> </w:t>
      </w:r>
      <w:r w:rsidRPr="00D86974">
        <w:t>d’autre</w:t>
      </w:r>
      <w:r w:rsidR="00C75340">
        <w:t xml:space="preserve"> </w:t>
      </w:r>
      <w:r w:rsidRPr="00D86974">
        <w:t>part,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citoyens.</w:t>
      </w:r>
      <w:r w:rsidR="00C75340">
        <w:t xml:space="preserve"> </w:t>
      </w:r>
      <w:r w:rsidRPr="00D86974">
        <w:t>L’Université</w:t>
      </w:r>
      <w:r w:rsidR="00C75340">
        <w:t xml:space="preserve"> </w:t>
      </w:r>
      <w:proofErr w:type="spellStart"/>
      <w:r w:rsidRPr="00D86974">
        <w:t>Mahidol</w:t>
      </w:r>
      <w:proofErr w:type="spellEnd"/>
      <w:r w:rsidRPr="00D86974">
        <w:t>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propose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niveau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licence,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maîtrise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doctorat.</w:t>
      </w:r>
      <w:r w:rsidR="00C75340">
        <w:t xml:space="preserve"> </w:t>
      </w:r>
      <w:r w:rsidRPr="00D86974">
        <w:t>L’Université</w:t>
      </w:r>
      <w:r w:rsidR="00C75340">
        <w:t xml:space="preserve"> </w:t>
      </w:r>
      <w:proofErr w:type="spellStart"/>
      <w:r w:rsidRPr="00D86974">
        <w:t>Chulalongkorn</w:t>
      </w:r>
      <w:proofErr w:type="spellEnd"/>
      <w:r w:rsidR="00C75340">
        <w:t xml:space="preserve"> </w:t>
      </w:r>
      <w:r w:rsidRPr="00D86974">
        <w:t>organise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stage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trois</w:t>
      </w:r>
      <w:r w:rsidR="00C75340">
        <w:t xml:space="preserve"> </w:t>
      </w:r>
      <w:r w:rsidRPr="00D86974">
        <w:t>semaines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sein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droit.</w:t>
      </w:r>
      <w:r w:rsidR="00C75340">
        <w:t xml:space="preserve"> </w:t>
      </w:r>
      <w:r w:rsidRPr="00D86974">
        <w:t>L’Université</w:t>
      </w:r>
      <w:r w:rsidR="00C75340">
        <w:t xml:space="preserve"> </w:t>
      </w:r>
      <w:proofErr w:type="spellStart"/>
      <w:r w:rsidRPr="00D86974">
        <w:t>Thammasat</w:t>
      </w:r>
      <w:proofErr w:type="spellEnd"/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sept</w:t>
      </w:r>
      <w:r w:rsidR="00C75340">
        <w:t xml:space="preserve"> </w:t>
      </w:r>
      <w:r w:rsidRPr="00D86974">
        <w:t>semaines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lastRenderedPageBreak/>
        <w:t>relatives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civils.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universités</w:t>
      </w:r>
      <w:r w:rsidR="00C75340">
        <w:t xml:space="preserve"> </w:t>
      </w:r>
      <w:r w:rsidRPr="00D86974">
        <w:t>(Sukhothai</w:t>
      </w:r>
      <w:r w:rsidR="00C75340">
        <w:t xml:space="preserve"> </w:t>
      </w:r>
      <w:proofErr w:type="spellStart"/>
      <w:r w:rsidRPr="00D86974">
        <w:t>Thammathirat</w:t>
      </w:r>
      <w:proofErr w:type="spellEnd"/>
      <w:r w:rsidRPr="00D86974">
        <w:t>,</w:t>
      </w:r>
      <w:r w:rsidR="00C75340">
        <w:t xml:space="preserve"> </w:t>
      </w:r>
      <w:proofErr w:type="spellStart"/>
      <w:r w:rsidRPr="00D86974">
        <w:t>Ubon</w:t>
      </w:r>
      <w:proofErr w:type="spellEnd"/>
      <w:r w:rsidR="00C75340">
        <w:t xml:space="preserve"> </w:t>
      </w:r>
      <w:proofErr w:type="spellStart"/>
      <w:r w:rsidRPr="00D86974">
        <w:t>Ratchathani</w:t>
      </w:r>
      <w:proofErr w:type="spellEnd"/>
      <w:r w:rsidRPr="00D86974">
        <w:t>,</w:t>
      </w:r>
      <w:r w:rsidR="00C75340">
        <w:t xml:space="preserve"> </w:t>
      </w:r>
      <w:r w:rsidRPr="00D86974">
        <w:t>Maha</w:t>
      </w:r>
      <w:r w:rsidR="00C75340">
        <w:t xml:space="preserve"> </w:t>
      </w:r>
      <w:proofErr w:type="spellStart"/>
      <w:r w:rsidRPr="00D86974">
        <w:t>Sarakham</w:t>
      </w:r>
      <w:proofErr w:type="spellEnd"/>
      <w:r w:rsidRPr="00D86974">
        <w:t>,</w:t>
      </w:r>
      <w:r w:rsidR="00C75340">
        <w:t xml:space="preserve"> </w:t>
      </w:r>
      <w:r w:rsidRPr="00D86974">
        <w:t>Chiang</w:t>
      </w:r>
      <w:r w:rsidR="00C75340">
        <w:t xml:space="preserve"> </w:t>
      </w:r>
      <w:r w:rsidRPr="00D86974">
        <w:t>Mai,</w:t>
      </w:r>
      <w:r w:rsidR="00C75340">
        <w:t xml:space="preserve"> </w:t>
      </w:r>
      <w:r w:rsidRPr="00D86974">
        <w:t>Mae</w:t>
      </w:r>
      <w:r w:rsidR="00C75340">
        <w:t xml:space="preserve"> </w:t>
      </w:r>
      <w:r w:rsidRPr="00D86974">
        <w:t>Fa</w:t>
      </w:r>
      <w:r w:rsidR="00C75340">
        <w:t xml:space="preserve"> </w:t>
      </w:r>
      <w:proofErr w:type="spellStart"/>
      <w:r w:rsidRPr="00D86974">
        <w:t>Luang</w:t>
      </w:r>
      <w:proofErr w:type="spellEnd"/>
      <w:r w:rsidRPr="00D86974">
        <w:t>,</w:t>
      </w:r>
      <w:r w:rsidR="00C75340">
        <w:t xml:space="preserve"> </w:t>
      </w:r>
      <w:proofErr w:type="spellStart"/>
      <w:r w:rsidRPr="00D86974">
        <w:t>Payap</w:t>
      </w:r>
      <w:proofErr w:type="spellEnd"/>
      <w:r w:rsidR="00C75340">
        <w:t xml:space="preserve"> </w:t>
      </w:r>
      <w:r w:rsidRPr="00D86974">
        <w:t>et</w:t>
      </w:r>
      <w:r w:rsidR="00C75340">
        <w:t xml:space="preserve"> </w:t>
      </w:r>
      <w:proofErr w:type="spellStart"/>
      <w:r w:rsidRPr="00D86974">
        <w:t>Rajabhat</w:t>
      </w:r>
      <w:proofErr w:type="spellEnd"/>
      <w:r w:rsidRPr="00D86974">
        <w:t>)</w:t>
      </w:r>
      <w:r w:rsidR="00C75340">
        <w:t xml:space="preserve"> </w:t>
      </w:r>
      <w:r w:rsidRPr="00D86974">
        <w:t>proposent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cours</w:t>
      </w:r>
      <w:r w:rsidR="00C75340">
        <w:t xml:space="preserve"> </w:t>
      </w:r>
      <w:r w:rsidRPr="00D86974">
        <w:t>se</w:t>
      </w:r>
      <w:r w:rsidR="00C75340">
        <w:t xml:space="preserve"> </w:t>
      </w:r>
      <w:r w:rsidRPr="00D86974">
        <w:t>rapportant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département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291EB7E2" w14:textId="4EC8A5C8" w:rsidR="00C3295C" w:rsidRDefault="00C3295C" w:rsidP="00C3295C">
      <w:pPr>
        <w:pStyle w:val="SingleTxtG"/>
      </w:pPr>
      <w:r w:rsidRPr="00D86974">
        <w:t>157.</w:t>
      </w:r>
      <w:r w:rsidRPr="00D86974">
        <w:tab/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«</w:t>
      </w:r>
      <w:r w:rsidR="000E46EC">
        <w:t> </w:t>
      </w:r>
      <w:r w:rsidRPr="00D86974">
        <w:t>Série</w:t>
      </w:r>
      <w:r w:rsidR="00C75340">
        <w:t xml:space="preserve"> </w:t>
      </w:r>
      <w:r w:rsidRPr="00D86974">
        <w:t>d’éducation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0E46EC">
        <w:t> »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2017.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cadre,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deux</w:t>
      </w:r>
      <w:r w:rsidR="00C75340">
        <w:t xml:space="preserve"> </w:t>
      </w:r>
      <w:r w:rsidRPr="00D86974">
        <w:t>livres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(«</w:t>
      </w:r>
      <w:r w:rsidR="000E46EC">
        <w:t> </w:t>
      </w:r>
      <w:r w:rsidRPr="00D86974">
        <w:t>Poussin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Caneton,</w:t>
      </w:r>
      <w:r w:rsidR="00C75340">
        <w:t xml:space="preserve"> </w:t>
      </w:r>
      <w:r w:rsidRPr="00D86974">
        <w:t>différents</w:t>
      </w:r>
      <w:r w:rsidR="00C75340">
        <w:t xml:space="preserve"> </w:t>
      </w:r>
      <w:r w:rsidRPr="00D86974">
        <w:t>mais</w:t>
      </w:r>
      <w:r w:rsidR="00C75340">
        <w:t xml:space="preserve"> </w:t>
      </w:r>
      <w:r w:rsidRPr="00D86974">
        <w:t>amis</w:t>
      </w:r>
      <w:r w:rsidR="000E46EC">
        <w:t> »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«</w:t>
      </w:r>
      <w:r w:rsidR="000E46EC">
        <w:t> </w:t>
      </w:r>
      <w:r w:rsidRPr="00D86974">
        <w:t>Le</w:t>
      </w:r>
      <w:r w:rsidR="00C75340">
        <w:t xml:space="preserve"> </w:t>
      </w:r>
      <w:r w:rsidRPr="00D86974">
        <w:t>rêve</w:t>
      </w:r>
      <w:r w:rsidR="00C75340">
        <w:t xml:space="preserve"> </w:t>
      </w:r>
      <w:r w:rsidRPr="00D86974">
        <w:t>de</w:t>
      </w:r>
      <w:r w:rsidR="00C75340">
        <w:t xml:space="preserve"> </w:t>
      </w:r>
      <w:proofErr w:type="spellStart"/>
      <w:r w:rsidRPr="00D86974">
        <w:t>Konmek</w:t>
      </w:r>
      <w:proofErr w:type="spellEnd"/>
      <w:r w:rsidR="000E46EC">
        <w:t> »</w:t>
      </w:r>
      <w:r w:rsidRPr="00D86974">
        <w:t>)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familiariser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promouvoir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respect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l’acceptation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différences,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non-discrimination,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dignité</w:t>
      </w:r>
      <w:r w:rsidR="00C75340">
        <w:t xml:space="preserve"> </w:t>
      </w:r>
      <w:r w:rsidRPr="00D86974">
        <w:t>humaine,</w:t>
      </w:r>
      <w:r w:rsidR="00C75340">
        <w:t xml:space="preserve"> </w:t>
      </w:r>
      <w:r w:rsidRPr="00D86974">
        <w:t>l’égalité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chances,</w:t>
      </w:r>
      <w:r w:rsidR="00C75340">
        <w:t xml:space="preserve"> </w:t>
      </w:r>
      <w:r w:rsidRPr="00D86974">
        <w:t>l’inclusion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vulnérables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coexistence</w:t>
      </w:r>
      <w:r w:rsidR="00C75340">
        <w:t xml:space="preserve"> </w:t>
      </w:r>
      <w:r w:rsidRPr="00D86974">
        <w:t>pacifique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pluraliste.</w:t>
      </w:r>
    </w:p>
    <w:p w14:paraId="1A811FB0" w14:textId="15046064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Action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sensibilisation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r w:rsidR="00C75340">
        <w:rPr>
          <w:bCs/>
        </w:rPr>
        <w:t xml:space="preserve"> </w:t>
      </w:r>
      <w:r w:rsidRPr="00D86974">
        <w:rPr>
          <w:bCs/>
        </w:rPr>
        <w:t>par</w:t>
      </w:r>
      <w:r w:rsidR="00C75340">
        <w:rPr>
          <w:bCs/>
        </w:rPr>
        <w:t xml:space="preserve"> </w:t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canal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médias</w:t>
      </w:r>
    </w:p>
    <w:p w14:paraId="66A95A75" w14:textId="256A07EE" w:rsidR="00C3295C" w:rsidRPr="00D86974" w:rsidRDefault="00C3295C" w:rsidP="00C3295C">
      <w:pPr>
        <w:pStyle w:val="SingleTxtG"/>
      </w:pPr>
      <w:r w:rsidRPr="00D86974">
        <w:t>158.</w:t>
      </w:r>
      <w:r w:rsidRPr="00D86974">
        <w:tab/>
        <w:t>La</w:t>
      </w:r>
      <w:r w:rsidR="00C75340">
        <w:t xml:space="preserve"> </w:t>
      </w:r>
      <w:r w:rsidRPr="00D86974">
        <w:t>diffusion</w:t>
      </w:r>
      <w:r w:rsidR="00C75340">
        <w:t xml:space="preserve"> </w:t>
      </w:r>
      <w:r w:rsidRPr="00D86974">
        <w:t>d’informations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l’intermédiaire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pris</w:t>
      </w:r>
      <w:r w:rsidR="00C75340">
        <w:t xml:space="preserve"> </w:t>
      </w:r>
      <w:r w:rsidRPr="00D86974">
        <w:t>diverses</w:t>
      </w:r>
      <w:r w:rsidR="00C75340">
        <w:t xml:space="preserve"> </w:t>
      </w:r>
      <w:r w:rsidRPr="00D86974">
        <w:t>formes,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0E46EC">
        <w:t> :</w:t>
      </w:r>
      <w:r w:rsidR="00C75340">
        <w:t xml:space="preserve"> </w:t>
      </w:r>
      <w:r w:rsidRPr="00D86974">
        <w:t>i)</w:t>
      </w:r>
      <w:r w:rsidR="000E46EC">
        <w:t> </w:t>
      </w:r>
      <w:r w:rsidRPr="00D86974">
        <w:t>des</w:t>
      </w:r>
      <w:r w:rsidR="00C75340">
        <w:t xml:space="preserve"> </w:t>
      </w:r>
      <w:r w:rsidRPr="00D86974">
        <w:t>publications,</w:t>
      </w:r>
      <w:r w:rsidR="00C75340">
        <w:t xml:space="preserve"> </w:t>
      </w:r>
      <w:r w:rsidRPr="00D86974">
        <w:t>telles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livres,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brochures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revues</w:t>
      </w:r>
      <w:r w:rsidR="000E46EC">
        <w:t> ;</w:t>
      </w:r>
      <w:r w:rsidR="00C75340">
        <w:t xml:space="preserve"> </w:t>
      </w:r>
      <w:r w:rsidRPr="00D86974">
        <w:t>ii)</w:t>
      </w:r>
      <w:r w:rsidR="000E46EC">
        <w:t> </w:t>
      </w:r>
      <w:r w:rsidRPr="00D86974">
        <w:t>des</w:t>
      </w:r>
      <w:r w:rsidR="00C75340">
        <w:t xml:space="preserve"> </w:t>
      </w:r>
      <w:r w:rsidRPr="00D86974">
        <w:t>travaux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recherche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prisonniers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judiciaire,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violence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enfants,</w:t>
      </w:r>
      <w:r w:rsidR="00C75340">
        <w:t xml:space="preserve"> </w:t>
      </w:r>
      <w:r w:rsidRPr="00D86974">
        <w:t>etc.</w:t>
      </w:r>
      <w:r w:rsidR="000E46EC">
        <w:t> ;</w:t>
      </w:r>
      <w:r w:rsidR="00C75340">
        <w:t xml:space="preserve"> </w:t>
      </w:r>
      <w:r w:rsidRPr="00D86974">
        <w:t>iii)</w:t>
      </w:r>
      <w:r w:rsidR="000E46EC">
        <w:t> </w:t>
      </w:r>
      <w:r w:rsidRPr="00D86974">
        <w:t>le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l’évaluation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primaire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secondaire</w:t>
      </w:r>
      <w:r w:rsidR="000E46EC">
        <w:t> ;</w:t>
      </w:r>
      <w:r w:rsidR="00C75340">
        <w:t xml:space="preserve"> </w:t>
      </w:r>
      <w:r w:rsidRPr="00D86974">
        <w:t>iv)</w:t>
      </w:r>
      <w:r w:rsidR="000E46EC">
        <w:t> </w:t>
      </w:r>
      <w:r w:rsidRPr="00D86974">
        <w:t>des</w:t>
      </w:r>
      <w:r w:rsidR="00C75340">
        <w:t xml:space="preserve"> </w:t>
      </w:r>
      <w:r w:rsidRPr="00D86974">
        <w:t>travaux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recherche-développement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l’enseignement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l’apprentissage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0E46EC">
        <w:t> ;</w:t>
      </w:r>
      <w:r w:rsidR="00C75340">
        <w:t xml:space="preserve"> </w:t>
      </w:r>
      <w:r w:rsidRPr="00D86974">
        <w:t>v)</w:t>
      </w:r>
      <w:r w:rsidR="000E46EC">
        <w:t> </w:t>
      </w:r>
      <w:r w:rsidRPr="00D86974">
        <w:t>des</w:t>
      </w:r>
      <w:r w:rsidR="00C75340">
        <w:t xml:space="preserve"> </w:t>
      </w:r>
      <w:r w:rsidRPr="00D86974">
        <w:t>campagnes</w:t>
      </w:r>
      <w:r w:rsidR="00C75340">
        <w:t xml:space="preserve"> </w:t>
      </w:r>
      <w:r w:rsidRPr="00D86974">
        <w:t>d’éducation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l’intermédiaire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médias</w:t>
      </w:r>
      <w:r w:rsidR="00C75340">
        <w:t xml:space="preserve"> </w:t>
      </w:r>
      <w:proofErr w:type="spellStart"/>
      <w:r w:rsidRPr="00D86974">
        <w:t>audiovisuels</w:t>
      </w:r>
      <w:proofErr w:type="spellEnd"/>
      <w:r w:rsidRPr="00D86974">
        <w:t>,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radio,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télévision,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infographiques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présentations</w:t>
      </w:r>
      <w:r w:rsidR="00C75340">
        <w:t xml:space="preserve"> </w:t>
      </w:r>
      <w:r w:rsidRPr="00D86974">
        <w:t>vidéo</w:t>
      </w:r>
      <w:r w:rsidR="000E46EC">
        <w:t> ;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vi)</w:t>
      </w:r>
      <w:r w:rsidR="000E46EC">
        <w:t> </w:t>
      </w:r>
      <w:r w:rsidRPr="00D86974">
        <w:t>des</w:t>
      </w:r>
      <w:r w:rsidR="00C75340">
        <w:t xml:space="preserve"> </w:t>
      </w:r>
      <w:r w:rsidRPr="00D86974">
        <w:t>communications</w:t>
      </w:r>
      <w:r w:rsidR="00C75340">
        <w:t xml:space="preserve"> </w:t>
      </w:r>
      <w:r w:rsidRPr="00D86974">
        <w:t>via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électroniques,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Internet,</w:t>
      </w:r>
      <w:r w:rsidR="00C75340">
        <w:t xml:space="preserve"> </w:t>
      </w:r>
      <w:r w:rsidRPr="00D86974">
        <w:t>l’apprentissage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ligne,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sociaux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courriels.</w:t>
      </w:r>
    </w:p>
    <w:p w14:paraId="0A002B33" w14:textId="6A8B0969" w:rsidR="00C3295C" w:rsidRDefault="00C3295C" w:rsidP="00C3295C">
      <w:pPr>
        <w:pStyle w:val="SingleTxtG"/>
      </w:pPr>
      <w:r w:rsidRPr="00D86974">
        <w:t>159.</w:t>
      </w:r>
      <w:r w:rsidRPr="00D86974">
        <w:tab/>
        <w:t>À</w:t>
      </w:r>
      <w:r w:rsidR="00C75340">
        <w:t xml:space="preserve"> </w:t>
      </w:r>
      <w:r w:rsidRPr="00D86974">
        <w:t>l’occasion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soixante-dixième</w:t>
      </w:r>
      <w:r w:rsidR="00C75340">
        <w:t xml:space="preserve"> </w:t>
      </w:r>
      <w:r w:rsidRPr="00D86974">
        <w:t>anniversaire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universelle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ambassades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conjointement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Mois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activités,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régional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Sud-Est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HCDH,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Haut-Commissariat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réfugiés</w:t>
      </w:r>
      <w:r w:rsidR="00C75340">
        <w:t xml:space="preserve"> </w:t>
      </w:r>
      <w:r w:rsidRPr="00D86974">
        <w:t>(HCR)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organisé,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Bangkok</w:t>
      </w:r>
      <w:r w:rsidR="00C75340">
        <w:t xml:space="preserve"> </w:t>
      </w:r>
      <w:r w:rsidRPr="00D86974">
        <w:t>Art</w:t>
      </w:r>
      <w:r w:rsidR="00C75340">
        <w:t xml:space="preserve"> </w:t>
      </w:r>
      <w:r w:rsidRPr="00D86974">
        <w:t>and</w:t>
      </w:r>
      <w:r w:rsidR="00C75340">
        <w:t xml:space="preserve"> </w:t>
      </w:r>
      <w:r w:rsidRPr="00D86974">
        <w:t>Culture</w:t>
      </w:r>
      <w:r w:rsidR="00C75340">
        <w:t xml:space="preserve"> </w:t>
      </w:r>
      <w:r w:rsidRPr="00D86974">
        <w:t>Centre,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manifestation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marquer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soixante-dixième</w:t>
      </w:r>
      <w:r w:rsidR="00C75340">
        <w:t xml:space="preserve"> </w:t>
      </w:r>
      <w:r w:rsidRPr="00D86974">
        <w:t>anniversaire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Déclaration</w:t>
      </w:r>
      <w:r w:rsidR="00C75340">
        <w:t xml:space="preserve"> </w:t>
      </w:r>
      <w:r w:rsidRPr="00D86974">
        <w:t>universelle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et,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anniversaire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faveur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intitulé</w:t>
      </w:r>
      <w:r w:rsidR="00C75340">
        <w:t xml:space="preserve"> </w:t>
      </w:r>
      <w:r w:rsidRPr="00D86974">
        <w:t>«</w:t>
      </w:r>
      <w:r w:rsidR="000E46EC">
        <w:t> </w:t>
      </w:r>
      <w:r w:rsidRPr="00D86974">
        <w:t>Vers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aime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partage</w:t>
      </w:r>
      <w:r w:rsidR="000E46EC">
        <w:t> »</w:t>
      </w:r>
      <w:r w:rsidRPr="00D86974">
        <w:t>.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200</w:t>
      </w:r>
      <w:r w:rsidR="000E46EC">
        <w:t> </w:t>
      </w:r>
      <w:r w:rsidRPr="00D86974">
        <w:t>représentants</w:t>
      </w:r>
      <w:r w:rsidR="00C75340">
        <w:t xml:space="preserve"> </w:t>
      </w:r>
      <w:r w:rsidRPr="00D86974">
        <w:t>d’organismes</w:t>
      </w:r>
      <w:r w:rsidR="00C75340">
        <w:t xml:space="preserve"> </w:t>
      </w:r>
      <w:r w:rsidRPr="00D86974">
        <w:t>publics,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corps</w:t>
      </w:r>
      <w:r w:rsidR="00C75340">
        <w:t xml:space="preserve"> </w:t>
      </w:r>
      <w:r w:rsidRPr="00D86974">
        <w:t>diplomatique,</w:t>
      </w:r>
      <w:r w:rsidR="00C75340">
        <w:t xml:space="preserve"> </w:t>
      </w:r>
      <w:r w:rsidRPr="00D86974">
        <w:t>d’organisations</w:t>
      </w:r>
      <w:r w:rsidR="00C75340">
        <w:t xml:space="preserve"> </w:t>
      </w:r>
      <w:r w:rsidRPr="00D86974">
        <w:t>internationales,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privé,</w:t>
      </w:r>
      <w:r w:rsidR="00C75340">
        <w:t xml:space="preserve"> </w:t>
      </w:r>
      <w:r w:rsidRPr="00D86974">
        <w:t>d’organisations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grand</w:t>
      </w:r>
      <w:r w:rsidR="00C75340">
        <w:t xml:space="preserve"> </w:t>
      </w:r>
      <w:r w:rsidRPr="00D86974">
        <w:t>public,</w:t>
      </w:r>
      <w:r w:rsidR="00C75340">
        <w:t xml:space="preserve"> </w:t>
      </w:r>
      <w:r w:rsidRPr="00D86974">
        <w:t>parmi</w:t>
      </w:r>
      <w:r w:rsidR="00C75340">
        <w:t xml:space="preserve"> </w:t>
      </w:r>
      <w:r w:rsidRPr="00D86974">
        <w:t>lesquels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jeunes,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assisté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manifestation.</w:t>
      </w:r>
      <w:r w:rsidR="00C75340">
        <w:t xml:space="preserve"> </w:t>
      </w:r>
      <w:r w:rsidRPr="00D86974">
        <w:t>Celle-ci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relayée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moyen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avait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but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prise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conscience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compréhension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thaïlandaise,</w:t>
      </w:r>
      <w:r w:rsidR="00C75340">
        <w:t xml:space="preserve"> </w:t>
      </w:r>
      <w:r w:rsidRPr="00D86974">
        <w:t>d’appuyer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efforts</w:t>
      </w:r>
      <w:r w:rsidR="00C75340">
        <w:t xml:space="preserve"> </w:t>
      </w:r>
      <w:r w:rsidRPr="00D86974">
        <w:t>actuels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touchant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niveaux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international,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réaffirmer</w:t>
      </w:r>
      <w:r w:rsidR="00C75340">
        <w:t xml:space="preserve"> </w:t>
      </w:r>
      <w:r w:rsidRPr="00D86974">
        <w:t>l’engagement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vis-à-vis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au-delà.</w:t>
      </w:r>
    </w:p>
    <w:p w14:paraId="4385FE32" w14:textId="541355C0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Rôles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société</w:t>
      </w:r>
      <w:r w:rsidR="00C75340">
        <w:rPr>
          <w:bCs/>
        </w:rPr>
        <w:t xml:space="preserve"> </w:t>
      </w:r>
      <w:r w:rsidRPr="00D86974">
        <w:rPr>
          <w:bCs/>
        </w:rPr>
        <w:t>civile</w:t>
      </w:r>
    </w:p>
    <w:p w14:paraId="0675A6A0" w14:textId="1CD1FE1C" w:rsidR="00C3295C" w:rsidRPr="00D86974" w:rsidRDefault="00C3295C" w:rsidP="00C3295C">
      <w:pPr>
        <w:pStyle w:val="SingleTxtG"/>
      </w:pPr>
      <w:r w:rsidRPr="00D86974">
        <w:t>160.</w:t>
      </w:r>
      <w:r w:rsidRPr="00D86974">
        <w:tab/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joué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rôles</w:t>
      </w:r>
      <w:r w:rsidR="00C75340">
        <w:t xml:space="preserve"> </w:t>
      </w:r>
      <w:r w:rsidRPr="00D86974">
        <w:t>actifs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rôles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généralement</w:t>
      </w:r>
      <w:r w:rsidR="00C75340">
        <w:t xml:space="preserve"> </w:t>
      </w:r>
      <w:r w:rsidRPr="00D86974">
        <w:t>consisté,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autres,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favoriser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humain,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interventions</w:t>
      </w:r>
      <w:r w:rsidR="00C75340">
        <w:t xml:space="preserve"> </w:t>
      </w:r>
      <w:r w:rsidRPr="00D86974">
        <w:t>sociales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réformes,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suivre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office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contre-pouvoir,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participer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rédiger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lois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documents</w:t>
      </w:r>
      <w:r w:rsidR="00C75340">
        <w:t xml:space="preserve"> </w:t>
      </w:r>
      <w:r w:rsidRPr="00D86974">
        <w:t>connexes,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plans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mentionnés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97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98.</w:t>
      </w:r>
    </w:p>
    <w:p w14:paraId="6A85EF29" w14:textId="3E359169" w:rsidR="00C3295C" w:rsidRPr="00D86974" w:rsidRDefault="00C3295C" w:rsidP="000C6F67">
      <w:pPr>
        <w:pStyle w:val="SingleTxtG"/>
        <w:keepLines/>
      </w:pPr>
      <w:r w:rsidRPr="00D86974">
        <w:t>161.</w:t>
      </w:r>
      <w:r w:rsidRPr="00D86974">
        <w:tab/>
        <w:t>L’État</w:t>
      </w:r>
      <w:r w:rsidR="00C75340">
        <w:t xml:space="preserve"> </w:t>
      </w:r>
      <w:r w:rsidRPr="00D86974">
        <w:t>définit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approche</w:t>
      </w:r>
      <w:r w:rsidR="00C75340">
        <w:t xml:space="preserve"> </w:t>
      </w:r>
      <w:r w:rsidRPr="00D86974">
        <w:t>coordonnée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l’échelle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l’ensemble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l’administration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s’attache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partenariat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civile.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concertations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organisées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façon</w:t>
      </w:r>
      <w:r w:rsidR="00C75340">
        <w:t xml:space="preserve"> </w:t>
      </w:r>
      <w:r w:rsidRPr="00D86974">
        <w:t>régulière,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titre</w:t>
      </w:r>
      <w:r w:rsidR="00C75340">
        <w:t xml:space="preserve"> </w:t>
      </w:r>
      <w:r w:rsidRPr="00D86974">
        <w:t>individuel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conjoint,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concernés.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réunions</w:t>
      </w:r>
      <w:r w:rsidR="00C75340">
        <w:t xml:space="preserve"> </w:t>
      </w:r>
      <w:r w:rsidRPr="00D86974">
        <w:t>régulières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domaine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2F34EA16" w14:textId="25D5E0B3" w:rsidR="00C3295C" w:rsidRPr="00D86974" w:rsidRDefault="00C3295C" w:rsidP="000C6F67">
      <w:pPr>
        <w:pStyle w:val="SingleTxtG"/>
      </w:pPr>
      <w:r w:rsidRPr="00D86974">
        <w:lastRenderedPageBreak/>
        <w:t>162.</w:t>
      </w:r>
      <w:r w:rsidRPr="00D86974">
        <w:tab/>
        <w:t>Comme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précisent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participé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d’élaboration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titre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traités</w:t>
      </w:r>
      <w:r w:rsidR="00C75340">
        <w:t xml:space="preserve"> </w:t>
      </w:r>
      <w:r w:rsidRPr="00D86974">
        <w:t>internationaux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l’EPU.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participation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intéressées,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public,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secteur</w:t>
      </w:r>
      <w:r w:rsidR="00C75340">
        <w:t xml:space="preserve"> </w:t>
      </w:r>
      <w:r w:rsidRPr="00D86974">
        <w:t>privé,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ethniques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concernées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l’ensemble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pays,</w:t>
      </w:r>
      <w:r w:rsidR="00C75340">
        <w:t xml:space="preserve"> </w:t>
      </w:r>
      <w:r w:rsidRPr="00D86974">
        <w:t>s’est</w:t>
      </w:r>
      <w:r w:rsidR="00C75340">
        <w:t xml:space="preserve"> </w:t>
      </w:r>
      <w:r w:rsidRPr="00D86974">
        <w:t>avérée</w:t>
      </w:r>
      <w:r w:rsidR="00C75340">
        <w:t xml:space="preserve"> </w:t>
      </w:r>
      <w:r w:rsidRPr="00D86974">
        <w:t>constructive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fructueuse.</w:t>
      </w:r>
    </w:p>
    <w:p w14:paraId="1C0520F1" w14:textId="0D54DCC2" w:rsidR="00C3295C" w:rsidRPr="00D86974" w:rsidRDefault="00C3295C" w:rsidP="00C3295C">
      <w:pPr>
        <w:pStyle w:val="SingleTxtG"/>
      </w:pPr>
      <w:r w:rsidRPr="00D86974">
        <w:t>163.</w:t>
      </w:r>
      <w:r w:rsidRPr="00D86974">
        <w:tab/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terrain,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coopéré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nombreux</w:t>
      </w:r>
      <w:r w:rsidR="00C75340">
        <w:t xml:space="preserve"> </w:t>
      </w:r>
      <w:r w:rsidRPr="00D86974">
        <w:t>domaines.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l’Association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paix</w:t>
      </w:r>
      <w:r w:rsidR="00C75340">
        <w:t xml:space="preserve"> </w:t>
      </w:r>
      <w:r w:rsidRPr="00D86974">
        <w:t>s’est</w:t>
      </w:r>
      <w:r w:rsidR="00C75340">
        <w:t xml:space="preserve"> </w:t>
      </w:r>
      <w:r w:rsidRPr="00D86974">
        <w:t>employée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aider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autonomiser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touchés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sud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signaler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besoins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décideurs.</w:t>
      </w:r>
      <w:r w:rsidR="00C75340">
        <w:t xml:space="preserve"> </w:t>
      </w:r>
      <w:r w:rsidRPr="00D86974">
        <w:t>L’Association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paix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provinces</w:t>
      </w:r>
      <w:r w:rsidR="00C75340">
        <w:t xml:space="preserve"> </w:t>
      </w:r>
      <w:r w:rsidRPr="00D86974">
        <w:t>frontalières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(groupe</w:t>
      </w:r>
      <w:r w:rsidR="00C75340">
        <w:t xml:space="preserve"> </w:t>
      </w:r>
      <w:proofErr w:type="spellStart"/>
      <w:r w:rsidRPr="00D86974">
        <w:t>Luuk</w:t>
      </w:r>
      <w:proofErr w:type="spellEnd"/>
      <w:r w:rsidR="00C75340">
        <w:t xml:space="preserve"> </w:t>
      </w:r>
      <w:proofErr w:type="spellStart"/>
      <w:r w:rsidRPr="00D86974">
        <w:t>Rieng</w:t>
      </w:r>
      <w:proofErr w:type="spellEnd"/>
      <w:r w:rsidRPr="00D86974">
        <w:t>)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travaillé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l’organisation</w:t>
      </w:r>
      <w:r w:rsidR="00C75340">
        <w:t xml:space="preserve"> </w:t>
      </w:r>
      <w:r w:rsidRPr="001B4DE8">
        <w:rPr>
          <w:lang w:val="en-US"/>
        </w:rPr>
        <w:t>Save</w:t>
      </w:r>
      <w:r w:rsidR="00C75340" w:rsidRPr="001B4DE8">
        <w:rPr>
          <w:lang w:val="en-US"/>
        </w:rPr>
        <w:t xml:space="preserve"> </w:t>
      </w:r>
      <w:r w:rsidRPr="001B4DE8">
        <w:rPr>
          <w:lang w:val="en-US"/>
        </w:rPr>
        <w:t>the</w:t>
      </w:r>
      <w:r w:rsidR="00C75340" w:rsidRPr="001B4DE8">
        <w:rPr>
          <w:lang w:val="en-US"/>
        </w:rPr>
        <w:t xml:space="preserve"> </w:t>
      </w:r>
      <w:r w:rsidRPr="001B4DE8">
        <w:rPr>
          <w:lang w:val="en-US"/>
        </w:rPr>
        <w:t>Children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réduction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risques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catastrophe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écoles</w:t>
      </w:r>
      <w:r w:rsidR="00C75340">
        <w:t xml:space="preserve"> </w:t>
      </w:r>
      <w:r w:rsidRPr="00D86974">
        <w:t>locales.</w:t>
      </w:r>
    </w:p>
    <w:p w14:paraId="0BCD73F4" w14:textId="7E99DCB0" w:rsidR="00C3295C" w:rsidRPr="000E46EC" w:rsidRDefault="00C3295C" w:rsidP="000E46EC">
      <w:pPr>
        <w:pStyle w:val="SingleTxtG"/>
      </w:pPr>
      <w:r w:rsidRPr="000E46EC">
        <w:t>164.</w:t>
      </w:r>
      <w:r w:rsidRPr="000E46EC">
        <w:tab/>
        <w:t>De</w:t>
      </w:r>
      <w:r w:rsidR="00C75340" w:rsidRPr="000E46EC">
        <w:t xml:space="preserve"> </w:t>
      </w:r>
      <w:r w:rsidRPr="000E46EC">
        <w:t>nombreux</w:t>
      </w:r>
      <w:r w:rsidR="00C75340" w:rsidRPr="000E46EC">
        <w:t xml:space="preserve"> </w:t>
      </w:r>
      <w:r w:rsidRPr="000E46EC">
        <w:t>organismes</w:t>
      </w:r>
      <w:r w:rsidR="00C75340" w:rsidRPr="000E46EC">
        <w:t xml:space="preserve"> </w:t>
      </w:r>
      <w:r w:rsidRPr="000E46EC">
        <w:t>publics,</w:t>
      </w:r>
      <w:r w:rsidR="00C75340" w:rsidRPr="000E46EC">
        <w:t xml:space="preserve"> </w:t>
      </w:r>
      <w:r w:rsidRPr="000E46EC">
        <w:t>comme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Ministère</w:t>
      </w:r>
      <w:r w:rsidR="00C75340" w:rsidRPr="000E46EC">
        <w:t xml:space="preserve"> </w:t>
      </w:r>
      <w:r w:rsidRPr="000E46EC">
        <w:t>des</w:t>
      </w:r>
      <w:r w:rsidR="00C75340" w:rsidRPr="000E46EC">
        <w:t xml:space="preserve"> </w:t>
      </w:r>
      <w:r w:rsidRPr="000E46EC">
        <w:t>affaires</w:t>
      </w:r>
      <w:r w:rsidR="00C75340" w:rsidRPr="000E46EC">
        <w:t xml:space="preserve"> </w:t>
      </w:r>
      <w:r w:rsidRPr="000E46EC">
        <w:t>étrangères,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Ministère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la</w:t>
      </w:r>
      <w:r w:rsidR="00C75340" w:rsidRPr="000E46EC">
        <w:t xml:space="preserve"> </w:t>
      </w:r>
      <w:r w:rsidRPr="000E46EC">
        <w:t>justice,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Ministère</w:t>
      </w:r>
      <w:r w:rsidR="00C75340" w:rsidRPr="000E46EC">
        <w:t xml:space="preserve"> </w:t>
      </w:r>
      <w:r w:rsidRPr="000E46EC">
        <w:t>du</w:t>
      </w:r>
      <w:r w:rsidR="00C75340" w:rsidRPr="000E46EC">
        <w:t xml:space="preserve"> </w:t>
      </w:r>
      <w:r w:rsidRPr="000E46EC">
        <w:t>développement</w:t>
      </w:r>
      <w:r w:rsidR="00C75340" w:rsidRPr="000E46EC">
        <w:t xml:space="preserve"> </w:t>
      </w:r>
      <w:r w:rsidRPr="000E46EC">
        <w:t>social</w:t>
      </w:r>
      <w:r w:rsidR="00C75340" w:rsidRPr="000E46EC">
        <w:t xml:space="preserve"> </w:t>
      </w:r>
      <w:r w:rsidRPr="000E46EC">
        <w:t>et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la</w:t>
      </w:r>
      <w:r w:rsidR="00C75340" w:rsidRPr="000E46EC">
        <w:t xml:space="preserve"> </w:t>
      </w:r>
      <w:r w:rsidRPr="000E46EC">
        <w:t>sécurité</w:t>
      </w:r>
      <w:r w:rsidR="00C75340" w:rsidRPr="000E46EC">
        <w:t xml:space="preserve"> </w:t>
      </w:r>
      <w:r w:rsidRPr="000E46EC">
        <w:t>des</w:t>
      </w:r>
      <w:r w:rsidR="00C75340" w:rsidRPr="000E46EC">
        <w:t xml:space="preserve"> </w:t>
      </w:r>
      <w:r w:rsidRPr="000E46EC">
        <w:t>personnes</w:t>
      </w:r>
      <w:r w:rsidR="00C75340" w:rsidRPr="000E46EC">
        <w:t xml:space="preserve"> </w:t>
      </w:r>
      <w:r w:rsidRPr="000E46EC">
        <w:t>et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Bureau</w:t>
      </w:r>
      <w:r w:rsidR="00C75340" w:rsidRPr="000E46EC">
        <w:t xml:space="preserve"> </w:t>
      </w:r>
      <w:r w:rsidRPr="000E46EC">
        <w:t>des</w:t>
      </w:r>
      <w:r w:rsidR="00C75340" w:rsidRPr="000E46EC">
        <w:t xml:space="preserve"> </w:t>
      </w:r>
      <w:r w:rsidRPr="000E46EC">
        <w:t>services</w:t>
      </w:r>
      <w:r w:rsidR="00C75340" w:rsidRPr="000E46EC">
        <w:t xml:space="preserve"> </w:t>
      </w:r>
      <w:r w:rsidRPr="000E46EC">
        <w:t>judiciaires</w:t>
      </w:r>
      <w:r w:rsidR="00C75340" w:rsidRPr="000E46EC">
        <w:t xml:space="preserve"> </w:t>
      </w:r>
      <w:r w:rsidRPr="000E46EC">
        <w:t>continuent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proposer,</w:t>
      </w:r>
      <w:r w:rsidR="00C75340" w:rsidRPr="000E46EC">
        <w:t xml:space="preserve"> </w:t>
      </w:r>
      <w:r w:rsidRPr="000E46EC">
        <w:t>en</w:t>
      </w:r>
      <w:r w:rsidR="00C75340" w:rsidRPr="000E46EC">
        <w:t xml:space="preserve"> </w:t>
      </w:r>
      <w:r w:rsidRPr="000E46EC">
        <w:t>collaboration</w:t>
      </w:r>
      <w:r w:rsidR="00C75340" w:rsidRPr="000E46EC">
        <w:t xml:space="preserve"> </w:t>
      </w:r>
      <w:r w:rsidRPr="000E46EC">
        <w:t>avec</w:t>
      </w:r>
      <w:r w:rsidR="00C75340" w:rsidRPr="000E46EC">
        <w:t xml:space="preserve"> </w:t>
      </w:r>
      <w:r w:rsidRPr="000E46EC">
        <w:t>les</w:t>
      </w:r>
      <w:r w:rsidR="00C75340" w:rsidRPr="000E46EC">
        <w:t xml:space="preserve"> </w:t>
      </w:r>
      <w:r w:rsidRPr="000E46EC">
        <w:t>organisations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la</w:t>
      </w:r>
      <w:r w:rsidR="00C75340" w:rsidRPr="000E46EC">
        <w:t xml:space="preserve"> </w:t>
      </w:r>
      <w:r w:rsidRPr="000E46EC">
        <w:t>société</w:t>
      </w:r>
      <w:r w:rsidR="00C75340" w:rsidRPr="000E46EC">
        <w:t xml:space="preserve"> </w:t>
      </w:r>
      <w:r w:rsidRPr="000E46EC">
        <w:t>civile</w:t>
      </w:r>
      <w:r w:rsidR="00C75340" w:rsidRPr="000E46EC">
        <w:t xml:space="preserve"> </w:t>
      </w:r>
      <w:r w:rsidRPr="000E46EC">
        <w:t>et</w:t>
      </w:r>
      <w:r w:rsidR="00C75340" w:rsidRPr="000E46EC">
        <w:t xml:space="preserve"> </w:t>
      </w:r>
      <w:r w:rsidRPr="000E46EC">
        <w:t>internationales</w:t>
      </w:r>
      <w:r w:rsidR="00C75340" w:rsidRPr="000E46EC">
        <w:t xml:space="preserve"> </w:t>
      </w:r>
      <w:r w:rsidRPr="000E46EC">
        <w:t>pertinentes,</w:t>
      </w:r>
      <w:r w:rsidR="00C75340" w:rsidRPr="000E46EC">
        <w:t xml:space="preserve"> </w:t>
      </w:r>
      <w:r w:rsidRPr="000E46EC">
        <w:t>des</w:t>
      </w:r>
      <w:r w:rsidR="00C75340" w:rsidRPr="000E46EC">
        <w:t xml:space="preserve"> </w:t>
      </w:r>
      <w:r w:rsidRPr="000E46EC">
        <w:t>programmes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formation</w:t>
      </w:r>
      <w:r w:rsidR="00C75340" w:rsidRPr="000E46EC">
        <w:t xml:space="preserve"> </w:t>
      </w:r>
      <w:r w:rsidRPr="000E46EC">
        <w:t>aux</w:t>
      </w:r>
      <w:r w:rsidR="00C75340" w:rsidRPr="000E46EC">
        <w:t xml:space="preserve"> </w:t>
      </w:r>
      <w:r w:rsidRPr="000E46EC">
        <w:t>droits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l’homme</w:t>
      </w:r>
      <w:r w:rsidR="00C75340" w:rsidRPr="000E46EC">
        <w:t xml:space="preserve"> </w:t>
      </w:r>
      <w:r w:rsidRPr="000E46EC">
        <w:t>à</w:t>
      </w:r>
      <w:r w:rsidR="00C75340" w:rsidRPr="000E46EC">
        <w:t xml:space="preserve"> </w:t>
      </w:r>
      <w:r w:rsidRPr="000E46EC">
        <w:t>l’intention</w:t>
      </w:r>
      <w:r w:rsidR="00C75340" w:rsidRPr="000E46EC">
        <w:t xml:space="preserve"> </w:t>
      </w:r>
      <w:r w:rsidRPr="000E46EC">
        <w:t>des</w:t>
      </w:r>
      <w:r w:rsidR="00C75340" w:rsidRPr="000E46EC">
        <w:t xml:space="preserve"> </w:t>
      </w:r>
      <w:r w:rsidRPr="000E46EC">
        <w:t>fonctionnaires</w:t>
      </w:r>
      <w:r w:rsidR="00C75340" w:rsidRPr="000E46EC">
        <w:t xml:space="preserve"> </w:t>
      </w:r>
      <w:r w:rsidRPr="000E46EC">
        <w:t>concernés,</w:t>
      </w:r>
      <w:r w:rsidR="00C75340" w:rsidRPr="000E46EC">
        <w:t xml:space="preserve"> </w:t>
      </w:r>
      <w:r w:rsidRPr="000E46EC">
        <w:t>notamment</w:t>
      </w:r>
      <w:r w:rsidR="00C75340" w:rsidRPr="000E46EC">
        <w:t xml:space="preserve"> </w:t>
      </w:r>
      <w:r w:rsidRPr="000E46EC">
        <w:t>les</w:t>
      </w:r>
      <w:r w:rsidR="00C75340" w:rsidRPr="000E46EC">
        <w:t xml:space="preserve"> </w:t>
      </w:r>
      <w:r w:rsidRPr="000E46EC">
        <w:t>agents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police,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personnel</w:t>
      </w:r>
      <w:r w:rsidR="00C75340" w:rsidRPr="000E46EC">
        <w:t xml:space="preserve"> </w:t>
      </w:r>
      <w:r w:rsidRPr="000E46EC">
        <w:t>militaire,</w:t>
      </w:r>
      <w:r w:rsidR="00C75340" w:rsidRPr="000E46EC">
        <w:t xml:space="preserve"> </w:t>
      </w:r>
      <w:r w:rsidRPr="000E46EC">
        <w:t>les</w:t>
      </w:r>
      <w:r w:rsidR="00C75340" w:rsidRPr="000E46EC">
        <w:t xml:space="preserve"> </w:t>
      </w:r>
      <w:r w:rsidRPr="000E46EC">
        <w:t>agents</w:t>
      </w:r>
      <w:r w:rsidR="00C75340" w:rsidRPr="000E46EC">
        <w:t xml:space="preserve"> </w:t>
      </w:r>
      <w:r w:rsidRPr="000E46EC">
        <w:t>de</w:t>
      </w:r>
      <w:r w:rsidR="00C75340" w:rsidRPr="000E46EC">
        <w:t xml:space="preserve"> </w:t>
      </w:r>
      <w:r w:rsidRPr="000E46EC">
        <w:t>l’administration</w:t>
      </w:r>
      <w:r w:rsidR="00C75340" w:rsidRPr="000E46EC">
        <w:t xml:space="preserve"> </w:t>
      </w:r>
      <w:r w:rsidRPr="000E46EC">
        <w:t>pénitentiaire</w:t>
      </w:r>
      <w:r w:rsidR="00C75340" w:rsidRPr="000E46EC">
        <w:t xml:space="preserve"> </w:t>
      </w:r>
      <w:r w:rsidRPr="000E46EC">
        <w:t>et</w:t>
      </w:r>
      <w:r w:rsidR="00C75340" w:rsidRPr="000E46EC">
        <w:t xml:space="preserve"> </w:t>
      </w:r>
      <w:r w:rsidRPr="000E46EC">
        <w:t>le</w:t>
      </w:r>
      <w:r w:rsidR="00C75340" w:rsidRPr="000E46EC">
        <w:t xml:space="preserve"> </w:t>
      </w:r>
      <w:r w:rsidRPr="000E46EC">
        <w:t>personnel</w:t>
      </w:r>
      <w:r w:rsidR="00C75340" w:rsidRPr="000E46EC">
        <w:t xml:space="preserve"> </w:t>
      </w:r>
      <w:r w:rsidRPr="000E46EC">
        <w:t>judiciaire.</w:t>
      </w:r>
    </w:p>
    <w:p w14:paraId="63E6062B" w14:textId="71AE03BE" w:rsidR="00C3295C" w:rsidRPr="00D86974" w:rsidRDefault="00C3295C" w:rsidP="00C3295C">
      <w:pPr>
        <w:pStyle w:val="SingleTxtG"/>
      </w:pPr>
      <w:r w:rsidRPr="00D86974">
        <w:t>165.</w:t>
      </w:r>
      <w:r w:rsidRPr="00D86974">
        <w:tab/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domaine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recherche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faculté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arts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communication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l’Université</w:t>
      </w:r>
      <w:r w:rsidR="00C75340">
        <w:t xml:space="preserve"> </w:t>
      </w:r>
      <w:proofErr w:type="spellStart"/>
      <w:r w:rsidRPr="00D86974">
        <w:t>Chulalongkorn</w:t>
      </w:r>
      <w:proofErr w:type="spellEnd"/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mené,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l’appui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recherche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vulnérabilité.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cibles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étude</w:t>
      </w:r>
      <w:r w:rsidR="00C75340">
        <w:t xml:space="preserve"> </w:t>
      </w:r>
      <w:r w:rsidRPr="00D86974">
        <w:t>étaient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minorités</w:t>
      </w:r>
      <w:r w:rsidR="00C75340">
        <w:t xml:space="preserve"> </w:t>
      </w:r>
      <w:r w:rsidRPr="00D86974">
        <w:t>ethniques,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âgées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LGBT.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résultats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recherche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publiés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2019</w:t>
      </w:r>
      <w:r w:rsidR="00C75340">
        <w:t xml:space="preserve"> </w:t>
      </w:r>
      <w:r w:rsidRPr="00D86974">
        <w:t>(en</w:t>
      </w:r>
      <w:r w:rsidR="00C75340">
        <w:t xml:space="preserve"> </w:t>
      </w:r>
      <w:r w:rsidRPr="00D86974">
        <w:t>thaï,</w:t>
      </w:r>
      <w:r w:rsidR="00C75340">
        <w:t xml:space="preserve"> </w:t>
      </w:r>
      <w:r w:rsidRPr="00D86974">
        <w:t>disponibles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l’adresse</w:t>
      </w:r>
      <w:r w:rsidR="00C75340">
        <w:t xml:space="preserve"> </w:t>
      </w:r>
      <w:hyperlink r:id="rId9" w:history="1">
        <w:r w:rsidRPr="000E46EC">
          <w:rPr>
            <w:rStyle w:val="Hyperlink"/>
          </w:rPr>
          <w:t>http</w:t>
        </w:r>
        <w:r w:rsidR="00987D41">
          <w:rPr>
            <w:rStyle w:val="Hyperlink"/>
          </w:rPr>
          <w:t>:/</w:t>
        </w:r>
        <w:r w:rsidRPr="000E46EC">
          <w:rPr>
            <w:rStyle w:val="Hyperlink"/>
          </w:rPr>
          <w:t>/humanrights.mfa.go.th/en/humanrightsinmedia.pdf</w:t>
        </w:r>
      </w:hyperlink>
      <w:r w:rsidRPr="00D86974">
        <w:t>).</w:t>
      </w:r>
    </w:p>
    <w:p w14:paraId="0A87981C" w14:textId="3DD8E4E7" w:rsidR="00C3295C" w:rsidRPr="00D86974" w:rsidRDefault="00C3295C" w:rsidP="00C3295C">
      <w:pPr>
        <w:pStyle w:val="H23G"/>
      </w:pPr>
      <w:r w:rsidRPr="00D86974">
        <w:tab/>
      </w:r>
      <w:r w:rsidRPr="00D86974">
        <w:tab/>
      </w:r>
      <w:r w:rsidRPr="00D86974">
        <w:rPr>
          <w:bCs/>
        </w:rPr>
        <w:t>Coopération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assistance</w:t>
      </w:r>
      <w:r w:rsidR="00C75340">
        <w:rPr>
          <w:bCs/>
        </w:rPr>
        <w:t xml:space="preserve"> </w:t>
      </w:r>
      <w:r w:rsidRPr="00D86974">
        <w:rPr>
          <w:bCs/>
        </w:rPr>
        <w:t>dans</w:t>
      </w:r>
      <w:r w:rsidR="00C75340">
        <w:rPr>
          <w:bCs/>
        </w:rPr>
        <w:t xml:space="preserve"> </w:t>
      </w:r>
      <w:r w:rsidRPr="00D86974">
        <w:rPr>
          <w:bCs/>
        </w:rPr>
        <w:t>le</w:t>
      </w:r>
      <w:r w:rsidR="00C75340">
        <w:rPr>
          <w:bCs/>
        </w:rPr>
        <w:t xml:space="preserve"> </w:t>
      </w:r>
      <w:r w:rsidRPr="00D86974">
        <w:rPr>
          <w:bCs/>
        </w:rPr>
        <w:t>domaine</w:t>
      </w:r>
      <w:r w:rsidR="00C75340">
        <w:rPr>
          <w:bCs/>
        </w:rPr>
        <w:t xml:space="preserve"> </w:t>
      </w:r>
      <w:r w:rsidRPr="00D86974">
        <w:rPr>
          <w:bCs/>
        </w:rPr>
        <w:t>du</w:t>
      </w:r>
      <w:r w:rsidR="00C75340">
        <w:rPr>
          <w:bCs/>
        </w:rPr>
        <w:t xml:space="preserve"> </w:t>
      </w:r>
      <w:r w:rsidRPr="00D86974">
        <w:rPr>
          <w:bCs/>
        </w:rPr>
        <w:t>développement</w:t>
      </w:r>
    </w:p>
    <w:p w14:paraId="0EE320A6" w14:textId="264392D5" w:rsidR="00C3295C" w:rsidRPr="00D86974" w:rsidRDefault="00C3295C" w:rsidP="00C3295C">
      <w:pPr>
        <w:pStyle w:val="SingleTxtG"/>
      </w:pPr>
      <w:r w:rsidRPr="00D86974">
        <w:t>166.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affirme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technique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renforcement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essentiels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aider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États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traduire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obligations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résultats</w:t>
      </w:r>
      <w:r w:rsidR="00C75340">
        <w:t xml:space="preserve"> </w:t>
      </w:r>
      <w:r w:rsidRPr="00D86974">
        <w:t>tangibles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terrain.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technique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axées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demande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fondées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dialogue</w:t>
      </w:r>
      <w:r w:rsidR="00C75340">
        <w:t xml:space="preserve"> </w:t>
      </w:r>
      <w:r w:rsidRPr="00D86974">
        <w:t>authentique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États</w:t>
      </w:r>
      <w:r w:rsidR="00C75340">
        <w:t xml:space="preserve"> </w:t>
      </w:r>
      <w:r w:rsidRPr="00D86974">
        <w:t>demandeurs.</w:t>
      </w:r>
    </w:p>
    <w:p w14:paraId="3A6835CE" w14:textId="6B0B2A05" w:rsidR="00C3295C" w:rsidRPr="00D86974" w:rsidRDefault="00C3295C" w:rsidP="00C3295C">
      <w:pPr>
        <w:pStyle w:val="SingleTxtG"/>
      </w:pPr>
      <w:r w:rsidRPr="00D86974">
        <w:t>167.</w:t>
      </w:r>
      <w:r w:rsidRPr="00D86974">
        <w:tab/>
        <w:t>L’Agence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activement</w:t>
      </w:r>
      <w:r w:rsidR="00C75340">
        <w:t xml:space="preserve"> </w:t>
      </w:r>
      <w:r w:rsidRPr="00D86974">
        <w:t>encouragé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intéressés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ONG</w:t>
      </w:r>
      <w:r w:rsidR="00C75340">
        <w:t xml:space="preserve"> </w:t>
      </w:r>
      <w:r w:rsidRPr="00D86974">
        <w:t>concernées.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revêt</w:t>
      </w:r>
      <w:r w:rsidR="00C75340">
        <w:t xml:space="preserve"> </w:t>
      </w:r>
      <w:r w:rsidRPr="00D86974">
        <w:t>différentes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bilatérale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triangulaire</w:t>
      </w:r>
      <w:r w:rsidR="00C75340">
        <w:t xml:space="preserve"> </w:t>
      </w:r>
      <w:r w:rsidRPr="00D86974">
        <w:t>Sud-Sud,</w:t>
      </w:r>
      <w:r w:rsidR="00C75340">
        <w:t xml:space="preserve"> </w:t>
      </w:r>
      <w:r w:rsidRPr="00D86974">
        <w:t>Nord-Sud-Sud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Sud-Sud-Sud.</w:t>
      </w:r>
      <w:r w:rsidR="00C75340">
        <w:t xml:space="preserve"> </w:t>
      </w:r>
      <w:r w:rsidRPr="00D86974">
        <w:t>Actuellement,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liés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promotion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vulnérabilité,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économiques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sociaux,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(santé</w:t>
      </w:r>
      <w:r w:rsidR="00C75340">
        <w:t xml:space="preserve"> </w:t>
      </w:r>
      <w:r w:rsidRPr="00D86974">
        <w:t>maternelle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l’éducation.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associés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réalisation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objectifs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durable,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laisser</w:t>
      </w:r>
      <w:r w:rsidR="00C75340">
        <w:t xml:space="preserve"> </w:t>
      </w:r>
      <w:r w:rsidRPr="00D86974">
        <w:t>personne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côté.</w:t>
      </w:r>
      <w:r w:rsidR="00C75340">
        <w:t xml:space="preserve"> </w:t>
      </w:r>
      <w:r w:rsidRPr="00D86974">
        <w:t>Cette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nationales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construire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synergies</w:t>
      </w:r>
      <w:r w:rsidR="00C75340">
        <w:t xml:space="preserve"> </w:t>
      </w:r>
      <w:r w:rsidRPr="00D86974">
        <w:t>entre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réalisation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ODD.</w:t>
      </w:r>
    </w:p>
    <w:p w14:paraId="4AE4EDD6" w14:textId="1FDE0BE8" w:rsidR="00C3295C" w:rsidRPr="00D86974" w:rsidRDefault="00C3295C" w:rsidP="00C3295C">
      <w:pPr>
        <w:pStyle w:val="SingleTxtG"/>
      </w:pPr>
      <w:r w:rsidRPr="00D86974">
        <w:t>168.</w:t>
      </w:r>
      <w:r w:rsidRPr="00D86974">
        <w:tab/>
        <w:t>En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concerne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l’éducation,</w:t>
      </w:r>
      <w:r w:rsidR="00C75340">
        <w:t xml:space="preserve"> </w:t>
      </w:r>
      <w:r w:rsidRPr="00D86974">
        <w:t>l’Agence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enseignants,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bourses</w:t>
      </w:r>
      <w:r w:rsidR="00C75340">
        <w:t xml:space="preserve"> </w:t>
      </w:r>
      <w:r w:rsidRPr="00D86974">
        <w:t>d’études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court</w:t>
      </w:r>
      <w:r w:rsidR="00C75340">
        <w:t xml:space="preserve"> </w:t>
      </w:r>
      <w:r w:rsidRPr="00D86974">
        <w:t>terme,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créer</w:t>
      </w:r>
      <w:r w:rsidR="00C75340">
        <w:t xml:space="preserve"> </w:t>
      </w:r>
      <w:r w:rsidRPr="00D86974">
        <w:t>et/ou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développer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établissements</w:t>
      </w:r>
      <w:r w:rsidR="00C75340">
        <w:t xml:space="preserve"> </w:t>
      </w:r>
      <w:r w:rsidRPr="00D86974">
        <w:t>d’enseignement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écoles.</w:t>
      </w:r>
      <w:r w:rsidR="00C75340">
        <w:t xml:space="preserve"> </w:t>
      </w:r>
      <w:r w:rsidRPr="00D86974">
        <w:t>S’agissant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l’enfant,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lancé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jeunes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Cambodge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qualité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enfants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Philippines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Bhoutan.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physique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mentale,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programme</w:t>
      </w:r>
      <w:r w:rsidR="00C75340">
        <w:t xml:space="preserve"> </w:t>
      </w:r>
      <w:r w:rsidRPr="00D86974">
        <w:t>d’aide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santé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Cambodge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projets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développer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hôpitaux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facultés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médecine</w:t>
      </w:r>
      <w:r w:rsidR="00C75340">
        <w:t xml:space="preserve"> </w:t>
      </w:r>
      <w:r w:rsidRPr="00D86974">
        <w:t>(notamment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service</w:t>
      </w:r>
      <w:r w:rsidR="00C75340">
        <w:t xml:space="preserve"> </w:t>
      </w:r>
      <w:r w:rsidRPr="00D86974">
        <w:t>d’urgence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l’hôpital</w:t>
      </w:r>
      <w:r w:rsidR="00C75340">
        <w:t xml:space="preserve"> </w:t>
      </w:r>
      <w:r w:rsidRPr="00D86974">
        <w:t>de</w:t>
      </w:r>
      <w:r w:rsidR="00C75340">
        <w:t xml:space="preserve"> </w:t>
      </w:r>
      <w:proofErr w:type="spellStart"/>
      <w:r w:rsidRPr="00D86974">
        <w:t>Dawei</w:t>
      </w:r>
      <w:proofErr w:type="spellEnd"/>
      <w:r w:rsidRPr="00D86974">
        <w:t>,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Myanmar),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sensibilisation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nouvelles</w:t>
      </w:r>
      <w:r w:rsidR="00C75340">
        <w:t xml:space="preserve"> </w:t>
      </w:r>
      <w:r w:rsidRPr="00D86974">
        <w:t>maladies</w:t>
      </w:r>
      <w:r w:rsidR="00C75340">
        <w:t xml:space="preserve"> </w:t>
      </w:r>
      <w:r w:rsidRPr="00D86974">
        <w:t>émergentes.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l’Agence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travaillé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FNUAP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coopération</w:t>
      </w:r>
      <w:r w:rsidR="00C75340">
        <w:t xml:space="preserve"> </w:t>
      </w:r>
      <w:r w:rsidRPr="00D86974">
        <w:t>trilatérale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mortalité</w:t>
      </w:r>
      <w:r w:rsidR="00C75340">
        <w:t xml:space="preserve"> </w:t>
      </w:r>
      <w:r w:rsidRPr="00D86974">
        <w:t>maternelle.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concerne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lastRenderedPageBreak/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vulnérabilité,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réalisé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vue</w:t>
      </w:r>
      <w:r w:rsidR="00C75340">
        <w:t xml:space="preserve"> </w:t>
      </w:r>
      <w:r w:rsidRPr="00D86974">
        <w:t>d’établir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premier</w:t>
      </w:r>
      <w:r w:rsidR="00C75340">
        <w:t xml:space="preserve"> </w:t>
      </w:r>
      <w:r w:rsidRPr="00D86974">
        <w:t>centre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traite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êtres</w:t>
      </w:r>
      <w:r w:rsidR="00C75340">
        <w:t xml:space="preserve"> </w:t>
      </w:r>
      <w:r w:rsidRPr="00D86974">
        <w:t>humains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risque.</w:t>
      </w:r>
    </w:p>
    <w:p w14:paraId="4B8507F4" w14:textId="1AA4C223" w:rsidR="00C3295C" w:rsidRPr="00D86974" w:rsidRDefault="00C3295C" w:rsidP="00C3295C">
      <w:pPr>
        <w:pStyle w:val="SingleTxtG"/>
      </w:pPr>
      <w:r w:rsidRPr="00D86974">
        <w:t>169.</w:t>
      </w:r>
      <w:r w:rsidRPr="00D86974">
        <w:tab/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diffuser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connaissances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mécanismes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région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au-delà,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Bureau</w:t>
      </w:r>
      <w:r w:rsidR="00C75340">
        <w:t xml:space="preserve"> </w:t>
      </w:r>
      <w:r w:rsidRPr="00D86974">
        <w:t>régional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Sud-Est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HCDH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conjointement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Dialogue</w:t>
      </w:r>
      <w:r w:rsidR="00C75340">
        <w:t xml:space="preserve"> </w:t>
      </w:r>
      <w:r w:rsidRPr="00D86974">
        <w:t>régional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mécanismes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suivi,</w:t>
      </w:r>
      <w:r w:rsidR="00C75340">
        <w:t xml:space="preserve"> </w:t>
      </w:r>
      <w:r w:rsidRPr="00D86974">
        <w:t>tenu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Bangkok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29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30</w:t>
      </w:r>
      <w:r w:rsidR="00C75340">
        <w:t> </w:t>
      </w:r>
      <w:r w:rsidRPr="00D86974">
        <w:t>août</w:t>
      </w:r>
      <w:r w:rsidR="00C75340">
        <w:t xml:space="preserve"> </w:t>
      </w:r>
      <w:r w:rsidRPr="00D86974">
        <w:t>2019.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Dialogue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réuni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cinquantaine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participants</w:t>
      </w:r>
      <w:r w:rsidR="00C75340">
        <w:t xml:space="preserve"> </w:t>
      </w:r>
      <w:r w:rsidRPr="00D86974">
        <w:t>issus</w:t>
      </w:r>
      <w:r w:rsidR="00C75340">
        <w:t xml:space="preserve"> </w:t>
      </w:r>
      <w:r w:rsidRPr="00D86974">
        <w:t>d’organismes</w:t>
      </w:r>
      <w:r w:rsidR="00C75340">
        <w:t xml:space="preserve"> </w:t>
      </w:r>
      <w:r w:rsidRPr="00D86974">
        <w:t>chargés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="00600D07">
        <w:t>12 </w:t>
      </w:r>
      <w:r w:rsidRPr="00D86974">
        <w:t>pays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région</w:t>
      </w:r>
      <w:r w:rsidR="00C75340">
        <w:t xml:space="preserve"> </w:t>
      </w:r>
      <w:r w:rsidRPr="00D86974">
        <w:t>Asie-Pacifique,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savoir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Bangladesh,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Brunéi</w:t>
      </w:r>
      <w:r w:rsidR="00C75340">
        <w:t xml:space="preserve"> </w:t>
      </w:r>
      <w:r w:rsidRPr="00D86974">
        <w:t>Darussalam,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Cambodge,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Chine,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Fidji,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République</w:t>
      </w:r>
      <w:r w:rsidR="00C75340">
        <w:t xml:space="preserve"> </w:t>
      </w:r>
      <w:r w:rsidRPr="00D86974">
        <w:t>démocratique</w:t>
      </w:r>
      <w:r w:rsidR="00C75340">
        <w:t xml:space="preserve"> </w:t>
      </w:r>
      <w:r w:rsidRPr="00D86974">
        <w:t>populaire</w:t>
      </w:r>
      <w:r w:rsidR="00C75340">
        <w:t xml:space="preserve"> </w:t>
      </w:r>
      <w:r w:rsidRPr="00D86974">
        <w:t>lao,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Malaisie,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Myanmar,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Pakistan,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Philippines,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Timor-Leste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Viet</w:t>
      </w:r>
      <w:r w:rsidR="00C75340">
        <w:t xml:space="preserve"> </w:t>
      </w:r>
      <w:r w:rsidRPr="00D86974">
        <w:t>Nam,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compétents.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Dialogue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office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plateforme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échanger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bonnes</w:t>
      </w:r>
      <w:r w:rsidR="00C75340">
        <w:t xml:space="preserve"> </w:t>
      </w:r>
      <w:r w:rsidRPr="00D86974">
        <w:t>pratiques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enseignements</w:t>
      </w:r>
      <w:r w:rsidR="00C75340">
        <w:t xml:space="preserve"> </w:t>
      </w:r>
      <w:r w:rsidRPr="00D86974">
        <w:t>tirés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l’utilisation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mécanismes</w:t>
      </w:r>
      <w:r w:rsidR="00C75340">
        <w:t xml:space="preserve"> </w:t>
      </w:r>
      <w:r w:rsidRPr="00D86974">
        <w:t>nationaux</w:t>
      </w:r>
      <w:r w:rsidR="00C75340">
        <w:t xml:space="preserve"> </w:t>
      </w:r>
      <w:r w:rsidRPr="00D86974">
        <w:t>d’établissement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suivi,</w:t>
      </w:r>
      <w:r w:rsidR="00C75340">
        <w:t xml:space="preserve"> </w:t>
      </w:r>
      <w:r w:rsidRPr="00D86974">
        <w:t>renforcer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d’exécution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apporter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contributions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forums</w:t>
      </w:r>
      <w:r w:rsidR="00C75340">
        <w:t xml:space="preserve"> </w:t>
      </w:r>
      <w:r w:rsidRPr="00D86974">
        <w:t>pertinents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dialogue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renforcé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réseau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publics</w:t>
      </w:r>
      <w:r w:rsidR="00C75340">
        <w:t xml:space="preserve"> </w:t>
      </w:r>
      <w:r w:rsidRPr="00D86974">
        <w:t>s’agissant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l’établissement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suivi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obligations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recommandations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l’homme.</w:t>
      </w:r>
    </w:p>
    <w:p w14:paraId="498EF3FB" w14:textId="5D6292B8" w:rsidR="00C3295C" w:rsidRPr="00D86974" w:rsidRDefault="00C3295C" w:rsidP="00C3295C">
      <w:pPr>
        <w:pStyle w:val="SingleTxtG"/>
      </w:pPr>
      <w:r w:rsidRPr="00D86974">
        <w:t>170.</w:t>
      </w:r>
      <w:r w:rsidRPr="00D86974">
        <w:tab/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confié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tâche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partager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données</w:t>
      </w:r>
      <w:r w:rsidR="00C75340">
        <w:t xml:space="preserve"> </w:t>
      </w:r>
      <w:r w:rsidRPr="00D86974">
        <w:t>d’expérience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sujet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œuvre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principes</w:t>
      </w:r>
      <w:r w:rsidR="00C75340">
        <w:t xml:space="preserve"> </w:t>
      </w:r>
      <w:r w:rsidRPr="00D86974">
        <w:t>directeurs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entreprises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plan</w:t>
      </w:r>
      <w:r w:rsidR="00C75340">
        <w:t xml:space="preserve"> </w:t>
      </w:r>
      <w:r w:rsidRPr="00D86974">
        <w:t>d’action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entreprises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différents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Malaisie,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Viet</w:t>
      </w:r>
      <w:r w:rsidR="00C75340">
        <w:t xml:space="preserve"> </w:t>
      </w:r>
      <w:r w:rsidRPr="00D86974">
        <w:t>Nam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Pakistan.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domaine,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Direction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également</w:t>
      </w:r>
      <w:r w:rsidR="00C75340">
        <w:t xml:space="preserve"> </w:t>
      </w:r>
      <w:r w:rsidRPr="00D86974">
        <w:t>coopéré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concernés,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PNUD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Commission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sociale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Pacifique</w:t>
      </w:r>
      <w:r w:rsidR="00C75340">
        <w:t xml:space="preserve"> </w:t>
      </w:r>
      <w:r w:rsidRPr="00D86974">
        <w:t>(CESAP).</w:t>
      </w:r>
    </w:p>
    <w:p w14:paraId="0C32C3F2" w14:textId="6772D07B" w:rsidR="00C3295C" w:rsidRPr="00D86974" w:rsidRDefault="00C3295C" w:rsidP="00C3295C">
      <w:pPr>
        <w:pStyle w:val="SingleTxtG"/>
      </w:pPr>
      <w:r w:rsidRPr="00D86974">
        <w:t>171.</w:t>
      </w:r>
      <w:r w:rsidRPr="00D86974">
        <w:tab/>
        <w:t>Comme</w:t>
      </w:r>
      <w:r w:rsidR="00C75340">
        <w:t xml:space="preserve"> </w:t>
      </w:r>
      <w:r w:rsidRPr="00D86974">
        <w:t>évoqué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127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128,</w:t>
      </w:r>
      <w:r w:rsidR="00C75340">
        <w:t xml:space="preserve"> </w:t>
      </w:r>
      <w:r w:rsidRPr="00D86974">
        <w:t>depuis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l’Institut</w:t>
      </w:r>
      <w:r w:rsidR="00C75340">
        <w:t xml:space="preserve"> </w:t>
      </w:r>
      <w:r w:rsidRPr="00D86974">
        <w:t>thaïlandais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organisé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sein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l’Association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l’Asie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Sud-Est</w:t>
      </w:r>
      <w:r w:rsidR="00C75340">
        <w:t xml:space="preserve"> </w:t>
      </w:r>
      <w:r w:rsidRPr="00D86974">
        <w:t>(ASEAN)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l’intention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responsables</w:t>
      </w:r>
      <w:r w:rsidR="00C75340">
        <w:t xml:space="preserve"> </w:t>
      </w:r>
      <w:r w:rsidRPr="00D86974">
        <w:t>pénitentiaires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formations</w:t>
      </w:r>
      <w:r w:rsidR="00C75340">
        <w:t xml:space="preserve"> </w:t>
      </w:r>
      <w:r w:rsidRPr="00D86974">
        <w:t>annuelles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traitement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détenues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Règles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Bangkok.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activités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renforcement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capacités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formation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organisées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demande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divers</w:t>
      </w:r>
      <w:r w:rsidR="00C75340">
        <w:t xml:space="preserve"> </w:t>
      </w:r>
      <w:r w:rsidRPr="00D86974">
        <w:t>pays</w:t>
      </w:r>
      <w:r w:rsidR="00C75340">
        <w:t xml:space="preserve"> </w:t>
      </w:r>
      <w:r w:rsidRPr="00D86974">
        <w:t>tels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Kenya,</w:t>
      </w:r>
      <w:r w:rsidR="00C75340">
        <w:t xml:space="preserve"> </w:t>
      </w:r>
      <w:r w:rsidRPr="00D86974">
        <w:t>l’Indonésie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Malaisie.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eu</w:t>
      </w:r>
      <w:r w:rsidR="00C75340">
        <w:t xml:space="preserve"> </w:t>
      </w:r>
      <w:r w:rsidRPr="00D86974">
        <w:t>lieu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base</w:t>
      </w:r>
      <w:r w:rsidR="00C75340">
        <w:t xml:space="preserve"> </w:t>
      </w:r>
      <w:r w:rsidRPr="00D86974">
        <w:t>bilatérale,</w:t>
      </w:r>
      <w:r w:rsidR="00C75340">
        <w:t xml:space="preserve"> </w:t>
      </w:r>
      <w:r w:rsidRPr="00D86974">
        <w:t>ainsi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cadre</w:t>
      </w:r>
      <w:r w:rsidR="00C75340">
        <w:t xml:space="preserve"> </w:t>
      </w:r>
      <w:r w:rsidRPr="00D86974">
        <w:t>trilatéral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CICR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l’Office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Nations</w:t>
      </w:r>
      <w:r w:rsidR="00C75340">
        <w:t xml:space="preserve"> </w:t>
      </w:r>
      <w:r w:rsidRPr="00D86974">
        <w:t>Unies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drogue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crime</w:t>
      </w:r>
      <w:r w:rsidR="00C75340">
        <w:t xml:space="preserve"> </w:t>
      </w:r>
      <w:r w:rsidRPr="00D86974">
        <w:t>(ONUDC).</w:t>
      </w:r>
    </w:p>
    <w:p w14:paraId="1293D3A3" w14:textId="6BBD5340" w:rsidR="00C3295C" w:rsidRPr="00D86974" w:rsidRDefault="00C3295C" w:rsidP="00C3295C">
      <w:pPr>
        <w:pStyle w:val="H1G"/>
      </w:pPr>
      <w:r w:rsidRPr="00D86974">
        <w:rPr>
          <w:bCs/>
        </w:rPr>
        <w:tab/>
        <w:t>D.</w:t>
      </w:r>
      <w:r w:rsidRPr="00D86974">
        <w:tab/>
      </w:r>
      <w:r w:rsidRPr="00D86974">
        <w:rPr>
          <w:bCs/>
        </w:rPr>
        <w:t>Processus</w:t>
      </w:r>
      <w:r w:rsidR="00C75340">
        <w:rPr>
          <w:bCs/>
        </w:rPr>
        <w:t xml:space="preserve"> </w:t>
      </w:r>
      <w:r w:rsidRPr="00D86974">
        <w:rPr>
          <w:bCs/>
        </w:rPr>
        <w:t>d’établissement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 xml:space="preserve"> </w:t>
      </w:r>
      <w:r w:rsidRPr="00D86974">
        <w:rPr>
          <w:bCs/>
        </w:rPr>
        <w:t>rapports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l’Organisation</w:t>
      </w:r>
      <w:r w:rsidR="00C75340">
        <w:rPr>
          <w:bCs/>
        </w:rPr>
        <w:t xml:space="preserve"> </w:t>
      </w:r>
      <w:r w:rsidRPr="00D86974">
        <w:rPr>
          <w:bCs/>
        </w:rPr>
        <w:t>des</w:t>
      </w:r>
      <w:r w:rsidR="00C75340">
        <w:rPr>
          <w:bCs/>
        </w:rPr>
        <w:t> </w:t>
      </w:r>
      <w:r w:rsidRPr="00D86974">
        <w:rPr>
          <w:bCs/>
        </w:rPr>
        <w:t>Nations</w:t>
      </w:r>
      <w:r w:rsidR="00C75340">
        <w:rPr>
          <w:bCs/>
        </w:rPr>
        <w:t> </w:t>
      </w:r>
      <w:r w:rsidRPr="00D86974">
        <w:rPr>
          <w:bCs/>
        </w:rPr>
        <w:t>Unies</w:t>
      </w:r>
      <w:bookmarkStart w:id="24" w:name="_Toc89701539"/>
      <w:bookmarkEnd w:id="24"/>
    </w:p>
    <w:p w14:paraId="4C2ADAF2" w14:textId="691AC5DF" w:rsidR="00C3295C" w:rsidRDefault="00C3295C" w:rsidP="00C3295C">
      <w:pPr>
        <w:pStyle w:val="SingleTxtG"/>
      </w:pPr>
      <w:r w:rsidRPr="00D86974">
        <w:t>172.</w:t>
      </w:r>
      <w:r w:rsidRPr="00D86974">
        <w:tab/>
        <w:t>Pour</w:t>
      </w:r>
      <w:r w:rsidR="00C75340">
        <w:t xml:space="preserve"> </w:t>
      </w:r>
      <w:r w:rsidRPr="00D86974">
        <w:t>établir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qu’elle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tenue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présenter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mise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application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instruments</w:t>
      </w:r>
      <w:r w:rsidR="00C75340">
        <w:t xml:space="preserve"> </w:t>
      </w:r>
      <w:r w:rsidRPr="00D86974">
        <w:t>relatifs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l’homme</w:t>
      </w:r>
      <w:r w:rsidR="00C75340">
        <w:t xml:space="preserve"> </w:t>
      </w:r>
      <w:r w:rsidRPr="00D86974">
        <w:t>auxquels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partie,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sollicité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concours</w:t>
      </w:r>
      <w:r w:rsidR="00C75340">
        <w:t xml:space="preserve"> </w:t>
      </w:r>
      <w:r w:rsidRPr="00D86974">
        <w:t>actif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concernées.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comité</w:t>
      </w:r>
      <w:r w:rsidR="00C75340">
        <w:t xml:space="preserve"> </w:t>
      </w:r>
      <w:r w:rsidRPr="00D86974">
        <w:t>national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groupe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coordonner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rapport.</w:t>
      </w:r>
      <w:r w:rsidR="00C75340">
        <w:t xml:space="preserve"> </w:t>
      </w:r>
      <w:r w:rsidRPr="00D86974">
        <w:t>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formé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compétents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privé,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milieux</w:t>
      </w:r>
      <w:r w:rsidR="00C75340">
        <w:t xml:space="preserve"> </w:t>
      </w:r>
      <w:r w:rsidRPr="00D86974">
        <w:t>universitaires,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parties</w:t>
      </w:r>
      <w:r w:rsidR="00C75340">
        <w:t xml:space="preserve"> </w:t>
      </w:r>
      <w:r w:rsidRPr="00D86974">
        <w:t>prenantes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cibles</w:t>
      </w:r>
      <w:r w:rsidR="00C75340">
        <w:t xml:space="preserve"> </w:t>
      </w:r>
      <w:r w:rsidRPr="00D86974">
        <w:t>dont</w:t>
      </w:r>
      <w:r w:rsidR="00C75340">
        <w:t xml:space="preserve"> </w:t>
      </w:r>
      <w:r w:rsidRPr="00D86974">
        <w:t>l’instrument</w:t>
      </w:r>
      <w:r w:rsidR="00C75340">
        <w:t xml:space="preserve"> </w:t>
      </w:r>
      <w:r w:rsidRPr="00D86974">
        <w:t>concerné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assurer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protection.</w:t>
      </w:r>
    </w:p>
    <w:p w14:paraId="231E61BD" w14:textId="1A1281CF" w:rsidR="00C3295C" w:rsidRDefault="00C3295C" w:rsidP="00C3295C">
      <w:pPr>
        <w:pStyle w:val="SingleTxtG"/>
      </w:pPr>
      <w:r w:rsidRPr="00D86974">
        <w:t>173.</w:t>
      </w:r>
      <w:r w:rsidRPr="00D86974">
        <w:tab/>
        <w:t>Selon</w:t>
      </w:r>
      <w:r w:rsidR="00C75340">
        <w:t xml:space="preserve"> </w:t>
      </w:r>
      <w:r w:rsidRPr="00D86974">
        <w:t>les</w:t>
      </w:r>
      <w:r w:rsidR="00C75340">
        <w:t xml:space="preserve"> </w:t>
      </w:r>
      <w:r w:rsidR="00600D07" w:rsidRPr="00D86974">
        <w:t>conventions</w:t>
      </w:r>
      <w:r w:rsidR="00600D07">
        <w:t xml:space="preserve"> </w:t>
      </w:r>
      <w:r w:rsidRPr="00D86974">
        <w:t>concernées,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principaux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dirigent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(Pacte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civils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politiques,</w:t>
      </w:r>
      <w:r w:rsidR="00C75340">
        <w:t xml:space="preserve"> </w:t>
      </w:r>
      <w:r w:rsidRPr="00D86974">
        <w:t>Pacte</w:t>
      </w:r>
      <w:r w:rsidR="00C75340">
        <w:t xml:space="preserve"> </w:t>
      </w:r>
      <w:r w:rsidRPr="00D86974">
        <w:t>international</w:t>
      </w:r>
      <w:r w:rsidR="00C75340">
        <w:t xml:space="preserve"> </w:t>
      </w:r>
      <w:r w:rsidRPr="00D86974">
        <w:t>relatif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économiques,</w:t>
      </w:r>
      <w:r w:rsidR="00C75340">
        <w:t xml:space="preserve"> </w:t>
      </w:r>
      <w:r w:rsidRPr="00D86974">
        <w:t>sociaux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culturels,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internationale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l’élimination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raciale,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torture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peines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traitements</w:t>
      </w:r>
      <w:r w:rsidR="00C75340">
        <w:t xml:space="preserve"> </w:t>
      </w:r>
      <w:r w:rsidRPr="00D86974">
        <w:t>cruels,</w:t>
      </w:r>
      <w:r w:rsidR="00C75340">
        <w:t xml:space="preserve"> </w:t>
      </w:r>
      <w:r w:rsidRPr="00D86974">
        <w:t>inhumains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dégradants)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développement</w:t>
      </w:r>
      <w:r w:rsidR="00C75340">
        <w:t xml:space="preserve"> </w:t>
      </w:r>
      <w:r w:rsidRPr="00D86974">
        <w:t>social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sécurité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(Convention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l’élimination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formes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l’égard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l’enfant,</w:t>
      </w:r>
      <w:r w:rsidR="00C75340">
        <w:t xml:space="preserve"> </w:t>
      </w:r>
      <w:r w:rsidRPr="00D86974">
        <w:t>Convention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handicapées).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responsables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l’élaboration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l’EPU.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comprenait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comprendra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liste</w:t>
      </w:r>
      <w:r w:rsidR="00C75340">
        <w:t xml:space="preserve"> </w:t>
      </w:r>
      <w:r w:rsidRPr="00D86974">
        <w:t>complète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participé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son</w:t>
      </w:r>
      <w:r w:rsidR="00C75340">
        <w:t xml:space="preserve"> </w:t>
      </w:r>
      <w:r w:rsidRPr="00D86974">
        <w:t>élaboration.</w:t>
      </w:r>
    </w:p>
    <w:p w14:paraId="5F9851BF" w14:textId="6E9C43C7" w:rsidR="00C3295C" w:rsidRDefault="00C3295C" w:rsidP="00C3295C">
      <w:pPr>
        <w:pStyle w:val="SingleTxtG"/>
      </w:pPr>
      <w:r w:rsidRPr="00D86974">
        <w:lastRenderedPageBreak/>
        <w:t>174.</w:t>
      </w:r>
      <w:r w:rsidRPr="00D86974">
        <w:tab/>
        <w:t>Les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concernant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contenu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tiennent</w:t>
      </w:r>
      <w:r w:rsidR="00C75340">
        <w:t xml:space="preserve"> </w:t>
      </w:r>
      <w:r w:rsidRPr="00D86974">
        <w:t>compte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exigences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organes</w:t>
      </w:r>
      <w:r w:rsidR="00C75340">
        <w:t xml:space="preserve"> </w:t>
      </w:r>
      <w:r w:rsidRPr="00D86974">
        <w:t>conventionnels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l’ONU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s’inspirent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directives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ces</w:t>
      </w:r>
      <w:r w:rsidR="00C75340">
        <w:t xml:space="preserve"> </w:t>
      </w:r>
      <w:r w:rsidRPr="00D86974">
        <w:t>derniers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publiées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cet</w:t>
      </w:r>
      <w:r w:rsidR="00C75340">
        <w:t xml:space="preserve"> </w:t>
      </w:r>
      <w:r w:rsidRPr="00D86974">
        <w:t>effet.</w:t>
      </w:r>
    </w:p>
    <w:p w14:paraId="7184EE2A" w14:textId="49440E0D" w:rsidR="00C3295C" w:rsidRDefault="00C3295C" w:rsidP="00C3295C">
      <w:pPr>
        <w:pStyle w:val="SingleTxtG"/>
      </w:pPr>
      <w:r w:rsidRPr="00D86974">
        <w:t>175.</w:t>
      </w:r>
      <w:r w:rsidRPr="00D86974">
        <w:tab/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plupart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cas,</w:t>
      </w:r>
      <w:r w:rsidR="00C75340">
        <w:t xml:space="preserve"> </w:t>
      </w:r>
      <w:r w:rsidRPr="00D86974">
        <w:t>chaque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d’abord</w:t>
      </w:r>
      <w:r w:rsidR="00C75340">
        <w:t xml:space="preserve"> </w:t>
      </w:r>
      <w:r w:rsidRPr="00D86974">
        <w:t>rédigé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thaï,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l’aide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groupes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formés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représentants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secteurs</w:t>
      </w:r>
      <w:r w:rsidR="00C75340">
        <w:t xml:space="preserve"> </w:t>
      </w:r>
      <w:r w:rsidRPr="00D86974">
        <w:t>public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privé</w:t>
      </w:r>
      <w:r w:rsidR="00C75340">
        <w:t xml:space="preserve"> </w:t>
      </w:r>
      <w:r w:rsidRPr="00D86974">
        <w:t>spécialisés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thèmes</w:t>
      </w:r>
      <w:r w:rsidR="00C75340">
        <w:t xml:space="preserve"> </w:t>
      </w:r>
      <w:r w:rsidRPr="00D86974">
        <w:t>donnés.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fois</w:t>
      </w:r>
      <w:r w:rsidR="00C75340">
        <w:t xml:space="preserve"> </w:t>
      </w:r>
      <w:r w:rsidRPr="00D86974">
        <w:t>prêt,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projet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fait</w:t>
      </w:r>
      <w:r w:rsidR="00C75340">
        <w:t xml:space="preserve"> </w:t>
      </w:r>
      <w:r w:rsidRPr="00D86974">
        <w:t>l’objet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publiques,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niveaux</w:t>
      </w:r>
      <w:r w:rsidR="00C75340">
        <w:t xml:space="preserve"> </w:t>
      </w:r>
      <w:r w:rsidRPr="00D86974">
        <w:t>régional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national,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permettent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recueillir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commentaires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recommandations.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version</w:t>
      </w:r>
      <w:r w:rsidR="00C75340">
        <w:t xml:space="preserve"> </w:t>
      </w:r>
      <w:r w:rsidRPr="00D86974">
        <w:t>révisée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ensuite</w:t>
      </w:r>
      <w:r w:rsidR="00C75340">
        <w:t xml:space="preserve"> </w:t>
      </w:r>
      <w:r w:rsidRPr="00D86974">
        <w:t>soumise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approbation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participants,</w:t>
      </w:r>
      <w:r w:rsidR="00C75340">
        <w:t xml:space="preserve"> </w:t>
      </w:r>
      <w:r w:rsidRPr="00D86974">
        <w:t>puis</w:t>
      </w:r>
      <w:r w:rsidR="00C75340">
        <w:t xml:space="preserve"> </w:t>
      </w:r>
      <w:r w:rsidRPr="00D86974">
        <w:t>traduite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anglais.</w:t>
      </w:r>
    </w:p>
    <w:p w14:paraId="13B1C309" w14:textId="57FEA77D" w:rsidR="00C3295C" w:rsidRPr="00D86974" w:rsidRDefault="00C3295C" w:rsidP="00C3295C">
      <w:pPr>
        <w:pStyle w:val="SingleTxtG"/>
      </w:pPr>
      <w:r w:rsidRPr="00D86974">
        <w:t>176.</w:t>
      </w:r>
      <w:r w:rsidRPr="00D86974">
        <w:tab/>
        <w:t>Le</w:t>
      </w:r>
      <w:r w:rsidR="00C75340">
        <w:t xml:space="preserve"> </w:t>
      </w:r>
      <w:r w:rsidRPr="00D86974">
        <w:t>rapport</w:t>
      </w:r>
      <w:r w:rsidR="00C75340">
        <w:t xml:space="preserve"> </w:t>
      </w:r>
      <w:r w:rsidRPr="00D86974">
        <w:t>final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soumis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l’approbation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Conseil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ministres,</w:t>
      </w:r>
      <w:r w:rsidR="00C75340">
        <w:t xml:space="preserve"> </w:t>
      </w:r>
      <w:r w:rsidRPr="00D86974">
        <w:t>puis</w:t>
      </w:r>
      <w:r w:rsidR="00C75340">
        <w:t xml:space="preserve"> </w:t>
      </w:r>
      <w:r w:rsidRPr="00D86974">
        <w:t>transmis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Ministère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affaires</w:t>
      </w:r>
      <w:r w:rsidR="00C75340">
        <w:t xml:space="preserve"> </w:t>
      </w:r>
      <w:r w:rsidRPr="00D86974">
        <w:t>étrangères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présente</w:t>
      </w:r>
      <w:r w:rsidR="00C75340">
        <w:t xml:space="preserve"> </w:t>
      </w:r>
      <w:r w:rsidRPr="00D86974">
        <w:t>officiellement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l’ONU.</w:t>
      </w:r>
    </w:p>
    <w:p w14:paraId="2593FAD3" w14:textId="6E163F53" w:rsidR="00C3295C" w:rsidRPr="00D86974" w:rsidRDefault="00C3295C" w:rsidP="00600D07">
      <w:pPr>
        <w:pStyle w:val="SingleTxtG"/>
        <w:keepNext/>
      </w:pPr>
      <w:r w:rsidRPr="00D86974">
        <w:t>177.</w:t>
      </w:r>
      <w:r w:rsidRPr="00D86974">
        <w:tab/>
        <w:t>Les</w:t>
      </w:r>
      <w:r w:rsidR="00C75340">
        <w:t xml:space="preserve"> </w:t>
      </w:r>
      <w:r w:rsidRPr="00D86974">
        <w:t>rapports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été</w:t>
      </w:r>
      <w:r w:rsidR="00C75340">
        <w:t xml:space="preserve"> </w:t>
      </w:r>
      <w:r w:rsidRPr="00D86974">
        <w:t>présentés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l’ONU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suivants</w:t>
      </w:r>
      <w:r w:rsidR="000E46EC"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700"/>
      </w:tblGrid>
      <w:tr w:rsidR="00C75340" w:rsidRPr="00C75340" w14:paraId="07963449" w14:textId="77777777" w:rsidTr="00C75340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0A403A" w14:textId="77777777" w:rsidR="00C3295C" w:rsidRPr="00C75340" w:rsidRDefault="00C3295C" w:rsidP="00C7534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5340">
              <w:rPr>
                <w:i/>
                <w:sz w:val="16"/>
              </w:rPr>
              <w:t>Conventions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4EC729" w14:textId="77777777" w:rsidR="00C3295C" w:rsidRPr="00C75340" w:rsidRDefault="00C3295C" w:rsidP="00C7534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5340">
              <w:rPr>
                <w:i/>
                <w:sz w:val="16"/>
              </w:rPr>
              <w:t>Documents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3B64C8" w14:textId="77777777" w:rsidR="00C3295C" w:rsidRPr="00C75340" w:rsidRDefault="00C3295C" w:rsidP="00C75340">
            <w:pPr>
              <w:spacing w:before="80" w:after="80" w:line="200" w:lineRule="exact"/>
              <w:rPr>
                <w:i/>
                <w:sz w:val="16"/>
              </w:rPr>
            </w:pPr>
            <w:r w:rsidRPr="00C75340">
              <w:rPr>
                <w:i/>
                <w:sz w:val="16"/>
              </w:rPr>
              <w:t>Date</w:t>
            </w:r>
          </w:p>
        </w:tc>
      </w:tr>
      <w:tr w:rsidR="00C75340" w:rsidRPr="00C75340" w14:paraId="6D8FBE32" w14:textId="77777777" w:rsidTr="00C75340">
        <w:trPr>
          <w:trHeight w:hRule="exact" w:val="113"/>
          <w:tblHeader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400B53C6" w14:textId="77777777" w:rsidR="00C75340" w:rsidRPr="00C75340" w:rsidRDefault="00C75340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D999DF0" w14:textId="77777777" w:rsidR="00C75340" w:rsidRPr="00C75340" w:rsidRDefault="00C75340" w:rsidP="00C75340">
            <w:pPr>
              <w:spacing w:before="40" w:after="120"/>
              <w:ind w:right="113"/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594CACD8" w14:textId="77777777" w:rsidR="00C75340" w:rsidRPr="00C75340" w:rsidRDefault="00C75340" w:rsidP="00C75340">
            <w:pPr>
              <w:spacing w:before="40" w:after="120"/>
            </w:pPr>
          </w:p>
        </w:tc>
      </w:tr>
      <w:tr w:rsidR="00C75340" w:rsidRPr="00C75340" w14:paraId="066D20E2" w14:textId="77777777" w:rsidTr="00C75340">
        <w:tc>
          <w:tcPr>
            <w:tcW w:w="1985" w:type="dxa"/>
            <w:shd w:val="clear" w:color="auto" w:fill="auto"/>
          </w:tcPr>
          <w:p w14:paraId="1A74F35E" w14:textId="10052F34" w:rsidR="00C3295C" w:rsidRPr="00C75340" w:rsidRDefault="00C3295C" w:rsidP="00C75340">
            <w:pPr>
              <w:spacing w:before="40" w:after="120"/>
              <w:ind w:right="113"/>
            </w:pPr>
            <w:r w:rsidRPr="00C75340">
              <w:t>Convention</w:t>
            </w:r>
            <w:r w:rsidR="00C75340" w:rsidRPr="00C75340">
              <w:t xml:space="preserve"> </w:t>
            </w:r>
            <w:r w:rsidRPr="00C75340">
              <w:t>contre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torture</w:t>
            </w:r>
            <w:r w:rsidR="00C75340" w:rsidRPr="00C75340">
              <w:t xml:space="preserve"> </w:t>
            </w:r>
            <w:r w:rsidRPr="00C75340">
              <w:t>et</w:t>
            </w:r>
            <w:r w:rsidR="00C75340" w:rsidRPr="00C75340">
              <w:t xml:space="preserve"> </w:t>
            </w:r>
            <w:r w:rsidRPr="00C75340">
              <w:t>autres</w:t>
            </w:r>
            <w:r w:rsidR="00C75340" w:rsidRPr="00C75340">
              <w:t xml:space="preserve"> </w:t>
            </w:r>
            <w:r w:rsidRPr="00C75340">
              <w:t>peines</w:t>
            </w:r>
            <w:r w:rsidR="00C75340" w:rsidRPr="00C75340">
              <w:t xml:space="preserve"> </w:t>
            </w:r>
            <w:r w:rsidRPr="00C75340">
              <w:t>ou</w:t>
            </w:r>
            <w:r w:rsidR="00C75340" w:rsidRPr="00C75340">
              <w:t xml:space="preserve"> </w:t>
            </w:r>
            <w:r w:rsidRPr="00C75340">
              <w:t>traitements</w:t>
            </w:r>
            <w:r w:rsidR="00C75340" w:rsidRPr="00C75340">
              <w:t xml:space="preserve"> </w:t>
            </w:r>
            <w:r w:rsidRPr="00C75340">
              <w:t>cruels,</w:t>
            </w:r>
            <w:r w:rsidR="00C75340" w:rsidRPr="00C75340">
              <w:t xml:space="preserve"> </w:t>
            </w:r>
            <w:r w:rsidRPr="00C75340">
              <w:t>inhumains</w:t>
            </w:r>
            <w:r w:rsidR="00C75340" w:rsidRPr="00C75340">
              <w:t xml:space="preserve"> </w:t>
            </w:r>
            <w:r w:rsidRPr="00C75340">
              <w:t>ou</w:t>
            </w:r>
            <w:r w:rsidR="00C75340" w:rsidRPr="00C75340">
              <w:t xml:space="preserve"> </w:t>
            </w:r>
            <w:r w:rsidRPr="00C75340">
              <w:t>dégradants</w:t>
            </w:r>
          </w:p>
        </w:tc>
        <w:tc>
          <w:tcPr>
            <w:tcW w:w="3685" w:type="dxa"/>
            <w:shd w:val="clear" w:color="auto" w:fill="auto"/>
          </w:tcPr>
          <w:p w14:paraId="13A91739" w14:textId="78D1291B" w:rsidR="00C3295C" w:rsidRPr="00C75340" w:rsidRDefault="00C3295C" w:rsidP="00C75340">
            <w:pPr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</w:p>
        </w:tc>
        <w:tc>
          <w:tcPr>
            <w:tcW w:w="1700" w:type="dxa"/>
            <w:shd w:val="clear" w:color="auto" w:fill="auto"/>
          </w:tcPr>
          <w:p w14:paraId="58EC906A" w14:textId="7502514B" w:rsidR="00C3295C" w:rsidRPr="00C75340" w:rsidRDefault="00C3295C" w:rsidP="00C75340">
            <w:pPr>
              <w:spacing w:before="40" w:after="120"/>
            </w:pPr>
            <w:r w:rsidRPr="00C75340">
              <w:t>27</w:t>
            </w:r>
            <w:r w:rsidR="00C75340" w:rsidRPr="00C75340">
              <w:t xml:space="preserve"> </w:t>
            </w:r>
            <w:r w:rsidRPr="00C75340">
              <w:t>février</w:t>
            </w:r>
            <w:r w:rsidR="00C75340" w:rsidRPr="00C75340">
              <w:t xml:space="preserve"> </w:t>
            </w:r>
            <w:r w:rsidRPr="00C75340">
              <w:t>2013</w:t>
            </w:r>
          </w:p>
        </w:tc>
      </w:tr>
      <w:tr w:rsidR="00C75340" w:rsidRPr="00C75340" w14:paraId="6719B576" w14:textId="77777777" w:rsidTr="00C75340">
        <w:tc>
          <w:tcPr>
            <w:tcW w:w="1985" w:type="dxa"/>
            <w:vMerge w:val="restart"/>
            <w:shd w:val="clear" w:color="auto" w:fill="auto"/>
          </w:tcPr>
          <w:p w14:paraId="23932092" w14:textId="23DB70E9" w:rsidR="00C3295C" w:rsidRPr="00C75340" w:rsidRDefault="00C3295C" w:rsidP="00C75340">
            <w:pPr>
              <w:spacing w:before="40" w:after="120"/>
              <w:ind w:right="113"/>
            </w:pPr>
            <w:r w:rsidRPr="00C75340">
              <w:t>Pacte</w:t>
            </w:r>
            <w:r w:rsidR="00C75340" w:rsidRPr="00C75340">
              <w:t xml:space="preserve"> </w:t>
            </w:r>
            <w:r w:rsidRPr="00C75340">
              <w:t>international</w:t>
            </w:r>
            <w:r w:rsidR="00C75340" w:rsidRPr="00C75340">
              <w:t xml:space="preserve"> </w:t>
            </w:r>
            <w:r w:rsidRPr="00C75340">
              <w:t>relatif</w:t>
            </w:r>
            <w:r w:rsidR="00C75340" w:rsidRPr="00C75340">
              <w:t xml:space="preserve"> </w:t>
            </w:r>
            <w:r w:rsidRPr="00C75340">
              <w:t>aux</w:t>
            </w:r>
            <w:r w:rsidR="00C75340" w:rsidRPr="00C75340">
              <w:t xml:space="preserve"> </w:t>
            </w:r>
            <w:r w:rsidRPr="00C75340">
              <w:t>droits</w:t>
            </w:r>
            <w:r w:rsidR="00C75340" w:rsidRPr="00C75340">
              <w:t xml:space="preserve"> </w:t>
            </w:r>
            <w:r w:rsidRPr="00C75340">
              <w:t>civils</w:t>
            </w:r>
            <w:r w:rsidR="00C75340" w:rsidRPr="00C75340">
              <w:t xml:space="preserve"> </w:t>
            </w:r>
            <w:r w:rsidRPr="00C75340">
              <w:t>et</w:t>
            </w:r>
            <w:r w:rsidR="00C75340" w:rsidRPr="00C75340">
              <w:t xml:space="preserve"> </w:t>
            </w:r>
            <w:r w:rsidRPr="00C75340">
              <w:t>politiques</w:t>
            </w:r>
          </w:p>
        </w:tc>
        <w:tc>
          <w:tcPr>
            <w:tcW w:w="3685" w:type="dxa"/>
            <w:shd w:val="clear" w:color="auto" w:fill="auto"/>
          </w:tcPr>
          <w:p w14:paraId="5E5549CB" w14:textId="45D84C6B" w:rsidR="00C3295C" w:rsidRPr="00C75340" w:rsidRDefault="00C3295C" w:rsidP="00C75340">
            <w:pPr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</w:p>
        </w:tc>
        <w:tc>
          <w:tcPr>
            <w:tcW w:w="1700" w:type="dxa"/>
            <w:shd w:val="clear" w:color="auto" w:fill="auto"/>
          </w:tcPr>
          <w:p w14:paraId="08FCD8E6" w14:textId="75A91767" w:rsidR="00C3295C" w:rsidRPr="00C75340" w:rsidRDefault="00C3295C" w:rsidP="00C75340">
            <w:pPr>
              <w:spacing w:before="40" w:after="120"/>
            </w:pPr>
            <w:r w:rsidRPr="00C75340">
              <w:t>2</w:t>
            </w:r>
            <w:r w:rsidR="00C75340" w:rsidRPr="00C75340">
              <w:t xml:space="preserve"> </w:t>
            </w:r>
            <w:r w:rsidRPr="00C75340">
              <w:t>juin</w:t>
            </w:r>
            <w:r w:rsidR="00C75340" w:rsidRPr="00C75340">
              <w:t xml:space="preserve"> </w:t>
            </w:r>
            <w:r w:rsidRPr="00C75340">
              <w:t>2004</w:t>
            </w:r>
          </w:p>
        </w:tc>
      </w:tr>
      <w:tr w:rsidR="00C75340" w:rsidRPr="00C75340" w14:paraId="20699527" w14:textId="77777777" w:rsidTr="00C75340">
        <w:tc>
          <w:tcPr>
            <w:tcW w:w="1985" w:type="dxa"/>
            <w:vMerge/>
            <w:shd w:val="clear" w:color="auto" w:fill="auto"/>
          </w:tcPr>
          <w:p w14:paraId="60535BC3" w14:textId="77777777" w:rsidR="00C3295C" w:rsidRPr="00C75340" w:rsidRDefault="00C3295C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78F43741" w14:textId="0B2A44AF" w:rsidR="00C3295C" w:rsidRPr="00C75340" w:rsidRDefault="00C3295C" w:rsidP="00C75340">
            <w:pPr>
              <w:spacing w:before="40" w:after="120"/>
              <w:ind w:right="113"/>
            </w:pPr>
            <w:r w:rsidRPr="00C75340">
              <w:t>Deuxième</w:t>
            </w:r>
            <w:r w:rsidR="00C75340" w:rsidRPr="00C75340">
              <w:t xml:space="preserve"> </w:t>
            </w:r>
            <w:r w:rsidRPr="00C75340">
              <w:t>rapport</w:t>
            </w:r>
          </w:p>
        </w:tc>
        <w:tc>
          <w:tcPr>
            <w:tcW w:w="1700" w:type="dxa"/>
            <w:shd w:val="clear" w:color="auto" w:fill="auto"/>
          </w:tcPr>
          <w:p w14:paraId="4BF8BCA3" w14:textId="57A03F03" w:rsidR="00C3295C" w:rsidRPr="00C75340" w:rsidRDefault="00C3295C" w:rsidP="00C75340">
            <w:pPr>
              <w:spacing w:before="40" w:after="120"/>
            </w:pPr>
            <w:r w:rsidRPr="00C75340">
              <w:t>23</w:t>
            </w:r>
            <w:r w:rsidR="00C75340" w:rsidRPr="00C75340">
              <w:t xml:space="preserve"> </w:t>
            </w:r>
            <w:r w:rsidRPr="00C75340">
              <w:t>juin</w:t>
            </w:r>
            <w:r w:rsidR="00C75340" w:rsidRPr="00C75340">
              <w:t xml:space="preserve"> </w:t>
            </w:r>
            <w:r w:rsidRPr="00C75340">
              <w:t>2015</w:t>
            </w:r>
          </w:p>
        </w:tc>
      </w:tr>
      <w:tr w:rsidR="00600D07" w:rsidRPr="00C75340" w14:paraId="03078D77" w14:textId="77777777" w:rsidTr="00C75340">
        <w:tc>
          <w:tcPr>
            <w:tcW w:w="1985" w:type="dxa"/>
            <w:vMerge w:val="restart"/>
            <w:shd w:val="clear" w:color="auto" w:fill="auto"/>
          </w:tcPr>
          <w:p w14:paraId="0D8BCE24" w14:textId="6EFF6512" w:rsidR="00600D07" w:rsidRPr="00C75340" w:rsidRDefault="00600D07" w:rsidP="00C75340">
            <w:pPr>
              <w:spacing w:before="40" w:after="120"/>
              <w:ind w:right="113"/>
            </w:pPr>
            <w:r w:rsidRPr="00C75340">
              <w:t>Convention sur l’élimination de toutes les formes de discrimination à l’égard des femmes</w:t>
            </w:r>
          </w:p>
        </w:tc>
        <w:tc>
          <w:tcPr>
            <w:tcW w:w="3685" w:type="dxa"/>
            <w:shd w:val="clear" w:color="auto" w:fill="auto"/>
          </w:tcPr>
          <w:p w14:paraId="476FEDCE" w14:textId="51F5B60D" w:rsidR="00600D07" w:rsidRPr="00C75340" w:rsidRDefault="00600D07" w:rsidP="00C75340">
            <w:pPr>
              <w:spacing w:before="40" w:after="120"/>
              <w:ind w:right="113"/>
            </w:pPr>
            <w:r w:rsidRPr="00C75340">
              <w:t>Rapport initial</w:t>
            </w:r>
          </w:p>
        </w:tc>
        <w:tc>
          <w:tcPr>
            <w:tcW w:w="1700" w:type="dxa"/>
            <w:shd w:val="clear" w:color="auto" w:fill="auto"/>
          </w:tcPr>
          <w:p w14:paraId="2C02D08D" w14:textId="180FA3F0" w:rsidR="00600D07" w:rsidRPr="00C75340" w:rsidRDefault="00600D07" w:rsidP="00C75340">
            <w:pPr>
              <w:spacing w:before="40" w:after="120"/>
            </w:pPr>
            <w:r w:rsidRPr="00C75340">
              <w:t>1</w:t>
            </w:r>
            <w:r w:rsidRPr="00C75340">
              <w:rPr>
                <w:vertAlign w:val="superscript"/>
              </w:rPr>
              <w:t>er</w:t>
            </w:r>
            <w:r w:rsidRPr="00C75340">
              <w:t xml:space="preserve"> juin 1987</w:t>
            </w:r>
          </w:p>
        </w:tc>
      </w:tr>
      <w:tr w:rsidR="00600D07" w:rsidRPr="00C75340" w14:paraId="63FDAADD" w14:textId="77777777" w:rsidTr="00C75340">
        <w:tc>
          <w:tcPr>
            <w:tcW w:w="1985" w:type="dxa"/>
            <w:vMerge/>
            <w:shd w:val="clear" w:color="auto" w:fill="auto"/>
          </w:tcPr>
          <w:p w14:paraId="53CAB258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2228C8F1" w14:textId="25A97DE3" w:rsidR="00600D07" w:rsidRPr="00C75340" w:rsidRDefault="00600D07" w:rsidP="00C75340">
            <w:pPr>
              <w:spacing w:before="40" w:after="120"/>
              <w:ind w:right="113"/>
            </w:pPr>
            <w:r w:rsidRPr="00C75340">
              <w:t>Deuxième et troisième rapports (combinés)</w:t>
            </w:r>
          </w:p>
        </w:tc>
        <w:tc>
          <w:tcPr>
            <w:tcW w:w="1700" w:type="dxa"/>
            <w:shd w:val="clear" w:color="auto" w:fill="auto"/>
          </w:tcPr>
          <w:p w14:paraId="11B19068" w14:textId="4A9177AC" w:rsidR="00600D07" w:rsidRPr="00C75340" w:rsidRDefault="00600D07" w:rsidP="00C75340">
            <w:pPr>
              <w:spacing w:before="40" w:after="120"/>
            </w:pPr>
            <w:r w:rsidRPr="00C75340">
              <w:t>3 mars 1997</w:t>
            </w:r>
          </w:p>
        </w:tc>
      </w:tr>
      <w:tr w:rsidR="00600D07" w:rsidRPr="00C75340" w14:paraId="59EDAF5E" w14:textId="77777777" w:rsidTr="00C75340">
        <w:tc>
          <w:tcPr>
            <w:tcW w:w="1985" w:type="dxa"/>
            <w:vMerge/>
            <w:shd w:val="clear" w:color="auto" w:fill="auto"/>
          </w:tcPr>
          <w:p w14:paraId="1590CC42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6EF8CFFF" w14:textId="264B25BD" w:rsidR="00600D07" w:rsidRPr="00C75340" w:rsidRDefault="00600D07" w:rsidP="00C75340">
            <w:pPr>
              <w:spacing w:before="40" w:after="120"/>
              <w:ind w:right="113"/>
            </w:pPr>
            <w:r w:rsidRPr="00C75340">
              <w:t>Quatrième et cinquième rapports (combinés)</w:t>
            </w:r>
          </w:p>
        </w:tc>
        <w:tc>
          <w:tcPr>
            <w:tcW w:w="1700" w:type="dxa"/>
            <w:shd w:val="clear" w:color="auto" w:fill="auto"/>
          </w:tcPr>
          <w:p w14:paraId="5A50698A" w14:textId="32CABE03" w:rsidR="00600D07" w:rsidRPr="00C75340" w:rsidRDefault="00600D07" w:rsidP="00C75340">
            <w:pPr>
              <w:spacing w:before="40" w:after="120"/>
            </w:pPr>
            <w:r w:rsidRPr="00C75340">
              <w:t>24 juin 2004</w:t>
            </w:r>
          </w:p>
        </w:tc>
      </w:tr>
      <w:tr w:rsidR="00600D07" w:rsidRPr="00C75340" w14:paraId="73B1A0CA" w14:textId="77777777" w:rsidTr="00C75340">
        <w:tc>
          <w:tcPr>
            <w:tcW w:w="1985" w:type="dxa"/>
            <w:vMerge/>
            <w:shd w:val="clear" w:color="auto" w:fill="auto"/>
          </w:tcPr>
          <w:p w14:paraId="0E6D99FE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1DB96DE2" w14:textId="10C58D02" w:rsidR="00600D07" w:rsidRPr="00C75340" w:rsidRDefault="00600D07" w:rsidP="00C75340">
            <w:pPr>
              <w:spacing w:before="40" w:after="120"/>
              <w:ind w:right="113"/>
            </w:pPr>
            <w:r w:rsidRPr="00C75340">
              <w:t>Sixième et septième rapports (combinés)</w:t>
            </w:r>
          </w:p>
        </w:tc>
        <w:tc>
          <w:tcPr>
            <w:tcW w:w="1700" w:type="dxa"/>
            <w:shd w:val="clear" w:color="auto" w:fill="auto"/>
          </w:tcPr>
          <w:p w14:paraId="6DB92AF3" w14:textId="3C7245D2" w:rsidR="00600D07" w:rsidRPr="00C75340" w:rsidRDefault="00600D07" w:rsidP="00C75340">
            <w:pPr>
              <w:spacing w:before="40" w:after="120"/>
            </w:pPr>
            <w:r w:rsidRPr="00C75340">
              <w:t>18 juin 2015</w:t>
            </w:r>
          </w:p>
        </w:tc>
      </w:tr>
      <w:tr w:rsidR="00600D07" w:rsidRPr="00C75340" w14:paraId="4D37241C" w14:textId="77777777" w:rsidTr="00C75340">
        <w:tc>
          <w:tcPr>
            <w:tcW w:w="1985" w:type="dxa"/>
            <w:vMerge w:val="restart"/>
            <w:shd w:val="clear" w:color="auto" w:fill="auto"/>
          </w:tcPr>
          <w:p w14:paraId="0072509C" w14:textId="5C7C49E6" w:rsidR="00600D07" w:rsidRPr="00C75340" w:rsidRDefault="00600D07" w:rsidP="00C75340">
            <w:pPr>
              <w:spacing w:before="40" w:after="120"/>
              <w:ind w:right="113"/>
            </w:pPr>
            <w:r w:rsidRPr="00C75340">
              <w:t>Convention internationale sur l’élimination de toutes les formes de discrimination raciale</w:t>
            </w:r>
          </w:p>
        </w:tc>
        <w:tc>
          <w:tcPr>
            <w:tcW w:w="3685" w:type="dxa"/>
            <w:shd w:val="clear" w:color="auto" w:fill="auto"/>
          </w:tcPr>
          <w:p w14:paraId="3C8B2173" w14:textId="000C4800" w:rsidR="00600D07" w:rsidRPr="00C75340" w:rsidRDefault="00600D07" w:rsidP="00C75340">
            <w:pPr>
              <w:spacing w:before="40" w:after="120"/>
              <w:ind w:right="113"/>
            </w:pPr>
            <w:r w:rsidRPr="00C75340">
              <w:t>Rapport initial, deuxième et troisième rapports (combinés)</w:t>
            </w:r>
          </w:p>
        </w:tc>
        <w:tc>
          <w:tcPr>
            <w:tcW w:w="1700" w:type="dxa"/>
            <w:shd w:val="clear" w:color="auto" w:fill="auto"/>
          </w:tcPr>
          <w:p w14:paraId="408F1C22" w14:textId="72DA5D97" w:rsidR="00600D07" w:rsidRPr="00C75340" w:rsidRDefault="00600D07" w:rsidP="00C75340">
            <w:pPr>
              <w:spacing w:before="40" w:after="120"/>
            </w:pPr>
            <w:r w:rsidRPr="00C75340">
              <w:t>27 juin 2011</w:t>
            </w:r>
          </w:p>
        </w:tc>
      </w:tr>
      <w:tr w:rsidR="00600D07" w:rsidRPr="00C75340" w14:paraId="59BC21DA" w14:textId="77777777" w:rsidTr="00C75340">
        <w:tc>
          <w:tcPr>
            <w:tcW w:w="1985" w:type="dxa"/>
            <w:vMerge/>
            <w:shd w:val="clear" w:color="auto" w:fill="auto"/>
          </w:tcPr>
          <w:p w14:paraId="57712541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2AAF1BB6" w14:textId="046108DF" w:rsidR="00600D07" w:rsidRPr="00C75340" w:rsidRDefault="00600D07" w:rsidP="00C75340">
            <w:pPr>
              <w:spacing w:before="40" w:after="120"/>
              <w:ind w:right="113"/>
            </w:pPr>
            <w:r w:rsidRPr="00C75340">
              <w:t>Quatrième, cinquième, sixième, septième et huitième rapports (combinés)</w:t>
            </w:r>
          </w:p>
        </w:tc>
        <w:tc>
          <w:tcPr>
            <w:tcW w:w="1700" w:type="dxa"/>
            <w:shd w:val="clear" w:color="auto" w:fill="auto"/>
          </w:tcPr>
          <w:p w14:paraId="1AC6DA94" w14:textId="33405F90" w:rsidR="00600D07" w:rsidRPr="00C75340" w:rsidRDefault="00600D07" w:rsidP="00C75340">
            <w:pPr>
              <w:spacing w:before="40" w:after="120"/>
            </w:pPr>
            <w:r w:rsidRPr="00C75340">
              <w:t>24 avril 2019</w:t>
            </w:r>
          </w:p>
        </w:tc>
      </w:tr>
      <w:tr w:rsidR="00C75340" w:rsidRPr="00C75340" w14:paraId="71E20344" w14:textId="77777777" w:rsidTr="00C75340">
        <w:tc>
          <w:tcPr>
            <w:tcW w:w="1985" w:type="dxa"/>
            <w:shd w:val="clear" w:color="auto" w:fill="auto"/>
          </w:tcPr>
          <w:p w14:paraId="216B89FB" w14:textId="0D58EEB9" w:rsidR="00C3295C" w:rsidRPr="00C75340" w:rsidRDefault="00C3295C" w:rsidP="00C75340">
            <w:pPr>
              <w:spacing w:before="40" w:after="120"/>
              <w:ind w:right="113"/>
            </w:pPr>
            <w:r w:rsidRPr="00C75340">
              <w:t>Pacte</w:t>
            </w:r>
            <w:r w:rsidR="00C75340" w:rsidRPr="00C75340">
              <w:t xml:space="preserve"> </w:t>
            </w:r>
            <w:r w:rsidRPr="00C75340">
              <w:t>international</w:t>
            </w:r>
            <w:r w:rsidR="00C75340" w:rsidRPr="00C75340">
              <w:t xml:space="preserve"> </w:t>
            </w:r>
            <w:r w:rsidRPr="00C75340">
              <w:t>relatif</w:t>
            </w:r>
            <w:r w:rsidR="00C75340" w:rsidRPr="00C75340">
              <w:t xml:space="preserve"> </w:t>
            </w:r>
            <w:r w:rsidRPr="00C75340">
              <w:t>aux</w:t>
            </w:r>
            <w:r w:rsidR="00C75340" w:rsidRPr="00C75340">
              <w:t xml:space="preserve"> </w:t>
            </w:r>
            <w:r w:rsidRPr="00C75340">
              <w:t>droits</w:t>
            </w:r>
            <w:r w:rsidR="00C75340" w:rsidRPr="00C75340">
              <w:t xml:space="preserve"> </w:t>
            </w:r>
            <w:r w:rsidRPr="00C75340">
              <w:t>économiques,</w:t>
            </w:r>
            <w:r w:rsidR="00C75340" w:rsidRPr="00C75340">
              <w:t xml:space="preserve"> </w:t>
            </w:r>
            <w:r w:rsidRPr="00C75340">
              <w:t>sociaux</w:t>
            </w:r>
            <w:r w:rsidR="00C75340" w:rsidRPr="00C75340">
              <w:t xml:space="preserve"> </w:t>
            </w:r>
            <w:r w:rsidRPr="00C75340">
              <w:t>et</w:t>
            </w:r>
            <w:r w:rsidR="00C75340" w:rsidRPr="00C75340">
              <w:t xml:space="preserve"> </w:t>
            </w:r>
            <w:r w:rsidRPr="00C75340">
              <w:t>culturels</w:t>
            </w:r>
          </w:p>
        </w:tc>
        <w:tc>
          <w:tcPr>
            <w:tcW w:w="3685" w:type="dxa"/>
            <w:shd w:val="clear" w:color="auto" w:fill="auto"/>
          </w:tcPr>
          <w:p w14:paraId="3599173C" w14:textId="4D83ED10" w:rsidR="00C3295C" w:rsidRPr="00C75340" w:rsidRDefault="00C3295C" w:rsidP="00C75340">
            <w:pPr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  <w:r w:rsidR="00C75340" w:rsidRPr="00C75340">
              <w:t xml:space="preserve"> </w:t>
            </w:r>
            <w:r w:rsidRPr="00C75340">
              <w:t>et</w:t>
            </w:r>
            <w:r w:rsidR="00C75340" w:rsidRPr="00C75340">
              <w:t xml:space="preserve"> </w:t>
            </w:r>
            <w:r w:rsidRPr="00C75340">
              <w:t>deuxième</w:t>
            </w:r>
            <w:r w:rsidR="00C75340" w:rsidRPr="00C75340">
              <w:t xml:space="preserve"> </w:t>
            </w:r>
            <w:r w:rsidRPr="00C75340">
              <w:t>rapport</w:t>
            </w:r>
            <w:r w:rsidR="00C75340" w:rsidRPr="00C75340">
              <w:t xml:space="preserve"> </w:t>
            </w:r>
            <w:r w:rsidRPr="00C75340">
              <w:t>(combinés)</w:t>
            </w:r>
          </w:p>
        </w:tc>
        <w:tc>
          <w:tcPr>
            <w:tcW w:w="1700" w:type="dxa"/>
            <w:shd w:val="clear" w:color="auto" w:fill="auto"/>
          </w:tcPr>
          <w:p w14:paraId="4D1D235A" w14:textId="476EC18E" w:rsidR="00C3295C" w:rsidRPr="00C75340" w:rsidRDefault="00C3295C" w:rsidP="00C75340">
            <w:pPr>
              <w:spacing w:before="40" w:after="120"/>
            </w:pPr>
            <w:r w:rsidRPr="00C75340">
              <w:t>21</w:t>
            </w:r>
            <w:r w:rsidR="00C75340" w:rsidRPr="00C75340">
              <w:t xml:space="preserve"> </w:t>
            </w:r>
            <w:r w:rsidRPr="00C75340">
              <w:t>août</w:t>
            </w:r>
            <w:r w:rsidR="00C75340" w:rsidRPr="00C75340">
              <w:t xml:space="preserve"> </w:t>
            </w:r>
            <w:r w:rsidRPr="00C75340">
              <w:t>2012</w:t>
            </w:r>
          </w:p>
        </w:tc>
      </w:tr>
      <w:tr w:rsidR="00600D07" w:rsidRPr="00C75340" w14:paraId="3D26A2E2" w14:textId="77777777" w:rsidTr="00C75340">
        <w:tc>
          <w:tcPr>
            <w:tcW w:w="1985" w:type="dxa"/>
            <w:vMerge w:val="restart"/>
            <w:shd w:val="clear" w:color="auto" w:fill="auto"/>
          </w:tcPr>
          <w:p w14:paraId="06A4442A" w14:textId="4C9EE29F" w:rsidR="00600D07" w:rsidRPr="00C75340" w:rsidRDefault="00600D07" w:rsidP="00C75340">
            <w:pPr>
              <w:spacing w:before="40" w:after="120"/>
              <w:ind w:right="113"/>
            </w:pPr>
            <w:r w:rsidRPr="00C75340">
              <w:t>Convention relative aux droits de l’enfant</w:t>
            </w:r>
          </w:p>
        </w:tc>
        <w:tc>
          <w:tcPr>
            <w:tcW w:w="3685" w:type="dxa"/>
            <w:shd w:val="clear" w:color="auto" w:fill="auto"/>
          </w:tcPr>
          <w:p w14:paraId="66D7A77E" w14:textId="7FFFCB1C" w:rsidR="00600D07" w:rsidRPr="00C75340" w:rsidRDefault="00600D07" w:rsidP="00C75340">
            <w:pPr>
              <w:spacing w:before="40" w:after="120"/>
              <w:ind w:right="113"/>
            </w:pPr>
            <w:r w:rsidRPr="00C75340">
              <w:t>Rapport initial</w:t>
            </w:r>
          </w:p>
        </w:tc>
        <w:tc>
          <w:tcPr>
            <w:tcW w:w="1700" w:type="dxa"/>
            <w:shd w:val="clear" w:color="auto" w:fill="auto"/>
          </w:tcPr>
          <w:p w14:paraId="7A417B5D" w14:textId="75BC0B55" w:rsidR="00600D07" w:rsidRPr="00C75340" w:rsidRDefault="00600D07" w:rsidP="00C75340">
            <w:pPr>
              <w:spacing w:before="40" w:after="120"/>
            </w:pPr>
            <w:r w:rsidRPr="00C75340">
              <w:t>23 août 1996</w:t>
            </w:r>
          </w:p>
        </w:tc>
      </w:tr>
      <w:tr w:rsidR="00600D07" w:rsidRPr="00C75340" w14:paraId="08EBF5A5" w14:textId="77777777" w:rsidTr="00C75340">
        <w:tc>
          <w:tcPr>
            <w:tcW w:w="1985" w:type="dxa"/>
            <w:vMerge/>
            <w:shd w:val="clear" w:color="auto" w:fill="auto"/>
          </w:tcPr>
          <w:p w14:paraId="0E439AEF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529B8CB4" w14:textId="30FB9CE5" w:rsidR="00600D07" w:rsidRPr="00C75340" w:rsidRDefault="00600D07" w:rsidP="00C75340">
            <w:pPr>
              <w:spacing w:before="40" w:after="120"/>
              <w:ind w:right="113"/>
            </w:pPr>
            <w:r w:rsidRPr="00C75340">
              <w:t xml:space="preserve">Deuxième rapport </w:t>
            </w:r>
          </w:p>
        </w:tc>
        <w:tc>
          <w:tcPr>
            <w:tcW w:w="1700" w:type="dxa"/>
            <w:shd w:val="clear" w:color="auto" w:fill="auto"/>
          </w:tcPr>
          <w:p w14:paraId="3471B2FA" w14:textId="662C8094" w:rsidR="00600D07" w:rsidRPr="00C75340" w:rsidRDefault="00600D07" w:rsidP="00C75340">
            <w:pPr>
              <w:spacing w:before="40" w:after="120"/>
            </w:pPr>
            <w:r w:rsidRPr="00C75340">
              <w:t>7 juin 2004</w:t>
            </w:r>
          </w:p>
        </w:tc>
      </w:tr>
      <w:tr w:rsidR="00600D07" w:rsidRPr="00C75340" w14:paraId="205D93F3" w14:textId="77777777" w:rsidTr="00C75340">
        <w:tc>
          <w:tcPr>
            <w:tcW w:w="1985" w:type="dxa"/>
            <w:vMerge/>
            <w:shd w:val="clear" w:color="auto" w:fill="auto"/>
          </w:tcPr>
          <w:p w14:paraId="5F3B5FBB" w14:textId="77777777" w:rsidR="00600D07" w:rsidRPr="00C75340" w:rsidRDefault="00600D07" w:rsidP="00C75340">
            <w:pPr>
              <w:spacing w:before="40" w:after="120"/>
              <w:ind w:right="113"/>
            </w:pPr>
          </w:p>
        </w:tc>
        <w:tc>
          <w:tcPr>
            <w:tcW w:w="3685" w:type="dxa"/>
            <w:shd w:val="clear" w:color="auto" w:fill="auto"/>
          </w:tcPr>
          <w:p w14:paraId="03D469E5" w14:textId="69EF1B5C" w:rsidR="00600D07" w:rsidRPr="00C75340" w:rsidRDefault="00600D07" w:rsidP="00C75340">
            <w:pPr>
              <w:spacing w:before="40" w:after="120"/>
              <w:ind w:right="113"/>
            </w:pPr>
            <w:r w:rsidRPr="00C75340">
              <w:t>Troisième et quatrième rapports (combinés)</w:t>
            </w:r>
          </w:p>
        </w:tc>
        <w:tc>
          <w:tcPr>
            <w:tcW w:w="1700" w:type="dxa"/>
            <w:shd w:val="clear" w:color="auto" w:fill="auto"/>
          </w:tcPr>
          <w:p w14:paraId="06EF2B52" w14:textId="77CBFDFC" w:rsidR="00600D07" w:rsidRPr="00C75340" w:rsidRDefault="00600D07" w:rsidP="00C75340">
            <w:pPr>
              <w:spacing w:before="40" w:after="120"/>
            </w:pPr>
            <w:r w:rsidRPr="00C75340">
              <w:t>11 juillet 2011</w:t>
            </w:r>
          </w:p>
        </w:tc>
      </w:tr>
      <w:tr w:rsidR="00C75340" w:rsidRPr="00C75340" w14:paraId="6162DC54" w14:textId="77777777" w:rsidTr="00C75340">
        <w:tc>
          <w:tcPr>
            <w:tcW w:w="1985" w:type="dxa"/>
            <w:shd w:val="clear" w:color="auto" w:fill="auto"/>
          </w:tcPr>
          <w:p w14:paraId="41019CBB" w14:textId="38597222" w:rsidR="00C3295C" w:rsidRPr="00C75340" w:rsidRDefault="00C3295C" w:rsidP="00C75340">
            <w:pPr>
              <w:spacing w:before="40" w:after="120"/>
              <w:ind w:right="113"/>
            </w:pPr>
            <w:r w:rsidRPr="00C75340">
              <w:t>Protocole</w:t>
            </w:r>
            <w:r w:rsidR="00C75340" w:rsidRPr="00C75340">
              <w:t xml:space="preserve"> </w:t>
            </w:r>
            <w:r w:rsidRPr="00C75340">
              <w:t>facultatif</w:t>
            </w:r>
            <w:r w:rsidR="00C75340" w:rsidRPr="00C75340">
              <w:t xml:space="preserve"> </w:t>
            </w:r>
            <w:r w:rsidRPr="00C75340">
              <w:t>à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Convention</w:t>
            </w:r>
            <w:r w:rsidR="00C75340" w:rsidRPr="00C75340">
              <w:t xml:space="preserve"> </w:t>
            </w:r>
            <w:r w:rsidRPr="00C75340">
              <w:t>relative</w:t>
            </w:r>
            <w:r w:rsidR="00C75340" w:rsidRPr="00C75340">
              <w:t xml:space="preserve"> </w:t>
            </w:r>
            <w:r w:rsidRPr="00C75340">
              <w:t>aux</w:t>
            </w:r>
            <w:r w:rsidR="00C75340" w:rsidRPr="00C75340">
              <w:t xml:space="preserve"> </w:t>
            </w:r>
            <w:r w:rsidRPr="00C75340">
              <w:t>droits</w:t>
            </w:r>
            <w:r w:rsidR="00C75340" w:rsidRPr="00C75340">
              <w:t xml:space="preserve"> </w:t>
            </w:r>
            <w:r w:rsidRPr="00C75340">
              <w:t>de</w:t>
            </w:r>
            <w:r w:rsidR="00C75340" w:rsidRPr="00C75340">
              <w:t xml:space="preserve"> </w:t>
            </w:r>
            <w:r w:rsidRPr="00C75340">
              <w:t>l’enfant,</w:t>
            </w:r>
            <w:r w:rsidR="00C75340" w:rsidRPr="00C75340">
              <w:t xml:space="preserve"> </w:t>
            </w:r>
            <w:r w:rsidRPr="00C75340">
              <w:t>concernant</w:t>
            </w:r>
            <w:r w:rsidR="00C75340" w:rsidRPr="00C75340">
              <w:t xml:space="preserve"> </w:t>
            </w:r>
            <w:r w:rsidRPr="00C75340">
              <w:t>l’implication</w:t>
            </w:r>
            <w:r w:rsidR="00C75340" w:rsidRPr="00C75340">
              <w:t xml:space="preserve"> </w:t>
            </w:r>
            <w:r w:rsidRPr="00C75340">
              <w:t>d’enfants</w:t>
            </w:r>
            <w:r w:rsidR="00C75340" w:rsidRPr="00C75340">
              <w:t xml:space="preserve"> </w:t>
            </w:r>
            <w:r w:rsidRPr="00C75340">
              <w:t>dans</w:t>
            </w:r>
            <w:r w:rsidR="00C75340" w:rsidRPr="00C75340">
              <w:t xml:space="preserve"> </w:t>
            </w:r>
            <w:r w:rsidRPr="00C75340">
              <w:t>les</w:t>
            </w:r>
            <w:r w:rsidR="00C75340" w:rsidRPr="00C75340">
              <w:t xml:space="preserve"> </w:t>
            </w:r>
            <w:r w:rsidRPr="00C75340">
              <w:t>conflits</w:t>
            </w:r>
            <w:r w:rsidR="00C75340" w:rsidRPr="00C75340">
              <w:t xml:space="preserve"> </w:t>
            </w:r>
            <w:r w:rsidRPr="00C75340">
              <w:t>armés</w:t>
            </w:r>
          </w:p>
        </w:tc>
        <w:tc>
          <w:tcPr>
            <w:tcW w:w="3685" w:type="dxa"/>
            <w:shd w:val="clear" w:color="auto" w:fill="auto"/>
          </w:tcPr>
          <w:p w14:paraId="75E68866" w14:textId="6CDE9884" w:rsidR="00C3295C" w:rsidRPr="00C75340" w:rsidRDefault="00C3295C" w:rsidP="00C75340">
            <w:pPr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</w:p>
        </w:tc>
        <w:tc>
          <w:tcPr>
            <w:tcW w:w="1700" w:type="dxa"/>
            <w:shd w:val="clear" w:color="auto" w:fill="auto"/>
          </w:tcPr>
          <w:p w14:paraId="280BA26C" w14:textId="48CB4A81" w:rsidR="00C3295C" w:rsidRPr="00C75340" w:rsidRDefault="00C3295C" w:rsidP="00C75340">
            <w:pPr>
              <w:spacing w:before="40" w:after="120"/>
            </w:pPr>
            <w:r w:rsidRPr="00C75340">
              <w:t>30</w:t>
            </w:r>
            <w:r w:rsidR="00C75340" w:rsidRPr="00C75340">
              <w:t xml:space="preserve"> </w:t>
            </w:r>
            <w:r w:rsidRPr="00C75340">
              <w:t>octobre</w:t>
            </w:r>
            <w:r w:rsidR="00C75340" w:rsidRPr="00C75340">
              <w:t xml:space="preserve"> </w:t>
            </w:r>
            <w:r w:rsidRPr="00C75340">
              <w:t>2009</w:t>
            </w:r>
          </w:p>
        </w:tc>
      </w:tr>
      <w:tr w:rsidR="00C75340" w:rsidRPr="00C75340" w14:paraId="4AC09F00" w14:textId="77777777" w:rsidTr="00C75340">
        <w:tc>
          <w:tcPr>
            <w:tcW w:w="1985" w:type="dxa"/>
            <w:shd w:val="clear" w:color="auto" w:fill="auto"/>
          </w:tcPr>
          <w:p w14:paraId="28AB6D37" w14:textId="78BFC245" w:rsidR="00C3295C" w:rsidRPr="00C75340" w:rsidRDefault="00C3295C" w:rsidP="00600D07">
            <w:pPr>
              <w:keepNext/>
              <w:spacing w:before="40" w:after="120"/>
              <w:ind w:right="113"/>
            </w:pPr>
            <w:r w:rsidRPr="00C75340">
              <w:lastRenderedPageBreak/>
              <w:t>Protocole</w:t>
            </w:r>
            <w:r w:rsidR="00C75340" w:rsidRPr="00C75340">
              <w:t xml:space="preserve"> </w:t>
            </w:r>
            <w:r w:rsidRPr="00C75340">
              <w:t>facultatif</w:t>
            </w:r>
            <w:r w:rsidR="00C75340" w:rsidRPr="00C75340">
              <w:t xml:space="preserve"> </w:t>
            </w:r>
            <w:r w:rsidRPr="00C75340">
              <w:t>à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Convention</w:t>
            </w:r>
            <w:r w:rsidR="00C75340" w:rsidRPr="00C75340">
              <w:t xml:space="preserve"> </w:t>
            </w:r>
            <w:r w:rsidRPr="00C75340">
              <w:t>relative</w:t>
            </w:r>
            <w:r w:rsidR="00C75340" w:rsidRPr="00C75340">
              <w:t xml:space="preserve"> </w:t>
            </w:r>
            <w:r w:rsidRPr="00C75340">
              <w:t>aux</w:t>
            </w:r>
            <w:r w:rsidR="00C75340" w:rsidRPr="00C75340">
              <w:t xml:space="preserve"> </w:t>
            </w:r>
            <w:r w:rsidRPr="00C75340">
              <w:t>droits</w:t>
            </w:r>
            <w:r w:rsidR="00C75340" w:rsidRPr="00C75340">
              <w:t xml:space="preserve"> </w:t>
            </w:r>
            <w:r w:rsidRPr="00C75340">
              <w:t>de</w:t>
            </w:r>
            <w:r w:rsidR="00C75340" w:rsidRPr="00C75340">
              <w:t xml:space="preserve"> </w:t>
            </w:r>
            <w:r w:rsidRPr="00C75340">
              <w:t>l’enfant,</w:t>
            </w:r>
            <w:r w:rsidR="00C75340" w:rsidRPr="00C75340">
              <w:t xml:space="preserve"> </w:t>
            </w:r>
            <w:r w:rsidRPr="00C75340">
              <w:t>concernant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vente</w:t>
            </w:r>
            <w:r w:rsidR="00C75340" w:rsidRPr="00C75340">
              <w:t xml:space="preserve"> </w:t>
            </w:r>
            <w:r w:rsidRPr="00C75340">
              <w:t>d’enfants,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prostitution</w:t>
            </w:r>
            <w:r w:rsidR="00C75340" w:rsidRPr="00C75340">
              <w:t xml:space="preserve"> </w:t>
            </w:r>
            <w:r w:rsidRPr="00C75340">
              <w:t>des</w:t>
            </w:r>
            <w:r w:rsidR="00C75340" w:rsidRPr="00C75340">
              <w:t xml:space="preserve"> </w:t>
            </w:r>
            <w:r w:rsidRPr="00C75340">
              <w:t>enfants</w:t>
            </w:r>
            <w:r w:rsidR="00C75340" w:rsidRPr="00C75340">
              <w:t xml:space="preserve"> </w:t>
            </w:r>
            <w:r w:rsidRPr="00C75340">
              <w:t>et</w:t>
            </w:r>
            <w:r w:rsidR="00C75340" w:rsidRPr="00C75340">
              <w:t xml:space="preserve"> </w:t>
            </w:r>
            <w:r w:rsidRPr="00C75340">
              <w:t>la</w:t>
            </w:r>
            <w:r w:rsidR="00C75340" w:rsidRPr="00C75340">
              <w:t xml:space="preserve"> </w:t>
            </w:r>
            <w:r w:rsidRPr="00C75340">
              <w:t>pornographie</w:t>
            </w:r>
            <w:r w:rsidR="00C75340" w:rsidRPr="00C75340">
              <w:t xml:space="preserve"> </w:t>
            </w:r>
            <w:r w:rsidRPr="00C75340">
              <w:t>mettant</w:t>
            </w:r>
            <w:r w:rsidR="00C75340" w:rsidRPr="00C75340">
              <w:t xml:space="preserve"> </w:t>
            </w:r>
            <w:r w:rsidRPr="00C75340">
              <w:t>en</w:t>
            </w:r>
            <w:r w:rsidR="00C75340" w:rsidRPr="00C75340">
              <w:t xml:space="preserve"> </w:t>
            </w:r>
            <w:r w:rsidRPr="00C75340">
              <w:t>scène</w:t>
            </w:r>
            <w:r w:rsidR="00C75340" w:rsidRPr="00C75340">
              <w:t xml:space="preserve"> </w:t>
            </w:r>
            <w:r w:rsidRPr="00C75340">
              <w:t>des</w:t>
            </w:r>
            <w:r w:rsidR="00C75340" w:rsidRPr="00C75340">
              <w:t xml:space="preserve"> </w:t>
            </w:r>
            <w:r w:rsidRPr="00C75340">
              <w:t>enfants</w:t>
            </w:r>
          </w:p>
        </w:tc>
        <w:tc>
          <w:tcPr>
            <w:tcW w:w="3685" w:type="dxa"/>
            <w:shd w:val="clear" w:color="auto" w:fill="auto"/>
          </w:tcPr>
          <w:p w14:paraId="5389A3A2" w14:textId="0905AD3A" w:rsidR="00C3295C" w:rsidRPr="00C75340" w:rsidRDefault="00C3295C" w:rsidP="00600D07">
            <w:pPr>
              <w:keepNext/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</w:p>
        </w:tc>
        <w:tc>
          <w:tcPr>
            <w:tcW w:w="1700" w:type="dxa"/>
            <w:shd w:val="clear" w:color="auto" w:fill="auto"/>
          </w:tcPr>
          <w:p w14:paraId="625750B8" w14:textId="519FDFA1" w:rsidR="00C3295C" w:rsidRPr="00C75340" w:rsidRDefault="00C3295C" w:rsidP="00600D07">
            <w:pPr>
              <w:keepNext/>
              <w:spacing w:before="40" w:after="120"/>
            </w:pPr>
            <w:r w:rsidRPr="00C75340">
              <w:t>30</w:t>
            </w:r>
            <w:r w:rsidR="00C75340" w:rsidRPr="00C75340">
              <w:t xml:space="preserve"> </w:t>
            </w:r>
            <w:r w:rsidRPr="00C75340">
              <w:t>octobre</w:t>
            </w:r>
            <w:r w:rsidR="00C75340" w:rsidRPr="00C75340">
              <w:t xml:space="preserve"> </w:t>
            </w:r>
            <w:r w:rsidRPr="00C75340">
              <w:t>2009</w:t>
            </w:r>
          </w:p>
        </w:tc>
      </w:tr>
      <w:tr w:rsidR="00C75340" w:rsidRPr="00C75340" w14:paraId="4AC5D192" w14:textId="77777777" w:rsidTr="00C75340"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5AA09C03" w14:textId="2E0E080B" w:rsidR="00C3295C" w:rsidRPr="00C75340" w:rsidRDefault="00C3295C" w:rsidP="00C75340">
            <w:pPr>
              <w:spacing w:before="40" w:after="120"/>
              <w:ind w:right="113"/>
            </w:pPr>
            <w:r w:rsidRPr="00C75340">
              <w:t>Convention</w:t>
            </w:r>
            <w:r w:rsidR="00C75340" w:rsidRPr="00C75340">
              <w:t xml:space="preserve"> </w:t>
            </w:r>
            <w:r w:rsidRPr="00C75340">
              <w:t>relative</w:t>
            </w:r>
            <w:r w:rsidR="00C75340" w:rsidRPr="00C75340">
              <w:t xml:space="preserve"> </w:t>
            </w:r>
            <w:r w:rsidRPr="00C75340">
              <w:t>aux</w:t>
            </w:r>
            <w:r w:rsidR="00C75340" w:rsidRPr="00C75340">
              <w:t xml:space="preserve"> </w:t>
            </w:r>
            <w:r w:rsidRPr="00C75340">
              <w:t>droits</w:t>
            </w:r>
            <w:r w:rsidR="00C75340" w:rsidRPr="00C75340">
              <w:t xml:space="preserve"> </w:t>
            </w:r>
            <w:r w:rsidRPr="00C75340">
              <w:t>des</w:t>
            </w:r>
            <w:r w:rsidR="00C75340" w:rsidRPr="00C75340">
              <w:t xml:space="preserve"> </w:t>
            </w:r>
            <w:r w:rsidRPr="00C75340">
              <w:t>personnes</w:t>
            </w:r>
            <w:r w:rsidR="00C75340" w:rsidRPr="00C75340">
              <w:t xml:space="preserve"> </w:t>
            </w:r>
            <w:r w:rsidRPr="00C75340">
              <w:t>handicapées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5E8E1733" w14:textId="4F9922D1" w:rsidR="00C3295C" w:rsidRPr="00C75340" w:rsidRDefault="00C3295C" w:rsidP="00C75340">
            <w:pPr>
              <w:spacing w:before="40" w:after="120"/>
              <w:ind w:right="113"/>
            </w:pPr>
            <w:r w:rsidRPr="00C75340">
              <w:t>Rapport</w:t>
            </w:r>
            <w:r w:rsidR="00C75340" w:rsidRPr="00C75340">
              <w:t xml:space="preserve"> </w:t>
            </w:r>
            <w:r w:rsidRPr="00C75340">
              <w:t>initial</w:t>
            </w:r>
            <w:r w:rsidR="00C75340" w:rsidRPr="00C75340">
              <w:t xml:space="preserve"> 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0C1CDFE3" w14:textId="11EFF205" w:rsidR="00C3295C" w:rsidRPr="00C75340" w:rsidRDefault="00C3295C" w:rsidP="00C75340">
            <w:pPr>
              <w:spacing w:before="40" w:after="120"/>
            </w:pPr>
            <w:r w:rsidRPr="00C75340">
              <w:t>3</w:t>
            </w:r>
            <w:r w:rsidR="00C75340" w:rsidRPr="00C75340">
              <w:t xml:space="preserve"> </w:t>
            </w:r>
            <w:r w:rsidRPr="00C75340">
              <w:t>décembre</w:t>
            </w:r>
            <w:r w:rsidR="00C75340" w:rsidRPr="00C75340">
              <w:t xml:space="preserve"> </w:t>
            </w:r>
            <w:r w:rsidRPr="00C75340">
              <w:t>2012</w:t>
            </w:r>
          </w:p>
        </w:tc>
      </w:tr>
    </w:tbl>
    <w:p w14:paraId="22059A2B" w14:textId="4FD676BD" w:rsidR="00C3295C" w:rsidRPr="00D86974" w:rsidRDefault="00C3295C" w:rsidP="00C3295C">
      <w:pPr>
        <w:pStyle w:val="HChG"/>
      </w:pPr>
      <w:r w:rsidRPr="00D86974">
        <w:rPr>
          <w:bCs/>
        </w:rPr>
        <w:tab/>
        <w:t>III.</w:t>
      </w:r>
      <w:r w:rsidRPr="00D86974">
        <w:tab/>
      </w:r>
      <w:r w:rsidRPr="00D86974">
        <w:rPr>
          <w:bCs/>
        </w:rPr>
        <w:t>Mise</w:t>
      </w:r>
      <w:r w:rsidR="00C75340">
        <w:rPr>
          <w:bCs/>
        </w:rPr>
        <w:t xml:space="preserve"> </w:t>
      </w:r>
      <w:r w:rsidRPr="00D86974">
        <w:rPr>
          <w:bCs/>
        </w:rPr>
        <w:t>en</w:t>
      </w:r>
      <w:r w:rsidR="00C75340">
        <w:rPr>
          <w:bCs/>
        </w:rPr>
        <w:t xml:space="preserve"> </w:t>
      </w:r>
      <w:r w:rsidRPr="00D86974">
        <w:rPr>
          <w:bCs/>
        </w:rPr>
        <w:t>œuvre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dispositions</w:t>
      </w:r>
      <w:r w:rsidR="00C75340">
        <w:rPr>
          <w:bCs/>
        </w:rPr>
        <w:t xml:space="preserve"> </w:t>
      </w:r>
      <w:r w:rsidRPr="00D86974">
        <w:rPr>
          <w:bCs/>
        </w:rPr>
        <w:t>concrètes</w:t>
      </w:r>
      <w:r w:rsidR="00C75340">
        <w:rPr>
          <w:bCs/>
        </w:rPr>
        <w:t xml:space="preserve"> </w:t>
      </w:r>
      <w:r w:rsidRPr="00D86974">
        <w:rPr>
          <w:bCs/>
        </w:rPr>
        <w:t>relatives</w:t>
      </w:r>
      <w:r w:rsidR="00C75340">
        <w:rPr>
          <w:bCs/>
        </w:rPr>
        <w:t xml:space="preserve"> </w:t>
      </w:r>
      <w:r w:rsidRPr="00D86974">
        <w:rPr>
          <w:bCs/>
        </w:rPr>
        <w:t>aux</w:t>
      </w:r>
      <w:r w:rsidR="00C75340">
        <w:rPr>
          <w:bCs/>
        </w:rPr>
        <w:t xml:space="preserve"> </w:t>
      </w:r>
      <w:r w:rsidRPr="00D86974">
        <w:rPr>
          <w:bCs/>
        </w:rPr>
        <w:t>droits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l’homme</w:t>
      </w:r>
      <w:bookmarkStart w:id="25" w:name="_Toc89701540"/>
      <w:bookmarkEnd w:id="25"/>
    </w:p>
    <w:p w14:paraId="4BF82C14" w14:textId="58746D7B" w:rsidR="00C3295C" w:rsidRPr="00D86974" w:rsidRDefault="00C3295C" w:rsidP="00C3295C">
      <w:pPr>
        <w:pStyle w:val="H1G"/>
      </w:pPr>
      <w:r w:rsidRPr="00D86974">
        <w:rPr>
          <w:bCs/>
        </w:rPr>
        <w:tab/>
        <w:t>A.</w:t>
      </w:r>
      <w:r w:rsidRPr="00D86974">
        <w:tab/>
      </w:r>
      <w:r w:rsidRPr="00D86974">
        <w:rPr>
          <w:bCs/>
        </w:rPr>
        <w:t>Non-discrimination</w:t>
      </w:r>
      <w:r w:rsidR="00C75340">
        <w:rPr>
          <w:bCs/>
        </w:rPr>
        <w:t xml:space="preserve"> </w:t>
      </w:r>
      <w:r w:rsidRPr="00D86974">
        <w:rPr>
          <w:bCs/>
        </w:rPr>
        <w:t>et</w:t>
      </w:r>
      <w:r w:rsidR="00C75340">
        <w:rPr>
          <w:bCs/>
        </w:rPr>
        <w:t xml:space="preserve"> </w:t>
      </w:r>
      <w:r w:rsidRPr="00D86974">
        <w:rPr>
          <w:bCs/>
        </w:rPr>
        <w:t>égalité</w:t>
      </w:r>
      <w:bookmarkStart w:id="26" w:name="_Toc89701541"/>
      <w:bookmarkEnd w:id="26"/>
    </w:p>
    <w:p w14:paraId="0ABFC78C" w14:textId="173798B4" w:rsidR="00C3295C" w:rsidRPr="00D86974" w:rsidRDefault="00C3295C" w:rsidP="00C3295C">
      <w:pPr>
        <w:pStyle w:val="SingleTxtG"/>
      </w:pPr>
      <w:r w:rsidRPr="00D86974">
        <w:t>178.</w:t>
      </w:r>
      <w:r w:rsidRPr="00D86974">
        <w:tab/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principale</w:t>
      </w:r>
      <w:r w:rsidR="00C75340">
        <w:t xml:space="preserve"> </w:t>
      </w:r>
      <w:r w:rsidRPr="00D86974">
        <w:t>garantie</w:t>
      </w:r>
      <w:r w:rsidR="00C75340">
        <w:t xml:space="preserve"> </w:t>
      </w:r>
      <w:r w:rsidRPr="00D86974">
        <w:t>contre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l’inégalité,</w:t>
      </w:r>
      <w:r w:rsidR="00C75340">
        <w:t xml:space="preserve"> </w:t>
      </w:r>
      <w:r w:rsidRPr="00D86974">
        <w:t>quels</w:t>
      </w:r>
      <w:r w:rsidR="00C75340">
        <w:t xml:space="preserve"> </w:t>
      </w:r>
      <w:r w:rsidRPr="00D86974">
        <w:t>qu’en</w:t>
      </w:r>
      <w:r w:rsidR="00C75340">
        <w:t xml:space="preserve"> </w:t>
      </w:r>
      <w:r w:rsidRPr="00D86974">
        <w:t>soient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motifs.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principe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non-discrimination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d’égalité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explicitement</w:t>
      </w:r>
      <w:r w:rsidR="00C75340">
        <w:t xml:space="preserve"> </w:t>
      </w:r>
      <w:r w:rsidRPr="00D86974">
        <w:t>inscrit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2017,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quatre</w:t>
      </w:r>
      <w:r w:rsidR="00C75340">
        <w:t xml:space="preserve"> </w:t>
      </w:r>
      <w:r w:rsidRPr="00D86974">
        <w:t>articles</w:t>
      </w:r>
      <w:r w:rsidR="00C75340">
        <w:t xml:space="preserve"> </w:t>
      </w:r>
      <w:r w:rsidRPr="00D86974">
        <w:t>suivants</w:t>
      </w:r>
      <w:r w:rsidR="000E46EC">
        <w:t> :</w:t>
      </w:r>
    </w:p>
    <w:p w14:paraId="7A56F5E3" w14:textId="016AD7BC" w:rsidR="00C3295C" w:rsidRPr="00D86974" w:rsidRDefault="00C3295C" w:rsidP="00C75340">
      <w:pPr>
        <w:pStyle w:val="SingleTxtG"/>
        <w:keepNext/>
        <w:ind w:left="1701"/>
      </w:pPr>
      <w:r w:rsidRPr="00D86974">
        <w:t>i.</w:t>
      </w:r>
      <w:r w:rsidRPr="00D86974">
        <w:tab/>
        <w:t>Article</w:t>
      </w:r>
      <w:r w:rsidR="00C75340">
        <w:t xml:space="preserve"> </w:t>
      </w:r>
      <w:r w:rsidRPr="00D86974">
        <w:t>27</w:t>
      </w:r>
    </w:p>
    <w:p w14:paraId="7523EFDC" w14:textId="438B60EF" w:rsidR="00C3295C" w:rsidRDefault="00C3295C" w:rsidP="00C75340">
      <w:pPr>
        <w:pStyle w:val="SingleTxtG"/>
        <w:ind w:firstLine="567"/>
      </w:pP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égales</w:t>
      </w:r>
      <w:r w:rsidR="00C75340">
        <w:t xml:space="preserve"> </w:t>
      </w:r>
      <w:r w:rsidRPr="00D86974">
        <w:t>devant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loi,</w:t>
      </w:r>
      <w:r w:rsidR="00C75340">
        <w:t xml:space="preserve"> </w:t>
      </w:r>
      <w:r w:rsidRPr="00D86974">
        <w:t>jouissent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protégées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d’égalité.</w:t>
      </w:r>
    </w:p>
    <w:p w14:paraId="7EB5C86C" w14:textId="1AA83F26" w:rsidR="00C3295C" w:rsidRPr="00D86974" w:rsidRDefault="00C3295C" w:rsidP="00C75340">
      <w:pPr>
        <w:pStyle w:val="SingleTxtG"/>
        <w:ind w:firstLine="567"/>
      </w:pPr>
      <w:r w:rsidRPr="00D86974">
        <w:t>Les</w:t>
      </w:r>
      <w:r w:rsidR="00C75340">
        <w:t xml:space="preserve"> </w:t>
      </w:r>
      <w:r w:rsidRPr="00D86974">
        <w:t>hommes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égaux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droits.</w:t>
      </w:r>
    </w:p>
    <w:p w14:paraId="1ED6E108" w14:textId="437C8287" w:rsidR="00C3295C" w:rsidRPr="00D86974" w:rsidRDefault="00C3295C" w:rsidP="00C75340">
      <w:pPr>
        <w:pStyle w:val="SingleTxtG"/>
        <w:ind w:firstLine="567"/>
      </w:pPr>
      <w:r w:rsidRPr="00D86974">
        <w:t>Aucune</w:t>
      </w:r>
      <w:r w:rsidR="00C75340">
        <w:t xml:space="preserve"> </w:t>
      </w:r>
      <w:r w:rsidRPr="00D86974">
        <w:t>forme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injuste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serait</w:t>
      </w:r>
      <w:r w:rsidR="00C75340">
        <w:t xml:space="preserve"> </w:t>
      </w:r>
      <w:r w:rsidRPr="00D86974">
        <w:t>motivée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différences</w:t>
      </w:r>
      <w:r w:rsidR="00C75340">
        <w:t xml:space="preserve"> </w:t>
      </w:r>
      <w:r w:rsidRPr="00D86974">
        <w:t>d’origine,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race,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langue,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sexe,</w:t>
      </w:r>
      <w:r w:rsidR="00C75340">
        <w:t xml:space="preserve"> </w:t>
      </w:r>
      <w:r w:rsidRPr="00D86974">
        <w:t>d’âge,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handicap,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physique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personnelle,</w:t>
      </w:r>
      <w:r w:rsidR="00C75340">
        <w:t xml:space="preserve"> </w:t>
      </w:r>
      <w:r w:rsidRPr="00D86974">
        <w:t>économique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sociale,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croyances</w:t>
      </w:r>
      <w:r w:rsidR="00C75340">
        <w:t xml:space="preserve"> </w:t>
      </w:r>
      <w:r w:rsidRPr="00D86974">
        <w:t>religieuses,</w:t>
      </w:r>
      <w:r w:rsidR="00C75340">
        <w:t xml:space="preserve"> </w:t>
      </w:r>
      <w:r w:rsidRPr="00D86974">
        <w:t>l’éducation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opinions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contraires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dispositions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Constitution,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tout</w:t>
      </w:r>
      <w:r w:rsidR="00C75340">
        <w:t xml:space="preserve"> </w:t>
      </w:r>
      <w:r w:rsidRPr="00D86974">
        <w:t>autre</w:t>
      </w:r>
      <w:r w:rsidR="00C75340">
        <w:t xml:space="preserve"> </w:t>
      </w:r>
      <w:r w:rsidRPr="00D86974">
        <w:t>motif,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saurait</w:t>
      </w:r>
      <w:r w:rsidR="00C75340">
        <w:t xml:space="preserve"> </w:t>
      </w:r>
      <w:r w:rsidRPr="00D86974">
        <w:t>être</w:t>
      </w:r>
      <w:r w:rsidR="00C75340">
        <w:t xml:space="preserve"> </w:t>
      </w:r>
      <w:r w:rsidRPr="00D86974">
        <w:t>tolérée.</w:t>
      </w:r>
    </w:p>
    <w:p w14:paraId="3483A4E2" w14:textId="0AA05228" w:rsidR="00C3295C" w:rsidRPr="00D86974" w:rsidRDefault="00C3295C" w:rsidP="00C75340">
      <w:pPr>
        <w:pStyle w:val="SingleTxtG"/>
        <w:ind w:firstLine="567"/>
      </w:pPr>
      <w:r w:rsidRPr="00D86974">
        <w:t>Les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prises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d’éliminer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obstacles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donner</w:t>
      </w:r>
      <w:r w:rsidR="00C75340">
        <w:t xml:space="preserve"> </w:t>
      </w:r>
      <w:r w:rsidRPr="00D86974">
        <w:t>effet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capacité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d’exercer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même</w:t>
      </w:r>
      <w:r w:rsidR="00C75340">
        <w:t xml:space="preserve"> </w:t>
      </w:r>
      <w:r w:rsidRPr="00D86974">
        <w:t>titre</w:t>
      </w:r>
      <w:r w:rsidR="00C75340">
        <w:t xml:space="preserve"> </w:t>
      </w:r>
      <w:r w:rsidRPr="00D86974">
        <w:t>qu’autrui,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protéger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favoriser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âgées,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défavorisées,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considérées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discriminatoires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sens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troisième</w:t>
      </w:r>
      <w:r w:rsidR="00C75340">
        <w:t xml:space="preserve"> </w:t>
      </w:r>
      <w:r w:rsidRPr="00D86974">
        <w:t>alinéa.</w:t>
      </w:r>
    </w:p>
    <w:p w14:paraId="395935B0" w14:textId="316BAB88" w:rsidR="00C3295C" w:rsidRPr="00D86974" w:rsidRDefault="00C3295C" w:rsidP="00C75340">
      <w:pPr>
        <w:pStyle w:val="SingleTxtG"/>
        <w:ind w:firstLine="567"/>
      </w:pPr>
      <w:r w:rsidRPr="00D86974">
        <w:t>Les</w:t>
      </w:r>
      <w:r w:rsidR="00C75340">
        <w:t xml:space="preserve"> </w:t>
      </w:r>
      <w:r w:rsidRPr="00D86974">
        <w:t>membres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forces</w:t>
      </w:r>
      <w:r w:rsidR="00C75340">
        <w:t xml:space="preserve"> </w:t>
      </w:r>
      <w:r w:rsidRPr="00D86974">
        <w:t>armées,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agents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police,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agents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fonctionnaires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employés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organismes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jouissent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mêmes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libertés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autres</w:t>
      </w:r>
      <w:r w:rsidR="00C75340">
        <w:t xml:space="preserve"> </w:t>
      </w:r>
      <w:r w:rsidRPr="00D86974">
        <w:t>personnes,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l’exception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ceux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expressément</w:t>
      </w:r>
      <w:r w:rsidR="00C75340">
        <w:t xml:space="preserve"> </w:t>
      </w:r>
      <w:r w:rsidRPr="00D86974">
        <w:t>restreints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politique,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compétences,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discipline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d’éthique.</w:t>
      </w:r>
    </w:p>
    <w:p w14:paraId="2E6D74A2" w14:textId="46966BA9" w:rsidR="00C3295C" w:rsidRPr="00D86974" w:rsidRDefault="00C3295C" w:rsidP="00C75340">
      <w:pPr>
        <w:pStyle w:val="SingleTxtG"/>
        <w:keepNext/>
        <w:ind w:left="1701"/>
      </w:pPr>
      <w:r w:rsidRPr="00D86974">
        <w:t>ii.</w:t>
      </w:r>
      <w:r w:rsidRPr="00D86974">
        <w:tab/>
        <w:t>Article</w:t>
      </w:r>
      <w:r w:rsidR="00C75340">
        <w:t xml:space="preserve"> </w:t>
      </w:r>
      <w:r w:rsidRPr="00D86974">
        <w:t>40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3)</w:t>
      </w:r>
    </w:p>
    <w:p w14:paraId="38204092" w14:textId="73557B64" w:rsidR="00C3295C" w:rsidRPr="00D86974" w:rsidRDefault="00C3295C" w:rsidP="00C75340">
      <w:pPr>
        <w:pStyle w:val="SingleTxtG"/>
        <w:ind w:firstLine="567"/>
      </w:pPr>
      <w:r w:rsidRPr="00D86974">
        <w:t>L’application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visant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réglementer</w:t>
      </w:r>
      <w:r w:rsidR="00C75340">
        <w:t xml:space="preserve"> </w:t>
      </w:r>
      <w:r w:rsidRPr="00D86974">
        <w:t>l’exercice</w:t>
      </w:r>
      <w:r w:rsidR="00C75340">
        <w:t xml:space="preserve"> </w:t>
      </w:r>
      <w:r w:rsidRPr="00D86974">
        <w:t>d’un</w:t>
      </w:r>
      <w:r w:rsidR="00C75340">
        <w:t xml:space="preserve"> </w:t>
      </w:r>
      <w:r w:rsidRPr="00D86974">
        <w:t>emploi</w:t>
      </w:r>
      <w:r w:rsidR="00C75340">
        <w:t xml:space="preserve"> </w:t>
      </w:r>
      <w:r w:rsidRPr="00D86974">
        <w:t>ne</w:t>
      </w:r>
      <w:r w:rsidR="00C75340">
        <w:t xml:space="preserve"> </w:t>
      </w:r>
      <w:r w:rsidRPr="00D86974">
        <w:t>saurait</w:t>
      </w:r>
      <w:r w:rsidR="00C75340">
        <w:t xml:space="preserve"> </w:t>
      </w:r>
      <w:r w:rsidRPr="00D86974">
        <w:t>revêtir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caractère</w:t>
      </w:r>
      <w:r w:rsidR="00C75340">
        <w:t xml:space="preserve"> </w:t>
      </w:r>
      <w:r w:rsidRPr="00D86974">
        <w:t>discriminatoire.</w:t>
      </w:r>
    </w:p>
    <w:p w14:paraId="4859F316" w14:textId="7122A6CF" w:rsidR="00C3295C" w:rsidRPr="00D86974" w:rsidRDefault="00C3295C" w:rsidP="00C75340">
      <w:pPr>
        <w:pStyle w:val="SingleTxtG"/>
        <w:keepNext/>
        <w:ind w:left="1701"/>
      </w:pPr>
      <w:r w:rsidRPr="00D86974">
        <w:t>iii.</w:t>
      </w:r>
      <w:r w:rsidRPr="00D86974">
        <w:tab/>
        <w:t>Article</w:t>
      </w:r>
      <w:r w:rsidR="00C75340">
        <w:t xml:space="preserve"> </w:t>
      </w:r>
      <w:r w:rsidRPr="00D86974">
        <w:t>68</w:t>
      </w:r>
      <w:r w:rsidR="00C75340">
        <w:t xml:space="preserve"> </w:t>
      </w:r>
      <w:r w:rsidRPr="00D86974">
        <w:t>(</w:t>
      </w:r>
      <w:r w:rsidR="00C75340">
        <w:t>par. </w:t>
      </w:r>
      <w:r w:rsidRPr="00D86974">
        <w:t>1)</w:t>
      </w:r>
    </w:p>
    <w:p w14:paraId="3DCF68DC" w14:textId="31A3C8A7" w:rsidR="00C3295C" w:rsidRPr="00D86974" w:rsidRDefault="00C3295C" w:rsidP="00C75340">
      <w:pPr>
        <w:pStyle w:val="SingleTxtG"/>
        <w:ind w:firstLine="567"/>
      </w:pPr>
      <w:r w:rsidRPr="00D86974">
        <w:t>L’État</w:t>
      </w:r>
      <w:r w:rsidR="00C75340">
        <w:t xml:space="preserve"> </w:t>
      </w:r>
      <w:r w:rsidRPr="00D86974">
        <w:t>met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gestion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tous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aspects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judiciaire,</w:t>
      </w:r>
      <w:r w:rsidR="00C75340">
        <w:t xml:space="preserve"> </w:t>
      </w:r>
      <w:r w:rsidRPr="00D86974">
        <w:t>afin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garantir</w:t>
      </w:r>
      <w:r w:rsidR="00C75340">
        <w:t xml:space="preserve"> </w:t>
      </w:r>
      <w:r w:rsidRPr="00D86974">
        <w:t>l’efficacité,</w:t>
      </w:r>
      <w:r w:rsidR="00C75340">
        <w:t xml:space="preserve"> </w:t>
      </w:r>
      <w:r w:rsidRPr="00D86974">
        <w:t>l’équité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non-discrimination,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veiller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ce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aient</w:t>
      </w:r>
      <w:r w:rsidR="00C75340">
        <w:t xml:space="preserve"> </w:t>
      </w:r>
      <w:r w:rsidRPr="00D86974">
        <w:t>facilement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rapidement</w:t>
      </w:r>
      <w:r w:rsidR="00C75340">
        <w:t xml:space="preserve"> </w:t>
      </w:r>
      <w:r w:rsidRPr="00D86974">
        <w:t>accès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processus</w:t>
      </w:r>
      <w:r w:rsidR="00C75340">
        <w:t xml:space="preserve"> </w:t>
      </w:r>
      <w:r w:rsidRPr="00D86974">
        <w:t>judiciaire,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devoir</w:t>
      </w:r>
      <w:r w:rsidR="00C75340">
        <w:t xml:space="preserve"> </w:t>
      </w:r>
      <w:r w:rsidRPr="00D86974">
        <w:t>supporter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dépenses</w:t>
      </w:r>
      <w:r w:rsidR="00C75340">
        <w:t xml:space="preserve"> </w:t>
      </w:r>
      <w:r w:rsidRPr="00D86974">
        <w:t>excessives.</w:t>
      </w:r>
    </w:p>
    <w:p w14:paraId="58F69FE7" w14:textId="7A8A1D5C" w:rsidR="00C3295C" w:rsidRPr="00D86974" w:rsidRDefault="00C3295C" w:rsidP="00C75340">
      <w:pPr>
        <w:pStyle w:val="SingleTxtG"/>
        <w:keepNext/>
        <w:ind w:left="1701"/>
      </w:pPr>
      <w:r w:rsidRPr="00D86974">
        <w:lastRenderedPageBreak/>
        <w:t>iv.</w:t>
      </w:r>
      <w:r w:rsidRPr="00D86974">
        <w:tab/>
        <w:t>Article</w:t>
      </w:r>
      <w:r w:rsidR="00C75340">
        <w:t xml:space="preserve"> </w:t>
      </w:r>
      <w:r w:rsidRPr="00D86974">
        <w:t>76</w:t>
      </w:r>
    </w:p>
    <w:p w14:paraId="086154E9" w14:textId="09506229" w:rsidR="00C3295C" w:rsidRPr="00600D07" w:rsidRDefault="00C3295C" w:rsidP="00C75340">
      <w:pPr>
        <w:pStyle w:val="SingleTxtG"/>
        <w:ind w:firstLine="567"/>
        <w:rPr>
          <w:spacing w:val="-2"/>
        </w:rPr>
      </w:pPr>
      <w:r w:rsidRPr="00600D07">
        <w:rPr>
          <w:spacing w:val="-2"/>
        </w:rPr>
        <w:t>L’État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met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place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un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système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pour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gérer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affaires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publiques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administrations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centrale,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régionales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locales,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ainsi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que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autres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affaires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publiques,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conformément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aux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principes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bonne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gouvernance.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organismes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publics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coopèrent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s’entraident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dans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l’exercice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leurs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fonctions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vue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d’optimiser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l’administration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affaires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publiques,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la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prestation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services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publics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dépenses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budgétaires,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ce</w:t>
      </w:r>
      <w:r w:rsidR="00600D07" w:rsidRPr="00600D07">
        <w:rPr>
          <w:spacing w:val="-2"/>
        </w:rPr>
        <w:t>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dans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l’intérêt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la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population.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L’État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veille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également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à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former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fonctionnaires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afin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qu’ils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fassent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preuve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d’intégrité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exercent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leurs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fonctions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auprès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du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public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avec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rapidité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et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efficacité,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sans</w:t>
      </w:r>
      <w:r w:rsidR="00C75340" w:rsidRPr="00600D07">
        <w:rPr>
          <w:spacing w:val="-2"/>
        </w:rPr>
        <w:t xml:space="preserve"> </w:t>
      </w:r>
      <w:r w:rsidRPr="00600D07">
        <w:rPr>
          <w:spacing w:val="-2"/>
        </w:rPr>
        <w:t>discrimination.</w:t>
      </w:r>
    </w:p>
    <w:p w14:paraId="19032904" w14:textId="6BAD4D95" w:rsidR="00C3295C" w:rsidRPr="00D86974" w:rsidRDefault="00C3295C" w:rsidP="00C3295C">
      <w:pPr>
        <w:pStyle w:val="SingleTxtG"/>
      </w:pPr>
      <w:r w:rsidRPr="00D86974">
        <w:t>179.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déployé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efforts</w:t>
      </w:r>
      <w:r w:rsidR="00C75340">
        <w:t xml:space="preserve"> </w:t>
      </w:r>
      <w:r w:rsidRPr="00D86974">
        <w:t>constants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permettre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tous,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vulnérabilité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enfants,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femmes,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handicapées,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âgées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minorités</w:t>
      </w:r>
      <w:r w:rsidR="00C75340">
        <w:t xml:space="preserve"> </w:t>
      </w:r>
      <w:r w:rsidRPr="00D86974">
        <w:t>ethniques,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jouir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leurs</w:t>
      </w:r>
      <w:r w:rsidR="00C75340">
        <w:t xml:space="preserve"> </w:t>
      </w:r>
      <w:r w:rsidRPr="00D86974">
        <w:t>droits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exercer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pied</w:t>
      </w:r>
      <w:r w:rsidR="00C75340">
        <w:t xml:space="preserve"> </w:t>
      </w:r>
      <w:r w:rsidRPr="00D86974">
        <w:t>d’égalité.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exemple,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2014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protection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vulnérables</w:t>
      </w:r>
      <w:r w:rsidR="00C75340">
        <w:t xml:space="preserve"> </w:t>
      </w:r>
      <w:r w:rsidRPr="00D86974">
        <w:t>offre</w:t>
      </w:r>
      <w:r w:rsidR="00C75340">
        <w:t xml:space="preserve"> </w:t>
      </w:r>
      <w:r w:rsidRPr="00D86974">
        <w:t>une</w:t>
      </w:r>
      <w:r w:rsidR="00C75340">
        <w:t xml:space="preserve"> </w:t>
      </w:r>
      <w:r w:rsidRPr="00D86974">
        <w:t>meilleure</w:t>
      </w:r>
      <w:r w:rsidR="00C75340">
        <w:t xml:space="preserve"> </w:t>
      </w:r>
      <w:r w:rsidRPr="00D86974">
        <w:t>couverture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abri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vivent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pauvreté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dans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difficiles.</w:t>
      </w:r>
      <w:r w:rsidR="00C75340">
        <w:t xml:space="preserve"> </w:t>
      </w:r>
      <w:r w:rsidRPr="00D86974">
        <w:t>Elle</w:t>
      </w:r>
      <w:r w:rsidR="00C75340">
        <w:t xml:space="preserve"> </w:t>
      </w:r>
      <w:r w:rsidRPr="00D86974">
        <w:t>prévoit</w:t>
      </w:r>
      <w:r w:rsidR="00C75340">
        <w:t xml:space="preserve"> </w:t>
      </w:r>
      <w:r w:rsidRPr="00D86974">
        <w:t>notamment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dispositions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matière</w:t>
      </w:r>
      <w:r w:rsidR="00C75340">
        <w:t xml:space="preserve"> </w:t>
      </w:r>
      <w:r w:rsidRPr="00D86974">
        <w:t>d’aide</w:t>
      </w:r>
      <w:r w:rsidR="00C75340">
        <w:t xml:space="preserve"> </w:t>
      </w:r>
      <w:r w:rsidRPr="00D86974">
        <w:t>sociale,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structures</w:t>
      </w:r>
      <w:r w:rsidR="00C75340">
        <w:t xml:space="preserve"> </w:t>
      </w:r>
      <w:r w:rsidRPr="00D86974">
        <w:t>d’accueil,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soins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santé,</w:t>
      </w:r>
      <w:r w:rsidR="00C75340">
        <w:t xml:space="preserve"> </w:t>
      </w:r>
      <w:r w:rsidRPr="00D86974">
        <w:t>d’éducation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d’opportunités</w:t>
      </w:r>
      <w:r w:rsidR="00C75340">
        <w:t xml:space="preserve"> </w:t>
      </w:r>
      <w:r w:rsidRPr="00D86974">
        <w:t>d’emploi.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mis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place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carte</w:t>
      </w:r>
      <w:r w:rsidR="00C75340">
        <w:t xml:space="preserve"> </w:t>
      </w:r>
      <w:r w:rsidRPr="00D86974">
        <w:t>d’aide</w:t>
      </w:r>
      <w:r w:rsidR="00C75340">
        <w:t xml:space="preserve"> </w:t>
      </w:r>
      <w:r w:rsidRPr="00D86974">
        <w:t>sociale</w:t>
      </w:r>
      <w:r w:rsidR="00C75340">
        <w:t xml:space="preserve"> </w:t>
      </w:r>
      <w:r w:rsidRPr="00D86974">
        <w:t>qui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bénéficié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plus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11</w:t>
      </w:r>
      <w:r w:rsidR="00612A33">
        <w:t> </w:t>
      </w:r>
      <w:r w:rsidRPr="00D86974">
        <w:t>millions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enregistrées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ayant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faibles</w:t>
      </w:r>
      <w:r w:rsidR="00C75340">
        <w:t xml:space="preserve"> </w:t>
      </w:r>
      <w:r w:rsidRPr="00D86974">
        <w:t>revenus.</w:t>
      </w:r>
      <w:r w:rsidR="00C75340">
        <w:t xml:space="preserve"> </w:t>
      </w:r>
      <w:r w:rsidRPr="00D86974">
        <w:t>D’autres</w:t>
      </w:r>
      <w:r w:rsidR="00C75340">
        <w:t xml:space="preserve"> </w:t>
      </w:r>
      <w:r w:rsidRPr="00D86974">
        <w:t>lois,</w:t>
      </w:r>
      <w:r w:rsidR="00C75340">
        <w:t xml:space="preserve"> </w:t>
      </w:r>
      <w:r w:rsidRPr="00D86974">
        <w:t>politiques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programmes</w:t>
      </w:r>
      <w:r w:rsidR="00C75340">
        <w:t xml:space="preserve"> </w:t>
      </w:r>
      <w:r w:rsidRPr="00D86974">
        <w:t>attestent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actions</w:t>
      </w:r>
      <w:r w:rsidR="00C75340">
        <w:t xml:space="preserve"> </w:t>
      </w:r>
      <w:r w:rsidRPr="00D86974">
        <w:t>menées</w:t>
      </w:r>
      <w:r w:rsidR="00C75340">
        <w:t xml:space="preserve"> </w:t>
      </w:r>
      <w:r w:rsidRPr="00D86974">
        <w:t>par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éliminer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inégalités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sont</w:t>
      </w:r>
      <w:r w:rsidR="00C75340">
        <w:t xml:space="preserve"> </w:t>
      </w:r>
      <w:r w:rsidRPr="00D86974">
        <w:t>décrits</w:t>
      </w:r>
      <w:r w:rsidR="00C75340">
        <w:t xml:space="preserve"> </w:t>
      </w:r>
      <w:r w:rsidRPr="00D86974">
        <w:t>aux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57,</w:t>
      </w:r>
      <w:r w:rsidR="00C75340">
        <w:t xml:space="preserve"> </w:t>
      </w:r>
      <w:r w:rsidRPr="00D86974">
        <w:t>62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74,</w:t>
      </w:r>
      <w:r w:rsidR="00C75340">
        <w:t xml:space="preserve"> </w:t>
      </w:r>
      <w:r w:rsidRPr="00D86974">
        <w:t>82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136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141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165.</w:t>
      </w:r>
    </w:p>
    <w:p w14:paraId="2949450A" w14:textId="15E0998E" w:rsidR="00C3295C" w:rsidRPr="00D86974" w:rsidRDefault="00C3295C" w:rsidP="00C3295C">
      <w:pPr>
        <w:pStyle w:val="H1G"/>
      </w:pPr>
      <w:r w:rsidRPr="00D86974">
        <w:rPr>
          <w:bCs/>
        </w:rPr>
        <w:tab/>
        <w:t>B.</w:t>
      </w:r>
      <w:r w:rsidRPr="00D86974">
        <w:tab/>
      </w:r>
      <w:r w:rsidRPr="00D86974">
        <w:rPr>
          <w:bCs/>
        </w:rPr>
        <w:t>Recours</w:t>
      </w:r>
      <w:r w:rsidR="00C75340">
        <w:rPr>
          <w:bCs/>
        </w:rPr>
        <w:t xml:space="preserve"> </w:t>
      </w:r>
      <w:r w:rsidRPr="00D86974">
        <w:rPr>
          <w:bCs/>
        </w:rPr>
        <w:t>utiles</w:t>
      </w:r>
      <w:bookmarkStart w:id="27" w:name="_Toc89701542"/>
      <w:bookmarkEnd w:id="27"/>
    </w:p>
    <w:p w14:paraId="7AEA4827" w14:textId="014EE8AF" w:rsidR="00C3295C" w:rsidRPr="00D86974" w:rsidRDefault="00C3295C" w:rsidP="00C3295C">
      <w:pPr>
        <w:pStyle w:val="SingleTxtG"/>
      </w:pPr>
      <w:r w:rsidRPr="00D86974">
        <w:t>180.</w:t>
      </w:r>
      <w:r w:rsidRPr="00D86974">
        <w:tab/>
        <w:t>Les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69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71</w:t>
      </w:r>
      <w:r w:rsidR="00C75340">
        <w:t xml:space="preserve"> </w:t>
      </w:r>
      <w:r w:rsidRPr="00D86974">
        <w:t>contiennent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recours</w:t>
      </w:r>
      <w:r w:rsidR="00C75340">
        <w:t xml:space="preserve"> </w:t>
      </w:r>
      <w:r w:rsidRPr="00D86974">
        <w:t>utiles</w:t>
      </w:r>
      <w:r w:rsidR="00C75340">
        <w:t xml:space="preserve"> </w:t>
      </w:r>
      <w:r w:rsidRPr="00D86974">
        <w:t>disponibles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</w:p>
    <w:p w14:paraId="08DEF0DD" w14:textId="07A218A1" w:rsidR="00C3295C" w:rsidRPr="00D86974" w:rsidRDefault="00C3295C" w:rsidP="00C3295C">
      <w:pPr>
        <w:pStyle w:val="H1G"/>
      </w:pPr>
      <w:r w:rsidRPr="00D86974">
        <w:rPr>
          <w:bCs/>
        </w:rPr>
        <w:tab/>
        <w:t>C.</w:t>
      </w:r>
      <w:r w:rsidRPr="00D86974">
        <w:tab/>
      </w:r>
      <w:r w:rsidRPr="00D86974">
        <w:rPr>
          <w:bCs/>
        </w:rPr>
        <w:t>Garanties</w:t>
      </w:r>
      <w:r w:rsidR="00C75340">
        <w:rPr>
          <w:bCs/>
        </w:rPr>
        <w:t xml:space="preserve"> </w:t>
      </w:r>
      <w:r w:rsidRPr="00D86974">
        <w:rPr>
          <w:bCs/>
        </w:rPr>
        <w:t>de</w:t>
      </w:r>
      <w:r w:rsidR="00C75340">
        <w:rPr>
          <w:bCs/>
        </w:rPr>
        <w:t xml:space="preserve"> </w:t>
      </w:r>
      <w:r w:rsidRPr="00D86974">
        <w:rPr>
          <w:bCs/>
        </w:rPr>
        <w:t>procédure</w:t>
      </w:r>
      <w:bookmarkStart w:id="28" w:name="_Toc89701543"/>
      <w:bookmarkEnd w:id="28"/>
    </w:p>
    <w:p w14:paraId="6BCB08F4" w14:textId="464CA025" w:rsidR="00C3295C" w:rsidRDefault="00C3295C" w:rsidP="00C3295C">
      <w:pPr>
        <w:pStyle w:val="SingleTxtG"/>
      </w:pPr>
      <w:r w:rsidRPr="00D86974">
        <w:t>181.</w:t>
      </w:r>
      <w:r w:rsidRPr="00D86974">
        <w:tab/>
        <w:t>La</w:t>
      </w:r>
      <w:r w:rsidR="00C75340">
        <w:t xml:space="preserve"> </w:t>
      </w:r>
      <w:r w:rsidRPr="00D86974">
        <w:t>Thaïlande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pris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mesures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faire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sorte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personne,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vulnérabilité,</w:t>
      </w:r>
      <w:r w:rsidR="00C75340">
        <w:t xml:space="preserve"> </w:t>
      </w:r>
      <w:r w:rsidRPr="00D86974">
        <w:t>ait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accès</w:t>
      </w:r>
      <w:r w:rsidR="00C75340">
        <w:t xml:space="preserve"> </w:t>
      </w:r>
      <w:r w:rsidRPr="00D86974">
        <w:t>égal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(voir</w:t>
      </w:r>
      <w:r w:rsidR="00C75340">
        <w:t xml:space="preserve"> par. </w:t>
      </w:r>
      <w:r w:rsidRPr="00D86974">
        <w:t>62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68).</w:t>
      </w:r>
      <w:r w:rsidR="00C75340">
        <w:t xml:space="preserve"> </w:t>
      </w:r>
      <w:r w:rsidRPr="00D86974">
        <w:t>Toutes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personnes</w:t>
      </w:r>
      <w:r w:rsidR="00C75340">
        <w:t xml:space="preserve"> </w:t>
      </w:r>
      <w:r w:rsidRPr="00D86974">
        <w:t>ont</w:t>
      </w:r>
      <w:r w:rsidR="00C75340">
        <w:t xml:space="preserve"> </w:t>
      </w:r>
      <w:r w:rsidRPr="00D86974">
        <w:t>droit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consultations</w:t>
      </w:r>
      <w:r w:rsidR="00C75340">
        <w:t xml:space="preserve"> </w:t>
      </w:r>
      <w:r w:rsidRPr="00D86974">
        <w:t>juridiques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services</w:t>
      </w:r>
      <w:r w:rsidR="00C75340">
        <w:t xml:space="preserve"> </w:t>
      </w:r>
      <w:r w:rsidRPr="00D86974">
        <w:t>d’avocat</w:t>
      </w:r>
      <w:r w:rsidR="00C75340">
        <w:t xml:space="preserve"> </w:t>
      </w:r>
      <w:r w:rsidRPr="00D86974">
        <w:t>gratuits,</w:t>
      </w:r>
      <w:r w:rsidR="00C75340">
        <w:t xml:space="preserve"> </w:t>
      </w:r>
      <w:r w:rsidRPr="00D86974">
        <w:t>indépendamment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financière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nationalité.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outre,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2015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Fonds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justice,</w:t>
      </w:r>
      <w:r w:rsidR="00C75340">
        <w:t xml:space="preserve"> </w:t>
      </w:r>
      <w:r w:rsidRPr="00D86974">
        <w:t>récemment</w:t>
      </w:r>
      <w:r w:rsidR="00C75340">
        <w:t xml:space="preserve"> </w:t>
      </w:r>
      <w:r w:rsidRPr="00D86974">
        <w:t>adoptée,</w:t>
      </w:r>
      <w:r w:rsidR="00C75340">
        <w:t xml:space="preserve"> </w:t>
      </w:r>
      <w:r w:rsidRPr="00D86974">
        <w:t>vise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réduire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disparité</w:t>
      </w:r>
      <w:r w:rsidR="00C75340">
        <w:t xml:space="preserve"> </w:t>
      </w:r>
      <w:r w:rsidRPr="00D86974">
        <w:t>sociale,</w:t>
      </w:r>
      <w:r w:rsidR="00C75340">
        <w:t xml:space="preserve"> </w:t>
      </w:r>
      <w:r w:rsidRPr="00D86974">
        <w:t>comme</w:t>
      </w:r>
      <w:r w:rsidR="00C75340">
        <w:t xml:space="preserve"> </w:t>
      </w:r>
      <w:r w:rsidRPr="00D86974">
        <w:t>décrit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paragraphe</w:t>
      </w:r>
      <w:r w:rsidR="00C75340">
        <w:t xml:space="preserve"> </w:t>
      </w:r>
      <w:r w:rsidRPr="00D86974">
        <w:t>64.</w:t>
      </w:r>
    </w:p>
    <w:p w14:paraId="67235B18" w14:textId="21BF70C1" w:rsidR="00C3295C" w:rsidRPr="00D86974" w:rsidRDefault="00C3295C" w:rsidP="00C3295C">
      <w:pPr>
        <w:pStyle w:val="SingleTxtG"/>
      </w:pPr>
      <w:r w:rsidRPr="00D86974">
        <w:t>182.</w:t>
      </w:r>
      <w:r w:rsidRPr="00D86974">
        <w:tab/>
        <w:t>S’agissant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justice</w:t>
      </w:r>
      <w:r w:rsidR="00C75340">
        <w:t xml:space="preserve"> </w:t>
      </w:r>
      <w:r w:rsidRPr="00D86974">
        <w:t>pénale,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donne</w:t>
      </w:r>
      <w:r w:rsidR="00C75340">
        <w:t xml:space="preserve"> </w:t>
      </w:r>
      <w:r w:rsidRPr="00D86974">
        <w:t>lieu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un</w:t>
      </w:r>
      <w:r w:rsidR="00C75340">
        <w:t xml:space="preserve"> </w:t>
      </w:r>
      <w:r w:rsidRPr="00D86974">
        <w:t>examen</w:t>
      </w:r>
      <w:r w:rsidR="00C75340">
        <w:t xml:space="preserve"> </w:t>
      </w:r>
      <w:r w:rsidRPr="00D86974">
        <w:t>équitable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discrimination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cause,</w:t>
      </w:r>
      <w:r w:rsidR="00C75340">
        <w:t xml:space="preserve"> </w:t>
      </w:r>
      <w:r w:rsidRPr="00D86974">
        <w:t>indépendamment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statut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l’accusé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plaignant,</w:t>
      </w:r>
      <w:r w:rsidR="00C75340">
        <w:t xml:space="preserve"> </w:t>
      </w:r>
      <w:r w:rsidRPr="00D86974">
        <w:t>y</w:t>
      </w:r>
      <w:r w:rsidR="00612A33">
        <w:t> </w:t>
      </w:r>
      <w:r w:rsidRPr="00D86974">
        <w:t>compris</w:t>
      </w:r>
      <w:r w:rsidR="00C75340">
        <w:t xml:space="preserve"> </w:t>
      </w:r>
      <w:r w:rsidRPr="00D86974">
        <w:t>s’il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apatride</w:t>
      </w:r>
      <w:r w:rsidR="00C75340">
        <w:t xml:space="preserve"> </w:t>
      </w:r>
      <w:r w:rsidRPr="00D86974">
        <w:t>ou</w:t>
      </w:r>
      <w:r w:rsidR="00C75340">
        <w:t xml:space="preserve"> </w:t>
      </w:r>
      <w:r w:rsidRPr="00D86974">
        <w:t>si</w:t>
      </w:r>
      <w:r w:rsidR="00C75340">
        <w:t xml:space="preserve"> </w:t>
      </w:r>
      <w:r w:rsidRPr="00D86974">
        <w:t>sa</w:t>
      </w:r>
      <w:r w:rsidR="00C75340">
        <w:t xml:space="preserve"> </w:t>
      </w:r>
      <w:r w:rsidRPr="00D86974">
        <w:t>situation</w:t>
      </w:r>
      <w:r w:rsidR="00C75340">
        <w:t xml:space="preserve"> </w:t>
      </w:r>
      <w:r w:rsidRPr="00D86974">
        <w:t>au</w:t>
      </w:r>
      <w:r w:rsidR="00C75340">
        <w:t xml:space="preserve"> </w:t>
      </w:r>
      <w:r w:rsidRPr="00D86974">
        <w:t>regard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n’est</w:t>
      </w:r>
      <w:r w:rsidR="00C75340">
        <w:t xml:space="preserve"> </w:t>
      </w:r>
      <w:r w:rsidRPr="00D86974">
        <w:t>pas</w:t>
      </w:r>
      <w:r w:rsidR="00C75340">
        <w:t xml:space="preserve"> </w:t>
      </w:r>
      <w:r w:rsidRPr="00D86974">
        <w:t>claire.</w:t>
      </w:r>
      <w:r w:rsidR="00C75340">
        <w:t xml:space="preserve"> </w:t>
      </w:r>
      <w:r w:rsidRPr="00D86974">
        <w:t>Plusieurs</w:t>
      </w:r>
      <w:r w:rsidR="00C75340">
        <w:t xml:space="preserve"> </w:t>
      </w:r>
      <w:r w:rsidRPr="00D86974">
        <w:t>ONG</w:t>
      </w:r>
      <w:r w:rsidR="00C75340">
        <w:t xml:space="preserve"> </w:t>
      </w:r>
      <w:r w:rsidRPr="00D86974">
        <w:t>thaïlandaises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internationales</w:t>
      </w:r>
      <w:r w:rsidR="00C75340">
        <w:t xml:space="preserve"> </w:t>
      </w:r>
      <w:r w:rsidRPr="00D86974">
        <w:t>proposent</w:t>
      </w:r>
      <w:r w:rsidR="00C75340">
        <w:t xml:space="preserve"> </w:t>
      </w:r>
      <w:r w:rsidRPr="00D86974">
        <w:t>d’aider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victimes</w:t>
      </w:r>
      <w:r w:rsidR="00C75340">
        <w:t xml:space="preserve"> </w:t>
      </w:r>
      <w:r w:rsidRPr="00D86974">
        <w:t>pendant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procédure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collaborent</w:t>
      </w:r>
      <w:r w:rsidR="00C75340">
        <w:t xml:space="preserve"> </w:t>
      </w:r>
      <w:r w:rsidRPr="00D86974">
        <w:t>étroitement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elles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toute</w:t>
      </w:r>
      <w:r w:rsidR="00C75340">
        <w:t xml:space="preserve"> </w:t>
      </w:r>
      <w:r w:rsidRPr="00D86974">
        <w:t>indépendance,</w:t>
      </w:r>
      <w:r w:rsidR="00C75340">
        <w:t xml:space="preserve"> </w:t>
      </w:r>
      <w:r w:rsidRPr="00D86974">
        <w:t>sans</w:t>
      </w:r>
      <w:r w:rsidR="00C75340">
        <w:t xml:space="preserve"> </w:t>
      </w:r>
      <w:r w:rsidRPr="00D86974">
        <w:t>ingérence</w:t>
      </w:r>
      <w:r w:rsidR="00C75340">
        <w:t xml:space="preserve"> </w:t>
      </w:r>
      <w:r w:rsidRPr="00D86974">
        <w:t>ni</w:t>
      </w:r>
      <w:r w:rsidR="00C75340">
        <w:t xml:space="preserve"> </w:t>
      </w:r>
      <w:r w:rsidRPr="00D86974">
        <w:t>blocage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part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l’État.</w:t>
      </w:r>
    </w:p>
    <w:p w14:paraId="526A9BA2" w14:textId="69F4F51F" w:rsidR="00C3295C" w:rsidRPr="00D86974" w:rsidRDefault="00C3295C" w:rsidP="00C3295C">
      <w:pPr>
        <w:pStyle w:val="H1G"/>
      </w:pPr>
      <w:r w:rsidRPr="00D86974">
        <w:rPr>
          <w:bCs/>
        </w:rPr>
        <w:tab/>
        <w:t>D.</w:t>
      </w:r>
      <w:r w:rsidRPr="00D86974">
        <w:tab/>
      </w:r>
      <w:r w:rsidRPr="00D86974">
        <w:rPr>
          <w:bCs/>
        </w:rPr>
        <w:t>Participation</w:t>
      </w:r>
      <w:r w:rsidR="00C75340">
        <w:rPr>
          <w:bCs/>
        </w:rPr>
        <w:t xml:space="preserve"> </w:t>
      </w:r>
      <w:r w:rsidRPr="00D86974">
        <w:rPr>
          <w:bCs/>
        </w:rPr>
        <w:t>à</w:t>
      </w:r>
      <w:r w:rsidR="00C75340">
        <w:rPr>
          <w:bCs/>
        </w:rPr>
        <w:t xml:space="preserve"> </w:t>
      </w:r>
      <w:r w:rsidRPr="00D86974">
        <w:rPr>
          <w:bCs/>
        </w:rPr>
        <w:t>la</w:t>
      </w:r>
      <w:r w:rsidR="00C75340">
        <w:rPr>
          <w:bCs/>
        </w:rPr>
        <w:t xml:space="preserve"> </w:t>
      </w:r>
      <w:r w:rsidRPr="00D86974">
        <w:rPr>
          <w:bCs/>
        </w:rPr>
        <w:t>vie</w:t>
      </w:r>
      <w:r w:rsidR="00C75340">
        <w:rPr>
          <w:bCs/>
        </w:rPr>
        <w:t xml:space="preserve"> </w:t>
      </w:r>
      <w:r w:rsidRPr="00D86974">
        <w:rPr>
          <w:bCs/>
        </w:rPr>
        <w:t>publique</w:t>
      </w:r>
      <w:bookmarkStart w:id="29" w:name="_Toc89701544"/>
      <w:bookmarkEnd w:id="29"/>
    </w:p>
    <w:p w14:paraId="5EE16F9D" w14:textId="51C6B53D" w:rsidR="00C3295C" w:rsidRPr="00D86974" w:rsidRDefault="00C3295C" w:rsidP="00C3295C">
      <w:pPr>
        <w:pStyle w:val="SingleTxtG"/>
      </w:pPr>
      <w:r w:rsidRPr="00D86974">
        <w:t>183.</w:t>
      </w:r>
      <w:r w:rsidRPr="00D86974">
        <w:tab/>
        <w:t>Les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132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133</w:t>
      </w:r>
      <w:r w:rsidR="00C75340">
        <w:t xml:space="preserve"> </w:t>
      </w:r>
      <w:r w:rsidRPr="00D86974">
        <w:t>contiennent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loi</w:t>
      </w:r>
      <w:r w:rsidR="00C75340">
        <w:t xml:space="preserve"> </w:t>
      </w:r>
      <w:r w:rsidRPr="00D86974">
        <w:t>relative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conditions</w:t>
      </w:r>
      <w:r w:rsidR="00C75340">
        <w:t xml:space="preserve"> </w:t>
      </w:r>
      <w:r w:rsidRPr="00D86974">
        <w:t>pour</w:t>
      </w:r>
      <w:r w:rsidR="00C75340">
        <w:t xml:space="preserve"> </w:t>
      </w:r>
      <w:r w:rsidRPr="00D86974">
        <w:t>demander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nationalité</w:t>
      </w:r>
      <w:r w:rsidR="00C75340">
        <w:t xml:space="preserve"> </w:t>
      </w:r>
      <w:r w:rsidRPr="00D86974">
        <w:t>thaïlandaise.</w:t>
      </w:r>
    </w:p>
    <w:p w14:paraId="0983CB1B" w14:textId="018F675E" w:rsidR="00C3295C" w:rsidRPr="00D86974" w:rsidRDefault="00C3295C" w:rsidP="00C3295C">
      <w:pPr>
        <w:pStyle w:val="SingleTxtG"/>
      </w:pPr>
      <w:r w:rsidRPr="00D86974">
        <w:t>184.</w:t>
      </w:r>
      <w:r w:rsidRPr="00D86974">
        <w:tab/>
        <w:t>Les</w:t>
      </w:r>
      <w:r w:rsidR="00C75340">
        <w:t xml:space="preserve"> </w:t>
      </w:r>
      <w:r w:rsidRPr="00D86974">
        <w:t>paragraphes</w:t>
      </w:r>
      <w:r w:rsidR="00C75340">
        <w:t xml:space="preserve"> </w:t>
      </w:r>
      <w:r w:rsidRPr="00D86974">
        <w:t>57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59</w:t>
      </w:r>
      <w:r w:rsidR="00C75340">
        <w:t xml:space="preserve"> </w:t>
      </w:r>
      <w:r w:rsidRPr="00D86974">
        <w:t>contiennent</w:t>
      </w:r>
      <w:r w:rsidR="00C75340">
        <w:t xml:space="preserve"> </w:t>
      </w:r>
      <w:r w:rsidRPr="00D86974">
        <w:t>des</w:t>
      </w:r>
      <w:r w:rsidR="00C75340">
        <w:t xml:space="preserve"> </w:t>
      </w:r>
      <w:r w:rsidRPr="00D86974">
        <w:t>informations</w:t>
      </w:r>
      <w:r w:rsidR="00C75340">
        <w:t xml:space="preserve"> </w:t>
      </w:r>
      <w:r w:rsidRPr="00D86974">
        <w:t>sur</w:t>
      </w:r>
      <w:r w:rsidR="00C75340">
        <w:t xml:space="preserve"> </w:t>
      </w:r>
      <w:r w:rsidRPr="00D86974">
        <w:t>le</w:t>
      </w:r>
      <w:r w:rsidR="00C75340">
        <w:t xml:space="preserve"> </w:t>
      </w:r>
      <w:r w:rsidRPr="00D86974">
        <w:t>système</w:t>
      </w:r>
      <w:r w:rsidR="00C75340">
        <w:t xml:space="preserve"> </w:t>
      </w:r>
      <w:r w:rsidRPr="00D86974">
        <w:t>électoral</w:t>
      </w:r>
      <w:r w:rsidR="00C75340">
        <w:t xml:space="preserve"> </w:t>
      </w:r>
      <w:r w:rsidRPr="00D86974">
        <w:t>en</w:t>
      </w:r>
      <w:r w:rsidR="00C75340">
        <w:t xml:space="preserve"> </w:t>
      </w:r>
      <w:r w:rsidRPr="00D86974">
        <w:t>Thaïlande.</w:t>
      </w:r>
    </w:p>
    <w:p w14:paraId="201381F5" w14:textId="107326B3" w:rsidR="00C3295C" w:rsidRPr="00D86974" w:rsidRDefault="00C3295C" w:rsidP="00C3295C">
      <w:pPr>
        <w:pStyle w:val="SingleTxtG"/>
        <w:rPr>
          <w:cs/>
        </w:rPr>
      </w:pPr>
      <w:r w:rsidRPr="00D86974">
        <w:t>185.</w:t>
      </w:r>
      <w:r w:rsidRPr="00D86974">
        <w:tab/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</w:t>
      </w:r>
      <w:r w:rsidR="00C75340">
        <w:t xml:space="preserve"> </w:t>
      </w:r>
      <w:r w:rsidRPr="00D86974">
        <w:t>thaïlandaise</w:t>
      </w:r>
      <w:r w:rsidR="00C75340">
        <w:t xml:space="preserve"> </w:t>
      </w:r>
      <w:r w:rsidRPr="00D86974">
        <w:t>est</w:t>
      </w:r>
      <w:r w:rsidR="00C75340">
        <w:t xml:space="preserve"> </w:t>
      </w:r>
      <w:r w:rsidRPr="00D86974">
        <w:t>très</w:t>
      </w:r>
      <w:r w:rsidR="00C75340">
        <w:t xml:space="preserve"> </w:t>
      </w:r>
      <w:r w:rsidRPr="00D86974">
        <w:t>active</w:t>
      </w:r>
      <w:r w:rsidR="00C75340">
        <w:t xml:space="preserve"> </w:t>
      </w:r>
      <w:r w:rsidRPr="00D86974">
        <w:t>(voir</w:t>
      </w:r>
      <w:r w:rsidR="00C75340">
        <w:t xml:space="preserve"> par. </w:t>
      </w:r>
      <w:r w:rsidRPr="00D86974">
        <w:t>160</w:t>
      </w:r>
      <w:r w:rsidR="00C75340">
        <w:t xml:space="preserve"> </w:t>
      </w:r>
      <w:r w:rsidRPr="00D86974">
        <w:t>à</w:t>
      </w:r>
      <w:r w:rsidR="00C75340">
        <w:t xml:space="preserve"> </w:t>
      </w:r>
      <w:r w:rsidRPr="00D86974">
        <w:t>164).</w:t>
      </w:r>
      <w:r w:rsidR="00C75340">
        <w:t xml:space="preserve"> </w:t>
      </w:r>
      <w:r w:rsidRPr="00D86974">
        <w:t>L’État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étroitement</w:t>
      </w:r>
      <w:r w:rsidR="00C75340">
        <w:t xml:space="preserve"> </w:t>
      </w:r>
      <w:r w:rsidRPr="00D86974">
        <w:t>collaboré</w:t>
      </w:r>
      <w:r w:rsidR="00C75340">
        <w:t xml:space="preserve"> </w:t>
      </w:r>
      <w:r w:rsidRPr="00D86974">
        <w:t>avec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organisations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société</w:t>
      </w:r>
      <w:r w:rsidR="00C75340">
        <w:t xml:space="preserve"> </w:t>
      </w:r>
      <w:r w:rsidRPr="00D86974">
        <w:t>civile,</w:t>
      </w:r>
      <w:r w:rsidR="00C75340">
        <w:t xml:space="preserve"> </w:t>
      </w:r>
      <w:r w:rsidRPr="00D86974">
        <w:t>y</w:t>
      </w:r>
      <w:r w:rsidR="00C75340">
        <w:t xml:space="preserve"> </w:t>
      </w:r>
      <w:r w:rsidRPr="00D86974">
        <w:t>compris</w:t>
      </w:r>
      <w:r w:rsidR="00C75340">
        <w:t xml:space="preserve"> </w:t>
      </w:r>
      <w:r w:rsidRPr="00D86974">
        <w:t>les</w:t>
      </w:r>
      <w:r w:rsidR="00C75340">
        <w:t xml:space="preserve"> </w:t>
      </w:r>
      <w:r w:rsidRPr="00D86974">
        <w:t>médias,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a</w:t>
      </w:r>
      <w:r w:rsidR="00C75340">
        <w:t xml:space="preserve"> </w:t>
      </w:r>
      <w:r w:rsidRPr="00D86974">
        <w:t>reconnu</w:t>
      </w:r>
      <w:r w:rsidR="00C75340">
        <w:t xml:space="preserve"> </w:t>
      </w:r>
      <w:r w:rsidRPr="00D86974">
        <w:t>que</w:t>
      </w:r>
      <w:r w:rsidR="00C75340">
        <w:t xml:space="preserve"> </w:t>
      </w:r>
      <w:r w:rsidRPr="00D86974">
        <w:t>leur</w:t>
      </w:r>
      <w:r w:rsidR="00C75340">
        <w:t xml:space="preserve"> </w:t>
      </w:r>
      <w:r w:rsidRPr="00D86974">
        <w:t>travail</w:t>
      </w:r>
      <w:r w:rsidR="00C75340">
        <w:t xml:space="preserve"> </w:t>
      </w:r>
      <w:r w:rsidRPr="00D86974">
        <w:t>faisait</w:t>
      </w:r>
      <w:r w:rsidR="00C75340">
        <w:t xml:space="preserve"> </w:t>
      </w:r>
      <w:r w:rsidRPr="00D86974">
        <w:t>partie</w:t>
      </w:r>
      <w:r w:rsidR="00C75340">
        <w:t xml:space="preserve"> </w:t>
      </w:r>
      <w:r w:rsidRPr="00D86974">
        <w:t>de</w:t>
      </w:r>
      <w:r w:rsidR="00C75340">
        <w:t xml:space="preserve"> </w:t>
      </w:r>
      <w:r w:rsidRPr="00D86974">
        <w:t>la</w:t>
      </w:r>
      <w:r w:rsidR="00C75340">
        <w:t xml:space="preserve"> </w:t>
      </w:r>
      <w:r w:rsidRPr="00D86974">
        <w:t>vie</w:t>
      </w:r>
      <w:r w:rsidR="00C75340">
        <w:t xml:space="preserve"> </w:t>
      </w:r>
      <w:r w:rsidRPr="00D86974">
        <w:t>publique</w:t>
      </w:r>
      <w:r w:rsidR="00C75340">
        <w:t xml:space="preserve"> </w:t>
      </w:r>
      <w:r w:rsidRPr="00D86974">
        <w:t>et</w:t>
      </w:r>
      <w:r w:rsidR="00C75340">
        <w:t xml:space="preserve"> </w:t>
      </w:r>
      <w:r w:rsidRPr="00D86974">
        <w:t>politique</w:t>
      </w:r>
      <w:r w:rsidR="00C75340">
        <w:t xml:space="preserve"> </w:t>
      </w:r>
      <w:r w:rsidRPr="00D86974">
        <w:t>du</w:t>
      </w:r>
      <w:r w:rsidR="00C75340">
        <w:t xml:space="preserve"> </w:t>
      </w:r>
      <w:r w:rsidRPr="00D86974">
        <w:t>pays.</w:t>
      </w:r>
    </w:p>
    <w:bookmarkEnd w:id="0"/>
    <w:p w14:paraId="1FE66C60" w14:textId="206281CA" w:rsidR="00425E6D" w:rsidRPr="00C75340" w:rsidRDefault="00C75340" w:rsidP="00C753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5E6D" w:rsidRPr="00C75340" w:rsidSect="00425E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3C9E" w14:textId="77777777" w:rsidR="00972B6E" w:rsidRDefault="00972B6E" w:rsidP="00F95C08">
      <w:pPr>
        <w:spacing w:line="240" w:lineRule="auto"/>
      </w:pPr>
    </w:p>
  </w:endnote>
  <w:endnote w:type="continuationSeparator" w:id="0">
    <w:p w14:paraId="45EDD249" w14:textId="77777777" w:rsidR="00972B6E" w:rsidRPr="00AC3823" w:rsidRDefault="00972B6E" w:rsidP="00AC3823">
      <w:pPr>
        <w:pStyle w:val="Footer"/>
      </w:pPr>
    </w:p>
  </w:endnote>
  <w:endnote w:type="continuationNotice" w:id="1">
    <w:p w14:paraId="22769681" w14:textId="77777777" w:rsidR="00972B6E" w:rsidRDefault="00972B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2D3" w14:textId="56747B67" w:rsidR="00425E6D" w:rsidRPr="00425E6D" w:rsidRDefault="00425E6D" w:rsidP="00425E6D">
    <w:pPr>
      <w:pStyle w:val="Footer"/>
      <w:tabs>
        <w:tab w:val="right" w:pos="9638"/>
      </w:tabs>
    </w:pPr>
    <w:r w:rsidRPr="00425E6D">
      <w:rPr>
        <w:b/>
        <w:sz w:val="18"/>
      </w:rPr>
      <w:fldChar w:fldCharType="begin"/>
    </w:r>
    <w:r w:rsidRPr="00425E6D">
      <w:rPr>
        <w:b/>
        <w:sz w:val="18"/>
      </w:rPr>
      <w:instrText xml:space="preserve"> PAGE  \* MERGEFORMAT </w:instrText>
    </w:r>
    <w:r w:rsidRPr="00425E6D">
      <w:rPr>
        <w:b/>
        <w:sz w:val="18"/>
      </w:rPr>
      <w:fldChar w:fldCharType="separate"/>
    </w:r>
    <w:r w:rsidRPr="00425E6D">
      <w:rPr>
        <w:b/>
        <w:noProof/>
        <w:sz w:val="18"/>
      </w:rPr>
      <w:t>2</w:t>
    </w:r>
    <w:r w:rsidRPr="00425E6D">
      <w:rPr>
        <w:b/>
        <w:sz w:val="18"/>
      </w:rPr>
      <w:fldChar w:fldCharType="end"/>
    </w:r>
    <w:r>
      <w:rPr>
        <w:b/>
        <w:sz w:val="18"/>
      </w:rPr>
      <w:tab/>
    </w:r>
    <w:r>
      <w:t>GE.21-18208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271F" w14:textId="442CD0A3" w:rsidR="00425E6D" w:rsidRPr="00425E6D" w:rsidRDefault="00425E6D" w:rsidP="00425E6D">
    <w:pPr>
      <w:pStyle w:val="Footer"/>
      <w:tabs>
        <w:tab w:val="right" w:pos="9638"/>
      </w:tabs>
      <w:rPr>
        <w:b/>
        <w:sz w:val="18"/>
      </w:rPr>
    </w:pPr>
    <w:r>
      <w:t>GE.21-18208</w:t>
    </w:r>
    <w:r>
      <w:tab/>
    </w:r>
    <w:r w:rsidRPr="00425E6D">
      <w:rPr>
        <w:b/>
        <w:sz w:val="18"/>
      </w:rPr>
      <w:fldChar w:fldCharType="begin"/>
    </w:r>
    <w:r w:rsidRPr="00425E6D">
      <w:rPr>
        <w:b/>
        <w:sz w:val="18"/>
      </w:rPr>
      <w:instrText xml:space="preserve"> PAGE  \* MERGEFORMAT </w:instrText>
    </w:r>
    <w:r w:rsidRPr="00425E6D">
      <w:rPr>
        <w:b/>
        <w:sz w:val="18"/>
      </w:rPr>
      <w:fldChar w:fldCharType="separate"/>
    </w:r>
    <w:r w:rsidRPr="00425E6D">
      <w:rPr>
        <w:b/>
        <w:noProof/>
        <w:sz w:val="18"/>
      </w:rPr>
      <w:t>3</w:t>
    </w:r>
    <w:r w:rsidRPr="00425E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CCB2" w14:textId="245DAD04" w:rsidR="00AB1FED" w:rsidRPr="00425E6D" w:rsidRDefault="00425E6D" w:rsidP="00425E6D">
    <w:pPr>
      <w:pStyle w:val="Footer"/>
      <w:spacing w:before="120"/>
      <w:rPr>
        <w:sz w:val="20"/>
      </w:rPr>
    </w:pPr>
    <w:r>
      <w:rPr>
        <w:sz w:val="20"/>
      </w:rPr>
      <w:t>GE.</w:t>
    </w:r>
    <w:r w:rsidR="00AB1FED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200E946" wp14:editId="48CA1F0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21-18208</w:t>
    </w:r>
    <w:r w:rsidR="00C75340">
      <w:rPr>
        <w:sz w:val="20"/>
      </w:rPr>
      <w:t xml:space="preserve">  </w:t>
    </w:r>
    <w:r>
      <w:rPr>
        <w:sz w:val="20"/>
      </w:rPr>
      <w:t>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4E7555" wp14:editId="16505A9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340">
      <w:rPr>
        <w:sz w:val="20"/>
      </w:rPr>
      <w:t xml:space="preserve">    </w:t>
    </w:r>
    <w:r>
      <w:rPr>
        <w:sz w:val="20"/>
      </w:rPr>
      <w:t>090322</w:t>
    </w:r>
    <w:r w:rsidR="00C75340">
      <w:rPr>
        <w:sz w:val="20"/>
      </w:rPr>
      <w:t xml:space="preserve">    </w:t>
    </w:r>
    <w:r w:rsidR="00987D41">
      <w:rPr>
        <w:sz w:val="20"/>
      </w:rPr>
      <w:t>10</w:t>
    </w:r>
    <w:r>
      <w:rPr>
        <w:sz w:val="20"/>
      </w:rPr>
      <w:t>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C113" w14:textId="77777777" w:rsidR="00972B6E" w:rsidRPr="00AC3823" w:rsidRDefault="00972B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5D579E" w14:textId="77777777" w:rsidR="00972B6E" w:rsidRPr="00AC3823" w:rsidRDefault="00972B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C8AC59" w14:textId="77777777" w:rsidR="00972B6E" w:rsidRPr="00AC3823" w:rsidRDefault="00972B6E">
      <w:pPr>
        <w:spacing w:line="240" w:lineRule="auto"/>
        <w:rPr>
          <w:sz w:val="2"/>
          <w:szCs w:val="2"/>
        </w:rPr>
      </w:pPr>
    </w:p>
  </w:footnote>
  <w:footnote w:id="2">
    <w:p w14:paraId="54FE14F6" w14:textId="1CB3B4A2" w:rsidR="00C3295C" w:rsidRPr="00D86974" w:rsidRDefault="00C3295C" w:rsidP="00C3295C">
      <w:pPr>
        <w:pStyle w:val="FootnoteText"/>
        <w:rPr>
          <w:lang w:val="fr-FR"/>
        </w:rPr>
      </w:pPr>
      <w:r>
        <w:rPr>
          <w:lang w:val="fr-FR"/>
        </w:rPr>
        <w:tab/>
      </w:r>
      <w:r w:rsidRPr="00987D41">
        <w:rPr>
          <w:sz w:val="20"/>
          <w:lang w:val="fr-FR"/>
        </w:rPr>
        <w:t>*</w:t>
      </w:r>
      <w:r w:rsidRPr="00987D41">
        <w:rPr>
          <w:sz w:val="20"/>
          <w:lang w:val="fr-FR"/>
        </w:rPr>
        <w:tab/>
      </w:r>
      <w:r>
        <w:rPr>
          <w:lang w:val="fr-FR"/>
        </w:rPr>
        <w:t>La</w:t>
      </w:r>
      <w:r w:rsidR="00C75340">
        <w:rPr>
          <w:lang w:val="fr-FR"/>
        </w:rPr>
        <w:t xml:space="preserve"> </w:t>
      </w:r>
      <w:r>
        <w:rPr>
          <w:lang w:val="fr-FR"/>
        </w:rPr>
        <w:t>version</w:t>
      </w:r>
      <w:r w:rsidR="00C75340">
        <w:rPr>
          <w:lang w:val="fr-FR"/>
        </w:rPr>
        <w:t xml:space="preserve"> </w:t>
      </w:r>
      <w:r>
        <w:rPr>
          <w:lang w:val="fr-FR"/>
        </w:rPr>
        <w:t>originale</w:t>
      </w:r>
      <w:r w:rsidR="00C75340">
        <w:rPr>
          <w:lang w:val="fr-FR"/>
        </w:rPr>
        <w:t xml:space="preserve"> </w:t>
      </w:r>
      <w:r>
        <w:rPr>
          <w:lang w:val="fr-FR"/>
        </w:rPr>
        <w:t>du</w:t>
      </w:r>
      <w:r w:rsidR="00C75340">
        <w:rPr>
          <w:lang w:val="fr-FR"/>
        </w:rPr>
        <w:t xml:space="preserve"> </w:t>
      </w:r>
      <w:r>
        <w:rPr>
          <w:lang w:val="fr-FR"/>
        </w:rPr>
        <w:t>présent</w:t>
      </w:r>
      <w:r w:rsidR="00C75340">
        <w:rPr>
          <w:lang w:val="fr-FR"/>
        </w:rPr>
        <w:t xml:space="preserve"> </w:t>
      </w:r>
      <w:r>
        <w:rPr>
          <w:lang w:val="fr-FR"/>
        </w:rPr>
        <w:t>document</w:t>
      </w:r>
      <w:r w:rsidR="00C75340">
        <w:rPr>
          <w:lang w:val="fr-FR"/>
        </w:rPr>
        <w:t xml:space="preserve"> </w:t>
      </w:r>
      <w:r>
        <w:rPr>
          <w:lang w:val="fr-FR"/>
        </w:rPr>
        <w:t>n’a</w:t>
      </w:r>
      <w:r w:rsidR="00C75340">
        <w:rPr>
          <w:lang w:val="fr-FR"/>
        </w:rPr>
        <w:t xml:space="preserve"> </w:t>
      </w:r>
      <w:r>
        <w:rPr>
          <w:lang w:val="fr-FR"/>
        </w:rPr>
        <w:t>pas</w:t>
      </w:r>
      <w:r w:rsidR="00C75340">
        <w:rPr>
          <w:lang w:val="fr-FR"/>
        </w:rPr>
        <w:t xml:space="preserve"> </w:t>
      </w:r>
      <w:r>
        <w:rPr>
          <w:lang w:val="fr-FR"/>
        </w:rPr>
        <w:t>été</w:t>
      </w:r>
      <w:r w:rsidR="00C75340">
        <w:rPr>
          <w:lang w:val="fr-FR"/>
        </w:rPr>
        <w:t xml:space="preserve"> </w:t>
      </w:r>
      <w:r>
        <w:rPr>
          <w:lang w:val="fr-FR"/>
        </w:rPr>
        <w:t>revue</w:t>
      </w:r>
      <w:r w:rsidR="00C75340">
        <w:rPr>
          <w:lang w:val="fr-FR"/>
        </w:rPr>
        <w:t xml:space="preserve"> </w:t>
      </w:r>
      <w:r>
        <w:rPr>
          <w:lang w:val="fr-FR"/>
        </w:rPr>
        <w:t>par</w:t>
      </w:r>
      <w:r w:rsidR="00C75340">
        <w:rPr>
          <w:lang w:val="fr-FR"/>
        </w:rPr>
        <w:t xml:space="preserve"> </w:t>
      </w:r>
      <w:r>
        <w:rPr>
          <w:lang w:val="fr-FR"/>
        </w:rPr>
        <w:t>les</w:t>
      </w:r>
      <w:r w:rsidR="00C75340">
        <w:rPr>
          <w:lang w:val="fr-FR"/>
        </w:rPr>
        <w:t xml:space="preserve"> </w:t>
      </w:r>
      <w:r>
        <w:rPr>
          <w:lang w:val="fr-FR"/>
        </w:rPr>
        <w:t>services</w:t>
      </w:r>
      <w:r w:rsidR="00C75340">
        <w:rPr>
          <w:lang w:val="fr-FR"/>
        </w:rPr>
        <w:t xml:space="preserve"> </w:t>
      </w:r>
      <w:r>
        <w:rPr>
          <w:lang w:val="fr-FR"/>
        </w:rPr>
        <w:t>d’édition.</w:t>
      </w:r>
    </w:p>
  </w:footnote>
  <w:footnote w:id="3">
    <w:p w14:paraId="32770061" w14:textId="7F209857" w:rsidR="00C3295C" w:rsidRPr="00D86974" w:rsidRDefault="00C3295C" w:rsidP="00C3295C">
      <w:pPr>
        <w:pStyle w:val="FootnoteText"/>
        <w:rPr>
          <w:lang w:val="fr-FR"/>
        </w:rPr>
      </w:pPr>
      <w:r>
        <w:rPr>
          <w:szCs w:val="18"/>
          <w:lang w:val="fr-FR"/>
        </w:rPr>
        <w:tab/>
      </w:r>
      <w:r w:rsidRPr="00D86974">
        <w:rPr>
          <w:rStyle w:val="FootnoteReference"/>
        </w:rPr>
        <w:footnoteRef/>
      </w:r>
      <w:r>
        <w:rPr>
          <w:lang w:val="fr-FR"/>
        </w:rPr>
        <w:tab/>
        <w:t>Organisme</w:t>
      </w:r>
      <w:r w:rsidR="00C75340">
        <w:rPr>
          <w:lang w:val="fr-FR"/>
        </w:rPr>
        <w:t xml:space="preserve"> </w:t>
      </w:r>
      <w:r>
        <w:rPr>
          <w:lang w:val="fr-FR"/>
        </w:rPr>
        <w:t>national</w:t>
      </w:r>
      <w:r w:rsidR="00C75340">
        <w:rPr>
          <w:lang w:val="fr-FR"/>
        </w:rPr>
        <w:t xml:space="preserve"> </w:t>
      </w:r>
      <w:r>
        <w:rPr>
          <w:lang w:val="fr-FR"/>
        </w:rPr>
        <w:t>de</w:t>
      </w:r>
      <w:r w:rsidR="00C75340">
        <w:rPr>
          <w:lang w:val="fr-FR"/>
        </w:rPr>
        <w:t xml:space="preserve"> </w:t>
      </w:r>
      <w:r>
        <w:rPr>
          <w:lang w:val="fr-FR"/>
        </w:rPr>
        <w:t>statistique.</w:t>
      </w:r>
      <w:r w:rsidR="00C75340">
        <w:rPr>
          <w:lang w:val="fr-FR"/>
        </w:rPr>
        <w:t xml:space="preserve"> </w:t>
      </w:r>
      <w:r>
        <w:rPr>
          <w:lang w:val="fr-FR"/>
        </w:rPr>
        <w:t>Nombre</w:t>
      </w:r>
      <w:r w:rsidR="00C75340">
        <w:rPr>
          <w:lang w:val="fr-FR"/>
        </w:rPr>
        <w:t xml:space="preserve"> </w:t>
      </w:r>
      <w:r>
        <w:rPr>
          <w:lang w:val="fr-FR"/>
        </w:rPr>
        <w:t>d’habitants</w:t>
      </w:r>
      <w:r w:rsidR="00C75340">
        <w:rPr>
          <w:lang w:val="fr-FR"/>
        </w:rPr>
        <w:t xml:space="preserve"> </w:t>
      </w:r>
      <w:r>
        <w:rPr>
          <w:lang w:val="fr-FR"/>
        </w:rPr>
        <w:t>recensés,</w:t>
      </w:r>
      <w:r w:rsidR="00C75340">
        <w:rPr>
          <w:lang w:val="fr-FR"/>
        </w:rPr>
        <w:t xml:space="preserve"> </w:t>
      </w:r>
      <w:r>
        <w:rPr>
          <w:lang w:val="fr-FR"/>
        </w:rPr>
        <w:t>ventilé</w:t>
      </w:r>
      <w:r w:rsidR="00C75340">
        <w:rPr>
          <w:lang w:val="fr-FR"/>
        </w:rPr>
        <w:t xml:space="preserve"> </w:t>
      </w:r>
      <w:r>
        <w:rPr>
          <w:lang w:val="fr-FR"/>
        </w:rPr>
        <w:t>par</w:t>
      </w:r>
      <w:r w:rsidR="00C75340">
        <w:rPr>
          <w:lang w:val="fr-FR"/>
        </w:rPr>
        <w:t xml:space="preserve"> </w:t>
      </w:r>
      <w:r>
        <w:rPr>
          <w:lang w:val="fr-FR"/>
        </w:rPr>
        <w:t>âge,</w:t>
      </w:r>
      <w:r w:rsidR="00C75340">
        <w:rPr>
          <w:lang w:val="fr-FR"/>
        </w:rPr>
        <w:t xml:space="preserve"> </w:t>
      </w:r>
      <w:r>
        <w:rPr>
          <w:lang w:val="fr-FR"/>
        </w:rPr>
        <w:t>genre</w:t>
      </w:r>
      <w:r w:rsidR="00C75340">
        <w:rPr>
          <w:lang w:val="fr-FR"/>
        </w:rPr>
        <w:t xml:space="preserve"> </w:t>
      </w:r>
      <w:r>
        <w:rPr>
          <w:lang w:val="fr-FR"/>
        </w:rPr>
        <w:t>et</w:t>
      </w:r>
      <w:r w:rsidR="00C75340">
        <w:rPr>
          <w:lang w:val="fr-FR"/>
        </w:rPr>
        <w:t xml:space="preserve"> </w:t>
      </w:r>
      <w:r>
        <w:rPr>
          <w:lang w:val="fr-FR"/>
        </w:rPr>
        <w:t>province,</w:t>
      </w:r>
      <w:r w:rsidR="00C75340">
        <w:rPr>
          <w:lang w:val="fr-FR"/>
        </w:rPr>
        <w:t xml:space="preserve"> </w:t>
      </w:r>
      <w:r>
        <w:rPr>
          <w:lang w:val="fr-FR"/>
        </w:rPr>
        <w:t>consulté</w:t>
      </w:r>
      <w:r w:rsidR="00C75340">
        <w:rPr>
          <w:lang w:val="fr-FR"/>
        </w:rPr>
        <w:t xml:space="preserve"> </w:t>
      </w:r>
      <w:r>
        <w:rPr>
          <w:lang w:val="fr-FR"/>
        </w:rPr>
        <w:t>le</w:t>
      </w:r>
      <w:r w:rsidR="00C75340">
        <w:rPr>
          <w:lang w:val="fr-FR"/>
        </w:rPr>
        <w:t xml:space="preserve"> </w:t>
      </w:r>
      <w:r>
        <w:rPr>
          <w:lang w:val="fr-FR"/>
        </w:rPr>
        <w:t>8</w:t>
      </w:r>
      <w:r w:rsidR="00987D41">
        <w:rPr>
          <w:lang w:val="fr-FR"/>
        </w:rPr>
        <w:t> </w:t>
      </w:r>
      <w:r>
        <w:rPr>
          <w:lang w:val="fr-FR"/>
        </w:rPr>
        <w:t>avril</w:t>
      </w:r>
      <w:r w:rsidR="00C75340">
        <w:rPr>
          <w:lang w:val="fr-FR"/>
        </w:rPr>
        <w:t xml:space="preserve"> </w:t>
      </w:r>
      <w:r>
        <w:rPr>
          <w:lang w:val="fr-FR"/>
        </w:rPr>
        <w:t>2019</w:t>
      </w:r>
      <w:r w:rsidR="00C75340">
        <w:rPr>
          <w:lang w:val="fr-FR"/>
        </w:rPr>
        <w:t xml:space="preserve"> </w:t>
      </w:r>
      <w:r>
        <w:rPr>
          <w:lang w:val="fr-FR"/>
        </w:rPr>
        <w:t>(</w:t>
      </w:r>
      <w:hyperlink r:id="rId1" w:history="1">
        <w:r w:rsidRPr="00987D41">
          <w:rPr>
            <w:rStyle w:val="Hyperlink"/>
            <w:lang w:val="fr-FR"/>
          </w:rPr>
          <w:t>http</w:t>
        </w:r>
        <w:r w:rsidR="00987D41" w:rsidRPr="00987D41">
          <w:rPr>
            <w:rStyle w:val="Hyperlink"/>
            <w:lang w:val="fr-FR"/>
          </w:rPr>
          <w:t>:/</w:t>
        </w:r>
        <w:r w:rsidRPr="00987D41">
          <w:rPr>
            <w:rStyle w:val="Hyperlink"/>
            <w:lang w:val="fr-FR"/>
          </w:rPr>
          <w:t>/statbbi.nso.go.th/staticreport/page/sector/th/01.aspx</w:t>
        </w:r>
      </w:hyperlink>
      <w:r>
        <w:rPr>
          <w:lang w:val="fr-FR"/>
        </w:rPr>
        <w:t>).</w:t>
      </w:r>
    </w:p>
  </w:footnote>
  <w:footnote w:id="4">
    <w:p w14:paraId="1A564901" w14:textId="22FDC8BE" w:rsidR="00C3295C" w:rsidRPr="00D86974" w:rsidRDefault="00C3295C" w:rsidP="00C3295C">
      <w:pPr>
        <w:pStyle w:val="FootnoteText"/>
        <w:rPr>
          <w:lang w:val="fr-FR"/>
        </w:rPr>
      </w:pPr>
      <w:r>
        <w:rPr>
          <w:rFonts w:cs="Cordia New"/>
          <w:cs/>
          <w:lang w:val="fr-FR" w:bidi="th-TH"/>
        </w:rPr>
        <w:tab/>
      </w:r>
      <w:r w:rsidRPr="00D86974">
        <w:rPr>
          <w:rStyle w:val="FootnoteReference"/>
        </w:rPr>
        <w:footnoteRef/>
      </w:r>
      <w:r>
        <w:rPr>
          <w:lang w:val="fr-FR"/>
        </w:rPr>
        <w:tab/>
        <w:t>Taux</w:t>
      </w:r>
      <w:r w:rsidR="00C75340">
        <w:rPr>
          <w:lang w:val="fr-FR"/>
        </w:rPr>
        <w:t xml:space="preserve"> </w:t>
      </w:r>
      <w:r>
        <w:rPr>
          <w:lang w:val="fr-FR"/>
        </w:rPr>
        <w:t>de</w:t>
      </w:r>
      <w:r w:rsidR="00C75340">
        <w:rPr>
          <w:lang w:val="fr-FR"/>
        </w:rPr>
        <w:t xml:space="preserve"> </w:t>
      </w:r>
      <w:r>
        <w:rPr>
          <w:lang w:val="fr-FR"/>
        </w:rPr>
        <w:t>change</w:t>
      </w:r>
      <w:r w:rsidR="00C75340">
        <w:rPr>
          <w:lang w:val="fr-FR"/>
        </w:rPr>
        <w:t xml:space="preserve"> </w:t>
      </w:r>
      <w:r>
        <w:rPr>
          <w:lang w:val="fr-FR"/>
        </w:rPr>
        <w:t>de</w:t>
      </w:r>
      <w:r w:rsidR="00C75340">
        <w:rPr>
          <w:lang w:val="fr-FR"/>
        </w:rPr>
        <w:t xml:space="preserve"> </w:t>
      </w:r>
      <w:r>
        <w:rPr>
          <w:lang w:val="fr-FR"/>
        </w:rPr>
        <w:t>la</w:t>
      </w:r>
      <w:r w:rsidR="00C75340">
        <w:rPr>
          <w:lang w:val="fr-FR"/>
        </w:rPr>
        <w:t xml:space="preserve"> </w:t>
      </w:r>
      <w:r>
        <w:rPr>
          <w:lang w:val="fr-FR"/>
        </w:rPr>
        <w:t>Banque</w:t>
      </w:r>
      <w:r w:rsidR="00C75340">
        <w:rPr>
          <w:lang w:val="fr-FR"/>
        </w:rPr>
        <w:t xml:space="preserve"> </w:t>
      </w:r>
      <w:r>
        <w:rPr>
          <w:lang w:val="fr-FR"/>
        </w:rPr>
        <w:t>de</w:t>
      </w:r>
      <w:r w:rsidR="00C75340">
        <w:rPr>
          <w:lang w:val="fr-FR"/>
        </w:rPr>
        <w:t xml:space="preserve"> </w:t>
      </w:r>
      <w:r>
        <w:rPr>
          <w:lang w:val="fr-FR"/>
        </w:rPr>
        <w:t>Thaïlande</w:t>
      </w:r>
      <w:r w:rsidR="00C75340">
        <w:rPr>
          <w:lang w:val="fr-FR"/>
        </w:rPr>
        <w:t xml:space="preserve"> </w:t>
      </w:r>
      <w:r>
        <w:rPr>
          <w:lang w:val="fr-FR"/>
        </w:rPr>
        <w:t>au</w:t>
      </w:r>
      <w:r w:rsidR="00C75340">
        <w:rPr>
          <w:lang w:val="fr-FR"/>
        </w:rPr>
        <w:t xml:space="preserve"> </w:t>
      </w:r>
      <w:r>
        <w:rPr>
          <w:lang w:val="fr-FR"/>
        </w:rPr>
        <w:t>27</w:t>
      </w:r>
      <w:r w:rsidR="005349F4">
        <w:rPr>
          <w:lang w:val="fr-FR"/>
        </w:rPr>
        <w:t> </w:t>
      </w:r>
      <w:r>
        <w:rPr>
          <w:lang w:val="fr-FR"/>
        </w:rPr>
        <w:t>mars</w:t>
      </w:r>
      <w:r w:rsidR="00C75340">
        <w:rPr>
          <w:lang w:val="fr-FR"/>
        </w:rPr>
        <w:t xml:space="preserve"> </w:t>
      </w:r>
      <w:r>
        <w:rPr>
          <w:lang w:val="fr-FR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992C" w14:textId="28FDE406" w:rsidR="00425E6D" w:rsidRPr="00425E6D" w:rsidRDefault="00456B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6F67">
      <w:t>HRI/CORE/THA/2021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A62" w14:textId="34248D6A" w:rsidR="00425E6D" w:rsidRPr="00425E6D" w:rsidRDefault="00456B4C" w:rsidP="00425E6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6F67">
      <w:t>HRI/CORE/THA/2021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74ECDF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4EB2"/>
    <w:multiLevelType w:val="hybridMultilevel"/>
    <w:tmpl w:val="D4B0065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C24A385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E"/>
    <w:rsid w:val="00017F94"/>
    <w:rsid w:val="00023842"/>
    <w:rsid w:val="000334F9"/>
    <w:rsid w:val="0007796D"/>
    <w:rsid w:val="00090F16"/>
    <w:rsid w:val="000B7790"/>
    <w:rsid w:val="000C6F67"/>
    <w:rsid w:val="000E46EC"/>
    <w:rsid w:val="00110457"/>
    <w:rsid w:val="00111F2F"/>
    <w:rsid w:val="0014365E"/>
    <w:rsid w:val="0017066B"/>
    <w:rsid w:val="00176178"/>
    <w:rsid w:val="001B4DE8"/>
    <w:rsid w:val="001F525A"/>
    <w:rsid w:val="00217C33"/>
    <w:rsid w:val="00223272"/>
    <w:rsid w:val="0024779E"/>
    <w:rsid w:val="002832AC"/>
    <w:rsid w:val="002908FD"/>
    <w:rsid w:val="002D7C93"/>
    <w:rsid w:val="002E722F"/>
    <w:rsid w:val="002E7E52"/>
    <w:rsid w:val="002F2527"/>
    <w:rsid w:val="002F509B"/>
    <w:rsid w:val="0039022D"/>
    <w:rsid w:val="003B4F14"/>
    <w:rsid w:val="00425E6D"/>
    <w:rsid w:val="00441C3B"/>
    <w:rsid w:val="00446FE5"/>
    <w:rsid w:val="00452396"/>
    <w:rsid w:val="00456B4C"/>
    <w:rsid w:val="00470D5A"/>
    <w:rsid w:val="004E468C"/>
    <w:rsid w:val="00534233"/>
    <w:rsid w:val="005349F4"/>
    <w:rsid w:val="005505B7"/>
    <w:rsid w:val="00573BE5"/>
    <w:rsid w:val="00586ED3"/>
    <w:rsid w:val="00596AA9"/>
    <w:rsid w:val="005F3A52"/>
    <w:rsid w:val="00600D07"/>
    <w:rsid w:val="00612A33"/>
    <w:rsid w:val="006139B0"/>
    <w:rsid w:val="006D1276"/>
    <w:rsid w:val="00702DC1"/>
    <w:rsid w:val="0071601D"/>
    <w:rsid w:val="007A62E6"/>
    <w:rsid w:val="0080684C"/>
    <w:rsid w:val="00871C75"/>
    <w:rsid w:val="008776DC"/>
    <w:rsid w:val="00911428"/>
    <w:rsid w:val="009509A2"/>
    <w:rsid w:val="009705C8"/>
    <w:rsid w:val="00972B6E"/>
    <w:rsid w:val="00987D41"/>
    <w:rsid w:val="009C1CF4"/>
    <w:rsid w:val="009C3792"/>
    <w:rsid w:val="00A30353"/>
    <w:rsid w:val="00AB1FED"/>
    <w:rsid w:val="00AC3823"/>
    <w:rsid w:val="00AE323C"/>
    <w:rsid w:val="00B00181"/>
    <w:rsid w:val="00B00B0D"/>
    <w:rsid w:val="00B40C0E"/>
    <w:rsid w:val="00B765F7"/>
    <w:rsid w:val="00B77687"/>
    <w:rsid w:val="00B82177"/>
    <w:rsid w:val="00B9154A"/>
    <w:rsid w:val="00B97E2E"/>
    <w:rsid w:val="00BA0CA9"/>
    <w:rsid w:val="00BA419D"/>
    <w:rsid w:val="00C02897"/>
    <w:rsid w:val="00C3295C"/>
    <w:rsid w:val="00C57168"/>
    <w:rsid w:val="00C75340"/>
    <w:rsid w:val="00D16ADD"/>
    <w:rsid w:val="00D3439C"/>
    <w:rsid w:val="00D84B61"/>
    <w:rsid w:val="00DB1831"/>
    <w:rsid w:val="00DB2064"/>
    <w:rsid w:val="00DD3BFD"/>
    <w:rsid w:val="00DF6678"/>
    <w:rsid w:val="00E76C95"/>
    <w:rsid w:val="00EF2E22"/>
    <w:rsid w:val="00F515BD"/>
    <w:rsid w:val="00F660DF"/>
    <w:rsid w:val="00F95C08"/>
    <w:rsid w:val="00FD4427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0538C"/>
  <w15:docId w15:val="{897B3728-2A98-407D-AE48-AC8D756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A2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9509A2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9509A2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509A2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9509A2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509A2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9509A2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509A2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509A2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509A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9509A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9509A2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9509A2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509A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509A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509A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509A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509A2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509A2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9509A2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9509A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9509A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9509A2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09A2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09A2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9509A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509A2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9509A2"/>
  </w:style>
  <w:style w:type="character" w:customStyle="1" w:styleId="EndnoteTextChar">
    <w:name w:val="Endnote Text Char"/>
    <w:aliases w:val="2_G Char"/>
    <w:basedOn w:val="DefaultParagraphFont"/>
    <w:link w:val="EndnoteText"/>
    <w:rsid w:val="009509A2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9509A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9509A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92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C3295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NoG">
    <w:name w:val="_ParaNo._G"/>
    <w:basedOn w:val="SingleTxtG"/>
    <w:rsid w:val="00C3295C"/>
    <w:pPr>
      <w:numPr>
        <w:numId w:val="19"/>
      </w:numPr>
      <w:tabs>
        <w:tab w:val="clear" w:pos="1494"/>
      </w:tabs>
    </w:pPr>
  </w:style>
  <w:style w:type="paragraph" w:styleId="PlainText">
    <w:name w:val="Plain Text"/>
    <w:basedOn w:val="Normal"/>
    <w:link w:val="PlainTextChar"/>
    <w:semiHidden/>
    <w:qFormat/>
    <w:rsid w:val="00C3295C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3295C"/>
    <w:rPr>
      <w:rFonts w:ascii="Times New Roman" w:eastAsiaTheme="minorHAnsi" w:hAnsi="Times New Roman" w:cs="Courier New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C3295C"/>
  </w:style>
  <w:style w:type="character" w:customStyle="1" w:styleId="CommentTextChar">
    <w:name w:val="Comment Text Char"/>
    <w:basedOn w:val="DefaultParagraphFont"/>
    <w:link w:val="CommentText"/>
    <w:semiHidden/>
    <w:rsid w:val="00C3295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EnvelopeReturn">
    <w:name w:val="envelope return"/>
    <w:basedOn w:val="Normal"/>
    <w:semiHidden/>
    <w:qFormat/>
    <w:rsid w:val="00C3295C"/>
    <w:rPr>
      <w:rFonts w:ascii="Arial" w:hAnsi="Arial" w:cs="Arial"/>
    </w:rPr>
  </w:style>
  <w:style w:type="paragraph" w:styleId="MessageHeader">
    <w:name w:val="Message Header"/>
    <w:basedOn w:val="Normal"/>
    <w:link w:val="MessageHeaderChar"/>
    <w:semiHidden/>
    <w:rsid w:val="00C32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295C"/>
    <w:rPr>
      <w:rFonts w:ascii="Arial" w:eastAsiaTheme="minorHAnsi" w:hAnsi="Arial" w:cs="Arial"/>
      <w:sz w:val="24"/>
      <w:szCs w:val="24"/>
      <w:shd w:val="pct20" w:color="auto" w:fill="auto"/>
      <w:lang w:eastAsia="en-US"/>
    </w:rPr>
  </w:style>
  <w:style w:type="paragraph" w:styleId="EnvelopeAddress">
    <w:name w:val="envelope address"/>
    <w:basedOn w:val="Normal"/>
    <w:semiHidden/>
    <w:rsid w:val="00C3295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295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295C"/>
    <w:rPr>
      <w:rFonts w:ascii="Times New Roman" w:eastAsiaTheme="minorHAnsi" w:hAnsi="Times New Roman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unhideWhenUsed/>
    <w:rsid w:val="00C3295C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9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C3295C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329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3295C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unhideWhenUsed/>
    <w:rsid w:val="000E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manrights.mfa.go.th/en/humanrightsinmedia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bbi.nso.go.th/staticreport/page/sector/th/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HRI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onnakorn\Downloads\PyramidG12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cap="all" spc="5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fr-CH" sz="1800" b="1" i="0" u="none" strike="noStrike" kern="1200" cap="all" spc="5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endParaRPr>
          </a:p>
          <a:p>
            <a:pPr>
              <a:defRPr lang="en-US" sz="1800" b="1" i="0" u="none" strike="noStrike" kern="1200" cap="all" spc="5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202690349980801"/>
          <c:y val="0.16101685143945799"/>
          <c:w val="0.77042399172699005"/>
          <c:h val="0.598305084745762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'ข้อมูล '!$F$4</c:f>
              <c:strCache>
                <c:ptCount val="1"/>
                <c:pt idx="0">
                  <c:v>% ชาย</c:v>
                </c:pt>
              </c:strCache>
            </c:strRef>
          </c:tx>
          <c:spPr>
            <a:gradFill flip="none" rotWithShape="1">
              <a:gsLst>
                <a:gs pos="0">
                  <a:srgbClr val="5F5F5F">
                    <a:tint val="88500"/>
                  </a:srgbClr>
                </a:gs>
                <a:gs pos="75000">
                  <a:srgbClr val="9F9F9F">
                    <a:tint val="88500"/>
                    <a:lumMod val="60000"/>
                    <a:lumOff val="40000"/>
                  </a:srgbClr>
                </a:gs>
                <a:gs pos="51000">
                  <a:srgbClr val="5F5F5F">
                    <a:tint val="88500"/>
                    <a:alpha val="75000"/>
                  </a:srgbClr>
                </a:gs>
                <a:gs pos="100000">
                  <a:srgbClr val="DFDFDF">
                    <a:tint val="88500"/>
                    <a:lumMod val="20000"/>
                    <a:lumOff val="80000"/>
                    <a:alpha val="15000"/>
                  </a:srgb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'!$F$5:$F$21</c:f>
              <c:numCache>
                <c:formatCode>0;0.00</c:formatCode>
                <c:ptCount val="17"/>
                <c:pt idx="0">
                  <c:v>-2.7274549605187199</c:v>
                </c:pt>
                <c:pt idx="1">
                  <c:v>-3.0918464773452001</c:v>
                </c:pt>
                <c:pt idx="2">
                  <c:v>-3.17347895356873</c:v>
                </c:pt>
                <c:pt idx="3">
                  <c:v>-3.29492112989423</c:v>
                </c:pt>
                <c:pt idx="4">
                  <c:v>-3.7782527908219801</c:v>
                </c:pt>
                <c:pt idx="5">
                  <c:v>-3.6514862527874201</c:v>
                </c:pt>
                <c:pt idx="6">
                  <c:v>-3.6434741792827499</c:v>
                </c:pt>
                <c:pt idx="7">
                  <c:v>-3.9473589131184399</c:v>
                </c:pt>
                <c:pt idx="8">
                  <c:v>-3.9507800592209499</c:v>
                </c:pt>
                <c:pt idx="9">
                  <c:v>-3.93169993593281</c:v>
                </c:pt>
                <c:pt idx="10">
                  <c:v>-3.6464589783925399</c:v>
                </c:pt>
                <c:pt idx="11">
                  <c:v>-3.0842042156535201</c:v>
                </c:pt>
                <c:pt idx="12">
                  <c:v>-2.32985001036324</c:v>
                </c:pt>
                <c:pt idx="13">
                  <c:v>-1.8042360163747699</c:v>
                </c:pt>
                <c:pt idx="14">
                  <c:v>-1.1504922868319201</c:v>
                </c:pt>
                <c:pt idx="15">
                  <c:v>-0.813261049307752</c:v>
                </c:pt>
                <c:pt idx="16">
                  <c:v>-0.90231297173732505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0-462F-ABDE-B9BA792E544D}"/>
            </c:ext>
          </c:extLst>
        </c:ser>
        <c:ser>
          <c:idx val="1"/>
          <c:order val="1"/>
          <c:tx>
            <c:strRef>
              <c:f>'ข้อมูล '!$G$4</c:f>
              <c:strCache>
                <c:ptCount val="1"/>
                <c:pt idx="0">
                  <c:v>% หญิง</c:v>
                </c:pt>
              </c:strCache>
            </c:strRef>
          </c:tx>
          <c:spPr>
            <a:gradFill flip="none" rotWithShape="1">
              <a:gsLst>
                <a:gs pos="0">
                  <a:srgbClr val="B3B3B3">
                    <a:tint val="55000"/>
                  </a:srgbClr>
                </a:gs>
                <a:gs pos="75000">
                  <a:srgbClr val="D1D1D1">
                    <a:tint val="55000"/>
                    <a:lumMod val="60000"/>
                    <a:lumOff val="40000"/>
                  </a:srgbClr>
                </a:gs>
                <a:gs pos="51000">
                  <a:srgbClr val="B3B3B3">
                    <a:tint val="55000"/>
                    <a:alpha val="75000"/>
                  </a:srgbClr>
                </a:gs>
                <a:gs pos="100000">
                  <a:srgbClr val="F0F0F0">
                    <a:tint val="55000"/>
                    <a:lumMod val="20000"/>
                    <a:lumOff val="80000"/>
                    <a:alpha val="15000"/>
                  </a:srgb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'!$G$5:$G$21</c:f>
              <c:numCache>
                <c:formatCode>0.00</c:formatCode>
                <c:ptCount val="17"/>
                <c:pt idx="0">
                  <c:v>2.5761384884893799</c:v>
                </c:pt>
                <c:pt idx="1">
                  <c:v>2.9207319210184099</c:v>
                </c:pt>
                <c:pt idx="2">
                  <c:v>3.00271254643827</c:v>
                </c:pt>
                <c:pt idx="3">
                  <c:v>3.1350231670080202</c:v>
                </c:pt>
                <c:pt idx="4">
                  <c:v>3.6558249654384598</c:v>
                </c:pt>
                <c:pt idx="5">
                  <c:v>3.55780471971166</c:v>
                </c:pt>
                <c:pt idx="6">
                  <c:v>3.6093168747992799</c:v>
                </c:pt>
                <c:pt idx="7">
                  <c:v>3.9707127612076398</c:v>
                </c:pt>
                <c:pt idx="8">
                  <c:v>4.0935955015410199</c:v>
                </c:pt>
                <c:pt idx="9">
                  <c:v>4.2298316977155102</c:v>
                </c:pt>
                <c:pt idx="10">
                  <c:v>4.0296196052251201</c:v>
                </c:pt>
                <c:pt idx="11">
                  <c:v>3.47532585410862</c:v>
                </c:pt>
                <c:pt idx="12">
                  <c:v>2.71406282143358</c:v>
                </c:pt>
                <c:pt idx="13">
                  <c:v>2.1737290794246702</c:v>
                </c:pt>
                <c:pt idx="14">
                  <c:v>1.4349054229498199</c:v>
                </c:pt>
                <c:pt idx="15">
                  <c:v>1.0919212133726699</c:v>
                </c:pt>
                <c:pt idx="16">
                  <c:v>1.4071741789655501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50-462F-ABDE-B9BA792E54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-260875728"/>
        <c:axId val="-260872464"/>
      </c:barChart>
      <c:catAx>
        <c:axId val="-26087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rgbClr val="D9D9D9">
                <a:lumMod val="15000"/>
                <a:lumOff val="85000"/>
              </a:srgbClr>
            </a:solidFill>
            <a:prstDash val="solid"/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60872464"/>
        <c:crosses val="autoZero"/>
        <c:auto val="1"/>
        <c:lblAlgn val="ctr"/>
        <c:lblOffset val="100"/>
        <c:tickLblSkip val="1"/>
        <c:noMultiLvlLbl val="0"/>
      </c:catAx>
      <c:valAx>
        <c:axId val="-2608724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rgbClr val="BFBFBF">
                      <a:lumMod val="25000"/>
                      <a:lumOff val="75000"/>
                    </a:srgbClr>
                  </a:gs>
                  <a:gs pos="0">
                    <a:srgbClr val="D9D9D9">
                      <a:lumMod val="15000"/>
                      <a:lumOff val="85000"/>
                    </a:srgb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kern="1200" cap="all" baseline="0">
                    <a:solidFill>
                      <a:srgbClr val="595959">
                        <a:lumMod val="65000"/>
                        <a:lumOff val="3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endParaRPr lang="th-TH"/>
              </a:p>
            </c:rich>
          </c:tx>
          <c:layout>
            <c:manualLayout>
              <c:xMode val="edge"/>
              <c:yMode val="edge"/>
              <c:x val="0.42812822040745702"/>
              <c:y val="0.832203394061995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;0" sourceLinked="0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60875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prstDash val="solid"/>
      <a:round/>
    </a:ln>
    <a:effectLst/>
  </c:spPr>
  <c:txPr>
    <a:bodyPr/>
    <a:lstStyle/>
    <a:p>
      <a:pPr>
        <a:defRPr lang="th-TH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0.14675</cdr:x>
      <cdr:y>0.20688</cdr:y>
    </cdr:from>
    <cdr:to>
      <cdr:x>0.24</cdr:x>
      <cdr:y>0.31475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898222" y="771525"/>
          <a:ext cx="570762" cy="402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miter lim="800000"/>
        </a:ln>
      </cdr:spPr>
      <cdr:txBody>
        <a:bodyPr xmlns:a="http://schemas.openxmlformats.org/drawingml/2006/main" vertOverflow="clip" vert="horz" wrap="square" lIns="36576" tIns="59436" rIns="36576" bIns="0" anchor="t" anchorCtr="0" upright="1">
          <a:norm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GB" sz="1600" b="1" i="0" u="none" strike="noStrike" baseline="0">
              <a:solidFill>
                <a:srgbClr val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Male</a:t>
          </a:r>
        </a:p>
      </cdr:txBody>
    </cdr:sp>
  </cdr:relSizeAnchor>
  <cdr:relSizeAnchor xmlns:cdr="http://schemas.openxmlformats.org/drawingml/2006/chartDrawing">
    <cdr:from>
      <cdr:x>0.73432</cdr:x>
      <cdr:y>0.19922</cdr:y>
    </cdr:from>
    <cdr:to>
      <cdr:x>0.84207</cdr:x>
      <cdr:y>0.31475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4494618" y="742951"/>
          <a:ext cx="659513" cy="4308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miter lim="800000"/>
        </a:ln>
      </cdr:spPr>
      <cdr:txBody>
        <a:bodyPr xmlns:a="http://schemas.openxmlformats.org/drawingml/2006/main" vertOverflow="clip" vert="horz" wrap="square" lIns="36576" tIns="59436" rIns="36576" bIns="0" anchor="t" anchorCtr="0" upright="1">
          <a:norm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GB" sz="1600" b="1" i="0" u="none" strike="noStrike" baseline="0">
              <a:solidFill>
                <a:srgbClr val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Female</a:t>
          </a:r>
        </a:p>
      </cdr:txBody>
    </cdr:sp>
  </cdr:relSizeAnchor>
  <cdr:relSizeAnchor xmlns:cdr="http://schemas.openxmlformats.org/drawingml/2006/chartDrawing">
    <cdr:from>
      <cdr:x>0.01089</cdr:x>
      <cdr:y>0.05313</cdr:y>
    </cdr:from>
    <cdr:to>
      <cdr:x>0.19297</cdr:x>
      <cdr:y>0.1465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59609" y="190500"/>
          <a:ext cx="996651" cy="334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txBody>
        <a:bodyPr xmlns:a="http://schemas.openxmlformats.org/drawingml/2006/main" vertOverflow="clip" vert="horz" wrap="square" lIns="36576" tIns="59436" rIns="36576" bIns="0" anchor="t" anchorCtr="0" upright="1">
          <a:norm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GB" sz="1600" b="1" i="0" u="none" strike="noStrike" baseline="0">
              <a:solidFill>
                <a:srgbClr val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Age</a:t>
          </a:r>
          <a:r>
            <a:rPr lang="en-GB" sz="1600" b="1" i="0" u="none" strike="noStrike" baseline="0">
              <a:solidFill>
                <a:srgbClr val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 </a:t>
          </a:r>
          <a:r>
            <a:rPr lang="en-GB" sz="1600" b="1" i="0" u="none" strike="noStrike" baseline="0">
              <a:solidFill>
                <a:srgbClr val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groups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HRI.dotm</Template>
  <TotalTime>14</TotalTime>
  <Pages>34</Pages>
  <Words>16829</Words>
  <Characters>98624</Characters>
  <Application>Microsoft Office Word</Application>
  <DocSecurity>0</DocSecurity>
  <Lines>8965</Lines>
  <Paragraphs>3848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HRI/CORE/THA/2021</vt:lpstr>
      <vt:lpstr/>
    </vt:vector>
  </TitlesOfParts>
  <Company>DCM</Company>
  <LinksUpToDate>false</LinksUpToDate>
  <CharactersWithSpaces>111605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HRI/CORE/THA/2021</dc:title>
  <dc:subject/>
  <dc:creator>Nicolas MORIN</dc:creator>
  <cp:keywords/>
  <cp:lastModifiedBy>Nicolas Morin</cp:lastModifiedBy>
  <cp:revision>2</cp:revision>
  <cp:lastPrinted>2014-05-14T10:59:00Z</cp:lastPrinted>
  <dcterms:created xsi:type="dcterms:W3CDTF">2022-03-10T14:59:00Z</dcterms:created>
  <dcterms:modified xsi:type="dcterms:W3CDTF">2022-03-10T14:59:00Z</dcterms:modified>
</cp:coreProperties>
</file>