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184C" w14:paraId="773F865D" w14:textId="77777777" w:rsidTr="00A864AC">
        <w:trPr>
          <w:cantSplit/>
          <w:trHeight w:hRule="exact" w:val="851"/>
        </w:trPr>
        <w:tc>
          <w:tcPr>
            <w:tcW w:w="1276" w:type="dxa"/>
            <w:tcBorders>
              <w:bottom w:val="single" w:sz="4" w:space="0" w:color="auto"/>
            </w:tcBorders>
            <w:vAlign w:val="bottom"/>
          </w:tcPr>
          <w:p w14:paraId="1AD441BD" w14:textId="02DCC6CB" w:rsidR="00B56E9C" w:rsidRPr="004C184C" w:rsidRDefault="00B56E9C" w:rsidP="00A864AC">
            <w:pPr>
              <w:spacing w:after="80"/>
              <w:rPr>
                <w:lang w:val="en-US"/>
              </w:rPr>
            </w:pPr>
          </w:p>
        </w:tc>
        <w:tc>
          <w:tcPr>
            <w:tcW w:w="2268" w:type="dxa"/>
            <w:tcBorders>
              <w:bottom w:val="single" w:sz="4" w:space="0" w:color="auto"/>
            </w:tcBorders>
            <w:vAlign w:val="bottom"/>
          </w:tcPr>
          <w:p w14:paraId="5BEAB7E4" w14:textId="77777777" w:rsidR="00B56E9C" w:rsidRPr="004C184C" w:rsidRDefault="00B56E9C" w:rsidP="00A864AC">
            <w:pPr>
              <w:spacing w:after="80" w:line="300" w:lineRule="exact"/>
              <w:rPr>
                <w:b/>
                <w:sz w:val="24"/>
                <w:szCs w:val="24"/>
                <w:lang w:val="en-US"/>
              </w:rPr>
            </w:pPr>
            <w:r w:rsidRPr="004C184C">
              <w:rPr>
                <w:sz w:val="28"/>
                <w:szCs w:val="28"/>
                <w:lang w:val="en-US"/>
              </w:rPr>
              <w:t>United Nations</w:t>
            </w:r>
          </w:p>
        </w:tc>
        <w:tc>
          <w:tcPr>
            <w:tcW w:w="6095" w:type="dxa"/>
            <w:gridSpan w:val="2"/>
            <w:tcBorders>
              <w:bottom w:val="single" w:sz="4" w:space="0" w:color="auto"/>
            </w:tcBorders>
            <w:vAlign w:val="bottom"/>
          </w:tcPr>
          <w:p w14:paraId="569D9A91" w14:textId="77777777" w:rsidR="00B56E9C" w:rsidRPr="004C184C" w:rsidRDefault="00EA422B" w:rsidP="00EA422B">
            <w:pPr>
              <w:suppressAutoHyphens w:val="0"/>
              <w:spacing w:after="20"/>
              <w:jc w:val="right"/>
              <w:rPr>
                <w:lang w:val="en-US"/>
              </w:rPr>
            </w:pPr>
            <w:r w:rsidRPr="004C184C">
              <w:rPr>
                <w:sz w:val="40"/>
                <w:lang w:val="en-US"/>
              </w:rPr>
              <w:t>HRI</w:t>
            </w:r>
            <w:r w:rsidRPr="004C184C">
              <w:rPr>
                <w:lang w:val="en-US"/>
              </w:rPr>
              <w:t>/CORE/THA/2021</w:t>
            </w:r>
          </w:p>
        </w:tc>
      </w:tr>
      <w:tr w:rsidR="00B56E9C" w:rsidRPr="004C184C" w14:paraId="1327F88A" w14:textId="77777777" w:rsidTr="00A864AC">
        <w:trPr>
          <w:cantSplit/>
          <w:trHeight w:hRule="exact" w:val="2835"/>
        </w:trPr>
        <w:tc>
          <w:tcPr>
            <w:tcW w:w="1276" w:type="dxa"/>
            <w:tcBorders>
              <w:top w:val="single" w:sz="4" w:space="0" w:color="auto"/>
              <w:bottom w:val="single" w:sz="12" w:space="0" w:color="auto"/>
            </w:tcBorders>
          </w:tcPr>
          <w:p w14:paraId="5B1287E2" w14:textId="77777777" w:rsidR="00B56E9C" w:rsidRPr="004C184C" w:rsidRDefault="00A2046E" w:rsidP="00A864AC">
            <w:pPr>
              <w:spacing w:before="120"/>
              <w:rPr>
                <w:lang w:val="en-US"/>
              </w:rPr>
            </w:pPr>
            <w:r w:rsidRPr="004C184C">
              <w:rPr>
                <w:noProof/>
                <w:lang w:eastAsia="en-GB"/>
              </w:rPr>
              <w:drawing>
                <wp:inline distT="0" distB="0" distL="0" distR="0" wp14:anchorId="2C83571A" wp14:editId="45B14FDC">
                  <wp:extent cx="713740" cy="593725"/>
                  <wp:effectExtent l="0" t="0" r="0"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0F3CABB" w14:textId="77777777" w:rsidR="00B56E9C" w:rsidRPr="004C184C" w:rsidRDefault="00B56E9C" w:rsidP="00A864AC">
            <w:pPr>
              <w:spacing w:before="120" w:line="380" w:lineRule="exact"/>
              <w:rPr>
                <w:sz w:val="34"/>
                <w:lang w:val="en-US"/>
              </w:rPr>
            </w:pPr>
            <w:r w:rsidRPr="004C184C">
              <w:rPr>
                <w:b/>
                <w:sz w:val="34"/>
                <w:szCs w:val="40"/>
                <w:lang w:val="en-US"/>
              </w:rPr>
              <w:t xml:space="preserve">International </w:t>
            </w:r>
            <w:r w:rsidR="00584DAE" w:rsidRPr="004C184C">
              <w:rPr>
                <w:b/>
                <w:sz w:val="34"/>
                <w:szCs w:val="40"/>
                <w:lang w:val="en-US"/>
              </w:rPr>
              <w:t>Human Rights Instruments</w:t>
            </w:r>
          </w:p>
        </w:tc>
        <w:tc>
          <w:tcPr>
            <w:tcW w:w="2835" w:type="dxa"/>
            <w:tcBorders>
              <w:top w:val="single" w:sz="4" w:space="0" w:color="auto"/>
              <w:bottom w:val="single" w:sz="12" w:space="0" w:color="auto"/>
            </w:tcBorders>
          </w:tcPr>
          <w:p w14:paraId="53B55BC6" w14:textId="77777777" w:rsidR="00B56E9C" w:rsidRPr="004C184C" w:rsidRDefault="00EA422B" w:rsidP="00EA422B">
            <w:pPr>
              <w:suppressAutoHyphens w:val="0"/>
              <w:spacing w:before="240"/>
              <w:rPr>
                <w:lang w:val="en-US"/>
              </w:rPr>
            </w:pPr>
            <w:r w:rsidRPr="004C184C">
              <w:rPr>
                <w:lang w:val="en-US"/>
              </w:rPr>
              <w:t>Distr.: General</w:t>
            </w:r>
          </w:p>
          <w:p w14:paraId="6F8E8DDF" w14:textId="76AD154E" w:rsidR="00EA422B" w:rsidRPr="004C184C" w:rsidRDefault="00FD5A14" w:rsidP="00EA422B">
            <w:pPr>
              <w:suppressAutoHyphens w:val="0"/>
              <w:rPr>
                <w:lang w:val="en-US"/>
              </w:rPr>
            </w:pPr>
            <w:r w:rsidRPr="004C184C">
              <w:rPr>
                <w:lang w:val="en-US"/>
              </w:rPr>
              <w:t xml:space="preserve">7 </w:t>
            </w:r>
            <w:r w:rsidR="00EA422B" w:rsidRPr="004C184C">
              <w:rPr>
                <w:lang w:val="en-US"/>
              </w:rPr>
              <w:t>December 2021</w:t>
            </w:r>
          </w:p>
          <w:p w14:paraId="4AE5A723" w14:textId="77777777" w:rsidR="00EA422B" w:rsidRPr="004C184C" w:rsidRDefault="00EA422B" w:rsidP="00EA422B">
            <w:pPr>
              <w:suppressAutoHyphens w:val="0"/>
              <w:rPr>
                <w:lang w:val="en-US"/>
              </w:rPr>
            </w:pPr>
          </w:p>
          <w:p w14:paraId="6749BEC2" w14:textId="77777777" w:rsidR="00EA422B" w:rsidRPr="004C184C" w:rsidRDefault="00EA422B" w:rsidP="00EA422B">
            <w:pPr>
              <w:suppressAutoHyphens w:val="0"/>
              <w:rPr>
                <w:lang w:val="en-US"/>
              </w:rPr>
            </w:pPr>
            <w:r w:rsidRPr="004C184C">
              <w:rPr>
                <w:lang w:val="en-US"/>
              </w:rPr>
              <w:t>Original: English</w:t>
            </w:r>
          </w:p>
        </w:tc>
      </w:tr>
    </w:tbl>
    <w:p w14:paraId="6AEE19DB" w14:textId="77777777" w:rsidR="00EA422B" w:rsidRPr="004C184C" w:rsidRDefault="00EA422B" w:rsidP="00EA422B">
      <w:pPr>
        <w:pStyle w:val="HMG"/>
        <w:rPr>
          <w:lang w:val="en-US"/>
        </w:rPr>
      </w:pPr>
      <w:r w:rsidRPr="004C184C">
        <w:rPr>
          <w:lang w:val="en-US"/>
        </w:rPr>
        <w:tab/>
      </w:r>
      <w:r w:rsidRPr="004C184C">
        <w:rPr>
          <w:lang w:val="en-US"/>
        </w:rPr>
        <w:tab/>
        <w:t>Common core document forming part of the reports of States parties</w:t>
      </w:r>
    </w:p>
    <w:p w14:paraId="4B62D23B" w14:textId="1E0C0485" w:rsidR="00EA422B" w:rsidRPr="004C184C" w:rsidRDefault="00EA422B" w:rsidP="00EA422B">
      <w:pPr>
        <w:pStyle w:val="HMG"/>
        <w:rPr>
          <w:lang w:val="en-US"/>
        </w:rPr>
      </w:pPr>
      <w:r w:rsidRPr="004C184C">
        <w:rPr>
          <w:lang w:val="en-US"/>
        </w:rPr>
        <w:tab/>
      </w:r>
      <w:r w:rsidRPr="004C184C">
        <w:rPr>
          <w:lang w:val="en-US"/>
        </w:rPr>
        <w:tab/>
        <w:t>Thailand</w:t>
      </w:r>
      <w:r w:rsidRPr="004C184C">
        <w:rPr>
          <w:b w:val="0"/>
          <w:bCs/>
          <w:sz w:val="20"/>
          <w:lang w:val="en-US"/>
        </w:rPr>
        <w:footnoteReference w:customMarkFollows="1" w:id="2"/>
        <w:t>*</w:t>
      </w:r>
    </w:p>
    <w:p w14:paraId="2927FC06" w14:textId="77777777" w:rsidR="00EA422B" w:rsidRPr="004C184C" w:rsidRDefault="00EA422B" w:rsidP="00EA422B">
      <w:pPr>
        <w:pStyle w:val="SingleTxtG"/>
        <w:jc w:val="right"/>
        <w:rPr>
          <w:lang w:val="en-US"/>
        </w:rPr>
      </w:pPr>
      <w:r w:rsidRPr="004C184C">
        <w:rPr>
          <w:lang w:val="en-US"/>
        </w:rPr>
        <w:t>[Date received: 15 November 2021]</w:t>
      </w:r>
    </w:p>
    <w:p w14:paraId="38A10897" w14:textId="77777777" w:rsidR="005D1FE3" w:rsidRPr="004C184C" w:rsidRDefault="005D1FE3">
      <w:pPr>
        <w:suppressAutoHyphens w:val="0"/>
        <w:spacing w:line="240" w:lineRule="auto"/>
        <w:rPr>
          <w:lang w:val="en-US"/>
        </w:rPr>
      </w:pPr>
      <w:r w:rsidRPr="004C184C">
        <w:rPr>
          <w:lang w:val="en-US"/>
        </w:rPr>
        <w:br w:type="page"/>
      </w:r>
    </w:p>
    <w:p w14:paraId="3188D544" w14:textId="50A1C8A1" w:rsidR="005D1FE3" w:rsidRPr="004C184C" w:rsidRDefault="005D1FE3" w:rsidP="005D1FE3">
      <w:pPr>
        <w:spacing w:after="120"/>
        <w:rPr>
          <w:sz w:val="28"/>
          <w:lang w:val="en-US"/>
        </w:rPr>
      </w:pPr>
      <w:r w:rsidRPr="004C184C">
        <w:rPr>
          <w:sz w:val="28"/>
          <w:lang w:val="en-US"/>
        </w:rPr>
        <w:lastRenderedPageBreak/>
        <w:t>Contents</w:t>
      </w:r>
    </w:p>
    <w:p w14:paraId="699AA0D4" w14:textId="2E49C343" w:rsidR="005D1FE3" w:rsidRPr="004C184C" w:rsidRDefault="005D1FE3" w:rsidP="005D1FE3">
      <w:pPr>
        <w:tabs>
          <w:tab w:val="right" w:pos="9638"/>
        </w:tabs>
        <w:spacing w:after="120"/>
        <w:ind w:left="283"/>
        <w:rPr>
          <w:sz w:val="18"/>
          <w:lang w:val="en-US"/>
        </w:rPr>
      </w:pPr>
      <w:r w:rsidRPr="004C184C">
        <w:rPr>
          <w:i/>
          <w:sz w:val="18"/>
          <w:lang w:val="en-US"/>
        </w:rPr>
        <w:tab/>
        <w:t>Page</w:t>
      </w:r>
    </w:p>
    <w:p w14:paraId="5ED4ADC4" w14:textId="4D9BFAB2" w:rsidR="005D1FE3" w:rsidRPr="004C184C" w:rsidRDefault="005D1FE3" w:rsidP="005D1FE3">
      <w:pPr>
        <w:tabs>
          <w:tab w:val="right" w:pos="850"/>
          <w:tab w:val="left" w:pos="1134"/>
          <w:tab w:val="left" w:pos="1559"/>
          <w:tab w:val="left" w:pos="1984"/>
          <w:tab w:val="left" w:leader="dot" w:pos="8787"/>
          <w:tab w:val="right" w:pos="9638"/>
        </w:tabs>
        <w:spacing w:after="120"/>
        <w:rPr>
          <w:lang w:val="en-US"/>
        </w:rPr>
      </w:pPr>
      <w:r w:rsidRPr="004C184C">
        <w:rPr>
          <w:lang w:val="en-US"/>
        </w:rPr>
        <w:tab/>
        <w:t>I.</w:t>
      </w:r>
      <w:r w:rsidRPr="004C184C">
        <w:rPr>
          <w:lang w:val="en-US"/>
        </w:rPr>
        <w:tab/>
        <w:t>General information</w:t>
      </w:r>
      <w:r w:rsidRPr="004C184C">
        <w:rPr>
          <w:lang w:val="en-US"/>
        </w:rPr>
        <w:tab/>
      </w:r>
      <w:r w:rsidRPr="004C184C">
        <w:rPr>
          <w:lang w:val="en-US"/>
        </w:rPr>
        <w:tab/>
        <w:t>3</w:t>
      </w:r>
    </w:p>
    <w:p w14:paraId="73ED5B1F" w14:textId="2B888E78" w:rsidR="00654583" w:rsidRPr="004C184C" w:rsidRDefault="00654583" w:rsidP="005D1FE3">
      <w:pPr>
        <w:tabs>
          <w:tab w:val="right" w:pos="850"/>
          <w:tab w:val="left" w:pos="1134"/>
          <w:tab w:val="left" w:pos="1559"/>
          <w:tab w:val="left" w:pos="1984"/>
          <w:tab w:val="left" w:leader="dot" w:pos="8787"/>
          <w:tab w:val="right" w:pos="9638"/>
        </w:tabs>
        <w:spacing w:after="120"/>
        <w:rPr>
          <w:lang w:val="en-US"/>
        </w:rPr>
      </w:pPr>
      <w:r w:rsidRPr="004C184C">
        <w:rPr>
          <w:lang w:val="en-US"/>
        </w:rPr>
        <w:tab/>
      </w:r>
      <w:r w:rsidRPr="004C184C">
        <w:rPr>
          <w:lang w:val="en-US"/>
        </w:rPr>
        <w:tab/>
        <w:t>A.</w:t>
      </w:r>
      <w:r w:rsidRPr="004C184C">
        <w:rPr>
          <w:lang w:val="en-US"/>
        </w:rPr>
        <w:tab/>
        <w:t>Demographic, economic, social and cultural characteristics</w:t>
      </w:r>
      <w:r w:rsidRPr="004C184C">
        <w:rPr>
          <w:lang w:val="en-US"/>
        </w:rPr>
        <w:tab/>
      </w:r>
      <w:r w:rsidRPr="004C184C">
        <w:rPr>
          <w:lang w:val="en-US"/>
        </w:rPr>
        <w:tab/>
        <w:t>3</w:t>
      </w:r>
    </w:p>
    <w:p w14:paraId="25C003C4" w14:textId="01106920" w:rsidR="00EA422B" w:rsidRPr="004C184C" w:rsidRDefault="00654583" w:rsidP="00654583">
      <w:pPr>
        <w:tabs>
          <w:tab w:val="right" w:pos="850"/>
          <w:tab w:val="left" w:pos="1134"/>
          <w:tab w:val="left" w:pos="1559"/>
          <w:tab w:val="left" w:pos="1984"/>
          <w:tab w:val="left" w:leader="dot" w:pos="8787"/>
          <w:tab w:val="right" w:pos="9638"/>
        </w:tabs>
        <w:spacing w:after="120"/>
        <w:rPr>
          <w:lang w:val="en-US"/>
        </w:rPr>
      </w:pPr>
      <w:r w:rsidRPr="004C184C">
        <w:rPr>
          <w:lang w:val="en-US"/>
        </w:rPr>
        <w:tab/>
      </w:r>
      <w:r w:rsidRPr="004C184C">
        <w:rPr>
          <w:lang w:val="en-US"/>
        </w:rPr>
        <w:tab/>
      </w:r>
      <w:r w:rsidR="00EA422B" w:rsidRPr="004C184C">
        <w:rPr>
          <w:lang w:val="en-US"/>
        </w:rPr>
        <w:t>B.</w:t>
      </w:r>
      <w:r w:rsidR="00EA422B" w:rsidRPr="004C184C">
        <w:rPr>
          <w:lang w:val="en-US"/>
        </w:rPr>
        <w:tab/>
        <w:t>Constitutional, political and legal structure</w:t>
      </w:r>
      <w:r w:rsidR="00EA422B" w:rsidRPr="004C184C">
        <w:rPr>
          <w:lang w:val="en-US"/>
        </w:rPr>
        <w:tab/>
      </w:r>
      <w:r w:rsidR="00EA422B" w:rsidRPr="004C184C">
        <w:rPr>
          <w:lang w:val="en-US"/>
        </w:rPr>
        <w:tab/>
        <w:t>7</w:t>
      </w:r>
    </w:p>
    <w:p w14:paraId="525D43D4" w14:textId="5C51BB77" w:rsidR="00EA422B" w:rsidRPr="004C184C" w:rsidRDefault="00654583" w:rsidP="00654583">
      <w:pPr>
        <w:tabs>
          <w:tab w:val="right" w:pos="850"/>
          <w:tab w:val="left" w:pos="1134"/>
          <w:tab w:val="left" w:pos="1559"/>
          <w:tab w:val="left" w:pos="1984"/>
          <w:tab w:val="left" w:leader="dot" w:pos="8787"/>
          <w:tab w:val="right" w:pos="9638"/>
        </w:tabs>
        <w:spacing w:after="120"/>
        <w:rPr>
          <w:lang w:val="en-US"/>
        </w:rPr>
      </w:pPr>
      <w:r w:rsidRPr="004C184C">
        <w:rPr>
          <w:lang w:val="en-US"/>
        </w:rPr>
        <w:tab/>
      </w:r>
      <w:r w:rsidR="00EA422B" w:rsidRPr="004C184C">
        <w:rPr>
          <w:lang w:val="en-US"/>
        </w:rPr>
        <w:t>II.</w:t>
      </w:r>
      <w:r w:rsidR="00EA422B" w:rsidRPr="004C184C">
        <w:rPr>
          <w:lang w:val="en-US"/>
        </w:rPr>
        <w:tab/>
        <w:t>General framework for the protection and promotion of human rights</w:t>
      </w:r>
      <w:r w:rsidR="00EA422B" w:rsidRPr="004C184C">
        <w:rPr>
          <w:lang w:val="en-US"/>
        </w:rPr>
        <w:tab/>
      </w:r>
      <w:r w:rsidR="00EA422B" w:rsidRPr="004C184C">
        <w:rPr>
          <w:lang w:val="en-US"/>
        </w:rPr>
        <w:tab/>
        <w:t>13</w:t>
      </w:r>
    </w:p>
    <w:p w14:paraId="5EFFFCBF" w14:textId="390833C7" w:rsidR="00EA422B" w:rsidRPr="004C184C" w:rsidRDefault="00654583" w:rsidP="00654583">
      <w:pPr>
        <w:tabs>
          <w:tab w:val="right" w:pos="850"/>
          <w:tab w:val="left" w:pos="1134"/>
          <w:tab w:val="left" w:pos="1559"/>
          <w:tab w:val="left" w:pos="1984"/>
          <w:tab w:val="left" w:leader="dot" w:pos="8787"/>
          <w:tab w:val="right" w:pos="9638"/>
        </w:tabs>
        <w:spacing w:after="120"/>
        <w:rPr>
          <w:lang w:val="en-US"/>
        </w:rPr>
      </w:pPr>
      <w:r w:rsidRPr="004C184C">
        <w:rPr>
          <w:lang w:val="en-US"/>
        </w:rPr>
        <w:tab/>
      </w:r>
      <w:r w:rsidRPr="004C184C">
        <w:rPr>
          <w:lang w:val="en-US"/>
        </w:rPr>
        <w:tab/>
      </w:r>
      <w:r w:rsidR="00EA422B" w:rsidRPr="004C184C">
        <w:rPr>
          <w:lang w:val="en-US"/>
        </w:rPr>
        <w:t>A.</w:t>
      </w:r>
      <w:r w:rsidR="00EA422B" w:rsidRPr="004C184C">
        <w:rPr>
          <w:lang w:val="en-US"/>
        </w:rPr>
        <w:tab/>
        <w:t>Acceptance of international human rights norms</w:t>
      </w:r>
      <w:r w:rsidR="00EA422B" w:rsidRPr="004C184C">
        <w:rPr>
          <w:lang w:val="en-US"/>
        </w:rPr>
        <w:tab/>
      </w:r>
      <w:r w:rsidR="00EA422B" w:rsidRPr="004C184C">
        <w:rPr>
          <w:lang w:val="en-US"/>
        </w:rPr>
        <w:tab/>
        <w:t>13</w:t>
      </w:r>
    </w:p>
    <w:p w14:paraId="1D901856" w14:textId="033E88DF" w:rsidR="00EA422B" w:rsidRPr="004C184C" w:rsidRDefault="00654583" w:rsidP="00654583">
      <w:pPr>
        <w:tabs>
          <w:tab w:val="right" w:pos="850"/>
          <w:tab w:val="left" w:pos="1134"/>
          <w:tab w:val="left" w:pos="1559"/>
          <w:tab w:val="left" w:pos="1984"/>
          <w:tab w:val="left" w:leader="dot" w:pos="8787"/>
          <w:tab w:val="right" w:pos="9638"/>
        </w:tabs>
        <w:spacing w:after="120"/>
        <w:rPr>
          <w:lang w:val="en-US"/>
        </w:rPr>
      </w:pPr>
      <w:r w:rsidRPr="004C184C">
        <w:rPr>
          <w:lang w:val="en-US"/>
        </w:rPr>
        <w:tab/>
      </w:r>
      <w:r w:rsidRPr="004C184C">
        <w:rPr>
          <w:lang w:val="en-US"/>
        </w:rPr>
        <w:tab/>
      </w:r>
      <w:r w:rsidR="00EA422B" w:rsidRPr="004C184C">
        <w:rPr>
          <w:lang w:val="en-US"/>
        </w:rPr>
        <w:t>B.</w:t>
      </w:r>
      <w:r w:rsidR="00EA422B" w:rsidRPr="004C184C">
        <w:rPr>
          <w:lang w:val="en-US"/>
        </w:rPr>
        <w:tab/>
        <w:t>Legal framework for the protection of human rights at the national level</w:t>
      </w:r>
      <w:r w:rsidR="00EA422B" w:rsidRPr="004C184C">
        <w:rPr>
          <w:lang w:val="en-US"/>
        </w:rPr>
        <w:tab/>
      </w:r>
      <w:r w:rsidR="00EA422B" w:rsidRPr="004C184C">
        <w:rPr>
          <w:lang w:val="en-US"/>
        </w:rPr>
        <w:tab/>
        <w:t>1</w:t>
      </w:r>
      <w:r w:rsidR="00E010DC">
        <w:rPr>
          <w:lang w:val="en-US"/>
        </w:rPr>
        <w:t>6</w:t>
      </w:r>
    </w:p>
    <w:p w14:paraId="3C0252C4" w14:textId="006E0240" w:rsidR="00EA422B" w:rsidRPr="004C184C" w:rsidRDefault="00654583" w:rsidP="00654583">
      <w:pPr>
        <w:tabs>
          <w:tab w:val="right" w:pos="850"/>
          <w:tab w:val="left" w:pos="1134"/>
          <w:tab w:val="left" w:pos="1559"/>
          <w:tab w:val="left" w:pos="1984"/>
          <w:tab w:val="left" w:leader="dot" w:pos="8787"/>
          <w:tab w:val="right" w:pos="9638"/>
        </w:tabs>
        <w:spacing w:after="120"/>
        <w:rPr>
          <w:lang w:val="en-US"/>
        </w:rPr>
      </w:pPr>
      <w:r w:rsidRPr="004C184C">
        <w:rPr>
          <w:lang w:val="en-US"/>
        </w:rPr>
        <w:tab/>
      </w:r>
      <w:r w:rsidRPr="004C184C">
        <w:rPr>
          <w:lang w:val="en-US"/>
        </w:rPr>
        <w:tab/>
      </w:r>
      <w:r w:rsidR="00EA422B" w:rsidRPr="004C184C">
        <w:rPr>
          <w:lang w:val="en-US"/>
        </w:rPr>
        <w:t>C.</w:t>
      </w:r>
      <w:r w:rsidR="00EA422B" w:rsidRPr="004C184C">
        <w:rPr>
          <w:lang w:val="en-US"/>
        </w:rPr>
        <w:tab/>
        <w:t>Framework within which human rights are promoted at the national level</w:t>
      </w:r>
      <w:r w:rsidR="00EA422B" w:rsidRPr="004C184C">
        <w:rPr>
          <w:lang w:val="en-US"/>
        </w:rPr>
        <w:tab/>
      </w:r>
      <w:r w:rsidR="00EA422B" w:rsidRPr="004C184C">
        <w:rPr>
          <w:lang w:val="en-US"/>
        </w:rPr>
        <w:tab/>
        <w:t>2</w:t>
      </w:r>
      <w:r w:rsidR="00E010DC">
        <w:rPr>
          <w:lang w:val="en-US"/>
        </w:rPr>
        <w:t>4</w:t>
      </w:r>
    </w:p>
    <w:p w14:paraId="402DF388" w14:textId="51F9EA0E" w:rsidR="00EA422B" w:rsidRPr="004C184C" w:rsidRDefault="00654583" w:rsidP="00654583">
      <w:pPr>
        <w:tabs>
          <w:tab w:val="right" w:pos="850"/>
          <w:tab w:val="left" w:pos="1134"/>
          <w:tab w:val="left" w:pos="1559"/>
          <w:tab w:val="left" w:pos="1984"/>
          <w:tab w:val="left" w:leader="dot" w:pos="8787"/>
          <w:tab w:val="right" w:pos="9638"/>
        </w:tabs>
        <w:spacing w:after="120"/>
        <w:rPr>
          <w:lang w:val="en-US"/>
        </w:rPr>
      </w:pPr>
      <w:r w:rsidRPr="004C184C">
        <w:rPr>
          <w:lang w:val="en-US"/>
        </w:rPr>
        <w:tab/>
      </w:r>
      <w:r w:rsidRPr="004C184C">
        <w:rPr>
          <w:lang w:val="en-US"/>
        </w:rPr>
        <w:tab/>
      </w:r>
      <w:r w:rsidR="00EA422B" w:rsidRPr="004C184C">
        <w:rPr>
          <w:lang w:val="en-US"/>
        </w:rPr>
        <w:t>D.</w:t>
      </w:r>
      <w:r w:rsidR="00EA422B" w:rsidRPr="004C184C">
        <w:rPr>
          <w:lang w:val="en-US"/>
        </w:rPr>
        <w:tab/>
        <w:t>Reporting process to the United Nations at the national level</w:t>
      </w:r>
      <w:r w:rsidR="00EA422B" w:rsidRPr="004C184C">
        <w:rPr>
          <w:lang w:val="en-US"/>
        </w:rPr>
        <w:tab/>
      </w:r>
      <w:r w:rsidR="00EA422B" w:rsidRPr="004C184C">
        <w:rPr>
          <w:lang w:val="en-US"/>
        </w:rPr>
        <w:tab/>
        <w:t>29</w:t>
      </w:r>
    </w:p>
    <w:p w14:paraId="3DE48970" w14:textId="7B950542" w:rsidR="00EA422B" w:rsidRPr="004C184C" w:rsidRDefault="00F82EDF" w:rsidP="00F82EDF">
      <w:pPr>
        <w:tabs>
          <w:tab w:val="right" w:pos="850"/>
          <w:tab w:val="left" w:pos="1134"/>
          <w:tab w:val="left" w:pos="1559"/>
          <w:tab w:val="left" w:pos="1984"/>
          <w:tab w:val="left" w:leader="dot" w:pos="8787"/>
          <w:tab w:val="right" w:pos="9638"/>
        </w:tabs>
        <w:spacing w:after="120"/>
        <w:rPr>
          <w:lang w:val="en-US"/>
        </w:rPr>
      </w:pPr>
      <w:r w:rsidRPr="004C184C">
        <w:rPr>
          <w:lang w:val="en-US"/>
        </w:rPr>
        <w:tab/>
      </w:r>
      <w:r w:rsidR="00EA422B" w:rsidRPr="004C184C">
        <w:rPr>
          <w:lang w:val="en-US"/>
        </w:rPr>
        <w:t>III.</w:t>
      </w:r>
      <w:r w:rsidR="00EA422B" w:rsidRPr="004C184C">
        <w:rPr>
          <w:lang w:val="en-US"/>
        </w:rPr>
        <w:tab/>
        <w:t>Implementation of substantive human rights provisions</w:t>
      </w:r>
      <w:r w:rsidR="00EA422B" w:rsidRPr="004C184C">
        <w:rPr>
          <w:lang w:val="en-US"/>
        </w:rPr>
        <w:tab/>
      </w:r>
      <w:r w:rsidR="00EA422B" w:rsidRPr="004C184C">
        <w:rPr>
          <w:lang w:val="en-US"/>
        </w:rPr>
        <w:tab/>
        <w:t>30</w:t>
      </w:r>
    </w:p>
    <w:p w14:paraId="03797026" w14:textId="296CA78B" w:rsidR="00EA422B" w:rsidRPr="004C184C" w:rsidRDefault="00F82EDF" w:rsidP="00F82EDF">
      <w:pPr>
        <w:tabs>
          <w:tab w:val="right" w:pos="850"/>
          <w:tab w:val="left" w:pos="1134"/>
          <w:tab w:val="left" w:pos="1559"/>
          <w:tab w:val="left" w:pos="1984"/>
          <w:tab w:val="left" w:leader="dot" w:pos="8787"/>
          <w:tab w:val="right" w:pos="9638"/>
        </w:tabs>
        <w:spacing w:after="120"/>
        <w:rPr>
          <w:lang w:val="en-US"/>
        </w:rPr>
      </w:pPr>
      <w:r w:rsidRPr="004C184C">
        <w:rPr>
          <w:lang w:val="en-US"/>
        </w:rPr>
        <w:tab/>
      </w:r>
      <w:r w:rsidRPr="004C184C">
        <w:rPr>
          <w:lang w:val="en-US"/>
        </w:rPr>
        <w:tab/>
      </w:r>
      <w:r w:rsidR="00EA422B" w:rsidRPr="004C184C">
        <w:rPr>
          <w:lang w:val="en-US"/>
        </w:rPr>
        <w:t>A.</w:t>
      </w:r>
      <w:r w:rsidR="00EA422B" w:rsidRPr="004C184C">
        <w:rPr>
          <w:lang w:val="en-US"/>
        </w:rPr>
        <w:tab/>
        <w:t>Non</w:t>
      </w:r>
      <w:r w:rsidRPr="004C184C">
        <w:rPr>
          <w:lang w:val="en-US"/>
        </w:rPr>
        <w:t>-</w:t>
      </w:r>
      <w:r w:rsidR="00EA422B" w:rsidRPr="004C184C">
        <w:rPr>
          <w:lang w:val="en-US"/>
        </w:rPr>
        <w:t>discrimination and equality</w:t>
      </w:r>
      <w:r w:rsidR="00EA422B" w:rsidRPr="004C184C">
        <w:rPr>
          <w:lang w:val="en-US"/>
        </w:rPr>
        <w:tab/>
      </w:r>
      <w:r w:rsidR="00EA422B" w:rsidRPr="004C184C">
        <w:rPr>
          <w:lang w:val="en-US"/>
        </w:rPr>
        <w:tab/>
        <w:t>30</w:t>
      </w:r>
    </w:p>
    <w:p w14:paraId="64D008D7" w14:textId="7A667655" w:rsidR="00EA422B" w:rsidRPr="004C184C" w:rsidRDefault="00F82EDF" w:rsidP="00F82EDF">
      <w:pPr>
        <w:tabs>
          <w:tab w:val="right" w:pos="850"/>
          <w:tab w:val="left" w:pos="1134"/>
          <w:tab w:val="left" w:pos="1559"/>
          <w:tab w:val="left" w:pos="1984"/>
          <w:tab w:val="left" w:leader="dot" w:pos="8787"/>
          <w:tab w:val="right" w:pos="9638"/>
        </w:tabs>
        <w:spacing w:after="120"/>
        <w:rPr>
          <w:lang w:val="en-US"/>
        </w:rPr>
      </w:pPr>
      <w:r w:rsidRPr="004C184C">
        <w:rPr>
          <w:lang w:val="en-US"/>
        </w:rPr>
        <w:tab/>
      </w:r>
      <w:r w:rsidRPr="004C184C">
        <w:rPr>
          <w:lang w:val="en-US"/>
        </w:rPr>
        <w:tab/>
      </w:r>
      <w:r w:rsidR="00EA422B" w:rsidRPr="004C184C">
        <w:rPr>
          <w:lang w:val="en-US"/>
        </w:rPr>
        <w:t>B.</w:t>
      </w:r>
      <w:r w:rsidR="00EA422B" w:rsidRPr="004C184C">
        <w:rPr>
          <w:lang w:val="en-US"/>
        </w:rPr>
        <w:tab/>
        <w:t>Effective remedies</w:t>
      </w:r>
      <w:r w:rsidR="00EA422B" w:rsidRPr="004C184C">
        <w:rPr>
          <w:lang w:val="en-US"/>
        </w:rPr>
        <w:tab/>
      </w:r>
      <w:r w:rsidR="00EA422B" w:rsidRPr="004C184C">
        <w:rPr>
          <w:lang w:val="en-US"/>
        </w:rPr>
        <w:tab/>
        <w:t>31</w:t>
      </w:r>
    </w:p>
    <w:p w14:paraId="1BF0124C" w14:textId="367E336A" w:rsidR="00EA422B" w:rsidRPr="004C184C" w:rsidRDefault="00F82EDF" w:rsidP="00F82EDF">
      <w:pPr>
        <w:tabs>
          <w:tab w:val="right" w:pos="850"/>
          <w:tab w:val="left" w:pos="1134"/>
          <w:tab w:val="left" w:pos="1559"/>
          <w:tab w:val="left" w:pos="1984"/>
          <w:tab w:val="left" w:leader="dot" w:pos="8787"/>
          <w:tab w:val="right" w:pos="9638"/>
        </w:tabs>
        <w:spacing w:after="120"/>
        <w:rPr>
          <w:lang w:val="en-US"/>
        </w:rPr>
      </w:pPr>
      <w:r w:rsidRPr="004C184C">
        <w:rPr>
          <w:lang w:val="en-US"/>
        </w:rPr>
        <w:tab/>
      </w:r>
      <w:r w:rsidRPr="004C184C">
        <w:rPr>
          <w:lang w:val="en-US"/>
        </w:rPr>
        <w:tab/>
      </w:r>
      <w:r w:rsidR="00EA422B" w:rsidRPr="004C184C">
        <w:rPr>
          <w:lang w:val="en-US"/>
        </w:rPr>
        <w:t>C.</w:t>
      </w:r>
      <w:r w:rsidR="00EA422B" w:rsidRPr="004C184C">
        <w:rPr>
          <w:lang w:val="en-US"/>
        </w:rPr>
        <w:tab/>
        <w:t>Procedural guarantees</w:t>
      </w:r>
      <w:r w:rsidR="00EA422B" w:rsidRPr="004C184C">
        <w:rPr>
          <w:lang w:val="en-US"/>
        </w:rPr>
        <w:tab/>
      </w:r>
      <w:r w:rsidR="00EA422B" w:rsidRPr="004C184C">
        <w:rPr>
          <w:lang w:val="en-US"/>
        </w:rPr>
        <w:tab/>
        <w:t>31</w:t>
      </w:r>
    </w:p>
    <w:p w14:paraId="63FAC08E" w14:textId="3BB9BB29" w:rsidR="00EA422B" w:rsidRPr="004C184C" w:rsidRDefault="00F82EDF" w:rsidP="00F82EDF">
      <w:pPr>
        <w:tabs>
          <w:tab w:val="right" w:pos="850"/>
          <w:tab w:val="left" w:pos="1134"/>
          <w:tab w:val="left" w:pos="1559"/>
          <w:tab w:val="left" w:pos="1984"/>
          <w:tab w:val="left" w:leader="dot" w:pos="8787"/>
          <w:tab w:val="right" w:pos="9638"/>
        </w:tabs>
        <w:spacing w:after="120"/>
        <w:rPr>
          <w:lang w:val="en-US"/>
        </w:rPr>
      </w:pPr>
      <w:r w:rsidRPr="004C184C">
        <w:rPr>
          <w:lang w:val="en-US"/>
        </w:rPr>
        <w:tab/>
      </w:r>
      <w:r w:rsidRPr="004C184C">
        <w:rPr>
          <w:lang w:val="en-US"/>
        </w:rPr>
        <w:tab/>
      </w:r>
      <w:r w:rsidR="00EA422B" w:rsidRPr="004C184C">
        <w:rPr>
          <w:lang w:val="en-US"/>
        </w:rPr>
        <w:t>D.</w:t>
      </w:r>
      <w:r w:rsidR="00EA422B" w:rsidRPr="004C184C">
        <w:rPr>
          <w:lang w:val="en-US"/>
        </w:rPr>
        <w:tab/>
        <w:t>Participation in public life</w:t>
      </w:r>
      <w:r w:rsidR="00EA422B" w:rsidRPr="004C184C">
        <w:rPr>
          <w:lang w:val="en-US"/>
        </w:rPr>
        <w:tab/>
      </w:r>
      <w:r w:rsidR="00EA422B" w:rsidRPr="004C184C">
        <w:rPr>
          <w:lang w:val="en-US"/>
        </w:rPr>
        <w:tab/>
        <w:t>31</w:t>
      </w:r>
    </w:p>
    <w:p w14:paraId="48E2F6C8" w14:textId="77777777" w:rsidR="00F82EDF" w:rsidRPr="004C184C" w:rsidRDefault="00F82EDF">
      <w:pPr>
        <w:suppressAutoHyphens w:val="0"/>
        <w:spacing w:line="240" w:lineRule="auto"/>
        <w:rPr>
          <w:lang w:val="en-US"/>
        </w:rPr>
      </w:pPr>
      <w:r w:rsidRPr="004C184C">
        <w:rPr>
          <w:lang w:val="en-US"/>
        </w:rPr>
        <w:br w:type="page"/>
      </w:r>
    </w:p>
    <w:p w14:paraId="25B9E459" w14:textId="10A186BF" w:rsidR="00EA422B" w:rsidRPr="004C184C" w:rsidRDefault="00F82EDF" w:rsidP="00F82EDF">
      <w:pPr>
        <w:pStyle w:val="HChG"/>
        <w:rPr>
          <w:lang w:val="en-US"/>
        </w:rPr>
      </w:pPr>
      <w:r w:rsidRPr="004C184C">
        <w:rPr>
          <w:lang w:val="en-US"/>
        </w:rPr>
        <w:lastRenderedPageBreak/>
        <w:tab/>
      </w:r>
      <w:bookmarkStart w:id="0" w:name="_Toc89701532"/>
      <w:r w:rsidR="00EA422B" w:rsidRPr="004C184C">
        <w:rPr>
          <w:lang w:val="en-US"/>
        </w:rPr>
        <w:t>I.</w:t>
      </w:r>
      <w:r w:rsidR="00EA422B" w:rsidRPr="004C184C">
        <w:rPr>
          <w:lang w:val="en-US"/>
        </w:rPr>
        <w:tab/>
      </w:r>
      <w:r w:rsidR="00EA422B" w:rsidRPr="004C184C">
        <w:rPr>
          <w:lang w:val="en-US"/>
        </w:rPr>
        <w:tab/>
        <w:t>General information</w:t>
      </w:r>
      <w:bookmarkEnd w:id="0"/>
    </w:p>
    <w:p w14:paraId="6779FF39" w14:textId="64C4AC2E" w:rsidR="00EA422B" w:rsidRPr="004C184C" w:rsidRDefault="00EA422B" w:rsidP="00092ADA">
      <w:pPr>
        <w:pStyle w:val="SingleTxtG"/>
        <w:rPr>
          <w:lang w:val="en-US"/>
        </w:rPr>
      </w:pPr>
      <w:r w:rsidRPr="004C184C">
        <w:rPr>
          <w:lang w:val="en-US"/>
        </w:rPr>
        <w:t>1.</w:t>
      </w:r>
      <w:r w:rsidRPr="004C184C">
        <w:rPr>
          <w:lang w:val="en-US"/>
        </w:rPr>
        <w:tab/>
        <w:t>The present document has been updated from the previous common core document forming part of the reports of Thailand</w:t>
      </w:r>
      <w:r w:rsidRPr="004C184C">
        <w:rPr>
          <w:cs/>
          <w:lang w:val="en-US"/>
        </w:rPr>
        <w:t xml:space="preserve"> </w:t>
      </w:r>
      <w:r w:rsidRPr="004C184C">
        <w:rPr>
          <w:lang w:val="en-US"/>
        </w:rPr>
        <w:t>(</w:t>
      </w:r>
      <w:r w:rsidRPr="004C184C">
        <w:rPr>
          <w:rStyle w:val="Hyperlink"/>
          <w:rFonts w:eastAsia="SimSun"/>
          <w:color w:val="auto"/>
          <w:lang w:val="en-US"/>
        </w:rPr>
        <w:t>HRI/CORE/THA/2012</w:t>
      </w:r>
      <w:r w:rsidRPr="004C184C">
        <w:rPr>
          <w:lang w:val="en-US"/>
        </w:rPr>
        <w:t>)</w:t>
      </w:r>
      <w:r w:rsidRPr="004C184C">
        <w:rPr>
          <w:cs/>
          <w:lang w:val="en-US"/>
        </w:rPr>
        <w:t xml:space="preserve">. </w:t>
      </w:r>
      <w:r w:rsidRPr="004C184C">
        <w:rPr>
          <w:lang w:val="en-US"/>
        </w:rPr>
        <w:t>It was prepared in line with the harmonized guidelines on reporting under the international human rights treaties, including guidelines on a core document and treaty</w:t>
      </w:r>
      <w:r w:rsidR="00D97E73" w:rsidRPr="004C184C">
        <w:rPr>
          <w:lang w:val="en-US"/>
        </w:rPr>
        <w:t>-</w:t>
      </w:r>
      <w:r w:rsidRPr="004C184C">
        <w:rPr>
          <w:lang w:val="en-US"/>
        </w:rPr>
        <w:t>specific documents</w:t>
      </w:r>
      <w:r w:rsidRPr="004C184C">
        <w:rPr>
          <w:cs/>
          <w:lang w:val="en-US"/>
        </w:rPr>
        <w:t xml:space="preserve"> </w:t>
      </w:r>
      <w:r w:rsidRPr="004C184C">
        <w:rPr>
          <w:lang w:val="en-US"/>
        </w:rPr>
        <w:t>(HRI</w:t>
      </w:r>
      <w:r w:rsidRPr="004C184C">
        <w:rPr>
          <w:cs/>
          <w:lang w:val="en-US"/>
        </w:rPr>
        <w:t>/</w:t>
      </w:r>
      <w:r w:rsidRPr="004C184C">
        <w:rPr>
          <w:lang w:val="en-US"/>
        </w:rPr>
        <w:t>GEN</w:t>
      </w:r>
      <w:r w:rsidRPr="004C184C">
        <w:rPr>
          <w:cs/>
          <w:lang w:val="en-US"/>
        </w:rPr>
        <w:t>/</w:t>
      </w:r>
      <w:r w:rsidRPr="004C184C">
        <w:rPr>
          <w:lang w:val="en-US"/>
        </w:rPr>
        <w:t>2</w:t>
      </w:r>
      <w:r w:rsidRPr="004C184C">
        <w:rPr>
          <w:cs/>
          <w:lang w:val="en-US"/>
        </w:rPr>
        <w:t>/</w:t>
      </w:r>
      <w:r w:rsidRPr="004C184C">
        <w:rPr>
          <w:lang w:val="en-US"/>
        </w:rPr>
        <w:t>Rev</w:t>
      </w:r>
      <w:r w:rsidRPr="004C184C">
        <w:rPr>
          <w:cs/>
          <w:lang w:val="en-US"/>
        </w:rPr>
        <w:t>.</w:t>
      </w:r>
      <w:r w:rsidRPr="004C184C">
        <w:rPr>
          <w:lang w:val="en-US"/>
        </w:rPr>
        <w:t>6)</w:t>
      </w:r>
      <w:r w:rsidRPr="004C184C">
        <w:rPr>
          <w:cs/>
          <w:lang w:val="en-US"/>
        </w:rPr>
        <w:t>.</w:t>
      </w:r>
    </w:p>
    <w:p w14:paraId="4E412631" w14:textId="766AF331" w:rsidR="00EA422B" w:rsidRPr="004C184C" w:rsidRDefault="00EA422B" w:rsidP="00F82EDF">
      <w:pPr>
        <w:pStyle w:val="SingleTxtG"/>
        <w:rPr>
          <w:lang w:val="en-US"/>
        </w:rPr>
      </w:pPr>
      <w:r w:rsidRPr="004C184C">
        <w:rPr>
          <w:lang w:val="en-US"/>
        </w:rPr>
        <w:t>2.</w:t>
      </w:r>
      <w:r w:rsidRPr="004C184C">
        <w:rPr>
          <w:lang w:val="en-US"/>
        </w:rPr>
        <w:tab/>
        <w:t>The Working Group on Thailand</w:t>
      </w:r>
      <w:r w:rsidR="00567EA4" w:rsidRPr="004C184C">
        <w:rPr>
          <w:lang w:val="en-US"/>
        </w:rPr>
        <w:t>’</w:t>
      </w:r>
      <w:r w:rsidRPr="004C184C">
        <w:rPr>
          <w:lang w:val="en-US"/>
        </w:rPr>
        <w:t>s Common Core Document, established by the Ministry of Justice and comprising all relevant government agencies, the National Human Rights Commission of Thailand and human rights experts, held a series of meetings since March 2019. The present document</w:t>
      </w:r>
      <w:r w:rsidRPr="004C184C">
        <w:rPr>
          <w:cs/>
          <w:lang w:val="en-US"/>
        </w:rPr>
        <w:t xml:space="preserve"> </w:t>
      </w:r>
      <w:r w:rsidRPr="004C184C">
        <w:rPr>
          <w:lang w:val="en-US"/>
        </w:rPr>
        <w:t>was finalized in July 2020.</w:t>
      </w:r>
    </w:p>
    <w:p w14:paraId="346302A3" w14:textId="77777777" w:rsidR="00EA422B" w:rsidRPr="004C184C" w:rsidRDefault="00EA422B" w:rsidP="00F82EDF">
      <w:pPr>
        <w:pStyle w:val="H1G"/>
        <w:rPr>
          <w:lang w:val="en-US"/>
        </w:rPr>
      </w:pPr>
      <w:r w:rsidRPr="004C184C">
        <w:rPr>
          <w:lang w:val="en-US"/>
        </w:rPr>
        <w:tab/>
      </w:r>
      <w:bookmarkStart w:id="1" w:name="_Toc89701533"/>
      <w:r w:rsidRPr="004C184C">
        <w:rPr>
          <w:lang w:val="en-US"/>
        </w:rPr>
        <w:t>A.</w:t>
      </w:r>
      <w:r w:rsidRPr="004C184C">
        <w:rPr>
          <w:lang w:val="en-US"/>
        </w:rPr>
        <w:tab/>
        <w:t>Demographic, economic, social and cultural characteristics</w:t>
      </w:r>
      <w:bookmarkEnd w:id="1"/>
    </w:p>
    <w:p w14:paraId="55690313" w14:textId="77777777" w:rsidR="00EA422B" w:rsidRPr="004C184C" w:rsidRDefault="00EA422B" w:rsidP="00F82EDF">
      <w:pPr>
        <w:pStyle w:val="H23G"/>
        <w:rPr>
          <w:lang w:val="en-US"/>
        </w:rPr>
      </w:pPr>
      <w:r w:rsidRPr="004C184C">
        <w:rPr>
          <w:lang w:val="en-US"/>
        </w:rPr>
        <w:tab/>
      </w:r>
      <w:r w:rsidRPr="004C184C">
        <w:rPr>
          <w:lang w:val="en-US"/>
        </w:rPr>
        <w:tab/>
        <w:t>Geography</w:t>
      </w:r>
    </w:p>
    <w:p w14:paraId="38A7E444" w14:textId="00866F0B" w:rsidR="00EA422B" w:rsidRPr="004C184C" w:rsidRDefault="00EA422B" w:rsidP="00F82EDF">
      <w:pPr>
        <w:pStyle w:val="SingleTxtG"/>
        <w:rPr>
          <w:lang w:val="en-US"/>
        </w:rPr>
      </w:pPr>
      <w:r w:rsidRPr="004C184C">
        <w:rPr>
          <w:lang w:val="en-US"/>
        </w:rPr>
        <w:t>3.</w:t>
      </w:r>
      <w:r w:rsidRPr="004C184C">
        <w:rPr>
          <w:lang w:val="en-US"/>
        </w:rPr>
        <w:tab/>
        <w:t>Thailand</w:t>
      </w:r>
      <w:r w:rsidRPr="004C184C">
        <w:rPr>
          <w:cs/>
          <w:lang w:val="en-US"/>
        </w:rPr>
        <w:t xml:space="preserve"> </w:t>
      </w:r>
      <w:r w:rsidRPr="004C184C">
        <w:rPr>
          <w:lang w:val="en-US"/>
        </w:rPr>
        <w:t>is situated on the mainland of Southeast Asia covering a territory of 513,120 square kilometers</w:t>
      </w:r>
      <w:r w:rsidRPr="004C184C">
        <w:rPr>
          <w:cs/>
          <w:lang w:val="en-US"/>
        </w:rPr>
        <w:t xml:space="preserve">. </w:t>
      </w:r>
      <w:r w:rsidRPr="004C184C">
        <w:rPr>
          <w:lang w:val="en-US"/>
        </w:rPr>
        <w:t>It shares borders with the Lao People</w:t>
      </w:r>
      <w:r w:rsidR="00567EA4" w:rsidRPr="004C184C">
        <w:rPr>
          <w:lang w:val="en-US"/>
        </w:rPr>
        <w:t>’</w:t>
      </w:r>
      <w:r w:rsidRPr="004C184C">
        <w:rPr>
          <w:lang w:val="en-US"/>
        </w:rPr>
        <w:t xml:space="preserve">s Democratic Republic </w:t>
      </w:r>
      <w:r w:rsidRPr="004C184C">
        <w:rPr>
          <w:cs/>
          <w:lang w:val="en-US"/>
        </w:rPr>
        <w:t>(</w:t>
      </w:r>
      <w:r w:rsidRPr="004C184C">
        <w:rPr>
          <w:lang w:val="en-US"/>
        </w:rPr>
        <w:t>Lao PDR</w:t>
      </w:r>
      <w:r w:rsidRPr="004C184C">
        <w:rPr>
          <w:cs/>
          <w:lang w:val="en-US"/>
        </w:rPr>
        <w:t xml:space="preserve">) </w:t>
      </w:r>
      <w:r w:rsidRPr="004C184C">
        <w:rPr>
          <w:lang w:val="en-US"/>
        </w:rPr>
        <w:t>and Myanmar to the North; the Lao PDR, Cambodia and the Gulf of Thailand to the East; Myanmar and the Indian Ocean to the West; and Malaysia to the South</w:t>
      </w:r>
      <w:r w:rsidRPr="004C184C">
        <w:rPr>
          <w:cs/>
          <w:lang w:val="en-US"/>
        </w:rPr>
        <w:t xml:space="preserve">. </w:t>
      </w:r>
    </w:p>
    <w:p w14:paraId="1BECE1EB" w14:textId="00009844" w:rsidR="00EA422B" w:rsidRPr="004C184C" w:rsidRDefault="00EA422B" w:rsidP="00F82EDF">
      <w:pPr>
        <w:pStyle w:val="SingleTxtG"/>
        <w:rPr>
          <w:lang w:val="en-US"/>
        </w:rPr>
      </w:pPr>
      <w:r w:rsidRPr="004C184C">
        <w:rPr>
          <w:lang w:val="en-US"/>
        </w:rPr>
        <w:t>4.</w:t>
      </w:r>
      <w:r w:rsidRPr="004C184C">
        <w:rPr>
          <w:lang w:val="en-US"/>
        </w:rPr>
        <w:tab/>
        <w:t>Thailand is divided into four main geographical regions. Each region has, to a certain extent, specific natural features</w:t>
      </w:r>
      <w:r w:rsidRPr="004C184C">
        <w:rPr>
          <w:cs/>
          <w:lang w:val="en-US"/>
        </w:rPr>
        <w:t xml:space="preserve">: </w:t>
      </w:r>
      <w:r w:rsidRPr="004C184C">
        <w:rPr>
          <w:lang w:val="en-US"/>
        </w:rPr>
        <w:t>high mountains in the North; highland plateau in the Northeast; and lowland area in the Central plains, which joins with the South with its long mountain range and narrow plain stretching into the sea</w:t>
      </w:r>
      <w:r w:rsidRPr="004C184C">
        <w:rPr>
          <w:cs/>
          <w:lang w:val="en-US"/>
        </w:rPr>
        <w:t xml:space="preserve">. </w:t>
      </w:r>
      <w:r w:rsidRPr="004C184C">
        <w:rPr>
          <w:lang w:val="en-US"/>
        </w:rPr>
        <w:t>Bangkok is the capital city</w:t>
      </w:r>
      <w:r w:rsidRPr="004C184C">
        <w:rPr>
          <w:cs/>
          <w:lang w:val="en-US"/>
        </w:rPr>
        <w:t xml:space="preserve">. </w:t>
      </w:r>
    </w:p>
    <w:p w14:paraId="69A3A659" w14:textId="77777777" w:rsidR="00EA422B" w:rsidRPr="004C184C" w:rsidRDefault="00EA422B" w:rsidP="00F82EDF">
      <w:pPr>
        <w:pStyle w:val="H23G"/>
        <w:rPr>
          <w:lang w:val="en-US"/>
        </w:rPr>
      </w:pPr>
      <w:r w:rsidRPr="004C184C">
        <w:rPr>
          <w:lang w:val="en-US"/>
        </w:rPr>
        <w:tab/>
      </w:r>
      <w:r w:rsidRPr="004C184C">
        <w:rPr>
          <w:lang w:val="en-US"/>
        </w:rPr>
        <w:tab/>
        <w:t>Population</w:t>
      </w:r>
    </w:p>
    <w:p w14:paraId="46318417" w14:textId="4C8BB96F" w:rsidR="00EA422B" w:rsidRPr="004C184C" w:rsidRDefault="00EA422B" w:rsidP="00F82EDF">
      <w:pPr>
        <w:pStyle w:val="SingleTxtG"/>
        <w:rPr>
          <w:lang w:val="en-US"/>
        </w:rPr>
      </w:pPr>
      <w:r w:rsidRPr="004C184C">
        <w:rPr>
          <w:lang w:val="en-US"/>
        </w:rPr>
        <w:t>5.</w:t>
      </w:r>
      <w:r w:rsidRPr="004C184C">
        <w:rPr>
          <w:lang w:val="en-US"/>
        </w:rPr>
        <w:tab/>
        <w:t>As of 31 December 2018, the population of Thailand was approximately 66</w:t>
      </w:r>
      <w:r w:rsidRPr="004C184C">
        <w:rPr>
          <w:cs/>
          <w:lang w:val="en-US"/>
        </w:rPr>
        <w:t>.</w:t>
      </w:r>
      <w:r w:rsidRPr="004C184C">
        <w:rPr>
          <w:lang w:val="en-US"/>
        </w:rPr>
        <w:t>41 million, of which 98</w:t>
      </w:r>
      <w:r w:rsidRPr="004C184C">
        <w:rPr>
          <w:cs/>
          <w:lang w:val="en-US"/>
        </w:rPr>
        <w:t>.</w:t>
      </w:r>
      <w:r w:rsidRPr="004C184C">
        <w:rPr>
          <w:lang w:val="en-US"/>
        </w:rPr>
        <w:t>62</w:t>
      </w:r>
      <w:r w:rsidRPr="004C184C">
        <w:rPr>
          <w:cs/>
          <w:lang w:val="en-US"/>
        </w:rPr>
        <w:t xml:space="preserve">% </w:t>
      </w:r>
      <w:r w:rsidRPr="004C184C">
        <w:rPr>
          <w:lang w:val="en-US"/>
        </w:rPr>
        <w:t>were Thai nationals, while the rest were, among others, Burmese, Cambodian, and Laotian</w:t>
      </w:r>
      <w:r w:rsidRPr="004C184C">
        <w:rPr>
          <w:cs/>
          <w:lang w:val="en-US"/>
        </w:rPr>
        <w:t>.</w:t>
      </w:r>
    </w:p>
    <w:p w14:paraId="74A54570" w14:textId="77777777" w:rsidR="00EA422B" w:rsidRPr="004C184C" w:rsidRDefault="00EA422B" w:rsidP="00F82EDF">
      <w:pPr>
        <w:pStyle w:val="SingleTxtG"/>
        <w:rPr>
          <w:lang w:val="en-US"/>
        </w:rPr>
      </w:pPr>
      <w:r w:rsidRPr="004C184C">
        <w:rPr>
          <w:lang w:val="en-US"/>
        </w:rPr>
        <w:t>6.</w:t>
      </w:r>
      <w:r w:rsidRPr="004C184C">
        <w:rPr>
          <w:lang w:val="en-US"/>
        </w:rPr>
        <w:tab/>
        <w:t>Buddhists made up 93</w:t>
      </w:r>
      <w:r w:rsidRPr="004C184C">
        <w:rPr>
          <w:cs/>
          <w:lang w:val="en-US"/>
        </w:rPr>
        <w:t>.</w:t>
      </w:r>
      <w:r w:rsidRPr="004C184C">
        <w:rPr>
          <w:lang w:val="en-US"/>
        </w:rPr>
        <w:t>6</w:t>
      </w:r>
      <w:r w:rsidRPr="004C184C">
        <w:rPr>
          <w:cs/>
          <w:lang w:val="en-US"/>
        </w:rPr>
        <w:t xml:space="preserve">% </w:t>
      </w:r>
      <w:r w:rsidRPr="004C184C">
        <w:rPr>
          <w:lang w:val="en-US"/>
        </w:rPr>
        <w:t>of the whole population, while 4</w:t>
      </w:r>
      <w:r w:rsidRPr="004C184C">
        <w:rPr>
          <w:cs/>
          <w:lang w:val="en-US"/>
        </w:rPr>
        <w:t>.</w:t>
      </w:r>
      <w:r w:rsidRPr="004C184C">
        <w:rPr>
          <w:lang w:val="en-US"/>
        </w:rPr>
        <w:t>9</w:t>
      </w:r>
      <w:r w:rsidRPr="004C184C">
        <w:rPr>
          <w:cs/>
          <w:lang w:val="en-US"/>
        </w:rPr>
        <w:t>%</w:t>
      </w:r>
      <w:r w:rsidRPr="004C184C">
        <w:rPr>
          <w:lang w:val="en-US"/>
        </w:rPr>
        <w:t xml:space="preserve"> were Muslim, and the remaining 1</w:t>
      </w:r>
      <w:r w:rsidRPr="004C184C">
        <w:rPr>
          <w:cs/>
          <w:lang w:val="en-US"/>
        </w:rPr>
        <w:t>.</w:t>
      </w:r>
      <w:r w:rsidRPr="004C184C">
        <w:rPr>
          <w:lang w:val="en-US"/>
        </w:rPr>
        <w:t>5</w:t>
      </w:r>
      <w:r w:rsidRPr="004C184C">
        <w:rPr>
          <w:cs/>
          <w:lang w:val="en-US"/>
        </w:rPr>
        <w:t>%</w:t>
      </w:r>
      <w:r w:rsidRPr="004C184C">
        <w:rPr>
          <w:lang w:val="en-US"/>
        </w:rPr>
        <w:t xml:space="preserve"> were of Christian and other faiths</w:t>
      </w:r>
      <w:r w:rsidRPr="004C184C">
        <w:rPr>
          <w:cs/>
          <w:lang w:val="en-US"/>
        </w:rPr>
        <w:t>.</w:t>
      </w:r>
    </w:p>
    <w:p w14:paraId="0365C6CA" w14:textId="3D3826B9" w:rsidR="00EA422B" w:rsidRPr="004C184C" w:rsidRDefault="00EA422B" w:rsidP="00F82EDF">
      <w:pPr>
        <w:pStyle w:val="SingleTxtG"/>
        <w:rPr>
          <w:lang w:val="en-US"/>
        </w:rPr>
      </w:pPr>
      <w:r w:rsidRPr="004C184C">
        <w:rPr>
          <w:lang w:val="en-US"/>
        </w:rPr>
        <w:t>7.</w:t>
      </w:r>
      <w:r w:rsidRPr="004C184C">
        <w:rPr>
          <w:lang w:val="en-US"/>
        </w:rPr>
        <w:tab/>
        <w:t>In terms of age structure, 17</w:t>
      </w:r>
      <w:r w:rsidRPr="004C184C">
        <w:rPr>
          <w:cs/>
          <w:lang w:val="en-US"/>
        </w:rPr>
        <w:t>.</w:t>
      </w:r>
      <w:r w:rsidRPr="004C184C">
        <w:rPr>
          <w:lang w:val="en-US"/>
        </w:rPr>
        <w:t>48</w:t>
      </w:r>
      <w:r w:rsidRPr="004C184C">
        <w:rPr>
          <w:cs/>
          <w:lang w:val="en-US"/>
        </w:rPr>
        <w:t xml:space="preserve">% </w:t>
      </w:r>
      <w:r w:rsidRPr="004C184C">
        <w:rPr>
          <w:lang w:val="en-US"/>
        </w:rPr>
        <w:t>of the population fell into the 0–14</w:t>
      </w:r>
      <w:r w:rsidR="00D97E73" w:rsidRPr="004C184C">
        <w:rPr>
          <w:lang w:val="en-US"/>
        </w:rPr>
        <w:t>-</w:t>
      </w:r>
      <w:r w:rsidRPr="004C184C">
        <w:rPr>
          <w:lang w:val="en-US"/>
        </w:rPr>
        <w:t>year category, 65</w:t>
      </w:r>
      <w:r w:rsidRPr="004C184C">
        <w:rPr>
          <w:cs/>
          <w:lang w:val="en-US"/>
        </w:rPr>
        <w:t>.</w:t>
      </w:r>
      <w:r w:rsidRPr="004C184C">
        <w:rPr>
          <w:lang w:val="en-US"/>
        </w:rPr>
        <w:t>87</w:t>
      </w:r>
      <w:r w:rsidRPr="004C184C">
        <w:rPr>
          <w:cs/>
          <w:lang w:val="en-US"/>
        </w:rPr>
        <w:t xml:space="preserve">% </w:t>
      </w:r>
      <w:r w:rsidRPr="004C184C">
        <w:rPr>
          <w:lang w:val="en-US"/>
        </w:rPr>
        <w:t>into the 15–59 age group, and 16</w:t>
      </w:r>
      <w:r w:rsidRPr="004C184C">
        <w:rPr>
          <w:cs/>
          <w:lang w:val="en-US"/>
        </w:rPr>
        <w:t>.</w:t>
      </w:r>
      <w:r w:rsidRPr="004C184C">
        <w:rPr>
          <w:lang w:val="en-US"/>
        </w:rPr>
        <w:t>65</w:t>
      </w:r>
      <w:r w:rsidRPr="004C184C">
        <w:rPr>
          <w:cs/>
          <w:lang w:val="en-US"/>
        </w:rPr>
        <w:t>%</w:t>
      </w:r>
      <w:r w:rsidRPr="004C184C">
        <w:rPr>
          <w:lang w:val="en-US"/>
        </w:rPr>
        <w:t xml:space="preserve"> were 60 or above</w:t>
      </w:r>
      <w:r w:rsidRPr="004C184C">
        <w:rPr>
          <w:cs/>
          <w:lang w:val="en-US"/>
        </w:rPr>
        <w:t xml:space="preserve">. </w:t>
      </w:r>
      <w:r w:rsidRPr="004C184C">
        <w:rPr>
          <w:lang w:val="en-US"/>
        </w:rPr>
        <w:t>The 2017 natural population growth was</w:t>
      </w:r>
      <w:r w:rsidRPr="004C184C">
        <w:rPr>
          <w:cs/>
          <w:lang w:val="en-US"/>
        </w:rPr>
        <w:t xml:space="preserve"> </w:t>
      </w:r>
      <w:r w:rsidRPr="004C184C">
        <w:rPr>
          <w:lang w:val="en-US"/>
        </w:rPr>
        <w:t>reduced to 0</w:t>
      </w:r>
      <w:r w:rsidRPr="004C184C">
        <w:rPr>
          <w:cs/>
          <w:lang w:val="en-US"/>
        </w:rPr>
        <w:t>.</w:t>
      </w:r>
      <w:r w:rsidRPr="004C184C">
        <w:rPr>
          <w:lang w:val="en-US"/>
        </w:rPr>
        <w:t>4</w:t>
      </w:r>
      <w:r w:rsidRPr="004C184C">
        <w:rPr>
          <w:cs/>
          <w:lang w:val="en-US"/>
        </w:rPr>
        <w:t xml:space="preserve">%. </w:t>
      </w:r>
      <w:r w:rsidRPr="004C184C">
        <w:rPr>
          <w:lang w:val="en-US"/>
        </w:rPr>
        <w:t>It is projected that the average life expectancy for females will increase to 76</w:t>
      </w:r>
      <w:r w:rsidRPr="004C184C">
        <w:rPr>
          <w:cs/>
          <w:lang w:val="en-US"/>
        </w:rPr>
        <w:t>.</w:t>
      </w:r>
      <w:r w:rsidRPr="004C184C">
        <w:rPr>
          <w:lang w:val="en-US"/>
        </w:rPr>
        <w:t>3 years and for males to 69</w:t>
      </w:r>
      <w:r w:rsidRPr="004C184C">
        <w:rPr>
          <w:cs/>
          <w:lang w:val="en-US"/>
        </w:rPr>
        <w:t>.</w:t>
      </w:r>
      <w:r w:rsidRPr="004C184C">
        <w:rPr>
          <w:lang w:val="en-US"/>
        </w:rPr>
        <w:t>5 years</w:t>
      </w:r>
      <w:r w:rsidRPr="004C184C">
        <w:rPr>
          <w:cs/>
          <w:lang w:val="en-US"/>
        </w:rPr>
        <w:t xml:space="preserve">. </w:t>
      </w:r>
    </w:p>
    <w:p w14:paraId="7287D27A" w14:textId="77777777" w:rsidR="00EA422B" w:rsidRPr="004C184C" w:rsidRDefault="00EA422B" w:rsidP="00EA422B">
      <w:pPr>
        <w:rPr>
          <w:lang w:val="en-US"/>
        </w:rPr>
      </w:pPr>
      <w:r w:rsidRPr="004C184C">
        <w:rPr>
          <w:lang w:val="en-US"/>
        </w:rPr>
        <w:br w:type="page"/>
      </w:r>
    </w:p>
    <w:p w14:paraId="5FA27AC5" w14:textId="77777777" w:rsidR="00EA422B" w:rsidRPr="004C184C" w:rsidRDefault="00EA422B" w:rsidP="00B52014">
      <w:pPr>
        <w:pStyle w:val="H23G"/>
        <w:rPr>
          <w:lang w:val="en-US"/>
        </w:rPr>
      </w:pPr>
      <w:r w:rsidRPr="004C184C">
        <w:rPr>
          <w:lang w:val="en-US"/>
        </w:rPr>
        <w:lastRenderedPageBreak/>
        <w:tab/>
      </w:r>
      <w:r w:rsidRPr="004C184C">
        <w:rPr>
          <w:lang w:val="en-US"/>
        </w:rPr>
        <w:tab/>
        <w:t>2017 Thai Population Pyramid</w:t>
      </w:r>
      <w:r w:rsidRPr="004C184C">
        <w:rPr>
          <w:rStyle w:val="FootnoteReference"/>
          <w:b w:val="0"/>
          <w:bCs/>
          <w:lang w:val="en-US"/>
        </w:rPr>
        <w:footnoteReference w:id="3"/>
      </w:r>
    </w:p>
    <w:p w14:paraId="774CB97F" w14:textId="77777777" w:rsidR="00EA422B" w:rsidRPr="004C184C" w:rsidRDefault="00EA422B" w:rsidP="009C5587">
      <w:pPr>
        <w:jc w:val="center"/>
        <w:rPr>
          <w:lang w:val="en-US"/>
        </w:rPr>
      </w:pPr>
      <w:r w:rsidRPr="004C184C">
        <w:rPr>
          <w:noProof/>
          <w:lang w:eastAsia="en-GB"/>
        </w:rPr>
        <w:drawing>
          <wp:inline distT="0" distB="0" distL="0" distR="0" wp14:anchorId="5627B5B1" wp14:editId="1E246E98">
            <wp:extent cx="5474037" cy="3585393"/>
            <wp:effectExtent l="0" t="0" r="12700" b="1524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A524BE0" w14:textId="47777972" w:rsidR="00EA422B" w:rsidRPr="004C184C" w:rsidRDefault="00EA422B" w:rsidP="00A06FDE">
      <w:pPr>
        <w:pStyle w:val="SingleTxtG"/>
        <w:spacing w:after="240"/>
        <w:rPr>
          <w:lang w:val="en-US"/>
        </w:rPr>
      </w:pPr>
      <w:r w:rsidRPr="004C184C">
        <w:rPr>
          <w:lang w:val="en-US"/>
        </w:rPr>
        <w:t>8.</w:t>
      </w:r>
      <w:r w:rsidRPr="004C184C">
        <w:rPr>
          <w:lang w:val="en-US"/>
        </w:rPr>
        <w:tab/>
        <w:t>The population is scattered</w:t>
      </w:r>
      <w:r w:rsidRPr="004C184C">
        <w:rPr>
          <w:cs/>
          <w:lang w:val="en-US"/>
        </w:rPr>
        <w:t xml:space="preserve"> </w:t>
      </w:r>
      <w:r w:rsidRPr="004C184C">
        <w:rPr>
          <w:lang w:val="en-US"/>
        </w:rPr>
        <w:t>across regions, with the highest density recorded in Bangkok and its vicinity, the Central region and the Eastern region, respectively. The fertility rate is the highest in the Eastern region, the Southern region and Bangkok and its vicinity, while the highest death rate lies in the Central, Northern and Western regions, respectively, as shown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40"/>
        <w:gridCol w:w="536"/>
        <w:gridCol w:w="653"/>
        <w:gridCol w:w="1142"/>
        <w:gridCol w:w="997"/>
        <w:gridCol w:w="1070"/>
        <w:gridCol w:w="1307"/>
        <w:gridCol w:w="1425"/>
      </w:tblGrid>
      <w:tr w:rsidR="00EA422B" w:rsidRPr="004C184C" w14:paraId="043851A7" w14:textId="77777777" w:rsidTr="009C5587">
        <w:trPr>
          <w:tblHeader/>
        </w:trPr>
        <w:tc>
          <w:tcPr>
            <w:tcW w:w="1429" w:type="dxa"/>
            <w:gridSpan w:val="3"/>
            <w:tcBorders>
              <w:top w:val="single" w:sz="4" w:space="0" w:color="auto"/>
              <w:bottom w:val="single" w:sz="12" w:space="0" w:color="auto"/>
            </w:tcBorders>
            <w:shd w:val="clear" w:color="auto" w:fill="auto"/>
            <w:vAlign w:val="bottom"/>
          </w:tcPr>
          <w:p w14:paraId="12358846" w14:textId="77777777" w:rsidR="00EA422B" w:rsidRPr="004C184C" w:rsidRDefault="00EA422B" w:rsidP="009C5587">
            <w:pPr>
              <w:suppressAutoHyphens w:val="0"/>
              <w:spacing w:before="80" w:after="80" w:line="200" w:lineRule="exact"/>
              <w:ind w:right="113"/>
              <w:rPr>
                <w:i/>
                <w:sz w:val="16"/>
                <w:lang w:val="en-US"/>
              </w:rPr>
            </w:pPr>
            <w:r w:rsidRPr="004C184C">
              <w:rPr>
                <w:i/>
                <w:sz w:val="16"/>
                <w:lang w:val="en-US"/>
              </w:rPr>
              <w:t>Region</w:t>
            </w:r>
          </w:p>
        </w:tc>
        <w:tc>
          <w:tcPr>
            <w:tcW w:w="1142" w:type="dxa"/>
            <w:tcBorders>
              <w:top w:val="single" w:sz="4" w:space="0" w:color="auto"/>
              <w:bottom w:val="single" w:sz="12" w:space="0" w:color="auto"/>
            </w:tcBorders>
            <w:shd w:val="clear" w:color="auto" w:fill="auto"/>
            <w:vAlign w:val="bottom"/>
          </w:tcPr>
          <w:p w14:paraId="2AB9AC3D" w14:textId="77777777" w:rsidR="00EA422B" w:rsidRPr="004C184C" w:rsidRDefault="00EA422B" w:rsidP="009C5587">
            <w:pPr>
              <w:suppressAutoHyphens w:val="0"/>
              <w:spacing w:before="80" w:after="80" w:line="200" w:lineRule="exact"/>
              <w:ind w:right="113"/>
              <w:jc w:val="right"/>
              <w:rPr>
                <w:i/>
                <w:sz w:val="16"/>
                <w:lang w:val="en-US"/>
              </w:rPr>
            </w:pPr>
            <w:r w:rsidRPr="004C184C">
              <w:rPr>
                <w:i/>
                <w:sz w:val="16"/>
                <w:lang w:val="en-US"/>
              </w:rPr>
              <w:t>Population</w:t>
            </w:r>
          </w:p>
        </w:tc>
        <w:tc>
          <w:tcPr>
            <w:tcW w:w="997" w:type="dxa"/>
            <w:tcBorders>
              <w:top w:val="single" w:sz="4" w:space="0" w:color="auto"/>
              <w:bottom w:val="single" w:sz="12" w:space="0" w:color="auto"/>
            </w:tcBorders>
            <w:shd w:val="clear" w:color="auto" w:fill="auto"/>
            <w:vAlign w:val="bottom"/>
          </w:tcPr>
          <w:p w14:paraId="30116C97" w14:textId="77777777" w:rsidR="00EA422B" w:rsidRPr="004C184C" w:rsidRDefault="00EA422B" w:rsidP="009C5587">
            <w:pPr>
              <w:suppressAutoHyphens w:val="0"/>
              <w:spacing w:before="80" w:after="80" w:line="200" w:lineRule="exact"/>
              <w:ind w:right="113"/>
              <w:jc w:val="right"/>
              <w:rPr>
                <w:i/>
                <w:sz w:val="16"/>
                <w:lang w:val="en-US"/>
              </w:rPr>
            </w:pPr>
            <w:r w:rsidRPr="004C184C">
              <w:rPr>
                <w:i/>
                <w:sz w:val="16"/>
                <w:lang w:val="en-US"/>
              </w:rPr>
              <w:t xml:space="preserve">Density </w:t>
            </w:r>
            <w:r w:rsidRPr="004C184C">
              <w:rPr>
                <w:i/>
                <w:sz w:val="16"/>
                <w:cs/>
                <w:lang w:val="en-US"/>
              </w:rPr>
              <w:t>(</w:t>
            </w:r>
            <w:r w:rsidRPr="004C184C">
              <w:rPr>
                <w:i/>
                <w:sz w:val="16"/>
                <w:lang w:val="en-US"/>
              </w:rPr>
              <w:t>per sq</w:t>
            </w:r>
            <w:r w:rsidRPr="004C184C">
              <w:rPr>
                <w:i/>
                <w:sz w:val="16"/>
                <w:cs/>
                <w:lang w:val="en-US"/>
              </w:rPr>
              <w:t>.</w:t>
            </w:r>
            <w:r w:rsidRPr="004C184C">
              <w:rPr>
                <w:i/>
                <w:sz w:val="16"/>
                <w:lang w:val="en-US"/>
              </w:rPr>
              <w:t>km</w:t>
            </w:r>
            <w:r w:rsidRPr="004C184C">
              <w:rPr>
                <w:i/>
                <w:sz w:val="16"/>
                <w:cs/>
                <w:lang w:val="en-US"/>
              </w:rPr>
              <w:t>.)</w:t>
            </w:r>
          </w:p>
        </w:tc>
        <w:tc>
          <w:tcPr>
            <w:tcW w:w="1070" w:type="dxa"/>
            <w:tcBorders>
              <w:top w:val="single" w:sz="4" w:space="0" w:color="auto"/>
              <w:bottom w:val="single" w:sz="12" w:space="0" w:color="auto"/>
            </w:tcBorders>
            <w:shd w:val="clear" w:color="auto" w:fill="auto"/>
            <w:vAlign w:val="bottom"/>
          </w:tcPr>
          <w:p w14:paraId="277F9AD3" w14:textId="77777777" w:rsidR="00EA422B" w:rsidRPr="004C184C" w:rsidRDefault="00EA422B" w:rsidP="009C5587">
            <w:pPr>
              <w:suppressAutoHyphens w:val="0"/>
              <w:spacing w:before="80" w:after="80" w:line="200" w:lineRule="exact"/>
              <w:ind w:right="113"/>
              <w:jc w:val="right"/>
              <w:rPr>
                <w:i/>
                <w:sz w:val="16"/>
                <w:lang w:val="en-US"/>
              </w:rPr>
            </w:pPr>
            <w:r w:rsidRPr="004C184C">
              <w:rPr>
                <w:i/>
                <w:sz w:val="16"/>
                <w:lang w:val="en-US"/>
              </w:rPr>
              <w:t xml:space="preserve">Fertility rate </w:t>
            </w:r>
            <w:r w:rsidRPr="004C184C">
              <w:rPr>
                <w:i/>
                <w:sz w:val="16"/>
                <w:cs/>
                <w:lang w:val="en-US"/>
              </w:rPr>
              <w:t>(</w:t>
            </w:r>
            <w:r w:rsidRPr="004C184C">
              <w:rPr>
                <w:i/>
                <w:sz w:val="16"/>
                <w:lang w:val="en-US"/>
              </w:rPr>
              <w:t>per 1,000 people</w:t>
            </w:r>
            <w:r w:rsidRPr="004C184C">
              <w:rPr>
                <w:i/>
                <w:sz w:val="16"/>
                <w:cs/>
                <w:lang w:val="en-US"/>
              </w:rPr>
              <w:t>)</w:t>
            </w:r>
          </w:p>
        </w:tc>
        <w:tc>
          <w:tcPr>
            <w:tcW w:w="1307" w:type="dxa"/>
            <w:tcBorders>
              <w:top w:val="single" w:sz="4" w:space="0" w:color="auto"/>
              <w:bottom w:val="single" w:sz="12" w:space="0" w:color="auto"/>
            </w:tcBorders>
            <w:shd w:val="clear" w:color="auto" w:fill="auto"/>
            <w:vAlign w:val="bottom"/>
          </w:tcPr>
          <w:p w14:paraId="65634C71" w14:textId="77777777" w:rsidR="00EA422B" w:rsidRPr="004C184C" w:rsidRDefault="00EA422B" w:rsidP="009C5587">
            <w:pPr>
              <w:suppressAutoHyphens w:val="0"/>
              <w:spacing w:before="80" w:after="80" w:line="200" w:lineRule="exact"/>
              <w:ind w:right="113"/>
              <w:jc w:val="right"/>
              <w:rPr>
                <w:i/>
                <w:sz w:val="16"/>
                <w:lang w:val="en-US"/>
              </w:rPr>
            </w:pPr>
            <w:r w:rsidRPr="004C184C">
              <w:rPr>
                <w:i/>
                <w:sz w:val="16"/>
                <w:lang w:val="en-US"/>
              </w:rPr>
              <w:t xml:space="preserve">Death rate </w:t>
            </w:r>
            <w:r w:rsidRPr="004C184C">
              <w:rPr>
                <w:i/>
                <w:sz w:val="16"/>
                <w:cs/>
                <w:lang w:val="en-US"/>
              </w:rPr>
              <w:t>(</w:t>
            </w:r>
            <w:r w:rsidRPr="004C184C">
              <w:rPr>
                <w:i/>
                <w:sz w:val="16"/>
                <w:lang w:val="en-US"/>
              </w:rPr>
              <w:t>1,000 people</w:t>
            </w:r>
            <w:r w:rsidRPr="004C184C">
              <w:rPr>
                <w:i/>
                <w:sz w:val="16"/>
                <w:cs/>
                <w:lang w:val="en-US"/>
              </w:rPr>
              <w:t>)</w:t>
            </w:r>
          </w:p>
        </w:tc>
        <w:tc>
          <w:tcPr>
            <w:tcW w:w="1425" w:type="dxa"/>
            <w:tcBorders>
              <w:top w:val="single" w:sz="4" w:space="0" w:color="auto"/>
              <w:bottom w:val="single" w:sz="12" w:space="0" w:color="auto"/>
            </w:tcBorders>
            <w:shd w:val="clear" w:color="auto" w:fill="auto"/>
            <w:vAlign w:val="bottom"/>
          </w:tcPr>
          <w:p w14:paraId="2D78894E" w14:textId="77777777" w:rsidR="00EA422B" w:rsidRPr="004C184C" w:rsidRDefault="00EA422B" w:rsidP="009C5587">
            <w:pPr>
              <w:suppressAutoHyphens w:val="0"/>
              <w:spacing w:before="80" w:after="80" w:line="200" w:lineRule="exact"/>
              <w:ind w:right="113"/>
              <w:jc w:val="right"/>
              <w:rPr>
                <w:i/>
                <w:sz w:val="16"/>
                <w:lang w:val="en-US"/>
              </w:rPr>
            </w:pPr>
            <w:r w:rsidRPr="004C184C">
              <w:rPr>
                <w:i/>
                <w:sz w:val="16"/>
                <w:lang w:val="en-US"/>
              </w:rPr>
              <w:t xml:space="preserve">Infant mortality rate </w:t>
            </w:r>
            <w:r w:rsidRPr="004C184C">
              <w:rPr>
                <w:i/>
                <w:sz w:val="16"/>
                <w:cs/>
                <w:lang w:val="en-US"/>
              </w:rPr>
              <w:t>(</w:t>
            </w:r>
            <w:r w:rsidRPr="004C184C">
              <w:rPr>
                <w:i/>
                <w:sz w:val="16"/>
                <w:lang w:val="en-US"/>
              </w:rPr>
              <w:t>per 1,000 live births</w:t>
            </w:r>
            <w:r w:rsidRPr="004C184C">
              <w:rPr>
                <w:i/>
                <w:sz w:val="16"/>
                <w:cs/>
                <w:lang w:val="en-US"/>
              </w:rPr>
              <w:t>)</w:t>
            </w:r>
          </w:p>
        </w:tc>
      </w:tr>
      <w:tr w:rsidR="00EA422B" w:rsidRPr="004C184C" w14:paraId="18C4884D" w14:textId="77777777" w:rsidTr="009C5587">
        <w:tc>
          <w:tcPr>
            <w:tcW w:w="1429" w:type="dxa"/>
            <w:gridSpan w:val="3"/>
            <w:tcBorders>
              <w:top w:val="single" w:sz="12" w:space="0" w:color="auto"/>
            </w:tcBorders>
            <w:shd w:val="clear" w:color="auto" w:fill="auto"/>
          </w:tcPr>
          <w:p w14:paraId="7FA11EC0" w14:textId="77777777" w:rsidR="00EA422B" w:rsidRPr="004C184C" w:rsidRDefault="00EA422B" w:rsidP="009C5587">
            <w:pPr>
              <w:suppressAutoHyphens w:val="0"/>
              <w:spacing w:before="40" w:after="40" w:line="220" w:lineRule="exact"/>
              <w:ind w:right="113"/>
              <w:rPr>
                <w:sz w:val="18"/>
                <w:lang w:val="en-US"/>
              </w:rPr>
            </w:pPr>
            <w:r w:rsidRPr="004C184C">
              <w:rPr>
                <w:sz w:val="18"/>
                <w:lang w:val="en-US"/>
              </w:rPr>
              <w:t>Nationwide</w:t>
            </w:r>
          </w:p>
        </w:tc>
        <w:tc>
          <w:tcPr>
            <w:tcW w:w="1142" w:type="dxa"/>
            <w:tcBorders>
              <w:top w:val="single" w:sz="12" w:space="0" w:color="auto"/>
            </w:tcBorders>
            <w:shd w:val="clear" w:color="auto" w:fill="auto"/>
            <w:vAlign w:val="bottom"/>
          </w:tcPr>
          <w:p w14:paraId="63259699" w14:textId="135FC887"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66</w:t>
            </w:r>
            <w:r w:rsidR="009C5587" w:rsidRPr="004C184C">
              <w:rPr>
                <w:sz w:val="18"/>
                <w:lang w:val="en-US"/>
              </w:rPr>
              <w:t xml:space="preserve"> </w:t>
            </w:r>
            <w:r w:rsidRPr="004C184C">
              <w:rPr>
                <w:sz w:val="18"/>
                <w:lang w:val="en-US"/>
              </w:rPr>
              <w:t>413</w:t>
            </w:r>
            <w:r w:rsidR="009C5587" w:rsidRPr="004C184C">
              <w:rPr>
                <w:sz w:val="18"/>
                <w:lang w:val="en-US"/>
              </w:rPr>
              <w:t xml:space="preserve"> </w:t>
            </w:r>
            <w:r w:rsidRPr="004C184C">
              <w:rPr>
                <w:sz w:val="18"/>
                <w:lang w:val="en-US"/>
              </w:rPr>
              <w:t>979</w:t>
            </w:r>
          </w:p>
        </w:tc>
        <w:tc>
          <w:tcPr>
            <w:tcW w:w="997" w:type="dxa"/>
            <w:tcBorders>
              <w:top w:val="single" w:sz="12" w:space="0" w:color="auto"/>
            </w:tcBorders>
            <w:shd w:val="clear" w:color="auto" w:fill="auto"/>
            <w:vAlign w:val="bottom"/>
          </w:tcPr>
          <w:p w14:paraId="340F4652" w14:textId="77777777"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129</w:t>
            </w:r>
            <w:r w:rsidRPr="004C184C">
              <w:rPr>
                <w:sz w:val="18"/>
                <w:cs/>
                <w:lang w:val="en-US"/>
              </w:rPr>
              <w:t>.</w:t>
            </w:r>
            <w:r w:rsidRPr="004C184C">
              <w:rPr>
                <w:sz w:val="18"/>
                <w:lang w:val="en-US"/>
              </w:rPr>
              <w:t>0</w:t>
            </w:r>
          </w:p>
        </w:tc>
        <w:tc>
          <w:tcPr>
            <w:tcW w:w="1070" w:type="dxa"/>
            <w:tcBorders>
              <w:top w:val="single" w:sz="12" w:space="0" w:color="auto"/>
            </w:tcBorders>
            <w:shd w:val="clear" w:color="auto" w:fill="auto"/>
            <w:vAlign w:val="bottom"/>
          </w:tcPr>
          <w:p w14:paraId="4909905B" w14:textId="77777777" w:rsidR="00EA422B" w:rsidRPr="004C184C" w:rsidRDefault="00EA422B" w:rsidP="009C5587">
            <w:pPr>
              <w:suppressAutoHyphens w:val="0"/>
              <w:spacing w:before="40" w:after="40" w:line="220" w:lineRule="exact"/>
              <w:ind w:right="113"/>
              <w:jc w:val="right"/>
              <w:rPr>
                <w:sz w:val="18"/>
                <w:lang w:val="en-US"/>
              </w:rPr>
            </w:pPr>
            <w:r w:rsidRPr="004C184C">
              <w:rPr>
                <w:sz w:val="18"/>
                <w:cs/>
                <w:lang w:val="en-US"/>
              </w:rPr>
              <w:t>19.8</w:t>
            </w:r>
          </w:p>
        </w:tc>
        <w:tc>
          <w:tcPr>
            <w:tcW w:w="1307" w:type="dxa"/>
            <w:tcBorders>
              <w:top w:val="single" w:sz="12" w:space="0" w:color="auto"/>
            </w:tcBorders>
            <w:shd w:val="clear" w:color="auto" w:fill="auto"/>
            <w:vAlign w:val="bottom"/>
          </w:tcPr>
          <w:p w14:paraId="0EF3C15D" w14:textId="77777777"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7</w:t>
            </w:r>
            <w:r w:rsidRPr="004C184C">
              <w:rPr>
                <w:sz w:val="18"/>
                <w:cs/>
                <w:lang w:val="en-US"/>
              </w:rPr>
              <w:t>.0</w:t>
            </w:r>
          </w:p>
        </w:tc>
        <w:tc>
          <w:tcPr>
            <w:tcW w:w="1425" w:type="dxa"/>
            <w:tcBorders>
              <w:top w:val="single" w:sz="12" w:space="0" w:color="auto"/>
            </w:tcBorders>
            <w:shd w:val="clear" w:color="auto" w:fill="auto"/>
            <w:vAlign w:val="bottom"/>
          </w:tcPr>
          <w:p w14:paraId="384DB925" w14:textId="77777777" w:rsidR="00EA422B" w:rsidRPr="004C184C" w:rsidRDefault="00EA422B" w:rsidP="009C5587">
            <w:pPr>
              <w:suppressAutoHyphens w:val="0"/>
              <w:spacing w:before="40" w:after="40" w:line="220" w:lineRule="exact"/>
              <w:ind w:right="113"/>
              <w:jc w:val="right"/>
              <w:rPr>
                <w:sz w:val="18"/>
                <w:lang w:val="en-US"/>
              </w:rPr>
            </w:pPr>
            <w:r w:rsidRPr="004C184C">
              <w:rPr>
                <w:sz w:val="18"/>
                <w:cs/>
                <w:lang w:val="en-US"/>
              </w:rPr>
              <w:t>5.9</w:t>
            </w:r>
          </w:p>
        </w:tc>
      </w:tr>
      <w:tr w:rsidR="00EA422B" w:rsidRPr="004C184C" w14:paraId="67CFFC2C" w14:textId="77777777" w:rsidTr="009C5587">
        <w:tc>
          <w:tcPr>
            <w:tcW w:w="240" w:type="dxa"/>
            <w:shd w:val="clear" w:color="auto" w:fill="auto"/>
          </w:tcPr>
          <w:p w14:paraId="46ADACDE" w14:textId="77777777" w:rsidR="00EA422B" w:rsidRPr="004C184C" w:rsidRDefault="00EA422B" w:rsidP="009C5587">
            <w:pPr>
              <w:suppressAutoHyphens w:val="0"/>
              <w:spacing w:before="40" w:after="40" w:line="220" w:lineRule="exact"/>
              <w:ind w:right="113"/>
              <w:rPr>
                <w:sz w:val="18"/>
                <w:lang w:val="en-US"/>
              </w:rPr>
            </w:pPr>
          </w:p>
        </w:tc>
        <w:tc>
          <w:tcPr>
            <w:tcW w:w="1189" w:type="dxa"/>
            <w:gridSpan w:val="2"/>
            <w:shd w:val="clear" w:color="auto" w:fill="auto"/>
          </w:tcPr>
          <w:p w14:paraId="0FCD91A6" w14:textId="77777777" w:rsidR="00EA422B" w:rsidRPr="004C184C" w:rsidRDefault="00EA422B" w:rsidP="009C5587">
            <w:pPr>
              <w:suppressAutoHyphens w:val="0"/>
              <w:spacing w:before="40" w:after="40" w:line="220" w:lineRule="exact"/>
              <w:ind w:right="113"/>
              <w:rPr>
                <w:sz w:val="18"/>
                <w:lang w:val="en-US"/>
              </w:rPr>
            </w:pPr>
            <w:r w:rsidRPr="004C184C">
              <w:rPr>
                <w:sz w:val="18"/>
                <w:lang w:val="en-US"/>
              </w:rPr>
              <w:t xml:space="preserve">Female </w:t>
            </w:r>
          </w:p>
        </w:tc>
        <w:tc>
          <w:tcPr>
            <w:tcW w:w="1142" w:type="dxa"/>
            <w:shd w:val="clear" w:color="auto" w:fill="auto"/>
            <w:vAlign w:val="bottom"/>
          </w:tcPr>
          <w:p w14:paraId="5C594E57" w14:textId="09D500D0"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33</w:t>
            </w:r>
            <w:r w:rsidR="009C5587" w:rsidRPr="004C184C">
              <w:rPr>
                <w:sz w:val="18"/>
                <w:lang w:val="en-US"/>
              </w:rPr>
              <w:t xml:space="preserve"> </w:t>
            </w:r>
            <w:r w:rsidRPr="004C184C">
              <w:rPr>
                <w:sz w:val="18"/>
                <w:lang w:val="en-US"/>
              </w:rPr>
              <w:t>857</w:t>
            </w:r>
            <w:r w:rsidR="009C5587" w:rsidRPr="004C184C">
              <w:rPr>
                <w:sz w:val="18"/>
                <w:lang w:val="en-US"/>
              </w:rPr>
              <w:t xml:space="preserve"> </w:t>
            </w:r>
            <w:r w:rsidRPr="004C184C">
              <w:rPr>
                <w:sz w:val="18"/>
                <w:lang w:val="en-US"/>
              </w:rPr>
              <w:t>708</w:t>
            </w:r>
            <w:r w:rsidRPr="004C184C">
              <w:rPr>
                <w:sz w:val="18"/>
                <w:cs/>
                <w:lang w:val="en-US"/>
              </w:rPr>
              <w:t xml:space="preserve"> (</w:t>
            </w:r>
            <w:r w:rsidRPr="004C184C">
              <w:rPr>
                <w:sz w:val="18"/>
                <w:lang w:val="en-US"/>
              </w:rPr>
              <w:t>50</w:t>
            </w:r>
            <w:r w:rsidRPr="004C184C">
              <w:rPr>
                <w:sz w:val="18"/>
                <w:cs/>
                <w:lang w:val="en-US"/>
              </w:rPr>
              <w:t>.</w:t>
            </w:r>
            <w:r w:rsidRPr="004C184C">
              <w:rPr>
                <w:sz w:val="18"/>
                <w:lang w:val="en-US"/>
              </w:rPr>
              <w:t>98</w:t>
            </w:r>
            <w:r w:rsidRPr="004C184C">
              <w:rPr>
                <w:sz w:val="18"/>
                <w:cs/>
                <w:lang w:val="en-US"/>
              </w:rPr>
              <w:t>%)</w:t>
            </w:r>
          </w:p>
        </w:tc>
        <w:tc>
          <w:tcPr>
            <w:tcW w:w="997" w:type="dxa"/>
            <w:vMerge w:val="restart"/>
            <w:shd w:val="clear" w:color="auto" w:fill="auto"/>
            <w:vAlign w:val="bottom"/>
          </w:tcPr>
          <w:p w14:paraId="691F52EB" w14:textId="77777777" w:rsidR="00EA422B" w:rsidRPr="004C184C" w:rsidRDefault="00EA422B" w:rsidP="009C5587">
            <w:pPr>
              <w:suppressAutoHyphens w:val="0"/>
              <w:spacing w:before="40" w:after="40" w:line="220" w:lineRule="exact"/>
              <w:ind w:right="113"/>
              <w:jc w:val="right"/>
              <w:rPr>
                <w:sz w:val="18"/>
                <w:lang w:val="en-US"/>
              </w:rPr>
            </w:pPr>
          </w:p>
        </w:tc>
        <w:tc>
          <w:tcPr>
            <w:tcW w:w="1070" w:type="dxa"/>
            <w:vMerge w:val="restart"/>
            <w:shd w:val="clear" w:color="auto" w:fill="auto"/>
            <w:vAlign w:val="bottom"/>
          </w:tcPr>
          <w:p w14:paraId="71BCF01D" w14:textId="77777777" w:rsidR="00EA422B" w:rsidRPr="004C184C" w:rsidRDefault="00EA422B" w:rsidP="009C5587">
            <w:pPr>
              <w:suppressAutoHyphens w:val="0"/>
              <w:spacing w:before="40" w:after="40" w:line="220" w:lineRule="exact"/>
              <w:ind w:right="113"/>
              <w:jc w:val="right"/>
              <w:rPr>
                <w:sz w:val="18"/>
                <w:lang w:val="en-US"/>
              </w:rPr>
            </w:pPr>
          </w:p>
        </w:tc>
        <w:tc>
          <w:tcPr>
            <w:tcW w:w="1307" w:type="dxa"/>
            <w:vMerge w:val="restart"/>
            <w:shd w:val="clear" w:color="auto" w:fill="auto"/>
            <w:vAlign w:val="bottom"/>
          </w:tcPr>
          <w:p w14:paraId="78547434" w14:textId="77777777" w:rsidR="00EA422B" w:rsidRPr="004C184C" w:rsidRDefault="00EA422B" w:rsidP="009C5587">
            <w:pPr>
              <w:suppressAutoHyphens w:val="0"/>
              <w:spacing w:before="40" w:after="40" w:line="220" w:lineRule="exact"/>
              <w:ind w:right="113"/>
              <w:jc w:val="right"/>
              <w:rPr>
                <w:sz w:val="18"/>
                <w:lang w:val="en-US"/>
              </w:rPr>
            </w:pPr>
          </w:p>
        </w:tc>
        <w:tc>
          <w:tcPr>
            <w:tcW w:w="1425" w:type="dxa"/>
            <w:vMerge w:val="restart"/>
            <w:shd w:val="clear" w:color="auto" w:fill="auto"/>
            <w:vAlign w:val="bottom"/>
          </w:tcPr>
          <w:p w14:paraId="5AFAEFD7" w14:textId="77777777" w:rsidR="00EA422B" w:rsidRPr="004C184C" w:rsidRDefault="00EA422B" w:rsidP="009C5587">
            <w:pPr>
              <w:suppressAutoHyphens w:val="0"/>
              <w:spacing w:before="40" w:after="40" w:line="220" w:lineRule="exact"/>
              <w:ind w:right="113"/>
              <w:jc w:val="right"/>
              <w:rPr>
                <w:sz w:val="18"/>
                <w:lang w:val="en-US"/>
              </w:rPr>
            </w:pPr>
          </w:p>
        </w:tc>
      </w:tr>
      <w:tr w:rsidR="00EA422B" w:rsidRPr="004C184C" w14:paraId="079635F3" w14:textId="77777777" w:rsidTr="005B4FE3">
        <w:tc>
          <w:tcPr>
            <w:tcW w:w="240" w:type="dxa"/>
            <w:shd w:val="clear" w:color="auto" w:fill="auto"/>
          </w:tcPr>
          <w:p w14:paraId="310A017F" w14:textId="77777777" w:rsidR="00EA422B" w:rsidRPr="004C184C" w:rsidRDefault="00EA422B" w:rsidP="009C5587">
            <w:pPr>
              <w:suppressAutoHyphens w:val="0"/>
              <w:spacing w:before="40" w:after="40" w:line="220" w:lineRule="exact"/>
              <w:ind w:right="113"/>
              <w:rPr>
                <w:sz w:val="18"/>
                <w:lang w:val="en-US"/>
              </w:rPr>
            </w:pPr>
          </w:p>
        </w:tc>
        <w:tc>
          <w:tcPr>
            <w:tcW w:w="1189" w:type="dxa"/>
            <w:gridSpan w:val="2"/>
            <w:shd w:val="clear" w:color="auto" w:fill="auto"/>
          </w:tcPr>
          <w:p w14:paraId="67E832FC" w14:textId="77777777" w:rsidR="00EA422B" w:rsidRPr="004C184C" w:rsidRDefault="00EA422B" w:rsidP="009C5587">
            <w:pPr>
              <w:suppressAutoHyphens w:val="0"/>
              <w:spacing w:before="40" w:after="40" w:line="220" w:lineRule="exact"/>
              <w:ind w:right="113"/>
              <w:rPr>
                <w:sz w:val="18"/>
                <w:lang w:val="en-US"/>
              </w:rPr>
            </w:pPr>
            <w:r w:rsidRPr="004C184C">
              <w:rPr>
                <w:sz w:val="18"/>
                <w:lang w:val="en-US"/>
              </w:rPr>
              <w:t>Male</w:t>
            </w:r>
          </w:p>
        </w:tc>
        <w:tc>
          <w:tcPr>
            <w:tcW w:w="1142" w:type="dxa"/>
            <w:shd w:val="clear" w:color="auto" w:fill="auto"/>
            <w:vAlign w:val="bottom"/>
          </w:tcPr>
          <w:p w14:paraId="51F8E32F" w14:textId="357B9038"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32</w:t>
            </w:r>
            <w:r w:rsidR="009C5587" w:rsidRPr="004C184C">
              <w:rPr>
                <w:sz w:val="18"/>
                <w:lang w:val="en-US"/>
              </w:rPr>
              <w:t xml:space="preserve"> </w:t>
            </w:r>
            <w:r w:rsidRPr="004C184C">
              <w:rPr>
                <w:sz w:val="18"/>
                <w:lang w:val="en-US"/>
              </w:rPr>
              <w:t>556</w:t>
            </w:r>
            <w:r w:rsidR="009C5587" w:rsidRPr="004C184C">
              <w:rPr>
                <w:sz w:val="18"/>
                <w:lang w:val="en-US"/>
              </w:rPr>
              <w:t xml:space="preserve"> </w:t>
            </w:r>
            <w:r w:rsidRPr="004C184C">
              <w:rPr>
                <w:sz w:val="18"/>
                <w:lang w:val="en-US"/>
              </w:rPr>
              <w:t>271</w:t>
            </w:r>
            <w:r w:rsidRPr="004C184C">
              <w:rPr>
                <w:sz w:val="18"/>
                <w:cs/>
                <w:lang w:val="en-US"/>
              </w:rPr>
              <w:t xml:space="preserve"> (</w:t>
            </w:r>
            <w:r w:rsidRPr="004C184C">
              <w:rPr>
                <w:sz w:val="18"/>
                <w:lang w:val="en-US"/>
              </w:rPr>
              <w:t>49</w:t>
            </w:r>
            <w:r w:rsidRPr="004C184C">
              <w:rPr>
                <w:sz w:val="18"/>
                <w:cs/>
                <w:lang w:val="en-US"/>
              </w:rPr>
              <w:t>.</w:t>
            </w:r>
            <w:r w:rsidRPr="004C184C">
              <w:rPr>
                <w:sz w:val="18"/>
                <w:lang w:val="en-US"/>
              </w:rPr>
              <w:t>02</w:t>
            </w:r>
            <w:r w:rsidRPr="004C184C">
              <w:rPr>
                <w:sz w:val="18"/>
                <w:cs/>
                <w:lang w:val="en-US"/>
              </w:rPr>
              <w:t>%)</w:t>
            </w:r>
          </w:p>
        </w:tc>
        <w:tc>
          <w:tcPr>
            <w:tcW w:w="997" w:type="dxa"/>
            <w:vMerge/>
            <w:shd w:val="clear" w:color="auto" w:fill="auto"/>
            <w:vAlign w:val="bottom"/>
          </w:tcPr>
          <w:p w14:paraId="543062A8" w14:textId="77777777" w:rsidR="00EA422B" w:rsidRPr="004C184C" w:rsidRDefault="00EA422B" w:rsidP="009C5587">
            <w:pPr>
              <w:suppressAutoHyphens w:val="0"/>
              <w:spacing w:before="40" w:after="40" w:line="220" w:lineRule="exact"/>
              <w:ind w:right="113"/>
              <w:jc w:val="right"/>
              <w:rPr>
                <w:sz w:val="18"/>
                <w:lang w:val="en-US"/>
              </w:rPr>
            </w:pPr>
          </w:p>
        </w:tc>
        <w:tc>
          <w:tcPr>
            <w:tcW w:w="1070" w:type="dxa"/>
            <w:vMerge/>
            <w:shd w:val="clear" w:color="auto" w:fill="auto"/>
            <w:vAlign w:val="bottom"/>
          </w:tcPr>
          <w:p w14:paraId="5F45A60A" w14:textId="77777777" w:rsidR="00EA422B" w:rsidRPr="004C184C" w:rsidRDefault="00EA422B" w:rsidP="009C5587">
            <w:pPr>
              <w:suppressAutoHyphens w:val="0"/>
              <w:spacing w:before="40" w:after="40" w:line="220" w:lineRule="exact"/>
              <w:ind w:right="113"/>
              <w:jc w:val="right"/>
              <w:rPr>
                <w:sz w:val="18"/>
                <w:lang w:val="en-US"/>
              </w:rPr>
            </w:pPr>
          </w:p>
        </w:tc>
        <w:tc>
          <w:tcPr>
            <w:tcW w:w="1307" w:type="dxa"/>
            <w:vMerge/>
            <w:shd w:val="clear" w:color="auto" w:fill="auto"/>
            <w:vAlign w:val="bottom"/>
          </w:tcPr>
          <w:p w14:paraId="0DFFB3C3" w14:textId="77777777" w:rsidR="00EA422B" w:rsidRPr="004C184C" w:rsidRDefault="00EA422B" w:rsidP="009C5587">
            <w:pPr>
              <w:suppressAutoHyphens w:val="0"/>
              <w:spacing w:before="40" w:after="40" w:line="220" w:lineRule="exact"/>
              <w:ind w:right="113"/>
              <w:jc w:val="right"/>
              <w:rPr>
                <w:sz w:val="18"/>
                <w:lang w:val="en-US"/>
              </w:rPr>
            </w:pPr>
          </w:p>
        </w:tc>
        <w:tc>
          <w:tcPr>
            <w:tcW w:w="1425" w:type="dxa"/>
            <w:vMerge/>
            <w:tcBorders>
              <w:bottom w:val="nil"/>
            </w:tcBorders>
            <w:shd w:val="clear" w:color="auto" w:fill="auto"/>
            <w:vAlign w:val="bottom"/>
          </w:tcPr>
          <w:p w14:paraId="25A0096C" w14:textId="77777777" w:rsidR="00EA422B" w:rsidRPr="004C184C" w:rsidRDefault="00EA422B" w:rsidP="009C5587">
            <w:pPr>
              <w:suppressAutoHyphens w:val="0"/>
              <w:spacing w:before="40" w:after="40" w:line="220" w:lineRule="exact"/>
              <w:ind w:right="113"/>
              <w:jc w:val="right"/>
              <w:rPr>
                <w:sz w:val="18"/>
                <w:lang w:val="en-US"/>
              </w:rPr>
            </w:pPr>
          </w:p>
        </w:tc>
      </w:tr>
      <w:tr w:rsidR="00EA422B" w:rsidRPr="004C184C" w14:paraId="07DE2CE1" w14:textId="77777777" w:rsidTr="005B4FE3">
        <w:tc>
          <w:tcPr>
            <w:tcW w:w="1429" w:type="dxa"/>
            <w:gridSpan w:val="3"/>
            <w:shd w:val="clear" w:color="auto" w:fill="auto"/>
          </w:tcPr>
          <w:p w14:paraId="28A06A38" w14:textId="77777777" w:rsidR="00EA422B" w:rsidRPr="004C184C" w:rsidRDefault="00EA422B" w:rsidP="009C5587">
            <w:pPr>
              <w:suppressAutoHyphens w:val="0"/>
              <w:spacing w:before="40" w:after="40" w:line="220" w:lineRule="exact"/>
              <w:ind w:right="113"/>
              <w:rPr>
                <w:sz w:val="18"/>
                <w:lang w:val="en-US"/>
              </w:rPr>
            </w:pPr>
            <w:r w:rsidRPr="004C184C">
              <w:rPr>
                <w:sz w:val="18"/>
                <w:lang w:val="en-US"/>
              </w:rPr>
              <w:t>Bangkok and its vicinity</w:t>
            </w:r>
          </w:p>
        </w:tc>
        <w:tc>
          <w:tcPr>
            <w:tcW w:w="1142" w:type="dxa"/>
            <w:shd w:val="clear" w:color="auto" w:fill="auto"/>
            <w:vAlign w:val="bottom"/>
          </w:tcPr>
          <w:p w14:paraId="2D17B000" w14:textId="342E89DB"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10</w:t>
            </w:r>
            <w:r w:rsidR="009C5587" w:rsidRPr="004C184C">
              <w:rPr>
                <w:sz w:val="18"/>
                <w:lang w:val="en-US"/>
              </w:rPr>
              <w:t xml:space="preserve"> </w:t>
            </w:r>
            <w:r w:rsidRPr="004C184C">
              <w:rPr>
                <w:sz w:val="18"/>
                <w:lang w:val="en-US"/>
              </w:rPr>
              <w:t>831</w:t>
            </w:r>
            <w:r w:rsidR="009C5587" w:rsidRPr="004C184C">
              <w:rPr>
                <w:sz w:val="18"/>
                <w:lang w:val="en-US"/>
              </w:rPr>
              <w:t xml:space="preserve"> </w:t>
            </w:r>
            <w:r w:rsidRPr="004C184C">
              <w:rPr>
                <w:sz w:val="18"/>
                <w:lang w:val="en-US"/>
              </w:rPr>
              <w:t>988</w:t>
            </w:r>
          </w:p>
        </w:tc>
        <w:tc>
          <w:tcPr>
            <w:tcW w:w="997" w:type="dxa"/>
            <w:vMerge w:val="restart"/>
            <w:shd w:val="clear" w:color="auto" w:fill="auto"/>
            <w:vAlign w:val="bottom"/>
          </w:tcPr>
          <w:p w14:paraId="00C7B8AF" w14:textId="4AD560F8"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1</w:t>
            </w:r>
            <w:r w:rsidR="009C5587" w:rsidRPr="004C184C">
              <w:rPr>
                <w:sz w:val="18"/>
                <w:lang w:val="en-US"/>
              </w:rPr>
              <w:t xml:space="preserve"> </w:t>
            </w:r>
            <w:r w:rsidRPr="004C184C">
              <w:rPr>
                <w:sz w:val="18"/>
                <w:lang w:val="en-US"/>
              </w:rPr>
              <w:t>395</w:t>
            </w:r>
            <w:r w:rsidRPr="004C184C">
              <w:rPr>
                <w:sz w:val="18"/>
                <w:cs/>
                <w:lang w:val="en-US"/>
              </w:rPr>
              <w:t>.</w:t>
            </w:r>
            <w:r w:rsidRPr="004C184C">
              <w:rPr>
                <w:sz w:val="18"/>
                <w:lang w:val="en-US"/>
              </w:rPr>
              <w:t>6</w:t>
            </w:r>
          </w:p>
        </w:tc>
        <w:tc>
          <w:tcPr>
            <w:tcW w:w="1070" w:type="dxa"/>
            <w:vMerge w:val="restart"/>
            <w:shd w:val="clear" w:color="auto" w:fill="auto"/>
            <w:vAlign w:val="bottom"/>
          </w:tcPr>
          <w:p w14:paraId="0904CC66" w14:textId="77777777"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12</w:t>
            </w:r>
            <w:r w:rsidRPr="004C184C">
              <w:rPr>
                <w:sz w:val="18"/>
                <w:cs/>
                <w:lang w:val="en-US"/>
              </w:rPr>
              <w:t>.</w:t>
            </w:r>
            <w:r w:rsidRPr="004C184C">
              <w:rPr>
                <w:sz w:val="18"/>
                <w:lang w:val="en-US"/>
              </w:rPr>
              <w:t>6</w:t>
            </w:r>
          </w:p>
        </w:tc>
        <w:tc>
          <w:tcPr>
            <w:tcW w:w="1307" w:type="dxa"/>
            <w:vMerge w:val="restart"/>
            <w:shd w:val="clear" w:color="auto" w:fill="auto"/>
            <w:vAlign w:val="bottom"/>
          </w:tcPr>
          <w:p w14:paraId="182208B9" w14:textId="77777777"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7</w:t>
            </w:r>
            <w:r w:rsidRPr="004C184C">
              <w:rPr>
                <w:sz w:val="18"/>
                <w:cs/>
                <w:lang w:val="en-US"/>
              </w:rPr>
              <w:t>.</w:t>
            </w:r>
            <w:r w:rsidRPr="004C184C">
              <w:rPr>
                <w:sz w:val="18"/>
                <w:lang w:val="en-US"/>
              </w:rPr>
              <w:t>1</w:t>
            </w:r>
          </w:p>
        </w:tc>
        <w:tc>
          <w:tcPr>
            <w:tcW w:w="1425" w:type="dxa"/>
            <w:vMerge w:val="restart"/>
            <w:tcBorders>
              <w:top w:val="nil"/>
              <w:bottom w:val="nil"/>
            </w:tcBorders>
            <w:shd w:val="clear" w:color="auto" w:fill="auto"/>
            <w:vAlign w:val="bottom"/>
          </w:tcPr>
          <w:p w14:paraId="6CB571DD" w14:textId="77777777"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n</w:t>
            </w:r>
            <w:r w:rsidRPr="004C184C">
              <w:rPr>
                <w:sz w:val="18"/>
                <w:cs/>
                <w:lang w:val="en-US"/>
              </w:rPr>
              <w:t>/</w:t>
            </w:r>
            <w:r w:rsidRPr="004C184C">
              <w:rPr>
                <w:sz w:val="18"/>
                <w:lang w:val="en-US"/>
              </w:rPr>
              <w:t>a</w:t>
            </w:r>
          </w:p>
        </w:tc>
      </w:tr>
      <w:tr w:rsidR="00EA422B" w:rsidRPr="004C184C" w14:paraId="568E2DFA" w14:textId="77777777" w:rsidTr="005B4FE3">
        <w:tc>
          <w:tcPr>
            <w:tcW w:w="776" w:type="dxa"/>
            <w:gridSpan w:val="2"/>
            <w:shd w:val="clear" w:color="auto" w:fill="auto"/>
          </w:tcPr>
          <w:p w14:paraId="716C59B9" w14:textId="77777777" w:rsidR="00EA422B" w:rsidRPr="004C184C" w:rsidRDefault="00EA422B" w:rsidP="009C5587">
            <w:pPr>
              <w:suppressAutoHyphens w:val="0"/>
              <w:spacing w:before="40" w:after="40" w:line="220" w:lineRule="exact"/>
              <w:ind w:right="113"/>
              <w:rPr>
                <w:sz w:val="18"/>
                <w:lang w:val="en-US"/>
              </w:rPr>
            </w:pPr>
          </w:p>
        </w:tc>
        <w:tc>
          <w:tcPr>
            <w:tcW w:w="653" w:type="dxa"/>
            <w:shd w:val="clear" w:color="auto" w:fill="auto"/>
          </w:tcPr>
          <w:p w14:paraId="64BB11EE" w14:textId="77777777" w:rsidR="00EA422B" w:rsidRPr="004C184C" w:rsidRDefault="00EA422B" w:rsidP="009C5587">
            <w:pPr>
              <w:suppressAutoHyphens w:val="0"/>
              <w:spacing w:before="40" w:after="40" w:line="220" w:lineRule="exact"/>
              <w:ind w:right="113"/>
              <w:rPr>
                <w:sz w:val="18"/>
                <w:lang w:val="en-US"/>
              </w:rPr>
            </w:pPr>
            <w:r w:rsidRPr="004C184C">
              <w:rPr>
                <w:sz w:val="18"/>
                <w:lang w:val="en-US"/>
              </w:rPr>
              <w:t>Female</w:t>
            </w:r>
          </w:p>
        </w:tc>
        <w:tc>
          <w:tcPr>
            <w:tcW w:w="1142" w:type="dxa"/>
            <w:shd w:val="clear" w:color="auto" w:fill="auto"/>
            <w:vAlign w:val="bottom"/>
          </w:tcPr>
          <w:p w14:paraId="77ABBDE3" w14:textId="6C9B57AC"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5</w:t>
            </w:r>
            <w:r w:rsidR="009C5587" w:rsidRPr="004C184C">
              <w:rPr>
                <w:sz w:val="18"/>
                <w:lang w:val="en-US"/>
              </w:rPr>
              <w:t xml:space="preserve"> </w:t>
            </w:r>
            <w:r w:rsidRPr="004C184C">
              <w:rPr>
                <w:sz w:val="18"/>
                <w:lang w:val="en-US"/>
              </w:rPr>
              <w:t>699</w:t>
            </w:r>
            <w:r w:rsidR="009C5587" w:rsidRPr="004C184C">
              <w:rPr>
                <w:sz w:val="18"/>
                <w:lang w:val="en-US"/>
              </w:rPr>
              <w:t xml:space="preserve"> </w:t>
            </w:r>
            <w:r w:rsidRPr="004C184C">
              <w:rPr>
                <w:sz w:val="18"/>
                <w:lang w:val="en-US"/>
              </w:rPr>
              <w:t>1255</w:t>
            </w:r>
          </w:p>
        </w:tc>
        <w:tc>
          <w:tcPr>
            <w:tcW w:w="997" w:type="dxa"/>
            <w:vMerge/>
            <w:shd w:val="clear" w:color="auto" w:fill="auto"/>
            <w:vAlign w:val="bottom"/>
          </w:tcPr>
          <w:p w14:paraId="12A092EC" w14:textId="77777777" w:rsidR="00EA422B" w:rsidRPr="004C184C" w:rsidRDefault="00EA422B" w:rsidP="009C5587">
            <w:pPr>
              <w:suppressAutoHyphens w:val="0"/>
              <w:spacing w:before="40" w:after="40" w:line="220" w:lineRule="exact"/>
              <w:ind w:right="113"/>
              <w:jc w:val="right"/>
              <w:rPr>
                <w:sz w:val="18"/>
                <w:lang w:val="en-US"/>
              </w:rPr>
            </w:pPr>
          </w:p>
        </w:tc>
        <w:tc>
          <w:tcPr>
            <w:tcW w:w="1070" w:type="dxa"/>
            <w:vMerge/>
            <w:shd w:val="clear" w:color="auto" w:fill="auto"/>
            <w:vAlign w:val="bottom"/>
          </w:tcPr>
          <w:p w14:paraId="3531191D" w14:textId="77777777" w:rsidR="00EA422B" w:rsidRPr="004C184C" w:rsidRDefault="00EA422B" w:rsidP="009C5587">
            <w:pPr>
              <w:suppressAutoHyphens w:val="0"/>
              <w:spacing w:before="40" w:after="40" w:line="220" w:lineRule="exact"/>
              <w:ind w:right="113"/>
              <w:jc w:val="right"/>
              <w:rPr>
                <w:sz w:val="18"/>
                <w:lang w:val="en-US"/>
              </w:rPr>
            </w:pPr>
          </w:p>
        </w:tc>
        <w:tc>
          <w:tcPr>
            <w:tcW w:w="1307" w:type="dxa"/>
            <w:vMerge/>
            <w:shd w:val="clear" w:color="auto" w:fill="auto"/>
            <w:vAlign w:val="bottom"/>
          </w:tcPr>
          <w:p w14:paraId="379D3BE9" w14:textId="77777777" w:rsidR="00EA422B" w:rsidRPr="004C184C" w:rsidRDefault="00EA422B" w:rsidP="009C5587">
            <w:pPr>
              <w:suppressAutoHyphens w:val="0"/>
              <w:spacing w:before="40" w:after="40" w:line="220" w:lineRule="exact"/>
              <w:ind w:right="113"/>
              <w:jc w:val="right"/>
              <w:rPr>
                <w:sz w:val="18"/>
                <w:lang w:val="en-US"/>
              </w:rPr>
            </w:pPr>
          </w:p>
        </w:tc>
        <w:tc>
          <w:tcPr>
            <w:tcW w:w="1425" w:type="dxa"/>
            <w:vMerge/>
            <w:tcBorders>
              <w:top w:val="nil"/>
              <w:bottom w:val="nil"/>
            </w:tcBorders>
            <w:shd w:val="clear" w:color="auto" w:fill="auto"/>
            <w:vAlign w:val="bottom"/>
          </w:tcPr>
          <w:p w14:paraId="26103356" w14:textId="77777777" w:rsidR="00EA422B" w:rsidRPr="004C184C" w:rsidRDefault="00EA422B" w:rsidP="009C5587">
            <w:pPr>
              <w:suppressAutoHyphens w:val="0"/>
              <w:spacing w:before="40" w:after="40" w:line="220" w:lineRule="exact"/>
              <w:ind w:right="113"/>
              <w:jc w:val="right"/>
              <w:rPr>
                <w:sz w:val="18"/>
                <w:lang w:val="en-US"/>
              </w:rPr>
            </w:pPr>
          </w:p>
        </w:tc>
      </w:tr>
      <w:tr w:rsidR="00EA422B" w:rsidRPr="004C184C" w14:paraId="1422A6EC" w14:textId="77777777" w:rsidTr="005B4FE3">
        <w:tc>
          <w:tcPr>
            <w:tcW w:w="776" w:type="dxa"/>
            <w:gridSpan w:val="2"/>
            <w:shd w:val="clear" w:color="auto" w:fill="auto"/>
          </w:tcPr>
          <w:p w14:paraId="2786B174" w14:textId="77777777" w:rsidR="00EA422B" w:rsidRPr="004C184C" w:rsidRDefault="00EA422B" w:rsidP="009C5587">
            <w:pPr>
              <w:suppressAutoHyphens w:val="0"/>
              <w:spacing w:before="40" w:after="40" w:line="220" w:lineRule="exact"/>
              <w:ind w:right="113"/>
              <w:rPr>
                <w:sz w:val="18"/>
                <w:lang w:val="en-US"/>
              </w:rPr>
            </w:pPr>
          </w:p>
        </w:tc>
        <w:tc>
          <w:tcPr>
            <w:tcW w:w="653" w:type="dxa"/>
            <w:shd w:val="clear" w:color="auto" w:fill="auto"/>
          </w:tcPr>
          <w:p w14:paraId="75527C9D" w14:textId="77777777" w:rsidR="00EA422B" w:rsidRPr="004C184C" w:rsidRDefault="00EA422B" w:rsidP="009C5587">
            <w:pPr>
              <w:suppressAutoHyphens w:val="0"/>
              <w:spacing w:before="40" w:after="40" w:line="220" w:lineRule="exact"/>
              <w:ind w:right="113"/>
              <w:rPr>
                <w:sz w:val="18"/>
                <w:lang w:val="en-US"/>
              </w:rPr>
            </w:pPr>
            <w:r w:rsidRPr="004C184C">
              <w:rPr>
                <w:sz w:val="18"/>
                <w:lang w:val="en-US"/>
              </w:rPr>
              <w:t>Male</w:t>
            </w:r>
          </w:p>
        </w:tc>
        <w:tc>
          <w:tcPr>
            <w:tcW w:w="1142" w:type="dxa"/>
            <w:shd w:val="clear" w:color="auto" w:fill="auto"/>
            <w:vAlign w:val="bottom"/>
          </w:tcPr>
          <w:p w14:paraId="78838C31" w14:textId="19B7AE43"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5</w:t>
            </w:r>
            <w:r w:rsidR="009C5587" w:rsidRPr="004C184C">
              <w:rPr>
                <w:sz w:val="18"/>
                <w:lang w:val="en-US"/>
              </w:rPr>
              <w:t xml:space="preserve"> </w:t>
            </w:r>
            <w:r w:rsidRPr="004C184C">
              <w:rPr>
                <w:sz w:val="18"/>
                <w:lang w:val="en-US"/>
              </w:rPr>
              <w:t>132</w:t>
            </w:r>
            <w:r w:rsidR="009C5587" w:rsidRPr="004C184C">
              <w:rPr>
                <w:sz w:val="18"/>
                <w:lang w:val="en-US"/>
              </w:rPr>
              <w:t xml:space="preserve"> </w:t>
            </w:r>
            <w:r w:rsidRPr="004C184C">
              <w:rPr>
                <w:sz w:val="18"/>
                <w:lang w:val="en-US"/>
              </w:rPr>
              <w:t>863</w:t>
            </w:r>
          </w:p>
        </w:tc>
        <w:tc>
          <w:tcPr>
            <w:tcW w:w="997" w:type="dxa"/>
            <w:vMerge/>
            <w:shd w:val="clear" w:color="auto" w:fill="auto"/>
            <w:vAlign w:val="bottom"/>
          </w:tcPr>
          <w:p w14:paraId="69A62910" w14:textId="77777777" w:rsidR="00EA422B" w:rsidRPr="004C184C" w:rsidRDefault="00EA422B" w:rsidP="009C5587">
            <w:pPr>
              <w:suppressAutoHyphens w:val="0"/>
              <w:spacing w:before="40" w:after="40" w:line="220" w:lineRule="exact"/>
              <w:ind w:right="113"/>
              <w:jc w:val="right"/>
              <w:rPr>
                <w:sz w:val="18"/>
                <w:lang w:val="en-US"/>
              </w:rPr>
            </w:pPr>
          </w:p>
        </w:tc>
        <w:tc>
          <w:tcPr>
            <w:tcW w:w="1070" w:type="dxa"/>
            <w:vMerge/>
            <w:shd w:val="clear" w:color="auto" w:fill="auto"/>
            <w:vAlign w:val="bottom"/>
          </w:tcPr>
          <w:p w14:paraId="26822EFE" w14:textId="77777777" w:rsidR="00EA422B" w:rsidRPr="004C184C" w:rsidRDefault="00EA422B" w:rsidP="009C5587">
            <w:pPr>
              <w:suppressAutoHyphens w:val="0"/>
              <w:spacing w:before="40" w:after="40" w:line="220" w:lineRule="exact"/>
              <w:ind w:right="113"/>
              <w:jc w:val="right"/>
              <w:rPr>
                <w:sz w:val="18"/>
                <w:lang w:val="en-US"/>
              </w:rPr>
            </w:pPr>
          </w:p>
        </w:tc>
        <w:tc>
          <w:tcPr>
            <w:tcW w:w="1307" w:type="dxa"/>
            <w:vMerge/>
            <w:shd w:val="clear" w:color="auto" w:fill="auto"/>
            <w:vAlign w:val="bottom"/>
          </w:tcPr>
          <w:p w14:paraId="6B519A7E" w14:textId="77777777" w:rsidR="00EA422B" w:rsidRPr="004C184C" w:rsidRDefault="00EA422B" w:rsidP="009C5587">
            <w:pPr>
              <w:suppressAutoHyphens w:val="0"/>
              <w:spacing w:before="40" w:after="40" w:line="220" w:lineRule="exact"/>
              <w:ind w:right="113"/>
              <w:jc w:val="right"/>
              <w:rPr>
                <w:sz w:val="18"/>
                <w:lang w:val="en-US"/>
              </w:rPr>
            </w:pPr>
          </w:p>
        </w:tc>
        <w:tc>
          <w:tcPr>
            <w:tcW w:w="1425" w:type="dxa"/>
            <w:vMerge/>
            <w:tcBorders>
              <w:top w:val="nil"/>
              <w:bottom w:val="nil"/>
            </w:tcBorders>
            <w:shd w:val="clear" w:color="auto" w:fill="auto"/>
            <w:vAlign w:val="bottom"/>
          </w:tcPr>
          <w:p w14:paraId="34A0B3E8" w14:textId="77777777" w:rsidR="00EA422B" w:rsidRPr="004C184C" w:rsidRDefault="00EA422B" w:rsidP="009C5587">
            <w:pPr>
              <w:suppressAutoHyphens w:val="0"/>
              <w:spacing w:before="40" w:after="40" w:line="220" w:lineRule="exact"/>
              <w:ind w:right="113"/>
              <w:jc w:val="right"/>
              <w:rPr>
                <w:sz w:val="18"/>
                <w:lang w:val="en-US"/>
              </w:rPr>
            </w:pPr>
          </w:p>
        </w:tc>
      </w:tr>
      <w:tr w:rsidR="00EA422B" w:rsidRPr="004C184C" w14:paraId="41B4801A" w14:textId="77777777" w:rsidTr="005B4FE3">
        <w:tc>
          <w:tcPr>
            <w:tcW w:w="1429" w:type="dxa"/>
            <w:gridSpan w:val="3"/>
            <w:shd w:val="clear" w:color="auto" w:fill="auto"/>
          </w:tcPr>
          <w:p w14:paraId="106A64D5" w14:textId="77777777" w:rsidR="00EA422B" w:rsidRPr="004C184C" w:rsidRDefault="00EA422B" w:rsidP="009C5587">
            <w:pPr>
              <w:suppressAutoHyphens w:val="0"/>
              <w:spacing w:before="40" w:after="40" w:line="220" w:lineRule="exact"/>
              <w:ind w:right="113"/>
              <w:rPr>
                <w:sz w:val="18"/>
                <w:lang w:val="en-US"/>
              </w:rPr>
            </w:pPr>
            <w:r w:rsidRPr="004C184C">
              <w:rPr>
                <w:sz w:val="18"/>
                <w:lang w:val="en-US"/>
              </w:rPr>
              <w:t>Central region</w:t>
            </w:r>
          </w:p>
        </w:tc>
        <w:tc>
          <w:tcPr>
            <w:tcW w:w="1142" w:type="dxa"/>
            <w:shd w:val="clear" w:color="auto" w:fill="auto"/>
            <w:vAlign w:val="bottom"/>
          </w:tcPr>
          <w:p w14:paraId="5CAB0297" w14:textId="1B632725"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3</w:t>
            </w:r>
            <w:r w:rsidR="009C5587" w:rsidRPr="004C184C">
              <w:rPr>
                <w:sz w:val="18"/>
                <w:lang w:val="en-US"/>
              </w:rPr>
              <w:t xml:space="preserve"> </w:t>
            </w:r>
            <w:r w:rsidRPr="004C184C">
              <w:rPr>
                <w:sz w:val="18"/>
                <w:lang w:val="en-US"/>
              </w:rPr>
              <w:t>034</w:t>
            </w:r>
            <w:r w:rsidR="009C5587" w:rsidRPr="004C184C">
              <w:rPr>
                <w:sz w:val="18"/>
                <w:lang w:val="en-US"/>
              </w:rPr>
              <w:t xml:space="preserve"> </w:t>
            </w:r>
            <w:r w:rsidRPr="004C184C">
              <w:rPr>
                <w:sz w:val="18"/>
                <w:lang w:val="en-US"/>
              </w:rPr>
              <w:t>162</w:t>
            </w:r>
          </w:p>
        </w:tc>
        <w:tc>
          <w:tcPr>
            <w:tcW w:w="997" w:type="dxa"/>
            <w:vMerge w:val="restart"/>
            <w:shd w:val="clear" w:color="auto" w:fill="auto"/>
            <w:vAlign w:val="bottom"/>
          </w:tcPr>
          <w:p w14:paraId="278F3213" w14:textId="77777777"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182</w:t>
            </w:r>
            <w:r w:rsidRPr="004C184C">
              <w:rPr>
                <w:sz w:val="18"/>
                <w:cs/>
                <w:lang w:val="en-US"/>
              </w:rPr>
              <w:t>.</w:t>
            </w:r>
            <w:r w:rsidRPr="004C184C">
              <w:rPr>
                <w:sz w:val="18"/>
                <w:lang w:val="en-US"/>
              </w:rPr>
              <w:t>9</w:t>
            </w:r>
          </w:p>
        </w:tc>
        <w:tc>
          <w:tcPr>
            <w:tcW w:w="1070" w:type="dxa"/>
            <w:vMerge w:val="restart"/>
            <w:shd w:val="clear" w:color="auto" w:fill="auto"/>
            <w:vAlign w:val="bottom"/>
          </w:tcPr>
          <w:p w14:paraId="3B80C6DD" w14:textId="77777777"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9</w:t>
            </w:r>
            <w:r w:rsidRPr="004C184C">
              <w:rPr>
                <w:sz w:val="18"/>
                <w:cs/>
                <w:lang w:val="en-US"/>
              </w:rPr>
              <w:t>.</w:t>
            </w:r>
            <w:r w:rsidRPr="004C184C">
              <w:rPr>
                <w:sz w:val="18"/>
                <w:lang w:val="en-US"/>
              </w:rPr>
              <w:t>1</w:t>
            </w:r>
          </w:p>
        </w:tc>
        <w:tc>
          <w:tcPr>
            <w:tcW w:w="1307" w:type="dxa"/>
            <w:vMerge w:val="restart"/>
            <w:shd w:val="clear" w:color="auto" w:fill="auto"/>
            <w:vAlign w:val="bottom"/>
          </w:tcPr>
          <w:p w14:paraId="5659DC75" w14:textId="77777777"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8</w:t>
            </w:r>
            <w:r w:rsidRPr="004C184C">
              <w:rPr>
                <w:sz w:val="18"/>
                <w:cs/>
                <w:lang w:val="en-US"/>
              </w:rPr>
              <w:t>.</w:t>
            </w:r>
            <w:r w:rsidRPr="004C184C">
              <w:rPr>
                <w:sz w:val="18"/>
                <w:lang w:val="en-US"/>
              </w:rPr>
              <w:t>7</w:t>
            </w:r>
          </w:p>
        </w:tc>
        <w:tc>
          <w:tcPr>
            <w:tcW w:w="1425" w:type="dxa"/>
            <w:vMerge/>
            <w:tcBorders>
              <w:top w:val="nil"/>
              <w:bottom w:val="nil"/>
            </w:tcBorders>
            <w:shd w:val="clear" w:color="auto" w:fill="auto"/>
            <w:vAlign w:val="bottom"/>
          </w:tcPr>
          <w:p w14:paraId="506B5BFB" w14:textId="77777777" w:rsidR="00EA422B" w:rsidRPr="004C184C" w:rsidRDefault="00EA422B" w:rsidP="009C5587">
            <w:pPr>
              <w:suppressAutoHyphens w:val="0"/>
              <w:spacing w:before="40" w:after="40" w:line="220" w:lineRule="exact"/>
              <w:ind w:right="113"/>
              <w:jc w:val="right"/>
              <w:rPr>
                <w:sz w:val="18"/>
                <w:lang w:val="en-US"/>
              </w:rPr>
            </w:pPr>
          </w:p>
        </w:tc>
      </w:tr>
      <w:tr w:rsidR="00EA422B" w:rsidRPr="004C184C" w14:paraId="5F13342B" w14:textId="77777777" w:rsidTr="005B4FE3">
        <w:tc>
          <w:tcPr>
            <w:tcW w:w="776" w:type="dxa"/>
            <w:gridSpan w:val="2"/>
            <w:shd w:val="clear" w:color="auto" w:fill="auto"/>
          </w:tcPr>
          <w:p w14:paraId="44A35011" w14:textId="77777777" w:rsidR="00EA422B" w:rsidRPr="004C184C" w:rsidRDefault="00EA422B" w:rsidP="009C5587">
            <w:pPr>
              <w:suppressAutoHyphens w:val="0"/>
              <w:spacing w:before="40" w:after="40" w:line="220" w:lineRule="exact"/>
              <w:ind w:right="113"/>
              <w:rPr>
                <w:sz w:val="18"/>
                <w:lang w:val="en-US"/>
              </w:rPr>
            </w:pPr>
          </w:p>
        </w:tc>
        <w:tc>
          <w:tcPr>
            <w:tcW w:w="653" w:type="dxa"/>
            <w:shd w:val="clear" w:color="auto" w:fill="auto"/>
          </w:tcPr>
          <w:p w14:paraId="48438839" w14:textId="77777777" w:rsidR="00EA422B" w:rsidRPr="004C184C" w:rsidRDefault="00EA422B" w:rsidP="009C5587">
            <w:pPr>
              <w:suppressAutoHyphens w:val="0"/>
              <w:spacing w:before="40" w:after="40" w:line="220" w:lineRule="exact"/>
              <w:ind w:right="113"/>
              <w:rPr>
                <w:sz w:val="18"/>
                <w:lang w:val="en-US"/>
              </w:rPr>
            </w:pPr>
            <w:r w:rsidRPr="004C184C">
              <w:rPr>
                <w:sz w:val="18"/>
                <w:lang w:val="en-US"/>
              </w:rPr>
              <w:t>Female</w:t>
            </w:r>
          </w:p>
        </w:tc>
        <w:tc>
          <w:tcPr>
            <w:tcW w:w="1142" w:type="dxa"/>
            <w:shd w:val="clear" w:color="auto" w:fill="auto"/>
            <w:vAlign w:val="bottom"/>
          </w:tcPr>
          <w:p w14:paraId="61CDC9B2" w14:textId="35246D73"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1</w:t>
            </w:r>
            <w:r w:rsidR="009C5587" w:rsidRPr="004C184C">
              <w:rPr>
                <w:sz w:val="18"/>
                <w:lang w:val="en-US"/>
              </w:rPr>
              <w:t xml:space="preserve"> </w:t>
            </w:r>
            <w:r w:rsidRPr="004C184C">
              <w:rPr>
                <w:sz w:val="18"/>
                <w:lang w:val="en-US"/>
              </w:rPr>
              <w:t>552</w:t>
            </w:r>
            <w:r w:rsidR="009C5587" w:rsidRPr="004C184C">
              <w:rPr>
                <w:sz w:val="18"/>
                <w:lang w:val="en-US"/>
              </w:rPr>
              <w:t xml:space="preserve"> </w:t>
            </w:r>
            <w:r w:rsidRPr="004C184C">
              <w:rPr>
                <w:sz w:val="18"/>
                <w:lang w:val="en-US"/>
              </w:rPr>
              <w:t>237</w:t>
            </w:r>
          </w:p>
        </w:tc>
        <w:tc>
          <w:tcPr>
            <w:tcW w:w="997" w:type="dxa"/>
            <w:vMerge/>
            <w:shd w:val="clear" w:color="auto" w:fill="auto"/>
            <w:vAlign w:val="bottom"/>
          </w:tcPr>
          <w:p w14:paraId="2EBFAD72" w14:textId="77777777" w:rsidR="00EA422B" w:rsidRPr="004C184C" w:rsidRDefault="00EA422B" w:rsidP="009C5587">
            <w:pPr>
              <w:suppressAutoHyphens w:val="0"/>
              <w:spacing w:before="40" w:after="40" w:line="220" w:lineRule="exact"/>
              <w:ind w:right="113"/>
              <w:jc w:val="right"/>
              <w:rPr>
                <w:sz w:val="18"/>
                <w:lang w:val="en-US"/>
              </w:rPr>
            </w:pPr>
          </w:p>
        </w:tc>
        <w:tc>
          <w:tcPr>
            <w:tcW w:w="1070" w:type="dxa"/>
            <w:vMerge/>
            <w:shd w:val="clear" w:color="auto" w:fill="auto"/>
            <w:vAlign w:val="bottom"/>
          </w:tcPr>
          <w:p w14:paraId="0A6DCAF4" w14:textId="77777777" w:rsidR="00EA422B" w:rsidRPr="004C184C" w:rsidRDefault="00EA422B" w:rsidP="009C5587">
            <w:pPr>
              <w:suppressAutoHyphens w:val="0"/>
              <w:spacing w:before="40" w:after="40" w:line="220" w:lineRule="exact"/>
              <w:ind w:right="113"/>
              <w:jc w:val="right"/>
              <w:rPr>
                <w:sz w:val="18"/>
                <w:lang w:val="en-US"/>
              </w:rPr>
            </w:pPr>
          </w:p>
        </w:tc>
        <w:tc>
          <w:tcPr>
            <w:tcW w:w="1307" w:type="dxa"/>
            <w:vMerge/>
            <w:shd w:val="clear" w:color="auto" w:fill="auto"/>
            <w:vAlign w:val="bottom"/>
          </w:tcPr>
          <w:p w14:paraId="310FB2A1" w14:textId="77777777" w:rsidR="00EA422B" w:rsidRPr="004C184C" w:rsidRDefault="00EA422B" w:rsidP="009C5587">
            <w:pPr>
              <w:suppressAutoHyphens w:val="0"/>
              <w:spacing w:before="40" w:after="40" w:line="220" w:lineRule="exact"/>
              <w:ind w:right="113"/>
              <w:jc w:val="right"/>
              <w:rPr>
                <w:sz w:val="18"/>
                <w:lang w:val="en-US"/>
              </w:rPr>
            </w:pPr>
          </w:p>
        </w:tc>
        <w:tc>
          <w:tcPr>
            <w:tcW w:w="1425" w:type="dxa"/>
            <w:vMerge/>
            <w:tcBorders>
              <w:top w:val="nil"/>
              <w:bottom w:val="nil"/>
            </w:tcBorders>
            <w:shd w:val="clear" w:color="auto" w:fill="auto"/>
            <w:vAlign w:val="bottom"/>
          </w:tcPr>
          <w:p w14:paraId="4244A8F9" w14:textId="77777777" w:rsidR="00EA422B" w:rsidRPr="004C184C" w:rsidRDefault="00EA422B" w:rsidP="009C5587">
            <w:pPr>
              <w:suppressAutoHyphens w:val="0"/>
              <w:spacing w:before="40" w:after="40" w:line="220" w:lineRule="exact"/>
              <w:ind w:right="113"/>
              <w:jc w:val="right"/>
              <w:rPr>
                <w:sz w:val="18"/>
                <w:lang w:val="en-US"/>
              </w:rPr>
            </w:pPr>
          </w:p>
        </w:tc>
      </w:tr>
      <w:tr w:rsidR="00EA422B" w:rsidRPr="004C184C" w14:paraId="1479545A" w14:textId="77777777" w:rsidTr="005B4FE3">
        <w:tc>
          <w:tcPr>
            <w:tcW w:w="776" w:type="dxa"/>
            <w:gridSpan w:val="2"/>
            <w:shd w:val="clear" w:color="auto" w:fill="auto"/>
          </w:tcPr>
          <w:p w14:paraId="7EC53C0B" w14:textId="77777777" w:rsidR="00EA422B" w:rsidRPr="004C184C" w:rsidRDefault="00EA422B" w:rsidP="009C5587">
            <w:pPr>
              <w:suppressAutoHyphens w:val="0"/>
              <w:spacing w:before="40" w:after="40" w:line="220" w:lineRule="exact"/>
              <w:ind w:right="113"/>
              <w:rPr>
                <w:sz w:val="18"/>
                <w:lang w:val="en-US"/>
              </w:rPr>
            </w:pPr>
          </w:p>
        </w:tc>
        <w:tc>
          <w:tcPr>
            <w:tcW w:w="653" w:type="dxa"/>
            <w:shd w:val="clear" w:color="auto" w:fill="auto"/>
          </w:tcPr>
          <w:p w14:paraId="6F9D7DCF" w14:textId="77777777" w:rsidR="00EA422B" w:rsidRPr="004C184C" w:rsidRDefault="00EA422B" w:rsidP="009C5587">
            <w:pPr>
              <w:suppressAutoHyphens w:val="0"/>
              <w:spacing w:before="40" w:after="40" w:line="220" w:lineRule="exact"/>
              <w:ind w:right="113"/>
              <w:rPr>
                <w:sz w:val="18"/>
                <w:lang w:val="en-US"/>
              </w:rPr>
            </w:pPr>
            <w:r w:rsidRPr="004C184C">
              <w:rPr>
                <w:sz w:val="18"/>
                <w:lang w:val="en-US"/>
              </w:rPr>
              <w:t>Male</w:t>
            </w:r>
          </w:p>
        </w:tc>
        <w:tc>
          <w:tcPr>
            <w:tcW w:w="1142" w:type="dxa"/>
            <w:shd w:val="clear" w:color="auto" w:fill="auto"/>
            <w:vAlign w:val="bottom"/>
          </w:tcPr>
          <w:p w14:paraId="07F06C4F" w14:textId="260AB2AE"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1</w:t>
            </w:r>
            <w:r w:rsidR="009C5587" w:rsidRPr="004C184C">
              <w:rPr>
                <w:sz w:val="18"/>
                <w:lang w:val="en-US"/>
              </w:rPr>
              <w:t xml:space="preserve"> </w:t>
            </w:r>
            <w:r w:rsidRPr="004C184C">
              <w:rPr>
                <w:sz w:val="18"/>
                <w:lang w:val="en-US"/>
              </w:rPr>
              <w:t>481</w:t>
            </w:r>
            <w:r w:rsidR="009C5587" w:rsidRPr="004C184C">
              <w:rPr>
                <w:sz w:val="18"/>
                <w:lang w:val="en-US"/>
              </w:rPr>
              <w:t xml:space="preserve"> </w:t>
            </w:r>
            <w:r w:rsidRPr="004C184C">
              <w:rPr>
                <w:sz w:val="18"/>
                <w:lang w:val="en-US"/>
              </w:rPr>
              <w:t>925</w:t>
            </w:r>
          </w:p>
        </w:tc>
        <w:tc>
          <w:tcPr>
            <w:tcW w:w="997" w:type="dxa"/>
            <w:vMerge/>
            <w:shd w:val="clear" w:color="auto" w:fill="auto"/>
            <w:vAlign w:val="bottom"/>
          </w:tcPr>
          <w:p w14:paraId="2D77BACA" w14:textId="77777777" w:rsidR="00EA422B" w:rsidRPr="004C184C" w:rsidRDefault="00EA422B" w:rsidP="009C5587">
            <w:pPr>
              <w:suppressAutoHyphens w:val="0"/>
              <w:spacing w:before="40" w:after="40" w:line="220" w:lineRule="exact"/>
              <w:ind w:right="113"/>
              <w:jc w:val="right"/>
              <w:rPr>
                <w:sz w:val="18"/>
                <w:lang w:val="en-US"/>
              </w:rPr>
            </w:pPr>
          </w:p>
        </w:tc>
        <w:tc>
          <w:tcPr>
            <w:tcW w:w="1070" w:type="dxa"/>
            <w:vMerge/>
            <w:shd w:val="clear" w:color="auto" w:fill="auto"/>
            <w:vAlign w:val="bottom"/>
          </w:tcPr>
          <w:p w14:paraId="654591AD" w14:textId="77777777" w:rsidR="00EA422B" w:rsidRPr="004C184C" w:rsidRDefault="00EA422B" w:rsidP="009C5587">
            <w:pPr>
              <w:suppressAutoHyphens w:val="0"/>
              <w:spacing w:before="40" w:after="40" w:line="220" w:lineRule="exact"/>
              <w:ind w:right="113"/>
              <w:jc w:val="right"/>
              <w:rPr>
                <w:sz w:val="18"/>
                <w:lang w:val="en-US"/>
              </w:rPr>
            </w:pPr>
          </w:p>
        </w:tc>
        <w:tc>
          <w:tcPr>
            <w:tcW w:w="1307" w:type="dxa"/>
            <w:vMerge/>
            <w:shd w:val="clear" w:color="auto" w:fill="auto"/>
            <w:vAlign w:val="bottom"/>
          </w:tcPr>
          <w:p w14:paraId="38F27FD3" w14:textId="77777777" w:rsidR="00EA422B" w:rsidRPr="004C184C" w:rsidRDefault="00EA422B" w:rsidP="009C5587">
            <w:pPr>
              <w:suppressAutoHyphens w:val="0"/>
              <w:spacing w:before="40" w:after="40" w:line="220" w:lineRule="exact"/>
              <w:ind w:right="113"/>
              <w:jc w:val="right"/>
              <w:rPr>
                <w:sz w:val="18"/>
                <w:lang w:val="en-US"/>
              </w:rPr>
            </w:pPr>
          </w:p>
        </w:tc>
        <w:tc>
          <w:tcPr>
            <w:tcW w:w="1425" w:type="dxa"/>
            <w:vMerge/>
            <w:tcBorders>
              <w:top w:val="nil"/>
              <w:bottom w:val="nil"/>
            </w:tcBorders>
            <w:shd w:val="clear" w:color="auto" w:fill="auto"/>
            <w:vAlign w:val="bottom"/>
          </w:tcPr>
          <w:p w14:paraId="4A1EA3A9" w14:textId="77777777" w:rsidR="00EA422B" w:rsidRPr="004C184C" w:rsidRDefault="00EA422B" w:rsidP="009C5587">
            <w:pPr>
              <w:suppressAutoHyphens w:val="0"/>
              <w:spacing w:before="40" w:after="40" w:line="220" w:lineRule="exact"/>
              <w:ind w:right="113"/>
              <w:jc w:val="right"/>
              <w:rPr>
                <w:sz w:val="18"/>
                <w:lang w:val="en-US"/>
              </w:rPr>
            </w:pPr>
          </w:p>
        </w:tc>
      </w:tr>
      <w:tr w:rsidR="00EA422B" w:rsidRPr="004C184C" w14:paraId="0EDE7660" w14:textId="77777777" w:rsidTr="005B4FE3">
        <w:tc>
          <w:tcPr>
            <w:tcW w:w="1429" w:type="dxa"/>
            <w:gridSpan w:val="3"/>
            <w:shd w:val="clear" w:color="auto" w:fill="auto"/>
          </w:tcPr>
          <w:p w14:paraId="0DA5BEE4" w14:textId="77777777" w:rsidR="00EA422B" w:rsidRPr="004C184C" w:rsidRDefault="00EA422B" w:rsidP="009C5587">
            <w:pPr>
              <w:suppressAutoHyphens w:val="0"/>
              <w:spacing w:before="40" w:after="40" w:line="220" w:lineRule="exact"/>
              <w:ind w:right="113"/>
              <w:rPr>
                <w:sz w:val="18"/>
                <w:lang w:val="en-US"/>
              </w:rPr>
            </w:pPr>
            <w:r w:rsidRPr="004C184C">
              <w:rPr>
                <w:sz w:val="18"/>
                <w:lang w:val="en-US"/>
              </w:rPr>
              <w:t>Eastern region</w:t>
            </w:r>
          </w:p>
        </w:tc>
        <w:tc>
          <w:tcPr>
            <w:tcW w:w="1142" w:type="dxa"/>
            <w:shd w:val="clear" w:color="auto" w:fill="auto"/>
            <w:vAlign w:val="bottom"/>
          </w:tcPr>
          <w:p w14:paraId="2A98DB2A" w14:textId="412DDE10"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5</w:t>
            </w:r>
            <w:r w:rsidR="009C5587" w:rsidRPr="004C184C">
              <w:rPr>
                <w:sz w:val="18"/>
                <w:lang w:val="en-US"/>
              </w:rPr>
              <w:t xml:space="preserve"> </w:t>
            </w:r>
            <w:r w:rsidRPr="004C184C">
              <w:rPr>
                <w:sz w:val="18"/>
                <w:lang w:val="en-US"/>
              </w:rPr>
              <w:t>003</w:t>
            </w:r>
            <w:r w:rsidR="009C5587" w:rsidRPr="004C184C">
              <w:rPr>
                <w:sz w:val="18"/>
                <w:lang w:val="en-US"/>
              </w:rPr>
              <w:t xml:space="preserve"> </w:t>
            </w:r>
            <w:r w:rsidRPr="004C184C">
              <w:rPr>
                <w:sz w:val="18"/>
                <w:lang w:val="en-US"/>
              </w:rPr>
              <w:t>182</w:t>
            </w:r>
          </w:p>
        </w:tc>
        <w:tc>
          <w:tcPr>
            <w:tcW w:w="997" w:type="dxa"/>
            <w:vMerge w:val="restart"/>
            <w:shd w:val="clear" w:color="auto" w:fill="auto"/>
            <w:vAlign w:val="bottom"/>
          </w:tcPr>
          <w:p w14:paraId="451CA5C9" w14:textId="77777777"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137</w:t>
            </w:r>
            <w:r w:rsidRPr="004C184C">
              <w:rPr>
                <w:sz w:val="18"/>
                <w:cs/>
                <w:lang w:val="en-US"/>
              </w:rPr>
              <w:t>.</w:t>
            </w:r>
            <w:r w:rsidRPr="004C184C">
              <w:rPr>
                <w:sz w:val="18"/>
                <w:lang w:val="en-US"/>
              </w:rPr>
              <w:t>1</w:t>
            </w:r>
          </w:p>
        </w:tc>
        <w:tc>
          <w:tcPr>
            <w:tcW w:w="1070" w:type="dxa"/>
            <w:vMerge w:val="restart"/>
            <w:shd w:val="clear" w:color="auto" w:fill="auto"/>
            <w:vAlign w:val="bottom"/>
          </w:tcPr>
          <w:p w14:paraId="7710ED74" w14:textId="77777777"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13</w:t>
            </w:r>
            <w:r w:rsidRPr="004C184C">
              <w:rPr>
                <w:sz w:val="18"/>
                <w:cs/>
                <w:lang w:val="en-US"/>
              </w:rPr>
              <w:t>.</w:t>
            </w:r>
            <w:r w:rsidRPr="004C184C">
              <w:rPr>
                <w:sz w:val="18"/>
                <w:lang w:val="en-US"/>
              </w:rPr>
              <w:t>6</w:t>
            </w:r>
          </w:p>
        </w:tc>
        <w:tc>
          <w:tcPr>
            <w:tcW w:w="1307" w:type="dxa"/>
            <w:vMerge w:val="restart"/>
            <w:shd w:val="clear" w:color="auto" w:fill="auto"/>
            <w:vAlign w:val="bottom"/>
          </w:tcPr>
          <w:p w14:paraId="5F726862" w14:textId="77777777"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7</w:t>
            </w:r>
            <w:r w:rsidRPr="004C184C">
              <w:rPr>
                <w:sz w:val="18"/>
                <w:cs/>
                <w:lang w:val="en-US"/>
              </w:rPr>
              <w:t>.</w:t>
            </w:r>
            <w:r w:rsidRPr="004C184C">
              <w:rPr>
                <w:sz w:val="18"/>
                <w:lang w:val="en-US"/>
              </w:rPr>
              <w:t>4</w:t>
            </w:r>
          </w:p>
        </w:tc>
        <w:tc>
          <w:tcPr>
            <w:tcW w:w="1425" w:type="dxa"/>
            <w:vMerge/>
            <w:tcBorders>
              <w:top w:val="nil"/>
              <w:bottom w:val="nil"/>
            </w:tcBorders>
            <w:shd w:val="clear" w:color="auto" w:fill="auto"/>
            <w:vAlign w:val="bottom"/>
          </w:tcPr>
          <w:p w14:paraId="431B7183" w14:textId="77777777" w:rsidR="00EA422B" w:rsidRPr="004C184C" w:rsidRDefault="00EA422B" w:rsidP="009C5587">
            <w:pPr>
              <w:suppressAutoHyphens w:val="0"/>
              <w:spacing w:before="40" w:after="40" w:line="220" w:lineRule="exact"/>
              <w:ind w:right="113"/>
              <w:jc w:val="right"/>
              <w:rPr>
                <w:sz w:val="18"/>
                <w:lang w:val="en-US"/>
              </w:rPr>
            </w:pPr>
          </w:p>
        </w:tc>
      </w:tr>
      <w:tr w:rsidR="00EA422B" w:rsidRPr="004C184C" w14:paraId="65D233E6" w14:textId="77777777" w:rsidTr="005B4FE3">
        <w:tc>
          <w:tcPr>
            <w:tcW w:w="776" w:type="dxa"/>
            <w:gridSpan w:val="2"/>
            <w:shd w:val="clear" w:color="auto" w:fill="auto"/>
          </w:tcPr>
          <w:p w14:paraId="076FF4CE" w14:textId="77777777" w:rsidR="00EA422B" w:rsidRPr="004C184C" w:rsidRDefault="00EA422B" w:rsidP="009C5587">
            <w:pPr>
              <w:suppressAutoHyphens w:val="0"/>
              <w:spacing w:before="40" w:after="40" w:line="220" w:lineRule="exact"/>
              <w:ind w:right="113"/>
              <w:rPr>
                <w:sz w:val="18"/>
                <w:lang w:val="en-US"/>
              </w:rPr>
            </w:pPr>
          </w:p>
        </w:tc>
        <w:tc>
          <w:tcPr>
            <w:tcW w:w="653" w:type="dxa"/>
            <w:shd w:val="clear" w:color="auto" w:fill="auto"/>
          </w:tcPr>
          <w:p w14:paraId="6D0F3197" w14:textId="77777777" w:rsidR="00EA422B" w:rsidRPr="004C184C" w:rsidRDefault="00EA422B" w:rsidP="009C5587">
            <w:pPr>
              <w:suppressAutoHyphens w:val="0"/>
              <w:spacing w:before="40" w:after="40" w:line="220" w:lineRule="exact"/>
              <w:ind w:right="113"/>
              <w:rPr>
                <w:sz w:val="18"/>
                <w:lang w:val="en-US"/>
              </w:rPr>
            </w:pPr>
            <w:r w:rsidRPr="004C184C">
              <w:rPr>
                <w:sz w:val="18"/>
                <w:lang w:val="en-US"/>
              </w:rPr>
              <w:t>Female</w:t>
            </w:r>
          </w:p>
        </w:tc>
        <w:tc>
          <w:tcPr>
            <w:tcW w:w="1142" w:type="dxa"/>
            <w:shd w:val="clear" w:color="auto" w:fill="auto"/>
            <w:vAlign w:val="bottom"/>
          </w:tcPr>
          <w:p w14:paraId="7AEE54E1" w14:textId="44B71514"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2</w:t>
            </w:r>
            <w:r w:rsidR="009C5587" w:rsidRPr="004C184C">
              <w:rPr>
                <w:sz w:val="18"/>
                <w:lang w:val="en-US"/>
              </w:rPr>
              <w:t xml:space="preserve"> </w:t>
            </w:r>
            <w:r w:rsidRPr="004C184C">
              <w:rPr>
                <w:sz w:val="18"/>
                <w:lang w:val="en-US"/>
              </w:rPr>
              <w:t>539</w:t>
            </w:r>
            <w:r w:rsidR="009C5587" w:rsidRPr="004C184C">
              <w:rPr>
                <w:sz w:val="18"/>
                <w:lang w:val="en-US"/>
              </w:rPr>
              <w:t xml:space="preserve"> </w:t>
            </w:r>
            <w:r w:rsidRPr="004C184C">
              <w:rPr>
                <w:sz w:val="18"/>
                <w:lang w:val="en-US"/>
              </w:rPr>
              <w:t>439</w:t>
            </w:r>
          </w:p>
        </w:tc>
        <w:tc>
          <w:tcPr>
            <w:tcW w:w="997" w:type="dxa"/>
            <w:vMerge/>
            <w:shd w:val="clear" w:color="auto" w:fill="auto"/>
            <w:vAlign w:val="bottom"/>
          </w:tcPr>
          <w:p w14:paraId="243B32A7" w14:textId="77777777" w:rsidR="00EA422B" w:rsidRPr="004C184C" w:rsidRDefault="00EA422B" w:rsidP="009C5587">
            <w:pPr>
              <w:suppressAutoHyphens w:val="0"/>
              <w:spacing w:before="40" w:after="40" w:line="220" w:lineRule="exact"/>
              <w:ind w:right="113"/>
              <w:jc w:val="right"/>
              <w:rPr>
                <w:sz w:val="18"/>
                <w:lang w:val="en-US"/>
              </w:rPr>
            </w:pPr>
          </w:p>
        </w:tc>
        <w:tc>
          <w:tcPr>
            <w:tcW w:w="1070" w:type="dxa"/>
            <w:vMerge/>
            <w:shd w:val="clear" w:color="auto" w:fill="auto"/>
            <w:vAlign w:val="bottom"/>
          </w:tcPr>
          <w:p w14:paraId="0E12EE56" w14:textId="77777777" w:rsidR="00EA422B" w:rsidRPr="004C184C" w:rsidRDefault="00EA422B" w:rsidP="009C5587">
            <w:pPr>
              <w:suppressAutoHyphens w:val="0"/>
              <w:spacing w:before="40" w:after="40" w:line="220" w:lineRule="exact"/>
              <w:ind w:right="113"/>
              <w:jc w:val="right"/>
              <w:rPr>
                <w:sz w:val="18"/>
                <w:lang w:val="en-US"/>
              </w:rPr>
            </w:pPr>
          </w:p>
        </w:tc>
        <w:tc>
          <w:tcPr>
            <w:tcW w:w="1307" w:type="dxa"/>
            <w:vMerge/>
            <w:shd w:val="clear" w:color="auto" w:fill="auto"/>
            <w:vAlign w:val="bottom"/>
          </w:tcPr>
          <w:p w14:paraId="074E1F87" w14:textId="77777777" w:rsidR="00EA422B" w:rsidRPr="004C184C" w:rsidRDefault="00EA422B" w:rsidP="009C5587">
            <w:pPr>
              <w:suppressAutoHyphens w:val="0"/>
              <w:spacing w:before="40" w:after="40" w:line="220" w:lineRule="exact"/>
              <w:ind w:right="113"/>
              <w:jc w:val="right"/>
              <w:rPr>
                <w:sz w:val="18"/>
                <w:lang w:val="en-US"/>
              </w:rPr>
            </w:pPr>
          </w:p>
        </w:tc>
        <w:tc>
          <w:tcPr>
            <w:tcW w:w="1425" w:type="dxa"/>
            <w:vMerge/>
            <w:tcBorders>
              <w:top w:val="nil"/>
              <w:bottom w:val="nil"/>
            </w:tcBorders>
            <w:shd w:val="clear" w:color="auto" w:fill="auto"/>
            <w:vAlign w:val="bottom"/>
          </w:tcPr>
          <w:p w14:paraId="5B1C400E" w14:textId="77777777" w:rsidR="00EA422B" w:rsidRPr="004C184C" w:rsidRDefault="00EA422B" w:rsidP="009C5587">
            <w:pPr>
              <w:suppressAutoHyphens w:val="0"/>
              <w:spacing w:before="40" w:after="40" w:line="220" w:lineRule="exact"/>
              <w:ind w:right="113"/>
              <w:jc w:val="right"/>
              <w:rPr>
                <w:sz w:val="18"/>
                <w:lang w:val="en-US"/>
              </w:rPr>
            </w:pPr>
          </w:p>
        </w:tc>
      </w:tr>
      <w:tr w:rsidR="00EA422B" w:rsidRPr="004C184C" w14:paraId="76572EA9" w14:textId="77777777" w:rsidTr="005B4FE3">
        <w:tc>
          <w:tcPr>
            <w:tcW w:w="776" w:type="dxa"/>
            <w:gridSpan w:val="2"/>
            <w:shd w:val="clear" w:color="auto" w:fill="auto"/>
          </w:tcPr>
          <w:p w14:paraId="4C1DDE16" w14:textId="77777777" w:rsidR="00EA422B" w:rsidRPr="004C184C" w:rsidRDefault="00EA422B" w:rsidP="009C5587">
            <w:pPr>
              <w:suppressAutoHyphens w:val="0"/>
              <w:spacing w:before="40" w:after="40" w:line="220" w:lineRule="exact"/>
              <w:ind w:right="113"/>
              <w:rPr>
                <w:sz w:val="18"/>
                <w:lang w:val="en-US"/>
              </w:rPr>
            </w:pPr>
          </w:p>
        </w:tc>
        <w:tc>
          <w:tcPr>
            <w:tcW w:w="653" w:type="dxa"/>
            <w:shd w:val="clear" w:color="auto" w:fill="auto"/>
          </w:tcPr>
          <w:p w14:paraId="30DDE289" w14:textId="77777777" w:rsidR="00EA422B" w:rsidRPr="004C184C" w:rsidRDefault="00EA422B" w:rsidP="009C5587">
            <w:pPr>
              <w:suppressAutoHyphens w:val="0"/>
              <w:spacing w:before="40" w:after="40" w:line="220" w:lineRule="exact"/>
              <w:ind w:right="113"/>
              <w:rPr>
                <w:sz w:val="18"/>
                <w:lang w:val="en-US"/>
              </w:rPr>
            </w:pPr>
            <w:r w:rsidRPr="004C184C">
              <w:rPr>
                <w:sz w:val="18"/>
                <w:lang w:val="en-US"/>
              </w:rPr>
              <w:t>Male</w:t>
            </w:r>
          </w:p>
        </w:tc>
        <w:tc>
          <w:tcPr>
            <w:tcW w:w="1142" w:type="dxa"/>
            <w:shd w:val="clear" w:color="auto" w:fill="auto"/>
            <w:vAlign w:val="bottom"/>
          </w:tcPr>
          <w:p w14:paraId="4B4874DD" w14:textId="5A920654"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2</w:t>
            </w:r>
            <w:r w:rsidR="009C5587" w:rsidRPr="004C184C">
              <w:rPr>
                <w:sz w:val="18"/>
                <w:lang w:val="en-US"/>
              </w:rPr>
              <w:t xml:space="preserve"> </w:t>
            </w:r>
            <w:r w:rsidRPr="004C184C">
              <w:rPr>
                <w:sz w:val="18"/>
                <w:lang w:val="en-US"/>
              </w:rPr>
              <w:t>463</w:t>
            </w:r>
            <w:r w:rsidR="009C5587" w:rsidRPr="004C184C">
              <w:rPr>
                <w:sz w:val="18"/>
                <w:lang w:val="en-US"/>
              </w:rPr>
              <w:t xml:space="preserve"> </w:t>
            </w:r>
            <w:r w:rsidRPr="004C184C">
              <w:rPr>
                <w:sz w:val="18"/>
                <w:lang w:val="en-US"/>
              </w:rPr>
              <w:t>743</w:t>
            </w:r>
          </w:p>
        </w:tc>
        <w:tc>
          <w:tcPr>
            <w:tcW w:w="997" w:type="dxa"/>
            <w:vMerge/>
            <w:tcBorders>
              <w:bottom w:val="nil"/>
            </w:tcBorders>
            <w:shd w:val="clear" w:color="auto" w:fill="auto"/>
            <w:vAlign w:val="bottom"/>
          </w:tcPr>
          <w:p w14:paraId="35B82CFC" w14:textId="77777777" w:rsidR="00EA422B" w:rsidRPr="004C184C" w:rsidRDefault="00EA422B" w:rsidP="009C5587">
            <w:pPr>
              <w:suppressAutoHyphens w:val="0"/>
              <w:spacing w:before="40" w:after="40" w:line="220" w:lineRule="exact"/>
              <w:ind w:right="113"/>
              <w:jc w:val="right"/>
              <w:rPr>
                <w:sz w:val="18"/>
                <w:lang w:val="en-US"/>
              </w:rPr>
            </w:pPr>
          </w:p>
        </w:tc>
        <w:tc>
          <w:tcPr>
            <w:tcW w:w="1070" w:type="dxa"/>
            <w:vMerge/>
            <w:tcBorders>
              <w:bottom w:val="nil"/>
            </w:tcBorders>
            <w:shd w:val="clear" w:color="auto" w:fill="auto"/>
            <w:vAlign w:val="bottom"/>
          </w:tcPr>
          <w:p w14:paraId="75A28C32" w14:textId="77777777" w:rsidR="00EA422B" w:rsidRPr="004C184C" w:rsidRDefault="00EA422B" w:rsidP="009C5587">
            <w:pPr>
              <w:suppressAutoHyphens w:val="0"/>
              <w:spacing w:before="40" w:after="40" w:line="220" w:lineRule="exact"/>
              <w:ind w:right="113"/>
              <w:jc w:val="right"/>
              <w:rPr>
                <w:sz w:val="18"/>
                <w:lang w:val="en-US"/>
              </w:rPr>
            </w:pPr>
          </w:p>
        </w:tc>
        <w:tc>
          <w:tcPr>
            <w:tcW w:w="1307" w:type="dxa"/>
            <w:vMerge/>
            <w:tcBorders>
              <w:bottom w:val="nil"/>
            </w:tcBorders>
            <w:shd w:val="clear" w:color="auto" w:fill="auto"/>
            <w:vAlign w:val="bottom"/>
          </w:tcPr>
          <w:p w14:paraId="77E95365" w14:textId="77777777" w:rsidR="00EA422B" w:rsidRPr="004C184C" w:rsidRDefault="00EA422B" w:rsidP="009C5587">
            <w:pPr>
              <w:suppressAutoHyphens w:val="0"/>
              <w:spacing w:before="40" w:after="40" w:line="220" w:lineRule="exact"/>
              <w:ind w:right="113"/>
              <w:jc w:val="right"/>
              <w:rPr>
                <w:sz w:val="18"/>
                <w:lang w:val="en-US"/>
              </w:rPr>
            </w:pPr>
          </w:p>
        </w:tc>
        <w:tc>
          <w:tcPr>
            <w:tcW w:w="1425" w:type="dxa"/>
            <w:vMerge/>
            <w:tcBorders>
              <w:top w:val="nil"/>
              <w:bottom w:val="nil"/>
            </w:tcBorders>
            <w:shd w:val="clear" w:color="auto" w:fill="auto"/>
            <w:vAlign w:val="bottom"/>
          </w:tcPr>
          <w:p w14:paraId="4D3145FF" w14:textId="77777777" w:rsidR="00EA422B" w:rsidRPr="004C184C" w:rsidRDefault="00EA422B" w:rsidP="009C5587">
            <w:pPr>
              <w:suppressAutoHyphens w:val="0"/>
              <w:spacing w:before="40" w:after="40" w:line="220" w:lineRule="exact"/>
              <w:ind w:right="113"/>
              <w:jc w:val="right"/>
              <w:rPr>
                <w:sz w:val="18"/>
                <w:lang w:val="en-US"/>
              </w:rPr>
            </w:pPr>
          </w:p>
        </w:tc>
      </w:tr>
      <w:tr w:rsidR="007E5901" w:rsidRPr="004C184C" w14:paraId="4560007A" w14:textId="77777777" w:rsidTr="005B4FE3">
        <w:tc>
          <w:tcPr>
            <w:tcW w:w="1429" w:type="dxa"/>
            <w:gridSpan w:val="3"/>
            <w:shd w:val="clear" w:color="auto" w:fill="auto"/>
          </w:tcPr>
          <w:p w14:paraId="524E51D5" w14:textId="7D7177A9" w:rsidR="007E5901" w:rsidRPr="004C184C" w:rsidRDefault="007E5901" w:rsidP="009C5587">
            <w:pPr>
              <w:suppressAutoHyphens w:val="0"/>
              <w:spacing w:before="40" w:after="40" w:line="220" w:lineRule="exact"/>
              <w:ind w:right="113"/>
              <w:rPr>
                <w:sz w:val="18"/>
                <w:lang w:val="en-US"/>
              </w:rPr>
            </w:pPr>
            <w:r w:rsidRPr="004C184C">
              <w:rPr>
                <w:sz w:val="18"/>
                <w:lang w:val="en-US"/>
              </w:rPr>
              <w:t>Western region</w:t>
            </w:r>
          </w:p>
        </w:tc>
        <w:tc>
          <w:tcPr>
            <w:tcW w:w="1142" w:type="dxa"/>
            <w:shd w:val="clear" w:color="auto" w:fill="auto"/>
            <w:vAlign w:val="bottom"/>
          </w:tcPr>
          <w:p w14:paraId="21A64C25" w14:textId="6B907497" w:rsidR="007E5901" w:rsidRPr="004C184C" w:rsidRDefault="007E5901" w:rsidP="009C5587">
            <w:pPr>
              <w:suppressAutoHyphens w:val="0"/>
              <w:spacing w:before="40" w:after="40" w:line="220" w:lineRule="exact"/>
              <w:ind w:right="113"/>
              <w:jc w:val="right"/>
              <w:rPr>
                <w:sz w:val="18"/>
                <w:lang w:val="en-US"/>
              </w:rPr>
            </w:pPr>
            <w:r w:rsidRPr="004C184C">
              <w:rPr>
                <w:sz w:val="18"/>
                <w:lang w:val="en-US"/>
              </w:rPr>
              <w:t>3 831 952</w:t>
            </w:r>
          </w:p>
        </w:tc>
        <w:tc>
          <w:tcPr>
            <w:tcW w:w="997" w:type="dxa"/>
            <w:tcBorders>
              <w:top w:val="nil"/>
              <w:bottom w:val="nil"/>
            </w:tcBorders>
            <w:shd w:val="clear" w:color="auto" w:fill="auto"/>
            <w:vAlign w:val="bottom"/>
          </w:tcPr>
          <w:p w14:paraId="03C3F346" w14:textId="77777777" w:rsidR="007E5901" w:rsidRPr="004C184C" w:rsidRDefault="007E5901" w:rsidP="009C5587">
            <w:pPr>
              <w:suppressAutoHyphens w:val="0"/>
              <w:spacing w:before="40" w:after="40" w:line="220" w:lineRule="exact"/>
              <w:ind w:right="113"/>
              <w:jc w:val="right"/>
              <w:rPr>
                <w:sz w:val="18"/>
                <w:lang w:val="en-US"/>
              </w:rPr>
            </w:pPr>
          </w:p>
        </w:tc>
        <w:tc>
          <w:tcPr>
            <w:tcW w:w="1070" w:type="dxa"/>
            <w:tcBorders>
              <w:top w:val="nil"/>
              <w:bottom w:val="nil"/>
            </w:tcBorders>
            <w:shd w:val="clear" w:color="auto" w:fill="auto"/>
            <w:vAlign w:val="bottom"/>
          </w:tcPr>
          <w:p w14:paraId="0F587104" w14:textId="77777777" w:rsidR="007E5901" w:rsidRPr="004C184C" w:rsidRDefault="007E5901" w:rsidP="009C5587">
            <w:pPr>
              <w:suppressAutoHyphens w:val="0"/>
              <w:spacing w:before="40" w:after="40" w:line="220" w:lineRule="exact"/>
              <w:ind w:right="113"/>
              <w:jc w:val="right"/>
              <w:rPr>
                <w:sz w:val="18"/>
                <w:lang w:val="en-US"/>
              </w:rPr>
            </w:pPr>
          </w:p>
        </w:tc>
        <w:tc>
          <w:tcPr>
            <w:tcW w:w="1307" w:type="dxa"/>
            <w:tcBorders>
              <w:top w:val="nil"/>
              <w:bottom w:val="nil"/>
            </w:tcBorders>
            <w:shd w:val="clear" w:color="auto" w:fill="auto"/>
            <w:vAlign w:val="bottom"/>
          </w:tcPr>
          <w:p w14:paraId="4EF45CDA" w14:textId="77777777" w:rsidR="007E5901" w:rsidRPr="004C184C" w:rsidRDefault="007E5901" w:rsidP="009C5587">
            <w:pPr>
              <w:suppressAutoHyphens w:val="0"/>
              <w:spacing w:before="40" w:after="40" w:line="220" w:lineRule="exact"/>
              <w:ind w:right="113"/>
              <w:jc w:val="right"/>
              <w:rPr>
                <w:sz w:val="18"/>
                <w:lang w:val="en-US"/>
              </w:rPr>
            </w:pPr>
          </w:p>
        </w:tc>
        <w:tc>
          <w:tcPr>
            <w:tcW w:w="1425" w:type="dxa"/>
            <w:vMerge/>
            <w:tcBorders>
              <w:top w:val="nil"/>
              <w:bottom w:val="nil"/>
            </w:tcBorders>
            <w:shd w:val="clear" w:color="auto" w:fill="auto"/>
            <w:vAlign w:val="bottom"/>
          </w:tcPr>
          <w:p w14:paraId="0F9AEC18" w14:textId="77777777" w:rsidR="007E5901" w:rsidRPr="004C184C" w:rsidRDefault="007E5901" w:rsidP="009C5587">
            <w:pPr>
              <w:suppressAutoHyphens w:val="0"/>
              <w:spacing w:before="40" w:after="40" w:line="220" w:lineRule="exact"/>
              <w:ind w:right="113"/>
              <w:jc w:val="right"/>
              <w:rPr>
                <w:sz w:val="18"/>
                <w:lang w:val="en-US"/>
              </w:rPr>
            </w:pPr>
          </w:p>
        </w:tc>
      </w:tr>
      <w:tr w:rsidR="00EA422B" w:rsidRPr="004C184C" w14:paraId="64FDFAC4" w14:textId="77777777" w:rsidTr="005B4FE3">
        <w:tc>
          <w:tcPr>
            <w:tcW w:w="1429" w:type="dxa"/>
            <w:gridSpan w:val="3"/>
            <w:shd w:val="clear" w:color="auto" w:fill="auto"/>
          </w:tcPr>
          <w:p w14:paraId="09A6003C" w14:textId="2716BC81" w:rsidR="00EA422B" w:rsidRPr="004C184C" w:rsidRDefault="007E5901" w:rsidP="007E5901">
            <w:pPr>
              <w:suppressAutoHyphens w:val="0"/>
              <w:spacing w:before="40" w:after="40" w:line="220" w:lineRule="exact"/>
              <w:ind w:right="113"/>
              <w:jc w:val="right"/>
              <w:rPr>
                <w:sz w:val="18"/>
                <w:lang w:val="en-US"/>
              </w:rPr>
            </w:pPr>
            <w:r w:rsidRPr="004C184C">
              <w:rPr>
                <w:sz w:val="18"/>
                <w:lang w:val="en-US"/>
              </w:rPr>
              <w:t>Female</w:t>
            </w:r>
          </w:p>
        </w:tc>
        <w:tc>
          <w:tcPr>
            <w:tcW w:w="1142" w:type="dxa"/>
            <w:shd w:val="clear" w:color="auto" w:fill="auto"/>
            <w:vAlign w:val="bottom"/>
          </w:tcPr>
          <w:p w14:paraId="4063B492" w14:textId="55CF5808" w:rsidR="00EA422B" w:rsidRPr="004C184C" w:rsidRDefault="0083173C" w:rsidP="009C5587">
            <w:pPr>
              <w:suppressAutoHyphens w:val="0"/>
              <w:spacing w:before="40" w:after="40" w:line="220" w:lineRule="exact"/>
              <w:ind w:right="113"/>
              <w:jc w:val="right"/>
              <w:rPr>
                <w:sz w:val="18"/>
                <w:lang w:val="en-US"/>
              </w:rPr>
            </w:pPr>
            <w:r w:rsidRPr="004C184C">
              <w:rPr>
                <w:sz w:val="18"/>
                <w:lang w:val="en-US"/>
              </w:rPr>
              <w:t>1 952 591</w:t>
            </w:r>
          </w:p>
        </w:tc>
        <w:tc>
          <w:tcPr>
            <w:tcW w:w="997" w:type="dxa"/>
            <w:vMerge w:val="restart"/>
            <w:tcBorders>
              <w:top w:val="nil"/>
              <w:bottom w:val="nil"/>
            </w:tcBorders>
            <w:shd w:val="clear" w:color="auto" w:fill="auto"/>
            <w:vAlign w:val="bottom"/>
          </w:tcPr>
          <w:p w14:paraId="4C131669" w14:textId="77777777"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89</w:t>
            </w:r>
            <w:r w:rsidRPr="004C184C">
              <w:rPr>
                <w:sz w:val="18"/>
                <w:cs/>
                <w:lang w:val="en-US"/>
              </w:rPr>
              <w:t>.</w:t>
            </w:r>
            <w:r w:rsidRPr="004C184C">
              <w:rPr>
                <w:sz w:val="18"/>
                <w:lang w:val="en-US"/>
              </w:rPr>
              <w:t>0</w:t>
            </w:r>
          </w:p>
        </w:tc>
        <w:tc>
          <w:tcPr>
            <w:tcW w:w="1070" w:type="dxa"/>
            <w:vMerge w:val="restart"/>
            <w:tcBorders>
              <w:top w:val="nil"/>
              <w:bottom w:val="nil"/>
            </w:tcBorders>
            <w:shd w:val="clear" w:color="auto" w:fill="auto"/>
            <w:vAlign w:val="bottom"/>
          </w:tcPr>
          <w:p w14:paraId="134F9E07" w14:textId="77777777"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9</w:t>
            </w:r>
            <w:r w:rsidRPr="004C184C">
              <w:rPr>
                <w:sz w:val="18"/>
                <w:cs/>
                <w:lang w:val="en-US"/>
              </w:rPr>
              <w:t>.</w:t>
            </w:r>
            <w:r w:rsidRPr="004C184C">
              <w:rPr>
                <w:sz w:val="18"/>
                <w:lang w:val="en-US"/>
              </w:rPr>
              <w:t>4</w:t>
            </w:r>
          </w:p>
        </w:tc>
        <w:tc>
          <w:tcPr>
            <w:tcW w:w="1307" w:type="dxa"/>
            <w:vMerge w:val="restart"/>
            <w:tcBorders>
              <w:top w:val="nil"/>
              <w:bottom w:val="nil"/>
            </w:tcBorders>
            <w:shd w:val="clear" w:color="auto" w:fill="auto"/>
            <w:vAlign w:val="bottom"/>
          </w:tcPr>
          <w:p w14:paraId="706E2AE3" w14:textId="77777777"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7</w:t>
            </w:r>
            <w:r w:rsidRPr="004C184C">
              <w:rPr>
                <w:sz w:val="18"/>
                <w:cs/>
                <w:lang w:val="en-US"/>
              </w:rPr>
              <w:t>.</w:t>
            </w:r>
            <w:r w:rsidRPr="004C184C">
              <w:rPr>
                <w:sz w:val="18"/>
                <w:lang w:val="en-US"/>
              </w:rPr>
              <w:t>5</w:t>
            </w:r>
          </w:p>
        </w:tc>
        <w:tc>
          <w:tcPr>
            <w:tcW w:w="1425" w:type="dxa"/>
            <w:vMerge/>
            <w:tcBorders>
              <w:top w:val="nil"/>
              <w:bottom w:val="nil"/>
            </w:tcBorders>
            <w:shd w:val="clear" w:color="auto" w:fill="auto"/>
            <w:vAlign w:val="bottom"/>
          </w:tcPr>
          <w:p w14:paraId="4D703715" w14:textId="77777777" w:rsidR="00EA422B" w:rsidRPr="004C184C" w:rsidRDefault="00EA422B" w:rsidP="009C5587">
            <w:pPr>
              <w:suppressAutoHyphens w:val="0"/>
              <w:spacing w:before="40" w:after="40" w:line="220" w:lineRule="exact"/>
              <w:ind w:right="113"/>
              <w:jc w:val="right"/>
              <w:rPr>
                <w:sz w:val="18"/>
                <w:lang w:val="en-US"/>
              </w:rPr>
            </w:pPr>
          </w:p>
        </w:tc>
      </w:tr>
      <w:tr w:rsidR="00EA422B" w:rsidRPr="004C184C" w14:paraId="02AC63FF" w14:textId="77777777" w:rsidTr="005B4FE3">
        <w:tc>
          <w:tcPr>
            <w:tcW w:w="776" w:type="dxa"/>
            <w:gridSpan w:val="2"/>
            <w:tcBorders>
              <w:bottom w:val="nil"/>
            </w:tcBorders>
            <w:shd w:val="clear" w:color="auto" w:fill="auto"/>
          </w:tcPr>
          <w:p w14:paraId="7E8A1EBF" w14:textId="77777777" w:rsidR="00EA422B" w:rsidRPr="004C184C" w:rsidRDefault="00EA422B" w:rsidP="009C5587">
            <w:pPr>
              <w:suppressAutoHyphens w:val="0"/>
              <w:spacing w:before="40" w:after="40" w:line="220" w:lineRule="exact"/>
              <w:ind w:right="113"/>
              <w:rPr>
                <w:sz w:val="18"/>
                <w:lang w:val="en-US"/>
              </w:rPr>
            </w:pPr>
          </w:p>
        </w:tc>
        <w:tc>
          <w:tcPr>
            <w:tcW w:w="653" w:type="dxa"/>
            <w:tcBorders>
              <w:bottom w:val="nil"/>
            </w:tcBorders>
            <w:shd w:val="clear" w:color="auto" w:fill="auto"/>
          </w:tcPr>
          <w:p w14:paraId="13CA74A9" w14:textId="0CB480EC" w:rsidR="00EA422B" w:rsidRPr="004C184C" w:rsidRDefault="00726382" w:rsidP="009C5587">
            <w:pPr>
              <w:suppressAutoHyphens w:val="0"/>
              <w:spacing w:before="40" w:after="40" w:line="220" w:lineRule="exact"/>
              <w:ind w:right="113"/>
              <w:rPr>
                <w:sz w:val="18"/>
                <w:lang w:val="en-US"/>
              </w:rPr>
            </w:pPr>
            <w:r w:rsidRPr="004C184C">
              <w:rPr>
                <w:sz w:val="18"/>
                <w:lang w:val="en-US"/>
              </w:rPr>
              <w:t>M</w:t>
            </w:r>
            <w:r w:rsidR="00EA422B" w:rsidRPr="004C184C">
              <w:rPr>
                <w:sz w:val="18"/>
                <w:lang w:val="en-US"/>
              </w:rPr>
              <w:t>ale</w:t>
            </w:r>
          </w:p>
        </w:tc>
        <w:tc>
          <w:tcPr>
            <w:tcW w:w="1142" w:type="dxa"/>
            <w:tcBorders>
              <w:bottom w:val="nil"/>
            </w:tcBorders>
            <w:shd w:val="clear" w:color="auto" w:fill="auto"/>
            <w:vAlign w:val="bottom"/>
          </w:tcPr>
          <w:p w14:paraId="58EA20D4" w14:textId="0414372C" w:rsidR="00EA422B" w:rsidRPr="004C184C" w:rsidRDefault="00726382" w:rsidP="009C5587">
            <w:pPr>
              <w:suppressAutoHyphens w:val="0"/>
              <w:spacing w:before="40" w:after="40" w:line="220" w:lineRule="exact"/>
              <w:ind w:right="113"/>
              <w:jc w:val="right"/>
              <w:rPr>
                <w:sz w:val="18"/>
                <w:lang w:val="en-US"/>
              </w:rPr>
            </w:pPr>
            <w:r w:rsidRPr="004C184C">
              <w:rPr>
                <w:sz w:val="18"/>
                <w:lang w:val="en-US"/>
              </w:rPr>
              <w:t>1 879 361</w:t>
            </w:r>
          </w:p>
        </w:tc>
        <w:tc>
          <w:tcPr>
            <w:tcW w:w="997" w:type="dxa"/>
            <w:vMerge/>
            <w:tcBorders>
              <w:top w:val="nil"/>
              <w:bottom w:val="nil"/>
            </w:tcBorders>
            <w:shd w:val="clear" w:color="auto" w:fill="auto"/>
            <w:vAlign w:val="bottom"/>
          </w:tcPr>
          <w:p w14:paraId="28FA5004" w14:textId="77777777" w:rsidR="00EA422B" w:rsidRPr="004C184C" w:rsidRDefault="00EA422B" w:rsidP="009C5587">
            <w:pPr>
              <w:suppressAutoHyphens w:val="0"/>
              <w:spacing w:before="40" w:after="40" w:line="220" w:lineRule="exact"/>
              <w:ind w:right="113"/>
              <w:jc w:val="right"/>
              <w:rPr>
                <w:sz w:val="18"/>
                <w:lang w:val="en-US"/>
              </w:rPr>
            </w:pPr>
          </w:p>
        </w:tc>
        <w:tc>
          <w:tcPr>
            <w:tcW w:w="1070" w:type="dxa"/>
            <w:vMerge/>
            <w:tcBorders>
              <w:top w:val="nil"/>
              <w:bottom w:val="nil"/>
            </w:tcBorders>
            <w:shd w:val="clear" w:color="auto" w:fill="auto"/>
            <w:vAlign w:val="bottom"/>
          </w:tcPr>
          <w:p w14:paraId="25DC6B9E" w14:textId="77777777" w:rsidR="00EA422B" w:rsidRPr="004C184C" w:rsidRDefault="00EA422B" w:rsidP="009C5587">
            <w:pPr>
              <w:suppressAutoHyphens w:val="0"/>
              <w:spacing w:before="40" w:after="40" w:line="220" w:lineRule="exact"/>
              <w:ind w:right="113"/>
              <w:jc w:val="right"/>
              <w:rPr>
                <w:sz w:val="18"/>
                <w:lang w:val="en-US"/>
              </w:rPr>
            </w:pPr>
          </w:p>
        </w:tc>
        <w:tc>
          <w:tcPr>
            <w:tcW w:w="1307" w:type="dxa"/>
            <w:vMerge/>
            <w:tcBorders>
              <w:top w:val="nil"/>
              <w:bottom w:val="nil"/>
            </w:tcBorders>
            <w:shd w:val="clear" w:color="auto" w:fill="auto"/>
            <w:vAlign w:val="bottom"/>
          </w:tcPr>
          <w:p w14:paraId="14194ECA" w14:textId="77777777" w:rsidR="00EA422B" w:rsidRPr="004C184C" w:rsidRDefault="00EA422B" w:rsidP="009C5587">
            <w:pPr>
              <w:suppressAutoHyphens w:val="0"/>
              <w:spacing w:before="40" w:after="40" w:line="220" w:lineRule="exact"/>
              <w:ind w:right="113"/>
              <w:jc w:val="right"/>
              <w:rPr>
                <w:sz w:val="18"/>
                <w:lang w:val="en-US"/>
              </w:rPr>
            </w:pPr>
          </w:p>
        </w:tc>
        <w:tc>
          <w:tcPr>
            <w:tcW w:w="1425" w:type="dxa"/>
            <w:vMerge/>
            <w:tcBorders>
              <w:top w:val="nil"/>
              <w:bottom w:val="nil"/>
            </w:tcBorders>
            <w:shd w:val="clear" w:color="auto" w:fill="auto"/>
            <w:vAlign w:val="bottom"/>
          </w:tcPr>
          <w:p w14:paraId="29F04C50" w14:textId="77777777" w:rsidR="00EA422B" w:rsidRPr="004C184C" w:rsidRDefault="00EA422B" w:rsidP="009C5587">
            <w:pPr>
              <w:suppressAutoHyphens w:val="0"/>
              <w:spacing w:before="40" w:after="40" w:line="220" w:lineRule="exact"/>
              <w:ind w:right="113"/>
              <w:jc w:val="right"/>
              <w:rPr>
                <w:sz w:val="18"/>
                <w:lang w:val="en-US"/>
              </w:rPr>
            </w:pPr>
          </w:p>
        </w:tc>
      </w:tr>
      <w:tr w:rsidR="00EA422B" w:rsidRPr="004C184C" w14:paraId="66C4C62E" w14:textId="77777777" w:rsidTr="005B4FE3">
        <w:tc>
          <w:tcPr>
            <w:tcW w:w="1429" w:type="dxa"/>
            <w:gridSpan w:val="3"/>
            <w:tcBorders>
              <w:top w:val="nil"/>
            </w:tcBorders>
            <w:shd w:val="clear" w:color="auto" w:fill="auto"/>
          </w:tcPr>
          <w:p w14:paraId="26BF1448" w14:textId="77777777" w:rsidR="00EA422B" w:rsidRPr="004C184C" w:rsidRDefault="00EA422B" w:rsidP="009C5587">
            <w:pPr>
              <w:suppressAutoHyphens w:val="0"/>
              <w:spacing w:before="40" w:after="40" w:line="220" w:lineRule="exact"/>
              <w:ind w:right="113"/>
              <w:rPr>
                <w:sz w:val="18"/>
                <w:lang w:val="en-US"/>
              </w:rPr>
            </w:pPr>
            <w:r w:rsidRPr="004C184C">
              <w:rPr>
                <w:sz w:val="18"/>
                <w:lang w:val="en-US"/>
              </w:rPr>
              <w:lastRenderedPageBreak/>
              <w:t>Northern region</w:t>
            </w:r>
          </w:p>
        </w:tc>
        <w:tc>
          <w:tcPr>
            <w:tcW w:w="1142" w:type="dxa"/>
            <w:tcBorders>
              <w:top w:val="nil"/>
            </w:tcBorders>
            <w:shd w:val="clear" w:color="auto" w:fill="auto"/>
            <w:vAlign w:val="bottom"/>
          </w:tcPr>
          <w:p w14:paraId="0B79DFE8" w14:textId="1FD6D3D5"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12</w:t>
            </w:r>
            <w:r w:rsidR="009C5587" w:rsidRPr="004C184C">
              <w:rPr>
                <w:sz w:val="18"/>
                <w:lang w:val="en-US"/>
              </w:rPr>
              <w:t xml:space="preserve"> </w:t>
            </w:r>
            <w:r w:rsidRPr="004C184C">
              <w:rPr>
                <w:sz w:val="18"/>
                <w:lang w:val="en-US"/>
              </w:rPr>
              <w:t>098</w:t>
            </w:r>
            <w:r w:rsidR="009C5587" w:rsidRPr="004C184C">
              <w:rPr>
                <w:sz w:val="18"/>
                <w:lang w:val="en-US"/>
              </w:rPr>
              <w:t xml:space="preserve"> </w:t>
            </w:r>
            <w:r w:rsidRPr="004C184C">
              <w:rPr>
                <w:sz w:val="18"/>
                <w:lang w:val="en-US"/>
              </w:rPr>
              <w:t>164</w:t>
            </w:r>
          </w:p>
        </w:tc>
        <w:tc>
          <w:tcPr>
            <w:tcW w:w="997" w:type="dxa"/>
            <w:vMerge w:val="restart"/>
            <w:tcBorders>
              <w:top w:val="nil"/>
            </w:tcBorders>
            <w:shd w:val="clear" w:color="auto" w:fill="auto"/>
            <w:vAlign w:val="bottom"/>
          </w:tcPr>
          <w:p w14:paraId="5D8F8146" w14:textId="77777777"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71</w:t>
            </w:r>
            <w:r w:rsidRPr="004C184C">
              <w:rPr>
                <w:sz w:val="18"/>
                <w:cs/>
                <w:lang w:val="en-US"/>
              </w:rPr>
              <w:t>.</w:t>
            </w:r>
            <w:r w:rsidRPr="004C184C">
              <w:rPr>
                <w:sz w:val="18"/>
                <w:lang w:val="en-US"/>
              </w:rPr>
              <w:t>3</w:t>
            </w:r>
          </w:p>
        </w:tc>
        <w:tc>
          <w:tcPr>
            <w:tcW w:w="1070" w:type="dxa"/>
            <w:vMerge w:val="restart"/>
            <w:tcBorders>
              <w:top w:val="nil"/>
            </w:tcBorders>
            <w:shd w:val="clear" w:color="auto" w:fill="auto"/>
            <w:vAlign w:val="bottom"/>
          </w:tcPr>
          <w:p w14:paraId="655F4AE5" w14:textId="77777777"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8</w:t>
            </w:r>
            <w:r w:rsidRPr="004C184C">
              <w:rPr>
                <w:sz w:val="18"/>
                <w:cs/>
                <w:lang w:val="en-US"/>
              </w:rPr>
              <w:t>.</w:t>
            </w:r>
            <w:r w:rsidRPr="004C184C">
              <w:rPr>
                <w:sz w:val="18"/>
                <w:lang w:val="en-US"/>
              </w:rPr>
              <w:t>3</w:t>
            </w:r>
          </w:p>
        </w:tc>
        <w:tc>
          <w:tcPr>
            <w:tcW w:w="1307" w:type="dxa"/>
            <w:vMerge w:val="restart"/>
            <w:tcBorders>
              <w:top w:val="nil"/>
            </w:tcBorders>
            <w:shd w:val="clear" w:color="auto" w:fill="auto"/>
            <w:vAlign w:val="bottom"/>
          </w:tcPr>
          <w:p w14:paraId="13C925AF" w14:textId="77777777"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8</w:t>
            </w:r>
            <w:r w:rsidRPr="004C184C">
              <w:rPr>
                <w:sz w:val="18"/>
                <w:cs/>
                <w:lang w:val="en-US"/>
              </w:rPr>
              <w:t>.</w:t>
            </w:r>
            <w:r w:rsidRPr="004C184C">
              <w:rPr>
                <w:sz w:val="18"/>
                <w:lang w:val="en-US"/>
              </w:rPr>
              <w:t>3</w:t>
            </w:r>
          </w:p>
        </w:tc>
        <w:tc>
          <w:tcPr>
            <w:tcW w:w="1425" w:type="dxa"/>
            <w:vMerge/>
            <w:tcBorders>
              <w:top w:val="nil"/>
              <w:bottom w:val="nil"/>
            </w:tcBorders>
            <w:shd w:val="clear" w:color="auto" w:fill="auto"/>
            <w:vAlign w:val="bottom"/>
          </w:tcPr>
          <w:p w14:paraId="26B77308" w14:textId="77777777" w:rsidR="00EA422B" w:rsidRPr="004C184C" w:rsidRDefault="00EA422B" w:rsidP="009C5587">
            <w:pPr>
              <w:suppressAutoHyphens w:val="0"/>
              <w:spacing w:before="40" w:after="40" w:line="220" w:lineRule="exact"/>
              <w:ind w:right="113"/>
              <w:jc w:val="right"/>
              <w:rPr>
                <w:sz w:val="18"/>
                <w:lang w:val="en-US"/>
              </w:rPr>
            </w:pPr>
          </w:p>
        </w:tc>
      </w:tr>
      <w:tr w:rsidR="00EA422B" w:rsidRPr="004C184C" w14:paraId="27359E24" w14:textId="77777777" w:rsidTr="005B4FE3">
        <w:tc>
          <w:tcPr>
            <w:tcW w:w="776" w:type="dxa"/>
            <w:gridSpan w:val="2"/>
            <w:shd w:val="clear" w:color="auto" w:fill="auto"/>
          </w:tcPr>
          <w:p w14:paraId="25F3CF78" w14:textId="77777777" w:rsidR="00EA422B" w:rsidRPr="004C184C" w:rsidRDefault="00EA422B" w:rsidP="009C5587">
            <w:pPr>
              <w:suppressAutoHyphens w:val="0"/>
              <w:spacing w:before="40" w:after="40" w:line="220" w:lineRule="exact"/>
              <w:ind w:right="113"/>
              <w:rPr>
                <w:sz w:val="18"/>
                <w:lang w:val="en-US"/>
              </w:rPr>
            </w:pPr>
          </w:p>
        </w:tc>
        <w:tc>
          <w:tcPr>
            <w:tcW w:w="653" w:type="dxa"/>
            <w:shd w:val="clear" w:color="auto" w:fill="auto"/>
          </w:tcPr>
          <w:p w14:paraId="156AF2A2" w14:textId="77777777" w:rsidR="00EA422B" w:rsidRPr="004C184C" w:rsidRDefault="00EA422B" w:rsidP="009C5587">
            <w:pPr>
              <w:suppressAutoHyphens w:val="0"/>
              <w:spacing w:before="40" w:after="40" w:line="220" w:lineRule="exact"/>
              <w:ind w:right="113"/>
              <w:rPr>
                <w:sz w:val="18"/>
                <w:lang w:val="en-US"/>
              </w:rPr>
            </w:pPr>
            <w:r w:rsidRPr="004C184C">
              <w:rPr>
                <w:sz w:val="18"/>
                <w:lang w:val="en-US"/>
              </w:rPr>
              <w:t>Female</w:t>
            </w:r>
          </w:p>
        </w:tc>
        <w:tc>
          <w:tcPr>
            <w:tcW w:w="1142" w:type="dxa"/>
            <w:shd w:val="clear" w:color="auto" w:fill="auto"/>
            <w:vAlign w:val="bottom"/>
          </w:tcPr>
          <w:p w14:paraId="42EAE1A1" w14:textId="7C2FBB83"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6</w:t>
            </w:r>
            <w:r w:rsidR="009C5587" w:rsidRPr="004C184C">
              <w:rPr>
                <w:sz w:val="18"/>
                <w:lang w:val="en-US"/>
              </w:rPr>
              <w:t xml:space="preserve"> </w:t>
            </w:r>
            <w:r w:rsidRPr="004C184C">
              <w:rPr>
                <w:sz w:val="18"/>
                <w:lang w:val="en-US"/>
              </w:rPr>
              <w:t>159</w:t>
            </w:r>
            <w:r w:rsidR="009C5587" w:rsidRPr="004C184C">
              <w:rPr>
                <w:sz w:val="18"/>
                <w:lang w:val="en-US"/>
              </w:rPr>
              <w:t xml:space="preserve"> </w:t>
            </w:r>
            <w:r w:rsidRPr="004C184C">
              <w:rPr>
                <w:sz w:val="18"/>
                <w:lang w:val="en-US"/>
              </w:rPr>
              <w:t>265</w:t>
            </w:r>
          </w:p>
        </w:tc>
        <w:tc>
          <w:tcPr>
            <w:tcW w:w="997" w:type="dxa"/>
            <w:vMerge/>
            <w:shd w:val="clear" w:color="auto" w:fill="auto"/>
            <w:vAlign w:val="bottom"/>
          </w:tcPr>
          <w:p w14:paraId="47DEC0D8" w14:textId="77777777" w:rsidR="00EA422B" w:rsidRPr="004C184C" w:rsidRDefault="00EA422B" w:rsidP="009C5587">
            <w:pPr>
              <w:suppressAutoHyphens w:val="0"/>
              <w:spacing w:before="40" w:after="40" w:line="220" w:lineRule="exact"/>
              <w:ind w:right="113"/>
              <w:jc w:val="right"/>
              <w:rPr>
                <w:sz w:val="18"/>
                <w:lang w:val="en-US"/>
              </w:rPr>
            </w:pPr>
          </w:p>
        </w:tc>
        <w:tc>
          <w:tcPr>
            <w:tcW w:w="1070" w:type="dxa"/>
            <w:vMerge/>
            <w:shd w:val="clear" w:color="auto" w:fill="auto"/>
            <w:vAlign w:val="bottom"/>
          </w:tcPr>
          <w:p w14:paraId="4798F2C3" w14:textId="77777777" w:rsidR="00EA422B" w:rsidRPr="004C184C" w:rsidRDefault="00EA422B" w:rsidP="009C5587">
            <w:pPr>
              <w:suppressAutoHyphens w:val="0"/>
              <w:spacing w:before="40" w:after="40" w:line="220" w:lineRule="exact"/>
              <w:ind w:right="113"/>
              <w:jc w:val="right"/>
              <w:rPr>
                <w:sz w:val="18"/>
                <w:lang w:val="en-US"/>
              </w:rPr>
            </w:pPr>
          </w:p>
        </w:tc>
        <w:tc>
          <w:tcPr>
            <w:tcW w:w="1307" w:type="dxa"/>
            <w:vMerge/>
            <w:shd w:val="clear" w:color="auto" w:fill="auto"/>
            <w:vAlign w:val="bottom"/>
          </w:tcPr>
          <w:p w14:paraId="51A609F1" w14:textId="77777777" w:rsidR="00EA422B" w:rsidRPr="004C184C" w:rsidRDefault="00EA422B" w:rsidP="009C5587">
            <w:pPr>
              <w:suppressAutoHyphens w:val="0"/>
              <w:spacing w:before="40" w:after="40" w:line="220" w:lineRule="exact"/>
              <w:ind w:right="113"/>
              <w:jc w:val="right"/>
              <w:rPr>
                <w:sz w:val="18"/>
                <w:lang w:val="en-US"/>
              </w:rPr>
            </w:pPr>
          </w:p>
        </w:tc>
        <w:tc>
          <w:tcPr>
            <w:tcW w:w="1425" w:type="dxa"/>
            <w:vMerge/>
            <w:tcBorders>
              <w:top w:val="nil"/>
              <w:bottom w:val="nil"/>
            </w:tcBorders>
            <w:shd w:val="clear" w:color="auto" w:fill="auto"/>
            <w:vAlign w:val="bottom"/>
          </w:tcPr>
          <w:p w14:paraId="69D839FD" w14:textId="77777777" w:rsidR="00EA422B" w:rsidRPr="004C184C" w:rsidRDefault="00EA422B" w:rsidP="009C5587">
            <w:pPr>
              <w:suppressAutoHyphens w:val="0"/>
              <w:spacing w:before="40" w:after="40" w:line="220" w:lineRule="exact"/>
              <w:ind w:right="113"/>
              <w:jc w:val="right"/>
              <w:rPr>
                <w:sz w:val="18"/>
                <w:lang w:val="en-US"/>
              </w:rPr>
            </w:pPr>
          </w:p>
        </w:tc>
      </w:tr>
      <w:tr w:rsidR="00EA422B" w:rsidRPr="004C184C" w14:paraId="6C61A24A" w14:textId="77777777" w:rsidTr="005B4FE3">
        <w:tc>
          <w:tcPr>
            <w:tcW w:w="776" w:type="dxa"/>
            <w:gridSpan w:val="2"/>
            <w:shd w:val="clear" w:color="auto" w:fill="auto"/>
          </w:tcPr>
          <w:p w14:paraId="4F008EE3" w14:textId="77777777" w:rsidR="00EA422B" w:rsidRPr="004C184C" w:rsidRDefault="00EA422B" w:rsidP="009C5587">
            <w:pPr>
              <w:suppressAutoHyphens w:val="0"/>
              <w:spacing w:before="40" w:after="40" w:line="220" w:lineRule="exact"/>
              <w:ind w:right="113"/>
              <w:rPr>
                <w:sz w:val="18"/>
                <w:lang w:val="en-US"/>
              </w:rPr>
            </w:pPr>
          </w:p>
        </w:tc>
        <w:tc>
          <w:tcPr>
            <w:tcW w:w="653" w:type="dxa"/>
            <w:shd w:val="clear" w:color="auto" w:fill="auto"/>
          </w:tcPr>
          <w:p w14:paraId="63768310" w14:textId="77777777" w:rsidR="00EA422B" w:rsidRPr="004C184C" w:rsidRDefault="00EA422B" w:rsidP="009C5587">
            <w:pPr>
              <w:suppressAutoHyphens w:val="0"/>
              <w:spacing w:before="40" w:after="40" w:line="220" w:lineRule="exact"/>
              <w:ind w:right="113"/>
              <w:rPr>
                <w:sz w:val="18"/>
                <w:lang w:val="en-US"/>
              </w:rPr>
            </w:pPr>
            <w:r w:rsidRPr="004C184C">
              <w:rPr>
                <w:sz w:val="18"/>
                <w:lang w:val="en-US"/>
              </w:rPr>
              <w:t>Male</w:t>
            </w:r>
          </w:p>
        </w:tc>
        <w:tc>
          <w:tcPr>
            <w:tcW w:w="1142" w:type="dxa"/>
            <w:shd w:val="clear" w:color="auto" w:fill="auto"/>
            <w:vAlign w:val="bottom"/>
          </w:tcPr>
          <w:p w14:paraId="548EEC88" w14:textId="6A2D41C7"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5</w:t>
            </w:r>
            <w:r w:rsidR="009C5587" w:rsidRPr="004C184C">
              <w:rPr>
                <w:sz w:val="18"/>
                <w:lang w:val="en-US"/>
              </w:rPr>
              <w:t xml:space="preserve"> </w:t>
            </w:r>
            <w:r w:rsidRPr="004C184C">
              <w:rPr>
                <w:sz w:val="18"/>
                <w:lang w:val="en-US"/>
              </w:rPr>
              <w:t>938</w:t>
            </w:r>
            <w:r w:rsidR="009C5587" w:rsidRPr="004C184C">
              <w:rPr>
                <w:sz w:val="18"/>
                <w:lang w:val="en-US"/>
              </w:rPr>
              <w:t xml:space="preserve"> </w:t>
            </w:r>
            <w:r w:rsidRPr="004C184C">
              <w:rPr>
                <w:sz w:val="18"/>
                <w:lang w:val="en-US"/>
              </w:rPr>
              <w:t>899</w:t>
            </w:r>
          </w:p>
        </w:tc>
        <w:tc>
          <w:tcPr>
            <w:tcW w:w="997" w:type="dxa"/>
            <w:vMerge/>
            <w:shd w:val="clear" w:color="auto" w:fill="auto"/>
            <w:vAlign w:val="bottom"/>
          </w:tcPr>
          <w:p w14:paraId="0A14F095" w14:textId="77777777" w:rsidR="00EA422B" w:rsidRPr="004C184C" w:rsidRDefault="00EA422B" w:rsidP="009C5587">
            <w:pPr>
              <w:suppressAutoHyphens w:val="0"/>
              <w:spacing w:before="40" w:after="40" w:line="220" w:lineRule="exact"/>
              <w:ind w:right="113"/>
              <w:jc w:val="right"/>
              <w:rPr>
                <w:sz w:val="18"/>
                <w:lang w:val="en-US"/>
              </w:rPr>
            </w:pPr>
          </w:p>
        </w:tc>
        <w:tc>
          <w:tcPr>
            <w:tcW w:w="1070" w:type="dxa"/>
            <w:vMerge/>
            <w:shd w:val="clear" w:color="auto" w:fill="auto"/>
            <w:vAlign w:val="bottom"/>
          </w:tcPr>
          <w:p w14:paraId="605E2911" w14:textId="77777777" w:rsidR="00EA422B" w:rsidRPr="004C184C" w:rsidRDefault="00EA422B" w:rsidP="009C5587">
            <w:pPr>
              <w:suppressAutoHyphens w:val="0"/>
              <w:spacing w:before="40" w:after="40" w:line="220" w:lineRule="exact"/>
              <w:ind w:right="113"/>
              <w:jc w:val="right"/>
              <w:rPr>
                <w:sz w:val="18"/>
                <w:lang w:val="en-US"/>
              </w:rPr>
            </w:pPr>
          </w:p>
        </w:tc>
        <w:tc>
          <w:tcPr>
            <w:tcW w:w="1307" w:type="dxa"/>
            <w:vMerge/>
            <w:shd w:val="clear" w:color="auto" w:fill="auto"/>
            <w:vAlign w:val="bottom"/>
          </w:tcPr>
          <w:p w14:paraId="175A6013" w14:textId="77777777" w:rsidR="00EA422B" w:rsidRPr="004C184C" w:rsidRDefault="00EA422B" w:rsidP="009C5587">
            <w:pPr>
              <w:suppressAutoHyphens w:val="0"/>
              <w:spacing w:before="40" w:after="40" w:line="220" w:lineRule="exact"/>
              <w:ind w:right="113"/>
              <w:jc w:val="right"/>
              <w:rPr>
                <w:sz w:val="18"/>
                <w:lang w:val="en-US"/>
              </w:rPr>
            </w:pPr>
          </w:p>
        </w:tc>
        <w:tc>
          <w:tcPr>
            <w:tcW w:w="1425" w:type="dxa"/>
            <w:vMerge/>
            <w:tcBorders>
              <w:top w:val="nil"/>
              <w:bottom w:val="nil"/>
            </w:tcBorders>
            <w:shd w:val="clear" w:color="auto" w:fill="auto"/>
            <w:vAlign w:val="bottom"/>
          </w:tcPr>
          <w:p w14:paraId="012465CA" w14:textId="77777777" w:rsidR="00EA422B" w:rsidRPr="004C184C" w:rsidRDefault="00EA422B" w:rsidP="009C5587">
            <w:pPr>
              <w:suppressAutoHyphens w:val="0"/>
              <w:spacing w:before="40" w:after="40" w:line="220" w:lineRule="exact"/>
              <w:ind w:right="113"/>
              <w:jc w:val="right"/>
              <w:rPr>
                <w:sz w:val="18"/>
                <w:lang w:val="en-US"/>
              </w:rPr>
            </w:pPr>
          </w:p>
        </w:tc>
      </w:tr>
      <w:tr w:rsidR="00EA422B" w:rsidRPr="004C184C" w14:paraId="4ABA2116" w14:textId="77777777" w:rsidTr="005B4FE3">
        <w:tc>
          <w:tcPr>
            <w:tcW w:w="1429" w:type="dxa"/>
            <w:gridSpan w:val="3"/>
            <w:shd w:val="clear" w:color="auto" w:fill="auto"/>
          </w:tcPr>
          <w:p w14:paraId="789BDBA7" w14:textId="77777777" w:rsidR="00EA422B" w:rsidRPr="004C184C" w:rsidRDefault="00EA422B" w:rsidP="009C5587">
            <w:pPr>
              <w:suppressAutoHyphens w:val="0"/>
              <w:spacing w:before="40" w:after="40" w:line="220" w:lineRule="exact"/>
              <w:ind w:right="113"/>
              <w:rPr>
                <w:sz w:val="18"/>
                <w:lang w:val="en-US"/>
              </w:rPr>
            </w:pPr>
            <w:r w:rsidRPr="004C184C">
              <w:rPr>
                <w:sz w:val="18"/>
                <w:lang w:val="en-US"/>
              </w:rPr>
              <w:t>Northeastern region</w:t>
            </w:r>
          </w:p>
        </w:tc>
        <w:tc>
          <w:tcPr>
            <w:tcW w:w="1142" w:type="dxa"/>
            <w:shd w:val="clear" w:color="auto" w:fill="auto"/>
            <w:vAlign w:val="bottom"/>
          </w:tcPr>
          <w:p w14:paraId="0E469B45" w14:textId="4EC00A55"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21</w:t>
            </w:r>
            <w:r w:rsidR="009C5587" w:rsidRPr="004C184C">
              <w:rPr>
                <w:sz w:val="18"/>
                <w:lang w:val="en-US"/>
              </w:rPr>
              <w:t xml:space="preserve"> </w:t>
            </w:r>
            <w:r w:rsidRPr="004C184C">
              <w:rPr>
                <w:sz w:val="18"/>
                <w:lang w:val="en-US"/>
              </w:rPr>
              <w:t>989</w:t>
            </w:r>
            <w:r w:rsidR="009C5587" w:rsidRPr="004C184C">
              <w:rPr>
                <w:sz w:val="18"/>
                <w:lang w:val="en-US"/>
              </w:rPr>
              <w:t xml:space="preserve"> </w:t>
            </w:r>
            <w:r w:rsidRPr="004C184C">
              <w:rPr>
                <w:sz w:val="18"/>
                <w:lang w:val="en-US"/>
              </w:rPr>
              <w:t>477</w:t>
            </w:r>
          </w:p>
        </w:tc>
        <w:tc>
          <w:tcPr>
            <w:tcW w:w="997" w:type="dxa"/>
            <w:vMerge w:val="restart"/>
            <w:shd w:val="clear" w:color="auto" w:fill="auto"/>
            <w:vAlign w:val="bottom"/>
          </w:tcPr>
          <w:p w14:paraId="45BF5472" w14:textId="77777777"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130</w:t>
            </w:r>
            <w:r w:rsidRPr="004C184C">
              <w:rPr>
                <w:sz w:val="18"/>
                <w:cs/>
                <w:lang w:val="en-US"/>
              </w:rPr>
              <w:t>.</w:t>
            </w:r>
            <w:r w:rsidRPr="004C184C">
              <w:rPr>
                <w:sz w:val="18"/>
                <w:lang w:val="en-US"/>
              </w:rPr>
              <w:t>2</w:t>
            </w:r>
          </w:p>
        </w:tc>
        <w:tc>
          <w:tcPr>
            <w:tcW w:w="1070" w:type="dxa"/>
            <w:vMerge w:val="restart"/>
            <w:shd w:val="clear" w:color="auto" w:fill="auto"/>
            <w:vAlign w:val="bottom"/>
          </w:tcPr>
          <w:p w14:paraId="581783F6" w14:textId="77777777"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8</w:t>
            </w:r>
            <w:r w:rsidRPr="004C184C">
              <w:rPr>
                <w:sz w:val="18"/>
                <w:cs/>
                <w:lang w:val="en-US"/>
              </w:rPr>
              <w:t>.</w:t>
            </w:r>
            <w:r w:rsidRPr="004C184C">
              <w:rPr>
                <w:sz w:val="18"/>
                <w:lang w:val="en-US"/>
              </w:rPr>
              <w:t>6</w:t>
            </w:r>
          </w:p>
        </w:tc>
        <w:tc>
          <w:tcPr>
            <w:tcW w:w="1307" w:type="dxa"/>
            <w:vMerge w:val="restart"/>
            <w:shd w:val="clear" w:color="auto" w:fill="auto"/>
            <w:vAlign w:val="bottom"/>
          </w:tcPr>
          <w:p w14:paraId="192E5973" w14:textId="77777777"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6</w:t>
            </w:r>
            <w:r w:rsidRPr="004C184C">
              <w:rPr>
                <w:sz w:val="18"/>
                <w:cs/>
                <w:lang w:val="en-US"/>
              </w:rPr>
              <w:t>.</w:t>
            </w:r>
            <w:r w:rsidRPr="004C184C">
              <w:rPr>
                <w:sz w:val="18"/>
                <w:lang w:val="en-US"/>
              </w:rPr>
              <w:t>8</w:t>
            </w:r>
          </w:p>
        </w:tc>
        <w:tc>
          <w:tcPr>
            <w:tcW w:w="1425" w:type="dxa"/>
            <w:vMerge/>
            <w:tcBorders>
              <w:top w:val="nil"/>
              <w:bottom w:val="nil"/>
            </w:tcBorders>
            <w:shd w:val="clear" w:color="auto" w:fill="auto"/>
            <w:vAlign w:val="bottom"/>
          </w:tcPr>
          <w:p w14:paraId="222A4587" w14:textId="77777777" w:rsidR="00EA422B" w:rsidRPr="004C184C" w:rsidRDefault="00EA422B" w:rsidP="009C5587">
            <w:pPr>
              <w:suppressAutoHyphens w:val="0"/>
              <w:spacing w:before="40" w:after="40" w:line="220" w:lineRule="exact"/>
              <w:ind w:right="113"/>
              <w:jc w:val="right"/>
              <w:rPr>
                <w:sz w:val="18"/>
                <w:lang w:val="en-US"/>
              </w:rPr>
            </w:pPr>
          </w:p>
        </w:tc>
      </w:tr>
      <w:tr w:rsidR="00EA422B" w:rsidRPr="004C184C" w14:paraId="6F6BD47E" w14:textId="77777777" w:rsidTr="005B4FE3">
        <w:tc>
          <w:tcPr>
            <w:tcW w:w="776" w:type="dxa"/>
            <w:gridSpan w:val="2"/>
            <w:shd w:val="clear" w:color="auto" w:fill="auto"/>
          </w:tcPr>
          <w:p w14:paraId="6194290C" w14:textId="77777777" w:rsidR="00EA422B" w:rsidRPr="004C184C" w:rsidRDefault="00EA422B" w:rsidP="009C5587">
            <w:pPr>
              <w:suppressAutoHyphens w:val="0"/>
              <w:spacing w:before="40" w:after="40" w:line="220" w:lineRule="exact"/>
              <w:ind w:right="113"/>
              <w:rPr>
                <w:sz w:val="18"/>
                <w:lang w:val="en-US"/>
              </w:rPr>
            </w:pPr>
          </w:p>
        </w:tc>
        <w:tc>
          <w:tcPr>
            <w:tcW w:w="653" w:type="dxa"/>
            <w:shd w:val="clear" w:color="auto" w:fill="auto"/>
          </w:tcPr>
          <w:p w14:paraId="0BF7AC52" w14:textId="77777777" w:rsidR="00EA422B" w:rsidRPr="004C184C" w:rsidRDefault="00EA422B" w:rsidP="009C5587">
            <w:pPr>
              <w:suppressAutoHyphens w:val="0"/>
              <w:spacing w:before="40" w:after="40" w:line="220" w:lineRule="exact"/>
              <w:ind w:right="113"/>
              <w:rPr>
                <w:sz w:val="18"/>
                <w:lang w:val="en-US"/>
              </w:rPr>
            </w:pPr>
            <w:r w:rsidRPr="004C184C">
              <w:rPr>
                <w:sz w:val="18"/>
                <w:lang w:val="en-US"/>
              </w:rPr>
              <w:t>Female</w:t>
            </w:r>
          </w:p>
        </w:tc>
        <w:tc>
          <w:tcPr>
            <w:tcW w:w="1142" w:type="dxa"/>
            <w:shd w:val="clear" w:color="auto" w:fill="auto"/>
            <w:vAlign w:val="bottom"/>
          </w:tcPr>
          <w:p w14:paraId="379A7C0A" w14:textId="041F1F06"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11</w:t>
            </w:r>
            <w:r w:rsidR="009C5587" w:rsidRPr="004C184C">
              <w:rPr>
                <w:sz w:val="18"/>
                <w:lang w:val="en-US"/>
              </w:rPr>
              <w:t xml:space="preserve"> </w:t>
            </w:r>
            <w:r w:rsidRPr="004C184C">
              <w:rPr>
                <w:sz w:val="18"/>
                <w:lang w:val="en-US"/>
              </w:rPr>
              <w:t>051</w:t>
            </w:r>
            <w:r w:rsidR="009C5587" w:rsidRPr="004C184C">
              <w:rPr>
                <w:sz w:val="18"/>
                <w:lang w:val="en-US"/>
              </w:rPr>
              <w:t xml:space="preserve"> </w:t>
            </w:r>
            <w:r w:rsidRPr="004C184C">
              <w:rPr>
                <w:sz w:val="18"/>
                <w:lang w:val="en-US"/>
              </w:rPr>
              <w:t>715</w:t>
            </w:r>
          </w:p>
        </w:tc>
        <w:tc>
          <w:tcPr>
            <w:tcW w:w="997" w:type="dxa"/>
            <w:vMerge/>
            <w:shd w:val="clear" w:color="auto" w:fill="auto"/>
            <w:vAlign w:val="bottom"/>
          </w:tcPr>
          <w:p w14:paraId="3C955297" w14:textId="77777777" w:rsidR="00EA422B" w:rsidRPr="004C184C" w:rsidRDefault="00EA422B" w:rsidP="009C5587">
            <w:pPr>
              <w:suppressAutoHyphens w:val="0"/>
              <w:spacing w:before="40" w:after="40" w:line="220" w:lineRule="exact"/>
              <w:ind w:right="113"/>
              <w:jc w:val="right"/>
              <w:rPr>
                <w:sz w:val="18"/>
                <w:lang w:val="en-US"/>
              </w:rPr>
            </w:pPr>
          </w:p>
        </w:tc>
        <w:tc>
          <w:tcPr>
            <w:tcW w:w="1070" w:type="dxa"/>
            <w:vMerge/>
            <w:shd w:val="clear" w:color="auto" w:fill="auto"/>
            <w:vAlign w:val="bottom"/>
          </w:tcPr>
          <w:p w14:paraId="478E4538" w14:textId="77777777" w:rsidR="00EA422B" w:rsidRPr="004C184C" w:rsidRDefault="00EA422B" w:rsidP="009C5587">
            <w:pPr>
              <w:suppressAutoHyphens w:val="0"/>
              <w:spacing w:before="40" w:after="40" w:line="220" w:lineRule="exact"/>
              <w:ind w:right="113"/>
              <w:jc w:val="right"/>
              <w:rPr>
                <w:sz w:val="18"/>
                <w:lang w:val="en-US"/>
              </w:rPr>
            </w:pPr>
          </w:p>
        </w:tc>
        <w:tc>
          <w:tcPr>
            <w:tcW w:w="1307" w:type="dxa"/>
            <w:vMerge/>
            <w:shd w:val="clear" w:color="auto" w:fill="auto"/>
            <w:vAlign w:val="bottom"/>
          </w:tcPr>
          <w:p w14:paraId="3802516E" w14:textId="77777777" w:rsidR="00EA422B" w:rsidRPr="004C184C" w:rsidRDefault="00EA422B" w:rsidP="009C5587">
            <w:pPr>
              <w:suppressAutoHyphens w:val="0"/>
              <w:spacing w:before="40" w:after="40" w:line="220" w:lineRule="exact"/>
              <w:ind w:right="113"/>
              <w:jc w:val="right"/>
              <w:rPr>
                <w:sz w:val="18"/>
                <w:lang w:val="en-US"/>
              </w:rPr>
            </w:pPr>
          </w:p>
        </w:tc>
        <w:tc>
          <w:tcPr>
            <w:tcW w:w="1425" w:type="dxa"/>
            <w:vMerge/>
            <w:tcBorders>
              <w:top w:val="nil"/>
              <w:bottom w:val="nil"/>
            </w:tcBorders>
            <w:shd w:val="clear" w:color="auto" w:fill="auto"/>
            <w:vAlign w:val="bottom"/>
          </w:tcPr>
          <w:p w14:paraId="4BFACBDE" w14:textId="77777777" w:rsidR="00EA422B" w:rsidRPr="004C184C" w:rsidRDefault="00EA422B" w:rsidP="009C5587">
            <w:pPr>
              <w:suppressAutoHyphens w:val="0"/>
              <w:spacing w:before="40" w:after="40" w:line="220" w:lineRule="exact"/>
              <w:ind w:right="113"/>
              <w:jc w:val="right"/>
              <w:rPr>
                <w:sz w:val="18"/>
                <w:lang w:val="en-US"/>
              </w:rPr>
            </w:pPr>
          </w:p>
        </w:tc>
      </w:tr>
      <w:tr w:rsidR="00EA422B" w:rsidRPr="004C184C" w14:paraId="3F16FF58" w14:textId="77777777" w:rsidTr="005B4FE3">
        <w:tc>
          <w:tcPr>
            <w:tcW w:w="776" w:type="dxa"/>
            <w:gridSpan w:val="2"/>
            <w:shd w:val="clear" w:color="auto" w:fill="auto"/>
          </w:tcPr>
          <w:p w14:paraId="16C3E59B" w14:textId="77777777" w:rsidR="00EA422B" w:rsidRPr="004C184C" w:rsidRDefault="00EA422B" w:rsidP="009C5587">
            <w:pPr>
              <w:suppressAutoHyphens w:val="0"/>
              <w:spacing w:before="40" w:after="40" w:line="220" w:lineRule="exact"/>
              <w:ind w:right="113"/>
              <w:rPr>
                <w:sz w:val="18"/>
                <w:lang w:val="en-US"/>
              </w:rPr>
            </w:pPr>
          </w:p>
        </w:tc>
        <w:tc>
          <w:tcPr>
            <w:tcW w:w="653" w:type="dxa"/>
            <w:shd w:val="clear" w:color="auto" w:fill="auto"/>
          </w:tcPr>
          <w:p w14:paraId="744C1A49" w14:textId="77777777" w:rsidR="00EA422B" w:rsidRPr="004C184C" w:rsidRDefault="00EA422B" w:rsidP="009C5587">
            <w:pPr>
              <w:suppressAutoHyphens w:val="0"/>
              <w:spacing w:before="40" w:after="40" w:line="220" w:lineRule="exact"/>
              <w:ind w:right="113"/>
              <w:rPr>
                <w:sz w:val="18"/>
                <w:lang w:val="en-US"/>
              </w:rPr>
            </w:pPr>
            <w:r w:rsidRPr="004C184C">
              <w:rPr>
                <w:sz w:val="18"/>
                <w:lang w:val="en-US"/>
              </w:rPr>
              <w:t>Male</w:t>
            </w:r>
          </w:p>
        </w:tc>
        <w:tc>
          <w:tcPr>
            <w:tcW w:w="1142" w:type="dxa"/>
            <w:shd w:val="clear" w:color="auto" w:fill="auto"/>
            <w:vAlign w:val="bottom"/>
          </w:tcPr>
          <w:p w14:paraId="26995E74" w14:textId="2EBF9977"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10</w:t>
            </w:r>
            <w:r w:rsidR="009C5587" w:rsidRPr="004C184C">
              <w:rPr>
                <w:sz w:val="18"/>
                <w:lang w:val="en-US"/>
              </w:rPr>
              <w:t xml:space="preserve"> </w:t>
            </w:r>
            <w:r w:rsidRPr="004C184C">
              <w:rPr>
                <w:sz w:val="18"/>
                <w:lang w:val="en-US"/>
              </w:rPr>
              <w:t>937</w:t>
            </w:r>
            <w:r w:rsidR="009C5587" w:rsidRPr="004C184C">
              <w:rPr>
                <w:sz w:val="18"/>
                <w:lang w:val="en-US"/>
              </w:rPr>
              <w:t xml:space="preserve"> </w:t>
            </w:r>
            <w:r w:rsidRPr="004C184C">
              <w:rPr>
                <w:sz w:val="18"/>
                <w:lang w:val="en-US"/>
              </w:rPr>
              <w:t>762</w:t>
            </w:r>
          </w:p>
        </w:tc>
        <w:tc>
          <w:tcPr>
            <w:tcW w:w="997" w:type="dxa"/>
            <w:vMerge/>
            <w:shd w:val="clear" w:color="auto" w:fill="auto"/>
            <w:vAlign w:val="bottom"/>
          </w:tcPr>
          <w:p w14:paraId="64C94C66" w14:textId="77777777" w:rsidR="00EA422B" w:rsidRPr="004C184C" w:rsidRDefault="00EA422B" w:rsidP="009C5587">
            <w:pPr>
              <w:suppressAutoHyphens w:val="0"/>
              <w:spacing w:before="40" w:after="40" w:line="220" w:lineRule="exact"/>
              <w:ind w:right="113"/>
              <w:jc w:val="right"/>
              <w:rPr>
                <w:sz w:val="18"/>
                <w:lang w:val="en-US"/>
              </w:rPr>
            </w:pPr>
          </w:p>
        </w:tc>
        <w:tc>
          <w:tcPr>
            <w:tcW w:w="1070" w:type="dxa"/>
            <w:vMerge/>
            <w:shd w:val="clear" w:color="auto" w:fill="auto"/>
            <w:vAlign w:val="bottom"/>
          </w:tcPr>
          <w:p w14:paraId="1984D11B" w14:textId="77777777" w:rsidR="00EA422B" w:rsidRPr="004C184C" w:rsidRDefault="00EA422B" w:rsidP="009C5587">
            <w:pPr>
              <w:suppressAutoHyphens w:val="0"/>
              <w:spacing w:before="40" w:after="40" w:line="220" w:lineRule="exact"/>
              <w:ind w:right="113"/>
              <w:jc w:val="right"/>
              <w:rPr>
                <w:sz w:val="18"/>
                <w:lang w:val="en-US"/>
              </w:rPr>
            </w:pPr>
          </w:p>
        </w:tc>
        <w:tc>
          <w:tcPr>
            <w:tcW w:w="1307" w:type="dxa"/>
            <w:vMerge/>
            <w:shd w:val="clear" w:color="auto" w:fill="auto"/>
            <w:vAlign w:val="bottom"/>
          </w:tcPr>
          <w:p w14:paraId="1756A971" w14:textId="77777777" w:rsidR="00EA422B" w:rsidRPr="004C184C" w:rsidRDefault="00EA422B" w:rsidP="009C5587">
            <w:pPr>
              <w:suppressAutoHyphens w:val="0"/>
              <w:spacing w:before="40" w:after="40" w:line="220" w:lineRule="exact"/>
              <w:ind w:right="113"/>
              <w:jc w:val="right"/>
              <w:rPr>
                <w:sz w:val="18"/>
                <w:lang w:val="en-US"/>
              </w:rPr>
            </w:pPr>
          </w:p>
        </w:tc>
        <w:tc>
          <w:tcPr>
            <w:tcW w:w="1425" w:type="dxa"/>
            <w:vMerge/>
            <w:tcBorders>
              <w:top w:val="nil"/>
              <w:bottom w:val="nil"/>
            </w:tcBorders>
            <w:shd w:val="clear" w:color="auto" w:fill="auto"/>
            <w:vAlign w:val="bottom"/>
          </w:tcPr>
          <w:p w14:paraId="72AF031A" w14:textId="77777777" w:rsidR="00EA422B" w:rsidRPr="004C184C" w:rsidRDefault="00EA422B" w:rsidP="009C5587">
            <w:pPr>
              <w:suppressAutoHyphens w:val="0"/>
              <w:spacing w:before="40" w:after="40" w:line="220" w:lineRule="exact"/>
              <w:ind w:right="113"/>
              <w:jc w:val="right"/>
              <w:rPr>
                <w:sz w:val="18"/>
                <w:lang w:val="en-US"/>
              </w:rPr>
            </w:pPr>
          </w:p>
        </w:tc>
      </w:tr>
      <w:tr w:rsidR="00EA422B" w:rsidRPr="004C184C" w14:paraId="7AE1B4ED" w14:textId="77777777" w:rsidTr="005B4FE3">
        <w:tc>
          <w:tcPr>
            <w:tcW w:w="1429" w:type="dxa"/>
            <w:gridSpan w:val="3"/>
            <w:shd w:val="clear" w:color="auto" w:fill="auto"/>
          </w:tcPr>
          <w:p w14:paraId="704EB965" w14:textId="77777777" w:rsidR="00EA422B" w:rsidRPr="004C184C" w:rsidRDefault="00EA422B" w:rsidP="009C5587">
            <w:pPr>
              <w:suppressAutoHyphens w:val="0"/>
              <w:spacing w:before="40" w:after="40" w:line="220" w:lineRule="exact"/>
              <w:ind w:right="113"/>
              <w:rPr>
                <w:sz w:val="18"/>
                <w:lang w:val="en-US"/>
              </w:rPr>
            </w:pPr>
            <w:r w:rsidRPr="004C184C">
              <w:rPr>
                <w:sz w:val="18"/>
                <w:lang w:val="en-US"/>
              </w:rPr>
              <w:t>Southern region</w:t>
            </w:r>
          </w:p>
        </w:tc>
        <w:tc>
          <w:tcPr>
            <w:tcW w:w="1142" w:type="dxa"/>
            <w:shd w:val="clear" w:color="auto" w:fill="auto"/>
            <w:vAlign w:val="bottom"/>
          </w:tcPr>
          <w:p w14:paraId="172B3D26" w14:textId="1711B4EE"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9</w:t>
            </w:r>
            <w:r w:rsidR="009C5587" w:rsidRPr="004C184C">
              <w:rPr>
                <w:sz w:val="18"/>
                <w:lang w:val="en-US"/>
              </w:rPr>
              <w:t xml:space="preserve"> </w:t>
            </w:r>
            <w:r w:rsidRPr="004C184C">
              <w:rPr>
                <w:sz w:val="18"/>
                <w:lang w:val="en-US"/>
              </w:rPr>
              <w:t>399</w:t>
            </w:r>
            <w:r w:rsidR="009C5587" w:rsidRPr="004C184C">
              <w:rPr>
                <w:sz w:val="18"/>
                <w:lang w:val="en-US"/>
              </w:rPr>
              <w:t xml:space="preserve"> </w:t>
            </w:r>
            <w:r w:rsidRPr="004C184C">
              <w:rPr>
                <w:sz w:val="18"/>
                <w:lang w:val="en-US"/>
              </w:rPr>
              <w:t>578</w:t>
            </w:r>
          </w:p>
        </w:tc>
        <w:tc>
          <w:tcPr>
            <w:tcW w:w="997" w:type="dxa"/>
            <w:vMerge w:val="restart"/>
            <w:shd w:val="clear" w:color="auto" w:fill="auto"/>
            <w:vAlign w:val="bottom"/>
          </w:tcPr>
          <w:p w14:paraId="70D58C2E" w14:textId="77777777"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132</w:t>
            </w:r>
            <w:r w:rsidRPr="004C184C">
              <w:rPr>
                <w:sz w:val="18"/>
                <w:cs/>
                <w:lang w:val="en-US"/>
              </w:rPr>
              <w:t>.</w:t>
            </w:r>
            <w:r w:rsidRPr="004C184C">
              <w:rPr>
                <w:sz w:val="18"/>
                <w:lang w:val="en-US"/>
              </w:rPr>
              <w:t>9</w:t>
            </w:r>
          </w:p>
        </w:tc>
        <w:tc>
          <w:tcPr>
            <w:tcW w:w="1070" w:type="dxa"/>
            <w:vMerge w:val="restart"/>
            <w:shd w:val="clear" w:color="auto" w:fill="auto"/>
            <w:vAlign w:val="bottom"/>
          </w:tcPr>
          <w:p w14:paraId="4B6FB573" w14:textId="77777777"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13</w:t>
            </w:r>
            <w:r w:rsidRPr="004C184C">
              <w:rPr>
                <w:sz w:val="18"/>
                <w:cs/>
                <w:lang w:val="en-US"/>
              </w:rPr>
              <w:t>.</w:t>
            </w:r>
            <w:r w:rsidRPr="004C184C">
              <w:rPr>
                <w:sz w:val="18"/>
                <w:lang w:val="en-US"/>
              </w:rPr>
              <w:t>0</w:t>
            </w:r>
          </w:p>
        </w:tc>
        <w:tc>
          <w:tcPr>
            <w:tcW w:w="1307" w:type="dxa"/>
            <w:vMerge w:val="restart"/>
            <w:shd w:val="clear" w:color="auto" w:fill="auto"/>
            <w:vAlign w:val="bottom"/>
          </w:tcPr>
          <w:p w14:paraId="1790D69F" w14:textId="77777777"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6</w:t>
            </w:r>
            <w:r w:rsidRPr="004C184C">
              <w:rPr>
                <w:sz w:val="18"/>
                <w:cs/>
                <w:lang w:val="en-US"/>
              </w:rPr>
              <w:t>.</w:t>
            </w:r>
            <w:r w:rsidRPr="004C184C">
              <w:rPr>
                <w:sz w:val="18"/>
                <w:lang w:val="en-US"/>
              </w:rPr>
              <w:t>1</w:t>
            </w:r>
          </w:p>
        </w:tc>
        <w:tc>
          <w:tcPr>
            <w:tcW w:w="1425" w:type="dxa"/>
            <w:vMerge/>
            <w:tcBorders>
              <w:top w:val="nil"/>
              <w:bottom w:val="nil"/>
            </w:tcBorders>
            <w:shd w:val="clear" w:color="auto" w:fill="auto"/>
            <w:vAlign w:val="bottom"/>
          </w:tcPr>
          <w:p w14:paraId="2A863D12" w14:textId="77777777" w:rsidR="00EA422B" w:rsidRPr="004C184C" w:rsidRDefault="00EA422B" w:rsidP="009C5587">
            <w:pPr>
              <w:suppressAutoHyphens w:val="0"/>
              <w:spacing w:before="40" w:after="40" w:line="220" w:lineRule="exact"/>
              <w:ind w:right="113"/>
              <w:jc w:val="right"/>
              <w:rPr>
                <w:sz w:val="18"/>
                <w:lang w:val="en-US"/>
              </w:rPr>
            </w:pPr>
          </w:p>
        </w:tc>
      </w:tr>
      <w:tr w:rsidR="00EA422B" w:rsidRPr="004C184C" w14:paraId="62934BA4" w14:textId="77777777" w:rsidTr="005B4FE3">
        <w:tc>
          <w:tcPr>
            <w:tcW w:w="776" w:type="dxa"/>
            <w:gridSpan w:val="2"/>
            <w:shd w:val="clear" w:color="auto" w:fill="auto"/>
          </w:tcPr>
          <w:p w14:paraId="3FE6DCB0" w14:textId="77777777" w:rsidR="00EA422B" w:rsidRPr="004C184C" w:rsidRDefault="00EA422B" w:rsidP="009C5587">
            <w:pPr>
              <w:suppressAutoHyphens w:val="0"/>
              <w:spacing w:before="40" w:after="40" w:line="220" w:lineRule="exact"/>
              <w:ind w:right="113"/>
              <w:rPr>
                <w:sz w:val="18"/>
                <w:lang w:val="en-US"/>
              </w:rPr>
            </w:pPr>
          </w:p>
        </w:tc>
        <w:tc>
          <w:tcPr>
            <w:tcW w:w="653" w:type="dxa"/>
            <w:shd w:val="clear" w:color="auto" w:fill="auto"/>
          </w:tcPr>
          <w:p w14:paraId="16AD17B1" w14:textId="77777777" w:rsidR="00EA422B" w:rsidRPr="004C184C" w:rsidRDefault="00EA422B" w:rsidP="009C5587">
            <w:pPr>
              <w:suppressAutoHyphens w:val="0"/>
              <w:spacing w:before="40" w:after="40" w:line="220" w:lineRule="exact"/>
              <w:ind w:right="113"/>
              <w:rPr>
                <w:sz w:val="18"/>
                <w:lang w:val="en-US"/>
              </w:rPr>
            </w:pPr>
            <w:r w:rsidRPr="004C184C">
              <w:rPr>
                <w:sz w:val="18"/>
                <w:lang w:val="en-US"/>
              </w:rPr>
              <w:t>Female</w:t>
            </w:r>
          </w:p>
        </w:tc>
        <w:tc>
          <w:tcPr>
            <w:tcW w:w="1142" w:type="dxa"/>
            <w:shd w:val="clear" w:color="auto" w:fill="auto"/>
            <w:vAlign w:val="bottom"/>
          </w:tcPr>
          <w:p w14:paraId="0972AD48" w14:textId="3A6A6356"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4</w:t>
            </w:r>
            <w:r w:rsidR="009C5587" w:rsidRPr="004C184C">
              <w:rPr>
                <w:sz w:val="18"/>
                <w:lang w:val="en-US"/>
              </w:rPr>
              <w:t xml:space="preserve"> </w:t>
            </w:r>
            <w:r w:rsidRPr="004C184C">
              <w:rPr>
                <w:sz w:val="18"/>
                <w:lang w:val="en-US"/>
              </w:rPr>
              <w:t>769</w:t>
            </w:r>
            <w:r w:rsidR="009C5587" w:rsidRPr="004C184C">
              <w:rPr>
                <w:sz w:val="18"/>
                <w:lang w:val="en-US"/>
              </w:rPr>
              <w:t xml:space="preserve"> </w:t>
            </w:r>
            <w:r w:rsidRPr="004C184C">
              <w:rPr>
                <w:sz w:val="18"/>
                <w:lang w:val="en-US"/>
              </w:rPr>
              <w:t>225</w:t>
            </w:r>
          </w:p>
        </w:tc>
        <w:tc>
          <w:tcPr>
            <w:tcW w:w="997" w:type="dxa"/>
            <w:vMerge/>
            <w:shd w:val="clear" w:color="auto" w:fill="auto"/>
            <w:vAlign w:val="bottom"/>
          </w:tcPr>
          <w:p w14:paraId="0F6E5DAE" w14:textId="77777777" w:rsidR="00EA422B" w:rsidRPr="004C184C" w:rsidRDefault="00EA422B" w:rsidP="009C5587">
            <w:pPr>
              <w:suppressAutoHyphens w:val="0"/>
              <w:spacing w:before="40" w:after="40" w:line="220" w:lineRule="exact"/>
              <w:ind w:right="113"/>
              <w:jc w:val="right"/>
              <w:rPr>
                <w:sz w:val="18"/>
                <w:lang w:val="en-US"/>
              </w:rPr>
            </w:pPr>
          </w:p>
        </w:tc>
        <w:tc>
          <w:tcPr>
            <w:tcW w:w="1070" w:type="dxa"/>
            <w:vMerge/>
            <w:shd w:val="clear" w:color="auto" w:fill="auto"/>
            <w:vAlign w:val="bottom"/>
          </w:tcPr>
          <w:p w14:paraId="180C8A5F" w14:textId="77777777" w:rsidR="00EA422B" w:rsidRPr="004C184C" w:rsidRDefault="00EA422B" w:rsidP="009C5587">
            <w:pPr>
              <w:suppressAutoHyphens w:val="0"/>
              <w:spacing w:before="40" w:after="40" w:line="220" w:lineRule="exact"/>
              <w:ind w:right="113"/>
              <w:jc w:val="right"/>
              <w:rPr>
                <w:sz w:val="18"/>
                <w:lang w:val="en-US"/>
              </w:rPr>
            </w:pPr>
          </w:p>
        </w:tc>
        <w:tc>
          <w:tcPr>
            <w:tcW w:w="1307" w:type="dxa"/>
            <w:vMerge/>
            <w:shd w:val="clear" w:color="auto" w:fill="auto"/>
            <w:vAlign w:val="bottom"/>
          </w:tcPr>
          <w:p w14:paraId="34250DCB" w14:textId="77777777" w:rsidR="00EA422B" w:rsidRPr="004C184C" w:rsidRDefault="00EA422B" w:rsidP="009C5587">
            <w:pPr>
              <w:suppressAutoHyphens w:val="0"/>
              <w:spacing w:before="40" w:after="40" w:line="220" w:lineRule="exact"/>
              <w:ind w:right="113"/>
              <w:jc w:val="right"/>
              <w:rPr>
                <w:sz w:val="18"/>
                <w:lang w:val="en-US"/>
              </w:rPr>
            </w:pPr>
          </w:p>
        </w:tc>
        <w:tc>
          <w:tcPr>
            <w:tcW w:w="1425" w:type="dxa"/>
            <w:vMerge/>
            <w:tcBorders>
              <w:top w:val="nil"/>
              <w:bottom w:val="nil"/>
            </w:tcBorders>
            <w:shd w:val="clear" w:color="auto" w:fill="auto"/>
            <w:vAlign w:val="bottom"/>
          </w:tcPr>
          <w:p w14:paraId="0C8EEFD4" w14:textId="77777777" w:rsidR="00EA422B" w:rsidRPr="004C184C" w:rsidRDefault="00EA422B" w:rsidP="009C5587">
            <w:pPr>
              <w:suppressAutoHyphens w:val="0"/>
              <w:spacing w:before="40" w:after="40" w:line="220" w:lineRule="exact"/>
              <w:ind w:right="113"/>
              <w:jc w:val="right"/>
              <w:rPr>
                <w:sz w:val="18"/>
                <w:lang w:val="en-US"/>
              </w:rPr>
            </w:pPr>
          </w:p>
        </w:tc>
      </w:tr>
      <w:tr w:rsidR="00EA422B" w:rsidRPr="004C184C" w14:paraId="6933AA76" w14:textId="77777777" w:rsidTr="005B4FE3">
        <w:tc>
          <w:tcPr>
            <w:tcW w:w="776" w:type="dxa"/>
            <w:gridSpan w:val="2"/>
            <w:shd w:val="clear" w:color="auto" w:fill="auto"/>
          </w:tcPr>
          <w:p w14:paraId="47C9B230" w14:textId="77777777" w:rsidR="00EA422B" w:rsidRPr="004C184C" w:rsidRDefault="00EA422B" w:rsidP="009C5587">
            <w:pPr>
              <w:suppressAutoHyphens w:val="0"/>
              <w:spacing w:before="40" w:after="40" w:line="220" w:lineRule="exact"/>
              <w:ind w:right="113"/>
              <w:rPr>
                <w:sz w:val="18"/>
                <w:lang w:val="en-US"/>
              </w:rPr>
            </w:pPr>
          </w:p>
        </w:tc>
        <w:tc>
          <w:tcPr>
            <w:tcW w:w="653" w:type="dxa"/>
            <w:shd w:val="clear" w:color="auto" w:fill="auto"/>
          </w:tcPr>
          <w:p w14:paraId="1FC5AC96" w14:textId="77777777" w:rsidR="00EA422B" w:rsidRPr="004C184C" w:rsidRDefault="00EA422B" w:rsidP="009C5587">
            <w:pPr>
              <w:suppressAutoHyphens w:val="0"/>
              <w:spacing w:before="40" w:after="40" w:line="220" w:lineRule="exact"/>
              <w:ind w:right="113"/>
              <w:rPr>
                <w:sz w:val="18"/>
                <w:lang w:val="en-US"/>
              </w:rPr>
            </w:pPr>
            <w:r w:rsidRPr="004C184C">
              <w:rPr>
                <w:sz w:val="18"/>
                <w:lang w:val="en-US"/>
              </w:rPr>
              <w:t>Male</w:t>
            </w:r>
          </w:p>
        </w:tc>
        <w:tc>
          <w:tcPr>
            <w:tcW w:w="1142" w:type="dxa"/>
            <w:shd w:val="clear" w:color="auto" w:fill="auto"/>
            <w:vAlign w:val="bottom"/>
          </w:tcPr>
          <w:p w14:paraId="7D7AC577" w14:textId="28A3D891" w:rsidR="00EA422B" w:rsidRPr="004C184C" w:rsidRDefault="00EA422B" w:rsidP="009C5587">
            <w:pPr>
              <w:suppressAutoHyphens w:val="0"/>
              <w:spacing w:before="40" w:after="40" w:line="220" w:lineRule="exact"/>
              <w:ind w:right="113"/>
              <w:jc w:val="right"/>
              <w:rPr>
                <w:sz w:val="18"/>
                <w:lang w:val="en-US"/>
              </w:rPr>
            </w:pPr>
            <w:r w:rsidRPr="004C184C">
              <w:rPr>
                <w:sz w:val="18"/>
                <w:lang w:val="en-US"/>
              </w:rPr>
              <w:t>4</w:t>
            </w:r>
            <w:r w:rsidR="009C5587" w:rsidRPr="004C184C">
              <w:rPr>
                <w:sz w:val="18"/>
                <w:lang w:val="en-US"/>
              </w:rPr>
              <w:t xml:space="preserve"> </w:t>
            </w:r>
            <w:r w:rsidRPr="004C184C">
              <w:rPr>
                <w:sz w:val="18"/>
                <w:lang w:val="en-US"/>
              </w:rPr>
              <w:t>630</w:t>
            </w:r>
            <w:r w:rsidR="009C5587" w:rsidRPr="004C184C">
              <w:rPr>
                <w:sz w:val="18"/>
                <w:lang w:val="en-US"/>
              </w:rPr>
              <w:t xml:space="preserve"> </w:t>
            </w:r>
            <w:r w:rsidRPr="004C184C">
              <w:rPr>
                <w:sz w:val="18"/>
                <w:lang w:val="en-US"/>
              </w:rPr>
              <w:t>353</w:t>
            </w:r>
          </w:p>
        </w:tc>
        <w:tc>
          <w:tcPr>
            <w:tcW w:w="997" w:type="dxa"/>
            <w:vMerge/>
            <w:shd w:val="clear" w:color="auto" w:fill="auto"/>
            <w:vAlign w:val="bottom"/>
          </w:tcPr>
          <w:p w14:paraId="69F6514D" w14:textId="77777777" w:rsidR="00EA422B" w:rsidRPr="004C184C" w:rsidRDefault="00EA422B" w:rsidP="009C5587">
            <w:pPr>
              <w:suppressAutoHyphens w:val="0"/>
              <w:spacing w:before="40" w:after="40" w:line="220" w:lineRule="exact"/>
              <w:ind w:right="113"/>
              <w:jc w:val="right"/>
              <w:rPr>
                <w:sz w:val="18"/>
                <w:lang w:val="en-US"/>
              </w:rPr>
            </w:pPr>
          </w:p>
        </w:tc>
        <w:tc>
          <w:tcPr>
            <w:tcW w:w="1070" w:type="dxa"/>
            <w:vMerge/>
            <w:shd w:val="clear" w:color="auto" w:fill="auto"/>
            <w:vAlign w:val="bottom"/>
          </w:tcPr>
          <w:p w14:paraId="2999E68B" w14:textId="77777777" w:rsidR="00EA422B" w:rsidRPr="004C184C" w:rsidRDefault="00EA422B" w:rsidP="009C5587">
            <w:pPr>
              <w:suppressAutoHyphens w:val="0"/>
              <w:spacing w:before="40" w:after="40" w:line="220" w:lineRule="exact"/>
              <w:ind w:right="113"/>
              <w:jc w:val="right"/>
              <w:rPr>
                <w:sz w:val="18"/>
                <w:lang w:val="en-US"/>
              </w:rPr>
            </w:pPr>
          </w:p>
        </w:tc>
        <w:tc>
          <w:tcPr>
            <w:tcW w:w="1307" w:type="dxa"/>
            <w:vMerge/>
            <w:shd w:val="clear" w:color="auto" w:fill="auto"/>
            <w:vAlign w:val="bottom"/>
          </w:tcPr>
          <w:p w14:paraId="102E27BC" w14:textId="77777777" w:rsidR="00EA422B" w:rsidRPr="004C184C" w:rsidRDefault="00EA422B" w:rsidP="009C5587">
            <w:pPr>
              <w:suppressAutoHyphens w:val="0"/>
              <w:spacing w:before="40" w:after="40" w:line="220" w:lineRule="exact"/>
              <w:ind w:right="113"/>
              <w:jc w:val="right"/>
              <w:rPr>
                <w:sz w:val="18"/>
                <w:lang w:val="en-US"/>
              </w:rPr>
            </w:pPr>
          </w:p>
        </w:tc>
        <w:tc>
          <w:tcPr>
            <w:tcW w:w="1425" w:type="dxa"/>
            <w:vMerge/>
            <w:tcBorders>
              <w:top w:val="nil"/>
              <w:bottom w:val="nil"/>
            </w:tcBorders>
            <w:shd w:val="clear" w:color="auto" w:fill="auto"/>
            <w:vAlign w:val="bottom"/>
          </w:tcPr>
          <w:p w14:paraId="55B7047A" w14:textId="77777777" w:rsidR="00EA422B" w:rsidRPr="004C184C" w:rsidRDefault="00EA422B" w:rsidP="009C5587">
            <w:pPr>
              <w:suppressAutoHyphens w:val="0"/>
              <w:spacing w:before="40" w:after="40" w:line="220" w:lineRule="exact"/>
              <w:ind w:right="113"/>
              <w:jc w:val="right"/>
              <w:rPr>
                <w:sz w:val="18"/>
                <w:lang w:val="en-US"/>
              </w:rPr>
            </w:pPr>
          </w:p>
        </w:tc>
      </w:tr>
    </w:tbl>
    <w:p w14:paraId="1752D070" w14:textId="77777777" w:rsidR="00EA422B" w:rsidRPr="004C184C" w:rsidRDefault="00EA422B" w:rsidP="009D00B9">
      <w:pPr>
        <w:pStyle w:val="SingleTxtG"/>
        <w:spacing w:before="240"/>
        <w:rPr>
          <w:lang w:val="en-US"/>
        </w:rPr>
      </w:pPr>
      <w:r w:rsidRPr="004C184C">
        <w:rPr>
          <w:lang w:val="en-US"/>
        </w:rPr>
        <w:t>9.</w:t>
      </w:r>
      <w:r w:rsidRPr="004C184C">
        <w:rPr>
          <w:lang w:val="en-US"/>
        </w:rPr>
        <w:tab/>
        <w:t>As of December 2019, there were 2,015,385 registered persons with disabilities in Thailand, of which 963,507 were female and 1,051,878 were male. 83,543 persons (4.14%) are below 14 years of age, 850,270 persons (42.19%) between 15–59 years of age and 1,081,572 persons (53.67%) are above 60 years of age.</w:t>
      </w:r>
    </w:p>
    <w:p w14:paraId="5F131959" w14:textId="77777777" w:rsidR="00EA422B" w:rsidRPr="004C184C" w:rsidRDefault="00EA422B" w:rsidP="0048017F">
      <w:pPr>
        <w:pStyle w:val="H23G"/>
        <w:rPr>
          <w:lang w:val="en-US"/>
        </w:rPr>
      </w:pPr>
      <w:r w:rsidRPr="004C184C">
        <w:rPr>
          <w:lang w:val="en-US"/>
        </w:rPr>
        <w:tab/>
      </w:r>
      <w:r w:rsidRPr="004C184C">
        <w:rPr>
          <w:lang w:val="en-US"/>
        </w:rPr>
        <w:tab/>
        <w:t>Languages</w:t>
      </w:r>
    </w:p>
    <w:p w14:paraId="7AC0622A" w14:textId="77777777" w:rsidR="00EA422B" w:rsidRPr="004C184C" w:rsidRDefault="00EA422B" w:rsidP="000D60BF">
      <w:pPr>
        <w:pStyle w:val="SingleTxtG"/>
        <w:rPr>
          <w:lang w:val="en-US"/>
        </w:rPr>
      </w:pPr>
      <w:r w:rsidRPr="004C184C">
        <w:rPr>
          <w:lang w:val="en-US"/>
        </w:rPr>
        <w:t>10.</w:t>
      </w:r>
      <w:r w:rsidRPr="004C184C">
        <w:rPr>
          <w:lang w:val="en-US"/>
        </w:rPr>
        <w:tab/>
        <w:t>Thai is the official language of Thailand. While the central dialect is the standard speaking dialect, several local dialects are spoken in different regions</w:t>
      </w:r>
      <w:r w:rsidRPr="004C184C">
        <w:rPr>
          <w:cs/>
          <w:lang w:val="en-US"/>
        </w:rPr>
        <w:t xml:space="preserve">. </w:t>
      </w:r>
      <w:r w:rsidRPr="004C184C">
        <w:rPr>
          <w:lang w:val="en-US"/>
        </w:rPr>
        <w:t xml:space="preserve">Apart from the Thai language, some ethnic groups speak their languages. For instance, </w:t>
      </w:r>
      <w:proofErr w:type="spellStart"/>
      <w:r w:rsidRPr="004C184C">
        <w:rPr>
          <w:lang w:val="en-US"/>
        </w:rPr>
        <w:t>Malayu</w:t>
      </w:r>
      <w:proofErr w:type="spellEnd"/>
      <w:r w:rsidRPr="004C184C">
        <w:rPr>
          <w:lang w:val="en-US"/>
        </w:rPr>
        <w:t xml:space="preserve"> Muslims in Pattani, </w:t>
      </w:r>
      <w:proofErr w:type="spellStart"/>
      <w:r w:rsidRPr="004C184C">
        <w:rPr>
          <w:lang w:val="en-US"/>
        </w:rPr>
        <w:t>Yala</w:t>
      </w:r>
      <w:proofErr w:type="spellEnd"/>
      <w:r w:rsidRPr="004C184C">
        <w:rPr>
          <w:lang w:val="en-US"/>
        </w:rPr>
        <w:t xml:space="preserve"> and Narathiwat</w:t>
      </w:r>
      <w:r w:rsidRPr="004C184C">
        <w:rPr>
          <w:cs/>
          <w:lang w:val="en-US"/>
        </w:rPr>
        <w:t xml:space="preserve"> </w:t>
      </w:r>
      <w:r w:rsidRPr="004C184C">
        <w:rPr>
          <w:lang w:val="en-US"/>
        </w:rPr>
        <w:t xml:space="preserve">speak local </w:t>
      </w:r>
      <w:proofErr w:type="spellStart"/>
      <w:r w:rsidRPr="004C184C">
        <w:rPr>
          <w:lang w:val="en-US"/>
        </w:rPr>
        <w:t>Malayu</w:t>
      </w:r>
      <w:proofErr w:type="spellEnd"/>
      <w:r w:rsidRPr="004C184C">
        <w:rPr>
          <w:lang w:val="en-US"/>
        </w:rPr>
        <w:t xml:space="preserve"> language, while</w:t>
      </w:r>
      <w:r w:rsidRPr="004C184C">
        <w:rPr>
          <w:cs/>
          <w:lang w:val="en-US"/>
        </w:rPr>
        <w:t xml:space="preserve"> </w:t>
      </w:r>
      <w:r w:rsidRPr="004C184C">
        <w:rPr>
          <w:lang w:val="en-US"/>
        </w:rPr>
        <w:t>the Karen ethnic group speaks languages of their own tribes and the Hmong ethnic group speaks the Hmong language</w:t>
      </w:r>
      <w:r w:rsidRPr="004C184C">
        <w:rPr>
          <w:cs/>
          <w:lang w:val="en-US"/>
        </w:rPr>
        <w:t>.</w:t>
      </w:r>
    </w:p>
    <w:p w14:paraId="4182E89B" w14:textId="77777777" w:rsidR="00EA422B" w:rsidRPr="004C184C" w:rsidRDefault="00EA422B" w:rsidP="0048017F">
      <w:pPr>
        <w:pStyle w:val="H23G"/>
        <w:rPr>
          <w:lang w:val="en-US"/>
        </w:rPr>
      </w:pPr>
      <w:r w:rsidRPr="004C184C">
        <w:rPr>
          <w:lang w:val="en-US"/>
        </w:rPr>
        <w:tab/>
      </w:r>
      <w:r w:rsidRPr="004C184C">
        <w:rPr>
          <w:lang w:val="en-US"/>
        </w:rPr>
        <w:tab/>
        <w:t>Economics</w:t>
      </w:r>
    </w:p>
    <w:p w14:paraId="56226C2E" w14:textId="5F00ECAD" w:rsidR="00EA422B" w:rsidRPr="004C184C" w:rsidRDefault="00EA422B" w:rsidP="000D60BF">
      <w:pPr>
        <w:pStyle w:val="SingleTxtG"/>
        <w:rPr>
          <w:lang w:val="en-US"/>
        </w:rPr>
      </w:pPr>
      <w:r w:rsidRPr="004C184C">
        <w:rPr>
          <w:lang w:val="en-US"/>
        </w:rPr>
        <w:t>11.</w:t>
      </w:r>
      <w:r w:rsidRPr="004C184C">
        <w:rPr>
          <w:lang w:val="en-US"/>
        </w:rPr>
        <w:tab/>
        <w:t>Thailand has become an upper middle</w:t>
      </w:r>
      <w:r w:rsidR="00D97E73" w:rsidRPr="004C184C">
        <w:rPr>
          <w:lang w:val="en-US"/>
        </w:rPr>
        <w:t>-</w:t>
      </w:r>
      <w:r w:rsidRPr="004C184C">
        <w:rPr>
          <w:lang w:val="en-US"/>
        </w:rPr>
        <w:t>income country since 2011</w:t>
      </w:r>
      <w:r w:rsidRPr="004C184C">
        <w:rPr>
          <w:cs/>
          <w:lang w:val="en-US"/>
        </w:rPr>
        <w:t xml:space="preserve">. </w:t>
      </w:r>
      <w:r w:rsidRPr="004C184C">
        <w:rPr>
          <w:lang w:val="en-US"/>
        </w:rPr>
        <w:t>For the year 2019, GDP value at current prices was THB 16,879.0 billion (USD 543.7 billion). GDP per capita was at THB 248,257.4 per person per year (USD 7,996.2 per person per year), increasing from THB 241,269.6 per person per year (USD 7,467.1 per person per year) in the previous year. The proportion of the population below the national poverty line was 9.85% in 2018 and 8</w:t>
      </w:r>
      <w:r w:rsidRPr="004C184C">
        <w:rPr>
          <w:cs/>
          <w:lang w:val="en-US"/>
        </w:rPr>
        <w:t>.</w:t>
      </w:r>
      <w:r w:rsidRPr="004C184C">
        <w:rPr>
          <w:lang w:val="en-US"/>
        </w:rPr>
        <w:t>61</w:t>
      </w:r>
      <w:r w:rsidRPr="004C184C">
        <w:rPr>
          <w:cs/>
          <w:lang w:val="en-US"/>
        </w:rPr>
        <w:t>%</w:t>
      </w:r>
      <w:r w:rsidRPr="004C184C">
        <w:rPr>
          <w:lang w:val="en-US"/>
        </w:rPr>
        <w:t xml:space="preserve"> in 2019, a decrease of 12.59%.</w:t>
      </w:r>
    </w:p>
    <w:p w14:paraId="019D13CE" w14:textId="77777777" w:rsidR="00EA422B" w:rsidRPr="004C184C" w:rsidRDefault="00EA422B" w:rsidP="000D60BF">
      <w:pPr>
        <w:pStyle w:val="SingleTxtG"/>
        <w:rPr>
          <w:lang w:val="en-US"/>
        </w:rPr>
      </w:pPr>
      <w:r w:rsidRPr="004C184C">
        <w:rPr>
          <w:lang w:val="en-US"/>
        </w:rPr>
        <w:t>12.</w:t>
      </w:r>
      <w:r w:rsidRPr="004C184C">
        <w:rPr>
          <w:lang w:val="en-US"/>
        </w:rPr>
        <w:tab/>
        <w:t xml:space="preserve">In 2019 the Thai economy expanded by 2.4%, compared with 4.2% in 2018. On the expenditure side, private consumption and investment grew by 4.5% and 2.8%, and expanded continually from 4.6% and 4.1% in the previous year, respectively. In addition, government consumption and investment increased by 1.4% and 0.2%, compared with 2.6% and 2.9% in the previous year, respectively. However, the export value declined by 3.2%, compared with 7.5% growth in the previous year. </w:t>
      </w:r>
    </w:p>
    <w:p w14:paraId="020D7951" w14:textId="13F54758" w:rsidR="00EA422B" w:rsidRPr="004C184C" w:rsidRDefault="00EA422B" w:rsidP="000D60BF">
      <w:pPr>
        <w:pStyle w:val="SingleTxtG"/>
        <w:rPr>
          <w:lang w:val="en-US"/>
        </w:rPr>
      </w:pPr>
      <w:r w:rsidRPr="004C184C">
        <w:rPr>
          <w:lang w:val="en-US"/>
        </w:rPr>
        <w:t>13.</w:t>
      </w:r>
      <w:r w:rsidRPr="004C184C">
        <w:rPr>
          <w:lang w:val="en-US"/>
        </w:rPr>
        <w:tab/>
        <w:t>On the production side, the agricultural and non</w:t>
      </w:r>
      <w:r w:rsidR="00D97E73" w:rsidRPr="004C184C">
        <w:rPr>
          <w:lang w:val="en-US"/>
        </w:rPr>
        <w:t>-</w:t>
      </w:r>
      <w:r w:rsidRPr="004C184C">
        <w:rPr>
          <w:lang w:val="en-US"/>
        </w:rPr>
        <w:t xml:space="preserve">agricultural sectors accounted for 6.16% and 93.84% of GDP, respectively. Agricultural production, forestry production and the fishery sector, the accommodations and food service activities sector, wholesale and retail trade; the repair of motor vehicles and motorcycles sector, and the transport and storage sector expanded by 0.1%, 5.5%, 5.7%, 3.4%, slowing from expansions of 5.5%, 7.6%, 6.6% and 4.4% in the previous year, respectively. The manufacturing sector declined by 0.7%, compared with a 3.2% growth in 2018. </w:t>
      </w:r>
    </w:p>
    <w:p w14:paraId="59F3C3BC" w14:textId="77777777" w:rsidR="00EA422B" w:rsidRPr="004C184C" w:rsidRDefault="00EA422B" w:rsidP="000D60BF">
      <w:pPr>
        <w:pStyle w:val="SingleTxtG"/>
        <w:rPr>
          <w:lang w:val="en-US"/>
        </w:rPr>
      </w:pPr>
      <w:r w:rsidRPr="004C184C">
        <w:rPr>
          <w:lang w:val="en-US"/>
        </w:rPr>
        <w:t>14.</w:t>
      </w:r>
      <w:r w:rsidRPr="004C184C">
        <w:rPr>
          <w:lang w:val="en-US"/>
        </w:rPr>
        <w:tab/>
        <w:t xml:space="preserve">The </w:t>
      </w:r>
      <w:r w:rsidRPr="004C184C">
        <w:rPr>
          <w:cs/>
          <w:lang w:val="en-US"/>
        </w:rPr>
        <w:t>201</w:t>
      </w:r>
      <w:r w:rsidRPr="004C184C">
        <w:rPr>
          <w:lang w:val="en-US"/>
        </w:rPr>
        <w:t>9</w:t>
      </w:r>
      <w:r w:rsidRPr="004C184C">
        <w:rPr>
          <w:cs/>
          <w:lang w:val="en-US"/>
        </w:rPr>
        <w:t xml:space="preserve"> </w:t>
      </w:r>
      <w:r w:rsidRPr="004C184C">
        <w:rPr>
          <w:lang w:val="en-US"/>
        </w:rPr>
        <w:t xml:space="preserve">total national budget was set at THB </w:t>
      </w:r>
      <w:r w:rsidRPr="004C184C">
        <w:rPr>
          <w:cs/>
          <w:lang w:val="en-US"/>
        </w:rPr>
        <w:t>3.0</w:t>
      </w:r>
      <w:r w:rsidRPr="004C184C">
        <w:rPr>
          <w:lang w:val="en-US"/>
        </w:rPr>
        <w:t xml:space="preserve"> trillion, which was increased by 1</w:t>
      </w:r>
      <w:r w:rsidRPr="004C184C">
        <w:rPr>
          <w:cs/>
          <w:lang w:val="en-US"/>
        </w:rPr>
        <w:t xml:space="preserve">% </w:t>
      </w:r>
      <w:r w:rsidRPr="004C184C">
        <w:rPr>
          <w:lang w:val="en-US"/>
        </w:rPr>
        <w:t>of the 2018 budget</w:t>
      </w:r>
      <w:r w:rsidRPr="004C184C">
        <w:rPr>
          <w:cs/>
          <w:lang w:val="en-US"/>
        </w:rPr>
        <w:t xml:space="preserve">. </w:t>
      </w:r>
    </w:p>
    <w:p w14:paraId="25E03F59" w14:textId="65479FED" w:rsidR="00EA422B" w:rsidRPr="004C184C" w:rsidRDefault="00EA422B" w:rsidP="00786240">
      <w:pPr>
        <w:pStyle w:val="SingleTxtG"/>
        <w:rPr>
          <w:lang w:val="en-US"/>
        </w:rPr>
      </w:pPr>
      <w:r w:rsidRPr="004C184C">
        <w:rPr>
          <w:lang w:val="en-US"/>
        </w:rPr>
        <w:t>15.</w:t>
      </w:r>
      <w:r w:rsidRPr="004C184C">
        <w:rPr>
          <w:lang w:val="en-US"/>
        </w:rPr>
        <w:tab/>
        <w:t>Overall, economic stability remained favorable. Headline inflation was 0.7% and the current account recorded a surplus of 6.8% of GDP.</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552"/>
        <w:gridCol w:w="1701"/>
        <w:gridCol w:w="949"/>
        <w:gridCol w:w="108"/>
        <w:gridCol w:w="518"/>
        <w:gridCol w:w="865"/>
        <w:gridCol w:w="677"/>
      </w:tblGrid>
      <w:tr w:rsidR="00EA422B" w:rsidRPr="004C184C" w14:paraId="4D1E67F1" w14:textId="77777777" w:rsidTr="00786240">
        <w:trPr>
          <w:tblHeader/>
        </w:trPr>
        <w:tc>
          <w:tcPr>
            <w:tcW w:w="2552" w:type="dxa"/>
            <w:tcBorders>
              <w:top w:val="single" w:sz="4" w:space="0" w:color="auto"/>
              <w:bottom w:val="single" w:sz="12" w:space="0" w:color="auto"/>
            </w:tcBorders>
            <w:shd w:val="clear" w:color="auto" w:fill="auto"/>
            <w:vAlign w:val="bottom"/>
          </w:tcPr>
          <w:p w14:paraId="26EAFEF1" w14:textId="77777777" w:rsidR="00EA422B" w:rsidRPr="004C184C" w:rsidRDefault="00EA422B" w:rsidP="00786240">
            <w:pPr>
              <w:suppressAutoHyphens w:val="0"/>
              <w:spacing w:before="80" w:after="80" w:line="200" w:lineRule="exact"/>
              <w:ind w:right="113"/>
              <w:rPr>
                <w:i/>
                <w:sz w:val="16"/>
                <w:lang w:val="en-US"/>
              </w:rPr>
            </w:pPr>
            <w:r w:rsidRPr="004C184C">
              <w:rPr>
                <w:i/>
                <w:sz w:val="16"/>
                <w:lang w:val="en-US"/>
              </w:rPr>
              <w:lastRenderedPageBreak/>
              <w:t xml:space="preserve">Per capita income </w:t>
            </w:r>
          </w:p>
        </w:tc>
        <w:tc>
          <w:tcPr>
            <w:tcW w:w="4818" w:type="dxa"/>
            <w:gridSpan w:val="6"/>
            <w:tcBorders>
              <w:top w:val="single" w:sz="4" w:space="0" w:color="auto"/>
              <w:bottom w:val="single" w:sz="12" w:space="0" w:color="auto"/>
            </w:tcBorders>
            <w:shd w:val="clear" w:color="auto" w:fill="auto"/>
            <w:vAlign w:val="bottom"/>
          </w:tcPr>
          <w:p w14:paraId="20433394" w14:textId="6F0402E4" w:rsidR="00EA422B" w:rsidRPr="004C184C" w:rsidRDefault="00EA422B" w:rsidP="00786240">
            <w:pPr>
              <w:suppressAutoHyphens w:val="0"/>
              <w:spacing w:before="80" w:after="80" w:line="200" w:lineRule="exact"/>
              <w:ind w:right="113"/>
              <w:jc w:val="right"/>
              <w:rPr>
                <w:i/>
                <w:sz w:val="16"/>
                <w:lang w:val="en-US"/>
              </w:rPr>
            </w:pPr>
            <w:r w:rsidRPr="004C184C">
              <w:rPr>
                <w:i/>
                <w:sz w:val="16"/>
                <w:lang w:val="en-US"/>
              </w:rPr>
              <w:t>USD 4615</w:t>
            </w:r>
            <w:r w:rsidRPr="004C184C">
              <w:rPr>
                <w:i/>
                <w:sz w:val="16"/>
                <w:cs/>
                <w:lang w:val="en-US"/>
              </w:rPr>
              <w:t>.</w:t>
            </w:r>
            <w:r w:rsidRPr="004C184C">
              <w:rPr>
                <w:i/>
                <w:sz w:val="16"/>
                <w:lang w:val="en-US"/>
              </w:rPr>
              <w:t xml:space="preserve">24 </w:t>
            </w:r>
            <w:r w:rsidRPr="004C184C">
              <w:rPr>
                <w:i/>
                <w:sz w:val="16"/>
                <w:cs/>
                <w:lang w:val="en-US"/>
              </w:rPr>
              <w:t>(</w:t>
            </w:r>
            <w:r w:rsidRPr="004C184C">
              <w:rPr>
                <w:i/>
                <w:sz w:val="16"/>
                <w:lang w:val="en-US"/>
              </w:rPr>
              <w:t>THB 147</w:t>
            </w:r>
            <w:r w:rsidR="00080958">
              <w:rPr>
                <w:i/>
                <w:sz w:val="16"/>
                <w:lang w:val="en-US"/>
              </w:rPr>
              <w:t xml:space="preserve"> </w:t>
            </w:r>
            <w:r w:rsidRPr="004C184C">
              <w:rPr>
                <w:i/>
                <w:sz w:val="16"/>
                <w:lang w:val="en-US"/>
              </w:rPr>
              <w:t>088</w:t>
            </w:r>
            <w:r w:rsidRPr="004C184C">
              <w:rPr>
                <w:i/>
                <w:sz w:val="16"/>
                <w:cs/>
                <w:lang w:val="en-US"/>
              </w:rPr>
              <w:t>)</w:t>
            </w:r>
            <w:r w:rsidRPr="004C184C">
              <w:rPr>
                <w:rStyle w:val="FootnoteReference"/>
                <w:i/>
                <w:sz w:val="16"/>
                <w:rtl/>
                <w:lang w:val="en-US"/>
              </w:rPr>
              <w:footnoteReference w:id="4"/>
            </w:r>
          </w:p>
        </w:tc>
      </w:tr>
      <w:tr w:rsidR="00EA422B" w:rsidRPr="004C184C" w14:paraId="5F1E7400" w14:textId="77777777" w:rsidTr="00786240">
        <w:tc>
          <w:tcPr>
            <w:tcW w:w="2552" w:type="dxa"/>
            <w:tcBorders>
              <w:top w:val="single" w:sz="12" w:space="0" w:color="auto"/>
            </w:tcBorders>
            <w:shd w:val="clear" w:color="auto" w:fill="auto"/>
          </w:tcPr>
          <w:p w14:paraId="228664B7" w14:textId="77777777" w:rsidR="00EA422B" w:rsidRPr="004C184C" w:rsidRDefault="00EA422B" w:rsidP="00786240">
            <w:pPr>
              <w:suppressAutoHyphens w:val="0"/>
              <w:spacing w:before="40" w:after="40" w:line="220" w:lineRule="exact"/>
              <w:ind w:right="113"/>
              <w:rPr>
                <w:sz w:val="18"/>
                <w:lang w:val="en-US"/>
              </w:rPr>
            </w:pPr>
            <w:r w:rsidRPr="004C184C">
              <w:rPr>
                <w:sz w:val="18"/>
                <w:lang w:val="en-US"/>
              </w:rPr>
              <w:t xml:space="preserve">Gross domestic product </w:t>
            </w:r>
            <w:r w:rsidRPr="004C184C">
              <w:rPr>
                <w:sz w:val="18"/>
                <w:cs/>
                <w:lang w:val="en-US"/>
              </w:rPr>
              <w:t>(</w:t>
            </w:r>
            <w:r w:rsidRPr="004C184C">
              <w:rPr>
                <w:sz w:val="18"/>
                <w:lang w:val="en-US"/>
              </w:rPr>
              <w:t>GDP</w:t>
            </w:r>
            <w:r w:rsidRPr="004C184C">
              <w:rPr>
                <w:sz w:val="18"/>
                <w:cs/>
                <w:lang w:val="en-US"/>
              </w:rPr>
              <w:t>)</w:t>
            </w:r>
            <w:r w:rsidRPr="004C184C">
              <w:rPr>
                <w:sz w:val="18"/>
                <w:lang w:val="en-US"/>
              </w:rPr>
              <w:t xml:space="preserve"> in million</w:t>
            </w:r>
          </w:p>
        </w:tc>
        <w:tc>
          <w:tcPr>
            <w:tcW w:w="4818" w:type="dxa"/>
            <w:gridSpan w:val="6"/>
            <w:tcBorders>
              <w:top w:val="single" w:sz="12" w:space="0" w:color="auto"/>
            </w:tcBorders>
            <w:shd w:val="clear" w:color="auto" w:fill="auto"/>
            <w:vAlign w:val="bottom"/>
          </w:tcPr>
          <w:p w14:paraId="18D283FE" w14:textId="7368D333" w:rsidR="00EA422B" w:rsidRPr="004C184C" w:rsidRDefault="00EA422B" w:rsidP="00786240">
            <w:pPr>
              <w:suppressAutoHyphens w:val="0"/>
              <w:spacing w:before="40" w:after="40" w:line="220" w:lineRule="exact"/>
              <w:ind w:right="113"/>
              <w:jc w:val="right"/>
              <w:rPr>
                <w:sz w:val="18"/>
                <w:szCs w:val="18"/>
                <w:lang w:val="en-US"/>
              </w:rPr>
            </w:pPr>
            <w:r w:rsidRPr="004C184C">
              <w:rPr>
                <w:sz w:val="18"/>
                <w:szCs w:val="18"/>
                <w:lang w:val="en-US"/>
              </w:rPr>
              <w:t>USD 313</w:t>
            </w:r>
            <w:r w:rsidR="00080958">
              <w:rPr>
                <w:sz w:val="18"/>
                <w:szCs w:val="18"/>
                <w:lang w:val="en-US"/>
              </w:rPr>
              <w:t xml:space="preserve"> </w:t>
            </w:r>
            <w:r w:rsidRPr="004C184C">
              <w:rPr>
                <w:sz w:val="18"/>
                <w:szCs w:val="18"/>
                <w:lang w:val="en-US"/>
              </w:rPr>
              <w:t>701</w:t>
            </w:r>
            <w:r w:rsidRPr="004C184C">
              <w:rPr>
                <w:sz w:val="18"/>
                <w:szCs w:val="18"/>
                <w:cs/>
                <w:lang w:val="en-US"/>
              </w:rPr>
              <w:t>.</w:t>
            </w:r>
            <w:r w:rsidRPr="004C184C">
              <w:rPr>
                <w:sz w:val="18"/>
                <w:szCs w:val="18"/>
                <w:lang w:val="en-US"/>
              </w:rPr>
              <w:t xml:space="preserve">53 </w:t>
            </w:r>
            <w:r w:rsidRPr="004C184C">
              <w:rPr>
                <w:sz w:val="18"/>
                <w:szCs w:val="18"/>
                <w:cs/>
                <w:lang w:val="en-US"/>
              </w:rPr>
              <w:t>(</w:t>
            </w:r>
            <w:r w:rsidRPr="004C184C">
              <w:rPr>
                <w:sz w:val="18"/>
                <w:szCs w:val="18"/>
                <w:lang w:val="en-US"/>
              </w:rPr>
              <w:t>THB 9</w:t>
            </w:r>
            <w:r w:rsidR="00080958">
              <w:rPr>
                <w:sz w:val="18"/>
                <w:szCs w:val="18"/>
                <w:lang w:val="en-US"/>
              </w:rPr>
              <w:t xml:space="preserve"> </w:t>
            </w:r>
            <w:r w:rsidRPr="004C184C">
              <w:rPr>
                <w:sz w:val="18"/>
                <w:szCs w:val="18"/>
                <w:lang w:val="en-US"/>
              </w:rPr>
              <w:t>997</w:t>
            </w:r>
            <w:r w:rsidR="00080958">
              <w:rPr>
                <w:sz w:val="18"/>
                <w:szCs w:val="18"/>
                <w:lang w:val="en-US"/>
              </w:rPr>
              <w:t xml:space="preserve"> </w:t>
            </w:r>
            <w:r w:rsidRPr="004C184C">
              <w:rPr>
                <w:sz w:val="18"/>
                <w:szCs w:val="18"/>
                <w:lang w:val="en-US"/>
              </w:rPr>
              <w:t>668</w:t>
            </w:r>
            <w:r w:rsidRPr="004C184C">
              <w:rPr>
                <w:sz w:val="18"/>
                <w:szCs w:val="18"/>
                <w:cs/>
                <w:lang w:val="en-US"/>
              </w:rPr>
              <w:t>)</w:t>
            </w:r>
          </w:p>
        </w:tc>
      </w:tr>
      <w:tr w:rsidR="00EA422B" w:rsidRPr="004C184C" w14:paraId="0C6095B0" w14:textId="77777777" w:rsidTr="00786240">
        <w:tc>
          <w:tcPr>
            <w:tcW w:w="2552" w:type="dxa"/>
            <w:shd w:val="clear" w:color="auto" w:fill="auto"/>
          </w:tcPr>
          <w:p w14:paraId="2E54FDD7" w14:textId="77777777" w:rsidR="00EA422B" w:rsidRPr="004C184C" w:rsidRDefault="00EA422B" w:rsidP="00786240">
            <w:pPr>
              <w:suppressAutoHyphens w:val="0"/>
              <w:spacing w:before="40" w:after="40" w:line="220" w:lineRule="exact"/>
              <w:ind w:right="113"/>
              <w:rPr>
                <w:sz w:val="18"/>
                <w:lang w:val="en-US"/>
              </w:rPr>
            </w:pPr>
            <w:r w:rsidRPr="004C184C">
              <w:rPr>
                <w:sz w:val="18"/>
                <w:lang w:val="en-US"/>
              </w:rPr>
              <w:t>Annual growth rate</w:t>
            </w:r>
          </w:p>
        </w:tc>
        <w:tc>
          <w:tcPr>
            <w:tcW w:w="4818" w:type="dxa"/>
            <w:gridSpan w:val="6"/>
            <w:shd w:val="clear" w:color="auto" w:fill="auto"/>
            <w:vAlign w:val="bottom"/>
          </w:tcPr>
          <w:p w14:paraId="0D9AF2C8" w14:textId="77777777" w:rsidR="00EA422B" w:rsidRPr="004C184C" w:rsidRDefault="00EA422B" w:rsidP="00786240">
            <w:pPr>
              <w:suppressAutoHyphens w:val="0"/>
              <w:spacing w:before="40" w:after="40" w:line="220" w:lineRule="exact"/>
              <w:ind w:right="113"/>
              <w:jc w:val="right"/>
              <w:rPr>
                <w:sz w:val="18"/>
                <w:szCs w:val="18"/>
                <w:lang w:val="en-US"/>
              </w:rPr>
            </w:pPr>
            <w:r w:rsidRPr="004C184C">
              <w:rPr>
                <w:sz w:val="18"/>
                <w:szCs w:val="18"/>
                <w:lang w:val="en-US"/>
              </w:rPr>
              <w:t>3</w:t>
            </w:r>
            <w:r w:rsidRPr="004C184C">
              <w:rPr>
                <w:sz w:val="18"/>
                <w:szCs w:val="18"/>
                <w:cs/>
                <w:lang w:val="en-US"/>
              </w:rPr>
              <w:t>.</w:t>
            </w:r>
            <w:r w:rsidRPr="004C184C">
              <w:rPr>
                <w:sz w:val="18"/>
                <w:szCs w:val="18"/>
                <w:lang w:val="en-US"/>
              </w:rPr>
              <w:t>3</w:t>
            </w:r>
            <w:r w:rsidRPr="004C184C">
              <w:rPr>
                <w:sz w:val="18"/>
                <w:szCs w:val="18"/>
                <w:cs/>
                <w:lang w:val="en-US"/>
              </w:rPr>
              <w:t>%</w:t>
            </w:r>
          </w:p>
        </w:tc>
      </w:tr>
      <w:tr w:rsidR="00EA422B" w:rsidRPr="004C184C" w14:paraId="4B96D91F" w14:textId="77777777" w:rsidTr="00786240">
        <w:tc>
          <w:tcPr>
            <w:tcW w:w="2552" w:type="dxa"/>
            <w:shd w:val="clear" w:color="auto" w:fill="auto"/>
          </w:tcPr>
          <w:p w14:paraId="705B28CC" w14:textId="77777777" w:rsidR="00EA422B" w:rsidRPr="004C184C" w:rsidRDefault="00EA422B" w:rsidP="00786240">
            <w:pPr>
              <w:suppressAutoHyphens w:val="0"/>
              <w:spacing w:before="40" w:after="40" w:line="220" w:lineRule="exact"/>
              <w:ind w:right="113"/>
              <w:rPr>
                <w:sz w:val="18"/>
                <w:lang w:val="en-US"/>
              </w:rPr>
            </w:pPr>
            <w:r w:rsidRPr="004C184C">
              <w:rPr>
                <w:sz w:val="18"/>
                <w:lang w:val="en-US"/>
              </w:rPr>
              <w:t xml:space="preserve">Gross National Income </w:t>
            </w:r>
            <w:r w:rsidRPr="004C184C">
              <w:rPr>
                <w:sz w:val="18"/>
                <w:cs/>
                <w:lang w:val="en-US"/>
              </w:rPr>
              <w:t>(</w:t>
            </w:r>
            <w:r w:rsidRPr="004C184C">
              <w:rPr>
                <w:sz w:val="18"/>
                <w:lang w:val="en-US"/>
              </w:rPr>
              <w:t>GNI</w:t>
            </w:r>
            <w:r w:rsidRPr="004C184C">
              <w:rPr>
                <w:sz w:val="18"/>
                <w:cs/>
                <w:lang w:val="en-US"/>
              </w:rPr>
              <w:t xml:space="preserve">) </w:t>
            </w:r>
            <w:r w:rsidRPr="004C184C">
              <w:rPr>
                <w:sz w:val="18"/>
                <w:lang w:val="en-US"/>
              </w:rPr>
              <w:t>in million</w:t>
            </w:r>
          </w:p>
        </w:tc>
        <w:tc>
          <w:tcPr>
            <w:tcW w:w="4818" w:type="dxa"/>
            <w:gridSpan w:val="6"/>
            <w:shd w:val="clear" w:color="auto" w:fill="auto"/>
            <w:vAlign w:val="bottom"/>
          </w:tcPr>
          <w:p w14:paraId="74390C39" w14:textId="18D264CC" w:rsidR="00EA422B" w:rsidRPr="004C184C" w:rsidRDefault="00EA422B" w:rsidP="00786240">
            <w:pPr>
              <w:suppressAutoHyphens w:val="0"/>
              <w:spacing w:before="40" w:after="40" w:line="220" w:lineRule="exact"/>
              <w:ind w:right="113"/>
              <w:jc w:val="right"/>
              <w:rPr>
                <w:sz w:val="18"/>
                <w:szCs w:val="18"/>
                <w:lang w:val="en-US"/>
              </w:rPr>
            </w:pPr>
            <w:r w:rsidRPr="004C184C">
              <w:rPr>
                <w:sz w:val="18"/>
                <w:szCs w:val="18"/>
                <w:lang w:val="en-US"/>
              </w:rPr>
              <w:t>USD 434</w:t>
            </w:r>
            <w:r w:rsidR="00080958">
              <w:rPr>
                <w:sz w:val="18"/>
                <w:szCs w:val="18"/>
                <w:lang w:val="en-US"/>
              </w:rPr>
              <w:t xml:space="preserve"> </w:t>
            </w:r>
            <w:r w:rsidRPr="004C184C">
              <w:rPr>
                <w:sz w:val="18"/>
                <w:szCs w:val="18"/>
                <w:lang w:val="en-US"/>
              </w:rPr>
              <w:t>612</w:t>
            </w:r>
            <w:r w:rsidRPr="004C184C">
              <w:rPr>
                <w:sz w:val="18"/>
                <w:szCs w:val="18"/>
                <w:cs/>
                <w:lang w:val="en-US"/>
              </w:rPr>
              <w:t>.</w:t>
            </w:r>
            <w:r w:rsidRPr="004C184C">
              <w:rPr>
                <w:sz w:val="18"/>
                <w:szCs w:val="18"/>
                <w:lang w:val="en-US"/>
              </w:rPr>
              <w:t xml:space="preserve">83 </w:t>
            </w:r>
            <w:r w:rsidRPr="004C184C">
              <w:rPr>
                <w:sz w:val="18"/>
                <w:szCs w:val="18"/>
                <w:cs/>
                <w:lang w:val="en-US"/>
              </w:rPr>
              <w:t>(</w:t>
            </w:r>
            <w:r w:rsidRPr="004C184C">
              <w:rPr>
                <w:sz w:val="18"/>
                <w:szCs w:val="18"/>
                <w:lang w:val="en-US"/>
              </w:rPr>
              <w:t>THB 13</w:t>
            </w:r>
            <w:r w:rsidR="00080958">
              <w:rPr>
                <w:sz w:val="18"/>
                <w:szCs w:val="18"/>
                <w:lang w:val="en-US"/>
              </w:rPr>
              <w:t xml:space="preserve"> </w:t>
            </w:r>
            <w:r w:rsidRPr="004C184C">
              <w:rPr>
                <w:sz w:val="18"/>
                <w:szCs w:val="18"/>
                <w:lang w:val="en-US"/>
              </w:rPr>
              <w:t>851</w:t>
            </w:r>
            <w:r w:rsidR="00080958">
              <w:rPr>
                <w:sz w:val="18"/>
                <w:szCs w:val="18"/>
                <w:lang w:val="en-US"/>
              </w:rPr>
              <w:t xml:space="preserve"> </w:t>
            </w:r>
            <w:r w:rsidRPr="004C184C">
              <w:rPr>
                <w:sz w:val="18"/>
                <w:szCs w:val="18"/>
                <w:lang w:val="en-US"/>
              </w:rPr>
              <w:t>111</w:t>
            </w:r>
            <w:r w:rsidRPr="004C184C">
              <w:rPr>
                <w:sz w:val="18"/>
                <w:szCs w:val="18"/>
                <w:cs/>
                <w:lang w:val="en-US"/>
              </w:rPr>
              <w:t>)</w:t>
            </w:r>
          </w:p>
        </w:tc>
      </w:tr>
      <w:tr w:rsidR="00EA422B" w:rsidRPr="004C184C" w14:paraId="7C97A2DB" w14:textId="77777777" w:rsidTr="00786240">
        <w:tc>
          <w:tcPr>
            <w:tcW w:w="2552" w:type="dxa"/>
            <w:vMerge w:val="restart"/>
            <w:shd w:val="clear" w:color="auto" w:fill="auto"/>
          </w:tcPr>
          <w:p w14:paraId="7514622F" w14:textId="77777777" w:rsidR="00EA422B" w:rsidRPr="004C184C" w:rsidRDefault="00EA422B" w:rsidP="00786240">
            <w:pPr>
              <w:suppressAutoHyphens w:val="0"/>
              <w:spacing w:before="40" w:after="40" w:line="220" w:lineRule="exact"/>
              <w:ind w:right="113"/>
              <w:rPr>
                <w:sz w:val="18"/>
                <w:cs/>
                <w:lang w:val="en-US"/>
              </w:rPr>
            </w:pPr>
            <w:r w:rsidRPr="004C184C">
              <w:rPr>
                <w:sz w:val="18"/>
                <w:lang w:val="en-US"/>
              </w:rPr>
              <w:t xml:space="preserve">Social expenditures in million baht and as a proportion of total public expenditure </w:t>
            </w:r>
          </w:p>
        </w:tc>
        <w:tc>
          <w:tcPr>
            <w:tcW w:w="1701" w:type="dxa"/>
            <w:shd w:val="clear" w:color="auto" w:fill="auto"/>
            <w:vAlign w:val="bottom"/>
          </w:tcPr>
          <w:p w14:paraId="2A07A2CE" w14:textId="77777777" w:rsidR="00EA422B" w:rsidRPr="004C184C" w:rsidRDefault="00EA422B" w:rsidP="00786240">
            <w:pPr>
              <w:suppressAutoHyphens w:val="0"/>
              <w:spacing w:before="40" w:after="40" w:line="220" w:lineRule="exact"/>
              <w:ind w:right="113"/>
              <w:jc w:val="right"/>
              <w:rPr>
                <w:sz w:val="18"/>
                <w:szCs w:val="18"/>
                <w:lang w:val="en-US"/>
              </w:rPr>
            </w:pPr>
          </w:p>
        </w:tc>
        <w:tc>
          <w:tcPr>
            <w:tcW w:w="949" w:type="dxa"/>
            <w:shd w:val="clear" w:color="auto" w:fill="auto"/>
            <w:vAlign w:val="bottom"/>
          </w:tcPr>
          <w:p w14:paraId="01FD8AE3" w14:textId="7568C133" w:rsidR="00EA422B" w:rsidRPr="004C184C" w:rsidRDefault="00EA422B" w:rsidP="00786240">
            <w:pPr>
              <w:suppressAutoHyphens w:val="0"/>
              <w:spacing w:before="40" w:after="40" w:line="220" w:lineRule="exact"/>
              <w:ind w:right="113"/>
              <w:jc w:val="right"/>
              <w:rPr>
                <w:sz w:val="18"/>
                <w:szCs w:val="18"/>
                <w:lang w:val="en-US"/>
              </w:rPr>
            </w:pPr>
            <w:r w:rsidRPr="004C184C">
              <w:rPr>
                <w:sz w:val="18"/>
                <w:szCs w:val="18"/>
                <w:lang w:val="en-US"/>
              </w:rPr>
              <w:t xml:space="preserve">FY </w:t>
            </w:r>
            <w:r w:rsidRPr="004C184C">
              <w:rPr>
                <w:sz w:val="18"/>
                <w:szCs w:val="18"/>
                <w:cs/>
                <w:lang w:val="en-US"/>
              </w:rPr>
              <w:t>2017</w:t>
            </w:r>
          </w:p>
        </w:tc>
        <w:tc>
          <w:tcPr>
            <w:tcW w:w="626" w:type="dxa"/>
            <w:gridSpan w:val="2"/>
            <w:shd w:val="clear" w:color="auto" w:fill="auto"/>
            <w:vAlign w:val="bottom"/>
          </w:tcPr>
          <w:p w14:paraId="76C5D5F7" w14:textId="77777777" w:rsidR="00EA422B" w:rsidRPr="004C184C" w:rsidRDefault="00EA422B" w:rsidP="00786240">
            <w:pPr>
              <w:suppressAutoHyphens w:val="0"/>
              <w:spacing w:before="40" w:after="40" w:line="220" w:lineRule="exact"/>
              <w:ind w:right="113"/>
              <w:jc w:val="right"/>
              <w:rPr>
                <w:sz w:val="18"/>
                <w:szCs w:val="18"/>
                <w:lang w:val="en-US"/>
              </w:rPr>
            </w:pPr>
            <w:r w:rsidRPr="004C184C">
              <w:rPr>
                <w:sz w:val="18"/>
                <w:szCs w:val="18"/>
                <w:cs/>
                <w:lang w:val="en-US"/>
              </w:rPr>
              <w:t>%</w:t>
            </w:r>
          </w:p>
        </w:tc>
        <w:tc>
          <w:tcPr>
            <w:tcW w:w="865" w:type="dxa"/>
            <w:shd w:val="clear" w:color="auto" w:fill="auto"/>
            <w:vAlign w:val="bottom"/>
          </w:tcPr>
          <w:p w14:paraId="1EAE6B15" w14:textId="2E94B8FD" w:rsidR="00EA422B" w:rsidRPr="004C184C" w:rsidRDefault="00EA422B" w:rsidP="00786240">
            <w:pPr>
              <w:suppressAutoHyphens w:val="0"/>
              <w:spacing w:before="40" w:after="40" w:line="220" w:lineRule="exact"/>
              <w:ind w:right="113"/>
              <w:jc w:val="right"/>
              <w:rPr>
                <w:sz w:val="18"/>
                <w:szCs w:val="18"/>
                <w:lang w:val="en-US"/>
              </w:rPr>
            </w:pPr>
            <w:r w:rsidRPr="004C184C">
              <w:rPr>
                <w:sz w:val="18"/>
                <w:szCs w:val="18"/>
                <w:lang w:val="en-US"/>
              </w:rPr>
              <w:t>FY 2018</w:t>
            </w:r>
          </w:p>
        </w:tc>
        <w:tc>
          <w:tcPr>
            <w:tcW w:w="677" w:type="dxa"/>
            <w:shd w:val="clear" w:color="auto" w:fill="auto"/>
            <w:vAlign w:val="bottom"/>
          </w:tcPr>
          <w:p w14:paraId="244EC2E5" w14:textId="77777777" w:rsidR="00EA422B" w:rsidRPr="004C184C" w:rsidRDefault="00EA422B" w:rsidP="00786240">
            <w:pPr>
              <w:suppressAutoHyphens w:val="0"/>
              <w:spacing w:before="40" w:after="40" w:line="220" w:lineRule="exact"/>
              <w:ind w:right="113"/>
              <w:jc w:val="right"/>
              <w:rPr>
                <w:sz w:val="18"/>
                <w:szCs w:val="18"/>
                <w:lang w:val="en-US"/>
              </w:rPr>
            </w:pPr>
            <w:r w:rsidRPr="004C184C">
              <w:rPr>
                <w:sz w:val="18"/>
                <w:szCs w:val="18"/>
                <w:cs/>
                <w:lang w:val="en-US"/>
              </w:rPr>
              <w:t>%</w:t>
            </w:r>
          </w:p>
        </w:tc>
      </w:tr>
      <w:tr w:rsidR="00EA422B" w:rsidRPr="004C184C" w14:paraId="71F39AF0" w14:textId="77777777" w:rsidTr="00786240">
        <w:tc>
          <w:tcPr>
            <w:tcW w:w="2552" w:type="dxa"/>
            <w:vMerge/>
            <w:shd w:val="clear" w:color="auto" w:fill="auto"/>
          </w:tcPr>
          <w:p w14:paraId="604F9954" w14:textId="77777777" w:rsidR="00EA422B" w:rsidRPr="004C184C" w:rsidRDefault="00EA422B" w:rsidP="00786240">
            <w:pPr>
              <w:suppressAutoHyphens w:val="0"/>
              <w:spacing w:before="40" w:after="40" w:line="220" w:lineRule="exact"/>
              <w:ind w:right="113"/>
              <w:rPr>
                <w:sz w:val="18"/>
                <w:lang w:val="en-US"/>
              </w:rPr>
            </w:pPr>
          </w:p>
        </w:tc>
        <w:tc>
          <w:tcPr>
            <w:tcW w:w="1701" w:type="dxa"/>
            <w:shd w:val="clear" w:color="auto" w:fill="auto"/>
            <w:vAlign w:val="bottom"/>
          </w:tcPr>
          <w:p w14:paraId="68BA0966" w14:textId="77777777" w:rsidR="00EA422B" w:rsidRPr="004C184C" w:rsidRDefault="00EA422B" w:rsidP="00920BAF">
            <w:pPr>
              <w:suppressAutoHyphens w:val="0"/>
              <w:spacing w:before="40" w:after="40" w:line="220" w:lineRule="exact"/>
              <w:ind w:right="113"/>
              <w:rPr>
                <w:sz w:val="18"/>
                <w:szCs w:val="18"/>
                <w:lang w:val="en-US"/>
              </w:rPr>
            </w:pPr>
            <w:r w:rsidRPr="004C184C">
              <w:rPr>
                <w:sz w:val="18"/>
                <w:szCs w:val="18"/>
                <w:lang w:val="en-US"/>
              </w:rPr>
              <w:t>Public housing and community</w:t>
            </w:r>
          </w:p>
        </w:tc>
        <w:tc>
          <w:tcPr>
            <w:tcW w:w="949" w:type="dxa"/>
            <w:shd w:val="clear" w:color="auto" w:fill="auto"/>
            <w:vAlign w:val="bottom"/>
          </w:tcPr>
          <w:p w14:paraId="44077EBF" w14:textId="657EA6E4" w:rsidR="00EA422B" w:rsidRPr="004C184C" w:rsidRDefault="00EA422B" w:rsidP="00786240">
            <w:pPr>
              <w:suppressAutoHyphens w:val="0"/>
              <w:spacing w:before="40" w:after="40" w:line="220" w:lineRule="exact"/>
              <w:ind w:right="113"/>
              <w:jc w:val="right"/>
              <w:rPr>
                <w:sz w:val="18"/>
                <w:szCs w:val="18"/>
                <w:lang w:val="en-US"/>
              </w:rPr>
            </w:pPr>
            <w:r w:rsidRPr="004C184C">
              <w:rPr>
                <w:sz w:val="18"/>
                <w:szCs w:val="18"/>
                <w:lang w:val="en-US"/>
              </w:rPr>
              <w:t>72</w:t>
            </w:r>
            <w:r w:rsidR="00920BAF" w:rsidRPr="004C184C">
              <w:rPr>
                <w:sz w:val="18"/>
                <w:szCs w:val="18"/>
                <w:lang w:val="en-US"/>
              </w:rPr>
              <w:t xml:space="preserve"> </w:t>
            </w:r>
            <w:r w:rsidRPr="004C184C">
              <w:rPr>
                <w:sz w:val="18"/>
                <w:szCs w:val="18"/>
                <w:lang w:val="en-US"/>
              </w:rPr>
              <w:t>423</w:t>
            </w:r>
          </w:p>
        </w:tc>
        <w:tc>
          <w:tcPr>
            <w:tcW w:w="626" w:type="dxa"/>
            <w:gridSpan w:val="2"/>
            <w:shd w:val="clear" w:color="auto" w:fill="auto"/>
            <w:vAlign w:val="bottom"/>
          </w:tcPr>
          <w:p w14:paraId="6E96466B" w14:textId="77777777" w:rsidR="00EA422B" w:rsidRPr="004C184C" w:rsidRDefault="00EA422B" w:rsidP="00786240">
            <w:pPr>
              <w:suppressAutoHyphens w:val="0"/>
              <w:spacing w:before="40" w:after="40" w:line="220" w:lineRule="exact"/>
              <w:ind w:right="113"/>
              <w:jc w:val="right"/>
              <w:rPr>
                <w:sz w:val="18"/>
                <w:szCs w:val="18"/>
                <w:lang w:val="en-US"/>
              </w:rPr>
            </w:pPr>
            <w:r w:rsidRPr="004C184C">
              <w:rPr>
                <w:sz w:val="18"/>
                <w:szCs w:val="18"/>
                <w:lang w:val="en-US"/>
              </w:rPr>
              <w:t>3</w:t>
            </w:r>
            <w:r w:rsidRPr="004C184C">
              <w:rPr>
                <w:sz w:val="18"/>
                <w:szCs w:val="18"/>
                <w:cs/>
                <w:lang w:val="en-US"/>
              </w:rPr>
              <w:t>.</w:t>
            </w:r>
            <w:r w:rsidRPr="004C184C">
              <w:rPr>
                <w:sz w:val="18"/>
                <w:szCs w:val="18"/>
                <w:lang w:val="en-US"/>
              </w:rPr>
              <w:t>58</w:t>
            </w:r>
          </w:p>
        </w:tc>
        <w:tc>
          <w:tcPr>
            <w:tcW w:w="865" w:type="dxa"/>
            <w:shd w:val="clear" w:color="auto" w:fill="auto"/>
            <w:vAlign w:val="bottom"/>
          </w:tcPr>
          <w:p w14:paraId="16185954" w14:textId="628136A4" w:rsidR="00EA422B" w:rsidRPr="004C184C" w:rsidRDefault="00EA422B" w:rsidP="00786240">
            <w:pPr>
              <w:suppressAutoHyphens w:val="0"/>
              <w:spacing w:before="40" w:after="40" w:line="220" w:lineRule="exact"/>
              <w:ind w:right="113"/>
              <w:jc w:val="right"/>
              <w:rPr>
                <w:sz w:val="18"/>
                <w:szCs w:val="18"/>
                <w:lang w:val="en-US"/>
              </w:rPr>
            </w:pPr>
            <w:r w:rsidRPr="004C184C">
              <w:rPr>
                <w:sz w:val="18"/>
                <w:szCs w:val="18"/>
                <w:lang w:val="en-US"/>
              </w:rPr>
              <w:t>70</w:t>
            </w:r>
            <w:r w:rsidR="008A351E" w:rsidRPr="004C184C">
              <w:rPr>
                <w:sz w:val="18"/>
                <w:szCs w:val="18"/>
                <w:lang w:val="en-US"/>
              </w:rPr>
              <w:t xml:space="preserve"> </w:t>
            </w:r>
            <w:r w:rsidRPr="004C184C">
              <w:rPr>
                <w:sz w:val="18"/>
                <w:szCs w:val="18"/>
                <w:lang w:val="en-US"/>
              </w:rPr>
              <w:t>929</w:t>
            </w:r>
          </w:p>
        </w:tc>
        <w:tc>
          <w:tcPr>
            <w:tcW w:w="677" w:type="dxa"/>
            <w:shd w:val="clear" w:color="auto" w:fill="auto"/>
            <w:vAlign w:val="bottom"/>
          </w:tcPr>
          <w:p w14:paraId="3F27B911" w14:textId="77777777" w:rsidR="00EA422B" w:rsidRPr="004C184C" w:rsidRDefault="00EA422B" w:rsidP="00786240">
            <w:pPr>
              <w:suppressAutoHyphens w:val="0"/>
              <w:spacing w:before="40" w:after="40" w:line="220" w:lineRule="exact"/>
              <w:ind w:right="113"/>
              <w:jc w:val="right"/>
              <w:rPr>
                <w:sz w:val="18"/>
                <w:szCs w:val="18"/>
                <w:lang w:val="en-US"/>
              </w:rPr>
            </w:pPr>
            <w:r w:rsidRPr="004C184C">
              <w:rPr>
                <w:sz w:val="18"/>
                <w:szCs w:val="18"/>
                <w:lang w:val="en-US"/>
              </w:rPr>
              <w:t>3</w:t>
            </w:r>
            <w:r w:rsidRPr="004C184C">
              <w:rPr>
                <w:sz w:val="18"/>
                <w:szCs w:val="18"/>
                <w:cs/>
                <w:lang w:val="en-US"/>
              </w:rPr>
              <w:t>.</w:t>
            </w:r>
            <w:r w:rsidRPr="004C184C">
              <w:rPr>
                <w:sz w:val="18"/>
                <w:szCs w:val="18"/>
                <w:lang w:val="en-US"/>
              </w:rPr>
              <w:t>32</w:t>
            </w:r>
          </w:p>
        </w:tc>
      </w:tr>
      <w:tr w:rsidR="00EA422B" w:rsidRPr="004C184C" w14:paraId="0318B6B9" w14:textId="77777777" w:rsidTr="00786240">
        <w:tc>
          <w:tcPr>
            <w:tcW w:w="2552" w:type="dxa"/>
            <w:vMerge/>
            <w:shd w:val="clear" w:color="auto" w:fill="auto"/>
          </w:tcPr>
          <w:p w14:paraId="298BDA42" w14:textId="77777777" w:rsidR="00EA422B" w:rsidRPr="004C184C" w:rsidRDefault="00EA422B" w:rsidP="00786240">
            <w:pPr>
              <w:suppressAutoHyphens w:val="0"/>
              <w:spacing w:before="40" w:after="40" w:line="220" w:lineRule="exact"/>
              <w:ind w:right="113"/>
              <w:rPr>
                <w:sz w:val="18"/>
                <w:lang w:val="en-US"/>
              </w:rPr>
            </w:pPr>
          </w:p>
        </w:tc>
        <w:tc>
          <w:tcPr>
            <w:tcW w:w="1701" w:type="dxa"/>
            <w:shd w:val="clear" w:color="auto" w:fill="auto"/>
            <w:vAlign w:val="bottom"/>
          </w:tcPr>
          <w:p w14:paraId="7540CD32" w14:textId="77777777" w:rsidR="00EA422B" w:rsidRPr="004C184C" w:rsidRDefault="00EA422B" w:rsidP="00920BAF">
            <w:pPr>
              <w:suppressAutoHyphens w:val="0"/>
              <w:spacing w:before="40" w:after="40" w:line="220" w:lineRule="exact"/>
              <w:ind w:right="113"/>
              <w:rPr>
                <w:sz w:val="18"/>
                <w:szCs w:val="18"/>
                <w:lang w:val="en-US"/>
              </w:rPr>
            </w:pPr>
            <w:r w:rsidRPr="004C184C">
              <w:rPr>
                <w:sz w:val="18"/>
                <w:szCs w:val="18"/>
                <w:lang w:val="en-US"/>
              </w:rPr>
              <w:t>Public health</w:t>
            </w:r>
          </w:p>
        </w:tc>
        <w:tc>
          <w:tcPr>
            <w:tcW w:w="949" w:type="dxa"/>
            <w:shd w:val="clear" w:color="auto" w:fill="auto"/>
            <w:vAlign w:val="bottom"/>
          </w:tcPr>
          <w:p w14:paraId="520CF258" w14:textId="030D4210" w:rsidR="00EA422B" w:rsidRPr="004C184C" w:rsidRDefault="00EA422B" w:rsidP="00786240">
            <w:pPr>
              <w:suppressAutoHyphens w:val="0"/>
              <w:spacing w:before="40" w:after="40" w:line="220" w:lineRule="exact"/>
              <w:ind w:right="113"/>
              <w:jc w:val="right"/>
              <w:rPr>
                <w:sz w:val="18"/>
                <w:szCs w:val="18"/>
                <w:lang w:val="en-US"/>
              </w:rPr>
            </w:pPr>
            <w:r w:rsidRPr="004C184C">
              <w:rPr>
                <w:sz w:val="18"/>
                <w:szCs w:val="18"/>
                <w:lang w:val="en-US"/>
              </w:rPr>
              <w:t>295</w:t>
            </w:r>
            <w:r w:rsidR="00920BAF" w:rsidRPr="004C184C">
              <w:rPr>
                <w:sz w:val="18"/>
                <w:szCs w:val="18"/>
                <w:lang w:val="en-US"/>
              </w:rPr>
              <w:t xml:space="preserve"> </w:t>
            </w:r>
            <w:r w:rsidRPr="004C184C">
              <w:rPr>
                <w:sz w:val="18"/>
                <w:szCs w:val="18"/>
                <w:lang w:val="en-US"/>
              </w:rPr>
              <w:t>207</w:t>
            </w:r>
          </w:p>
        </w:tc>
        <w:tc>
          <w:tcPr>
            <w:tcW w:w="626" w:type="dxa"/>
            <w:gridSpan w:val="2"/>
            <w:shd w:val="clear" w:color="auto" w:fill="auto"/>
            <w:vAlign w:val="bottom"/>
          </w:tcPr>
          <w:p w14:paraId="55BA0B7C" w14:textId="77777777" w:rsidR="00EA422B" w:rsidRPr="004C184C" w:rsidRDefault="00EA422B" w:rsidP="00786240">
            <w:pPr>
              <w:suppressAutoHyphens w:val="0"/>
              <w:spacing w:before="40" w:after="40" w:line="220" w:lineRule="exact"/>
              <w:ind w:right="113"/>
              <w:jc w:val="right"/>
              <w:rPr>
                <w:sz w:val="18"/>
                <w:szCs w:val="18"/>
                <w:lang w:val="en-US"/>
              </w:rPr>
            </w:pPr>
            <w:r w:rsidRPr="004C184C">
              <w:rPr>
                <w:sz w:val="18"/>
                <w:szCs w:val="18"/>
                <w:lang w:val="en-US"/>
              </w:rPr>
              <w:t>14</w:t>
            </w:r>
            <w:r w:rsidRPr="004C184C">
              <w:rPr>
                <w:sz w:val="18"/>
                <w:szCs w:val="18"/>
                <w:cs/>
                <w:lang w:val="en-US"/>
              </w:rPr>
              <w:t>.</w:t>
            </w:r>
            <w:r w:rsidRPr="004C184C">
              <w:rPr>
                <w:sz w:val="18"/>
                <w:szCs w:val="18"/>
                <w:lang w:val="en-US"/>
              </w:rPr>
              <w:t>59</w:t>
            </w:r>
          </w:p>
        </w:tc>
        <w:tc>
          <w:tcPr>
            <w:tcW w:w="865" w:type="dxa"/>
            <w:shd w:val="clear" w:color="auto" w:fill="auto"/>
            <w:vAlign w:val="bottom"/>
          </w:tcPr>
          <w:p w14:paraId="5D577501" w14:textId="10F1E2F8" w:rsidR="00EA422B" w:rsidRPr="004C184C" w:rsidRDefault="00EA422B" w:rsidP="00786240">
            <w:pPr>
              <w:suppressAutoHyphens w:val="0"/>
              <w:spacing w:before="40" w:after="40" w:line="220" w:lineRule="exact"/>
              <w:ind w:right="113"/>
              <w:jc w:val="right"/>
              <w:rPr>
                <w:sz w:val="18"/>
                <w:szCs w:val="18"/>
                <w:lang w:val="en-US"/>
              </w:rPr>
            </w:pPr>
            <w:r w:rsidRPr="004C184C">
              <w:rPr>
                <w:sz w:val="18"/>
                <w:szCs w:val="18"/>
                <w:lang w:val="en-US"/>
              </w:rPr>
              <w:t>304</w:t>
            </w:r>
            <w:r w:rsidR="008A351E" w:rsidRPr="004C184C">
              <w:rPr>
                <w:sz w:val="18"/>
                <w:szCs w:val="18"/>
                <w:lang w:val="en-US"/>
              </w:rPr>
              <w:t xml:space="preserve"> </w:t>
            </w:r>
            <w:r w:rsidRPr="004C184C">
              <w:rPr>
                <w:sz w:val="18"/>
                <w:szCs w:val="18"/>
                <w:lang w:val="en-US"/>
              </w:rPr>
              <w:t>169</w:t>
            </w:r>
          </w:p>
        </w:tc>
        <w:tc>
          <w:tcPr>
            <w:tcW w:w="677" w:type="dxa"/>
            <w:shd w:val="clear" w:color="auto" w:fill="auto"/>
            <w:vAlign w:val="bottom"/>
          </w:tcPr>
          <w:p w14:paraId="7F3082D9" w14:textId="3070D6E0" w:rsidR="00EA422B" w:rsidRPr="004C184C" w:rsidRDefault="00EA422B" w:rsidP="00786240">
            <w:pPr>
              <w:suppressAutoHyphens w:val="0"/>
              <w:spacing w:before="40" w:after="40" w:line="220" w:lineRule="exact"/>
              <w:ind w:right="113"/>
              <w:jc w:val="right"/>
              <w:rPr>
                <w:sz w:val="18"/>
                <w:szCs w:val="18"/>
                <w:lang w:val="en-US"/>
              </w:rPr>
            </w:pPr>
            <w:r w:rsidRPr="004C184C">
              <w:rPr>
                <w:sz w:val="18"/>
                <w:szCs w:val="18"/>
                <w:lang w:val="en-US"/>
              </w:rPr>
              <w:t>14</w:t>
            </w:r>
            <w:r w:rsidRPr="004C184C">
              <w:rPr>
                <w:sz w:val="18"/>
                <w:szCs w:val="18"/>
                <w:cs/>
                <w:lang w:val="en-US"/>
              </w:rPr>
              <w:t>.</w:t>
            </w:r>
            <w:r w:rsidRPr="004C184C">
              <w:rPr>
                <w:sz w:val="18"/>
                <w:szCs w:val="18"/>
                <w:lang w:val="en-US"/>
              </w:rPr>
              <w:t>27</w:t>
            </w:r>
          </w:p>
        </w:tc>
      </w:tr>
      <w:tr w:rsidR="00EA422B" w:rsidRPr="004C184C" w14:paraId="1A87ABB5" w14:textId="77777777" w:rsidTr="00786240">
        <w:tc>
          <w:tcPr>
            <w:tcW w:w="2552" w:type="dxa"/>
            <w:vMerge/>
            <w:shd w:val="clear" w:color="auto" w:fill="auto"/>
          </w:tcPr>
          <w:p w14:paraId="66267C4B" w14:textId="77777777" w:rsidR="00EA422B" w:rsidRPr="004C184C" w:rsidRDefault="00EA422B" w:rsidP="00786240">
            <w:pPr>
              <w:suppressAutoHyphens w:val="0"/>
              <w:spacing w:before="40" w:after="40" w:line="220" w:lineRule="exact"/>
              <w:ind w:right="113"/>
              <w:rPr>
                <w:sz w:val="18"/>
                <w:lang w:val="en-US"/>
              </w:rPr>
            </w:pPr>
          </w:p>
        </w:tc>
        <w:tc>
          <w:tcPr>
            <w:tcW w:w="1701" w:type="dxa"/>
            <w:shd w:val="clear" w:color="auto" w:fill="auto"/>
            <w:vAlign w:val="bottom"/>
          </w:tcPr>
          <w:p w14:paraId="6D7B4614" w14:textId="27AB1A27" w:rsidR="00EA422B" w:rsidRPr="004C184C" w:rsidRDefault="002A7664" w:rsidP="00920BAF">
            <w:pPr>
              <w:suppressAutoHyphens w:val="0"/>
              <w:spacing w:before="40" w:after="40" w:line="220" w:lineRule="exact"/>
              <w:ind w:right="113"/>
              <w:rPr>
                <w:sz w:val="18"/>
                <w:szCs w:val="18"/>
                <w:lang w:val="en-US"/>
              </w:rPr>
            </w:pPr>
            <w:r w:rsidRPr="004C184C">
              <w:rPr>
                <w:sz w:val="18"/>
                <w:szCs w:val="18"/>
                <w:lang w:val="en-US"/>
              </w:rPr>
              <w:t>E</w:t>
            </w:r>
            <w:r w:rsidR="00EA422B" w:rsidRPr="004C184C">
              <w:rPr>
                <w:sz w:val="18"/>
                <w:szCs w:val="18"/>
                <w:lang w:val="en-US"/>
              </w:rPr>
              <w:t>ducation</w:t>
            </w:r>
          </w:p>
        </w:tc>
        <w:tc>
          <w:tcPr>
            <w:tcW w:w="949" w:type="dxa"/>
            <w:shd w:val="clear" w:color="auto" w:fill="auto"/>
            <w:vAlign w:val="bottom"/>
          </w:tcPr>
          <w:p w14:paraId="2D3C4F46" w14:textId="1830C94C" w:rsidR="00EA422B" w:rsidRPr="004C184C" w:rsidRDefault="00EA422B" w:rsidP="00786240">
            <w:pPr>
              <w:suppressAutoHyphens w:val="0"/>
              <w:spacing w:before="40" w:after="40" w:line="220" w:lineRule="exact"/>
              <w:ind w:right="113"/>
              <w:jc w:val="right"/>
              <w:rPr>
                <w:sz w:val="18"/>
                <w:szCs w:val="18"/>
                <w:lang w:val="en-US"/>
              </w:rPr>
            </w:pPr>
            <w:r w:rsidRPr="004C184C">
              <w:rPr>
                <w:sz w:val="18"/>
                <w:szCs w:val="18"/>
                <w:lang w:val="en-US"/>
              </w:rPr>
              <w:t>534</w:t>
            </w:r>
            <w:r w:rsidR="00920BAF" w:rsidRPr="004C184C">
              <w:rPr>
                <w:sz w:val="18"/>
                <w:szCs w:val="18"/>
                <w:lang w:val="en-US"/>
              </w:rPr>
              <w:t xml:space="preserve"> </w:t>
            </w:r>
            <w:r w:rsidRPr="004C184C">
              <w:rPr>
                <w:sz w:val="18"/>
                <w:szCs w:val="18"/>
                <w:lang w:val="en-US"/>
              </w:rPr>
              <w:t>059</w:t>
            </w:r>
          </w:p>
        </w:tc>
        <w:tc>
          <w:tcPr>
            <w:tcW w:w="626" w:type="dxa"/>
            <w:gridSpan w:val="2"/>
            <w:shd w:val="clear" w:color="auto" w:fill="auto"/>
            <w:vAlign w:val="bottom"/>
          </w:tcPr>
          <w:p w14:paraId="7DB9FA61" w14:textId="66984241" w:rsidR="00EA422B" w:rsidRPr="004C184C" w:rsidRDefault="00EA422B" w:rsidP="00786240">
            <w:pPr>
              <w:suppressAutoHyphens w:val="0"/>
              <w:spacing w:before="40" w:after="40" w:line="220" w:lineRule="exact"/>
              <w:ind w:right="113"/>
              <w:jc w:val="right"/>
              <w:rPr>
                <w:sz w:val="18"/>
                <w:szCs w:val="18"/>
                <w:lang w:val="en-US"/>
              </w:rPr>
            </w:pPr>
            <w:r w:rsidRPr="004C184C">
              <w:rPr>
                <w:sz w:val="18"/>
                <w:szCs w:val="18"/>
                <w:lang w:val="en-US"/>
              </w:rPr>
              <w:t>26</w:t>
            </w:r>
            <w:r w:rsidRPr="004C184C">
              <w:rPr>
                <w:sz w:val="18"/>
                <w:szCs w:val="18"/>
                <w:cs/>
                <w:lang w:val="en-US"/>
              </w:rPr>
              <w:t>.</w:t>
            </w:r>
            <w:r w:rsidRPr="004C184C">
              <w:rPr>
                <w:sz w:val="18"/>
                <w:szCs w:val="18"/>
                <w:lang w:val="en-US"/>
              </w:rPr>
              <w:t>39</w:t>
            </w:r>
          </w:p>
        </w:tc>
        <w:tc>
          <w:tcPr>
            <w:tcW w:w="865" w:type="dxa"/>
            <w:shd w:val="clear" w:color="auto" w:fill="auto"/>
            <w:vAlign w:val="bottom"/>
          </w:tcPr>
          <w:p w14:paraId="62C76627" w14:textId="06276596" w:rsidR="00EA422B" w:rsidRPr="004C184C" w:rsidRDefault="00EA422B" w:rsidP="00786240">
            <w:pPr>
              <w:suppressAutoHyphens w:val="0"/>
              <w:spacing w:before="40" w:after="40" w:line="220" w:lineRule="exact"/>
              <w:ind w:right="113"/>
              <w:jc w:val="right"/>
              <w:rPr>
                <w:sz w:val="18"/>
                <w:szCs w:val="18"/>
                <w:lang w:val="en-US"/>
              </w:rPr>
            </w:pPr>
            <w:r w:rsidRPr="004C184C">
              <w:rPr>
                <w:sz w:val="18"/>
                <w:szCs w:val="18"/>
                <w:lang w:val="en-US"/>
              </w:rPr>
              <w:t>521</w:t>
            </w:r>
            <w:r w:rsidR="008A351E" w:rsidRPr="004C184C">
              <w:rPr>
                <w:sz w:val="18"/>
                <w:szCs w:val="18"/>
                <w:lang w:val="en-US"/>
              </w:rPr>
              <w:t xml:space="preserve"> </w:t>
            </w:r>
            <w:r w:rsidRPr="004C184C">
              <w:rPr>
                <w:sz w:val="18"/>
                <w:szCs w:val="18"/>
                <w:lang w:val="en-US"/>
              </w:rPr>
              <w:t>132</w:t>
            </w:r>
          </w:p>
        </w:tc>
        <w:tc>
          <w:tcPr>
            <w:tcW w:w="677" w:type="dxa"/>
            <w:shd w:val="clear" w:color="auto" w:fill="auto"/>
            <w:vAlign w:val="bottom"/>
          </w:tcPr>
          <w:p w14:paraId="16A6DD62" w14:textId="73F02FBB" w:rsidR="00EA422B" w:rsidRPr="004C184C" w:rsidRDefault="00EA422B" w:rsidP="00786240">
            <w:pPr>
              <w:suppressAutoHyphens w:val="0"/>
              <w:spacing w:before="40" w:after="40" w:line="220" w:lineRule="exact"/>
              <w:ind w:right="113"/>
              <w:jc w:val="right"/>
              <w:rPr>
                <w:sz w:val="18"/>
                <w:szCs w:val="18"/>
                <w:lang w:val="en-US"/>
              </w:rPr>
            </w:pPr>
            <w:r w:rsidRPr="004C184C">
              <w:rPr>
                <w:sz w:val="18"/>
                <w:szCs w:val="18"/>
                <w:lang w:val="en-US"/>
              </w:rPr>
              <w:t>24</w:t>
            </w:r>
            <w:r w:rsidRPr="004C184C">
              <w:rPr>
                <w:sz w:val="18"/>
                <w:szCs w:val="18"/>
                <w:cs/>
                <w:lang w:val="en-US"/>
              </w:rPr>
              <w:t>.</w:t>
            </w:r>
            <w:r w:rsidRPr="004C184C">
              <w:rPr>
                <w:sz w:val="18"/>
                <w:szCs w:val="18"/>
                <w:lang w:val="en-US"/>
              </w:rPr>
              <w:t>46</w:t>
            </w:r>
          </w:p>
        </w:tc>
      </w:tr>
      <w:tr w:rsidR="00EA422B" w:rsidRPr="004C184C" w14:paraId="2AAFA242" w14:textId="77777777" w:rsidTr="00786240">
        <w:tc>
          <w:tcPr>
            <w:tcW w:w="2552" w:type="dxa"/>
            <w:vMerge w:val="restart"/>
            <w:shd w:val="clear" w:color="auto" w:fill="auto"/>
          </w:tcPr>
          <w:p w14:paraId="61D2ED95" w14:textId="60640966" w:rsidR="00EA422B" w:rsidRPr="004C184C" w:rsidRDefault="00EA422B" w:rsidP="00786240">
            <w:pPr>
              <w:suppressAutoHyphens w:val="0"/>
              <w:spacing w:before="40" w:after="40" w:line="220" w:lineRule="exact"/>
              <w:ind w:right="113"/>
              <w:rPr>
                <w:sz w:val="18"/>
                <w:lang w:val="en-US"/>
              </w:rPr>
            </w:pPr>
            <w:r w:rsidRPr="004C184C">
              <w:rPr>
                <w:sz w:val="18"/>
                <w:lang w:val="en-US"/>
              </w:rPr>
              <w:t>External and domestic public debt</w:t>
            </w:r>
            <w:r w:rsidRPr="004C184C">
              <w:rPr>
                <w:sz w:val="18"/>
                <w:cs/>
                <w:lang w:val="en-US"/>
              </w:rPr>
              <w:t xml:space="preserve"> (</w:t>
            </w:r>
            <w:r w:rsidRPr="004C184C">
              <w:rPr>
                <w:sz w:val="18"/>
                <w:lang w:val="en-US"/>
              </w:rPr>
              <w:t>million baht</w:t>
            </w:r>
            <w:r w:rsidRPr="004C184C">
              <w:rPr>
                <w:sz w:val="18"/>
                <w:cs/>
                <w:lang w:val="en-US"/>
              </w:rPr>
              <w:t>)</w:t>
            </w:r>
          </w:p>
        </w:tc>
        <w:tc>
          <w:tcPr>
            <w:tcW w:w="2758" w:type="dxa"/>
            <w:gridSpan w:val="3"/>
            <w:shd w:val="clear" w:color="auto" w:fill="auto"/>
            <w:vAlign w:val="bottom"/>
          </w:tcPr>
          <w:p w14:paraId="73F15B1F" w14:textId="184A19AA" w:rsidR="00EA422B" w:rsidRPr="004C184C" w:rsidRDefault="00EA422B" w:rsidP="008A351E">
            <w:pPr>
              <w:suppressAutoHyphens w:val="0"/>
              <w:spacing w:before="40" w:after="40" w:line="220" w:lineRule="exact"/>
              <w:ind w:right="113"/>
              <w:rPr>
                <w:sz w:val="18"/>
                <w:szCs w:val="18"/>
                <w:lang w:val="en-US"/>
              </w:rPr>
            </w:pPr>
            <w:r w:rsidRPr="004C184C">
              <w:rPr>
                <w:sz w:val="18"/>
                <w:szCs w:val="18"/>
                <w:lang w:val="en-US"/>
              </w:rPr>
              <w:t>External public debt</w:t>
            </w:r>
          </w:p>
        </w:tc>
        <w:tc>
          <w:tcPr>
            <w:tcW w:w="2060" w:type="dxa"/>
            <w:gridSpan w:val="3"/>
            <w:shd w:val="clear" w:color="auto" w:fill="auto"/>
            <w:vAlign w:val="bottom"/>
          </w:tcPr>
          <w:p w14:paraId="0D41A6FB" w14:textId="71E4E567" w:rsidR="00EA422B" w:rsidRPr="004C184C" w:rsidRDefault="00EA422B" w:rsidP="00786240">
            <w:pPr>
              <w:suppressAutoHyphens w:val="0"/>
              <w:spacing w:before="40" w:after="40" w:line="220" w:lineRule="exact"/>
              <w:ind w:right="113"/>
              <w:jc w:val="right"/>
              <w:rPr>
                <w:sz w:val="18"/>
                <w:szCs w:val="18"/>
                <w:lang w:val="en-US"/>
              </w:rPr>
            </w:pPr>
            <w:r w:rsidRPr="004C184C">
              <w:rPr>
                <w:sz w:val="18"/>
                <w:szCs w:val="18"/>
                <w:lang w:val="en-US"/>
              </w:rPr>
              <w:t>227</w:t>
            </w:r>
            <w:r w:rsidR="00233FA8">
              <w:rPr>
                <w:sz w:val="18"/>
                <w:szCs w:val="18"/>
                <w:lang w:val="en-US"/>
              </w:rPr>
              <w:t xml:space="preserve"> </w:t>
            </w:r>
            <w:r w:rsidRPr="004C184C">
              <w:rPr>
                <w:sz w:val="18"/>
                <w:szCs w:val="18"/>
                <w:lang w:val="en-US"/>
              </w:rPr>
              <w:t>596</w:t>
            </w:r>
            <w:r w:rsidRPr="004C184C">
              <w:rPr>
                <w:sz w:val="18"/>
                <w:szCs w:val="18"/>
                <w:rtl/>
                <w:lang w:val="en-US"/>
              </w:rPr>
              <w:t>.</w:t>
            </w:r>
            <w:r w:rsidRPr="004C184C">
              <w:rPr>
                <w:sz w:val="18"/>
                <w:szCs w:val="18"/>
                <w:lang w:val="en-US"/>
              </w:rPr>
              <w:t>51</w:t>
            </w:r>
            <w:r w:rsidR="000579D8" w:rsidRPr="004C184C">
              <w:rPr>
                <w:sz w:val="18"/>
                <w:szCs w:val="18"/>
                <w:lang w:val="en-US"/>
              </w:rPr>
              <w:t xml:space="preserve"> </w:t>
            </w:r>
            <w:r w:rsidRPr="004C184C">
              <w:rPr>
                <w:sz w:val="18"/>
                <w:szCs w:val="18"/>
                <w:cs/>
                <w:lang w:val="en-US"/>
              </w:rPr>
              <w:t>(</w:t>
            </w:r>
            <w:r w:rsidRPr="004C184C">
              <w:rPr>
                <w:sz w:val="18"/>
                <w:szCs w:val="18"/>
                <w:lang w:val="en-US"/>
              </w:rPr>
              <w:t>USD 7</w:t>
            </w:r>
            <w:r w:rsidR="00233FA8">
              <w:rPr>
                <w:sz w:val="18"/>
                <w:szCs w:val="18"/>
                <w:lang w:val="en-US"/>
              </w:rPr>
              <w:t xml:space="preserve"> </w:t>
            </w:r>
            <w:r w:rsidRPr="004C184C">
              <w:rPr>
                <w:sz w:val="18"/>
                <w:szCs w:val="18"/>
                <w:lang w:val="en-US"/>
              </w:rPr>
              <w:t>141</w:t>
            </w:r>
            <w:r w:rsidRPr="004C184C">
              <w:rPr>
                <w:sz w:val="18"/>
                <w:szCs w:val="18"/>
                <w:cs/>
                <w:lang w:val="en-US"/>
              </w:rPr>
              <w:t>.</w:t>
            </w:r>
            <w:r w:rsidRPr="004C184C">
              <w:rPr>
                <w:sz w:val="18"/>
                <w:szCs w:val="18"/>
                <w:lang w:val="en-US"/>
              </w:rPr>
              <w:t>4</w:t>
            </w:r>
            <w:r w:rsidRPr="004C184C">
              <w:rPr>
                <w:sz w:val="18"/>
                <w:szCs w:val="18"/>
                <w:cs/>
                <w:lang w:val="en-US"/>
              </w:rPr>
              <w:t>)</w:t>
            </w:r>
          </w:p>
        </w:tc>
      </w:tr>
      <w:tr w:rsidR="00EA422B" w:rsidRPr="004C184C" w14:paraId="62533761" w14:textId="77777777" w:rsidTr="00E0416B">
        <w:tc>
          <w:tcPr>
            <w:tcW w:w="2552" w:type="dxa"/>
            <w:vMerge/>
            <w:shd w:val="clear" w:color="auto" w:fill="auto"/>
          </w:tcPr>
          <w:p w14:paraId="2EF084DC" w14:textId="77777777" w:rsidR="00EA422B" w:rsidRPr="004C184C" w:rsidRDefault="00EA422B" w:rsidP="00786240">
            <w:pPr>
              <w:suppressAutoHyphens w:val="0"/>
              <w:spacing w:before="40" w:after="40" w:line="220" w:lineRule="exact"/>
              <w:ind w:right="113"/>
              <w:rPr>
                <w:sz w:val="18"/>
                <w:lang w:val="en-US"/>
              </w:rPr>
            </w:pPr>
          </w:p>
        </w:tc>
        <w:tc>
          <w:tcPr>
            <w:tcW w:w="2758" w:type="dxa"/>
            <w:gridSpan w:val="3"/>
            <w:tcBorders>
              <w:bottom w:val="single" w:sz="4" w:space="0" w:color="auto"/>
            </w:tcBorders>
            <w:shd w:val="clear" w:color="auto" w:fill="auto"/>
            <w:vAlign w:val="bottom"/>
          </w:tcPr>
          <w:p w14:paraId="5C25BF51" w14:textId="78C9809E" w:rsidR="00EA422B" w:rsidRPr="004C184C" w:rsidRDefault="00EA422B" w:rsidP="008A351E">
            <w:pPr>
              <w:suppressAutoHyphens w:val="0"/>
              <w:spacing w:before="40" w:after="40" w:line="220" w:lineRule="exact"/>
              <w:ind w:right="113"/>
              <w:rPr>
                <w:sz w:val="18"/>
                <w:szCs w:val="18"/>
                <w:lang w:val="en-US"/>
              </w:rPr>
            </w:pPr>
            <w:r w:rsidRPr="004C184C">
              <w:rPr>
                <w:sz w:val="18"/>
                <w:szCs w:val="18"/>
                <w:lang w:val="en-US"/>
              </w:rPr>
              <w:t>Domestic public debt</w:t>
            </w:r>
          </w:p>
        </w:tc>
        <w:tc>
          <w:tcPr>
            <w:tcW w:w="2060" w:type="dxa"/>
            <w:gridSpan w:val="3"/>
            <w:tcBorders>
              <w:bottom w:val="single" w:sz="4" w:space="0" w:color="auto"/>
            </w:tcBorders>
            <w:shd w:val="clear" w:color="auto" w:fill="auto"/>
            <w:vAlign w:val="bottom"/>
          </w:tcPr>
          <w:p w14:paraId="2F2966A3" w14:textId="506EB1DA" w:rsidR="00EA422B" w:rsidRPr="004C184C" w:rsidRDefault="00EA422B" w:rsidP="00786240">
            <w:pPr>
              <w:suppressAutoHyphens w:val="0"/>
              <w:spacing w:before="40" w:after="40" w:line="220" w:lineRule="exact"/>
              <w:ind w:right="113"/>
              <w:jc w:val="right"/>
              <w:rPr>
                <w:sz w:val="18"/>
                <w:szCs w:val="18"/>
                <w:lang w:val="en-US"/>
              </w:rPr>
            </w:pPr>
            <w:r w:rsidRPr="004C184C">
              <w:rPr>
                <w:sz w:val="18"/>
                <w:szCs w:val="18"/>
                <w:lang w:val="en-US"/>
              </w:rPr>
              <w:t>6</w:t>
            </w:r>
            <w:r w:rsidR="00080958">
              <w:rPr>
                <w:sz w:val="18"/>
                <w:szCs w:val="18"/>
                <w:lang w:val="en-US"/>
              </w:rPr>
              <w:t xml:space="preserve"> </w:t>
            </w:r>
            <w:r w:rsidRPr="004C184C">
              <w:rPr>
                <w:sz w:val="18"/>
                <w:szCs w:val="18"/>
                <w:lang w:val="en-US"/>
              </w:rPr>
              <w:t>733</w:t>
            </w:r>
            <w:r w:rsidR="00080958">
              <w:rPr>
                <w:sz w:val="18"/>
                <w:szCs w:val="18"/>
                <w:lang w:val="en-US"/>
              </w:rPr>
              <w:t xml:space="preserve"> </w:t>
            </w:r>
            <w:r w:rsidRPr="004C184C">
              <w:rPr>
                <w:sz w:val="18"/>
                <w:szCs w:val="18"/>
                <w:lang w:val="en-US"/>
              </w:rPr>
              <w:t>028</w:t>
            </w:r>
            <w:r w:rsidRPr="004C184C">
              <w:rPr>
                <w:sz w:val="18"/>
                <w:szCs w:val="18"/>
                <w:rtl/>
                <w:lang w:val="en-US"/>
              </w:rPr>
              <w:t>.</w:t>
            </w:r>
            <w:r w:rsidRPr="004C184C">
              <w:rPr>
                <w:sz w:val="18"/>
                <w:szCs w:val="18"/>
                <w:lang w:val="en-US"/>
              </w:rPr>
              <w:t>95</w:t>
            </w:r>
            <w:r w:rsidRPr="004C184C">
              <w:rPr>
                <w:sz w:val="18"/>
                <w:szCs w:val="18"/>
                <w:cs/>
                <w:lang w:val="en-US"/>
              </w:rPr>
              <w:t xml:space="preserve"> </w:t>
            </w:r>
            <w:r w:rsidRPr="004C184C">
              <w:rPr>
                <w:sz w:val="18"/>
                <w:szCs w:val="18"/>
                <w:lang w:val="en-US"/>
              </w:rPr>
              <w:br/>
            </w:r>
            <w:r w:rsidRPr="004C184C">
              <w:rPr>
                <w:sz w:val="18"/>
                <w:szCs w:val="18"/>
                <w:cs/>
                <w:lang w:val="en-US"/>
              </w:rPr>
              <w:t>(</w:t>
            </w:r>
            <w:r w:rsidRPr="004C184C">
              <w:rPr>
                <w:sz w:val="18"/>
                <w:szCs w:val="18"/>
                <w:lang w:val="en-US"/>
              </w:rPr>
              <w:t>USD 211</w:t>
            </w:r>
            <w:r w:rsidR="00080958">
              <w:rPr>
                <w:sz w:val="18"/>
                <w:szCs w:val="18"/>
                <w:lang w:val="en-US"/>
              </w:rPr>
              <w:t xml:space="preserve"> </w:t>
            </w:r>
            <w:r w:rsidRPr="004C184C">
              <w:rPr>
                <w:sz w:val="18"/>
                <w:szCs w:val="18"/>
                <w:lang w:val="en-US"/>
              </w:rPr>
              <w:t>265</w:t>
            </w:r>
            <w:r w:rsidRPr="004C184C">
              <w:rPr>
                <w:sz w:val="18"/>
                <w:szCs w:val="18"/>
                <w:cs/>
                <w:lang w:val="en-US"/>
              </w:rPr>
              <w:t>.</w:t>
            </w:r>
            <w:r w:rsidRPr="004C184C">
              <w:rPr>
                <w:sz w:val="18"/>
                <w:szCs w:val="18"/>
                <w:lang w:val="en-US"/>
              </w:rPr>
              <w:t>42</w:t>
            </w:r>
            <w:r w:rsidRPr="004C184C">
              <w:rPr>
                <w:sz w:val="18"/>
                <w:szCs w:val="18"/>
                <w:cs/>
                <w:lang w:val="en-US"/>
              </w:rPr>
              <w:t>)</w:t>
            </w:r>
          </w:p>
        </w:tc>
      </w:tr>
      <w:tr w:rsidR="00EA422B" w:rsidRPr="004C184C" w14:paraId="25883B02" w14:textId="77777777" w:rsidTr="00E0416B">
        <w:tc>
          <w:tcPr>
            <w:tcW w:w="2552" w:type="dxa"/>
            <w:vMerge/>
            <w:shd w:val="clear" w:color="auto" w:fill="auto"/>
          </w:tcPr>
          <w:p w14:paraId="2D807EF9" w14:textId="77777777" w:rsidR="00EA422B" w:rsidRPr="004C184C" w:rsidRDefault="00EA422B" w:rsidP="00786240">
            <w:pPr>
              <w:suppressAutoHyphens w:val="0"/>
              <w:spacing w:before="40" w:after="40" w:line="220" w:lineRule="exact"/>
              <w:ind w:right="113"/>
              <w:rPr>
                <w:sz w:val="18"/>
                <w:lang w:val="en-US"/>
              </w:rPr>
            </w:pPr>
          </w:p>
        </w:tc>
        <w:tc>
          <w:tcPr>
            <w:tcW w:w="2758" w:type="dxa"/>
            <w:gridSpan w:val="3"/>
            <w:tcBorders>
              <w:top w:val="single" w:sz="4" w:space="0" w:color="auto"/>
              <w:bottom w:val="single" w:sz="12" w:space="0" w:color="auto"/>
            </w:tcBorders>
            <w:shd w:val="clear" w:color="auto" w:fill="auto"/>
            <w:vAlign w:val="bottom"/>
          </w:tcPr>
          <w:p w14:paraId="3593DE2A" w14:textId="6558232F" w:rsidR="00EA422B" w:rsidRPr="004C184C" w:rsidRDefault="00EA422B" w:rsidP="008A351E">
            <w:pPr>
              <w:suppressAutoHyphens w:val="0"/>
              <w:spacing w:before="80" w:after="80" w:line="220" w:lineRule="exact"/>
              <w:ind w:left="283"/>
              <w:rPr>
                <w:b/>
                <w:sz w:val="18"/>
                <w:szCs w:val="18"/>
                <w:lang w:val="en-US"/>
              </w:rPr>
            </w:pPr>
            <w:r w:rsidRPr="004C184C">
              <w:rPr>
                <w:b/>
                <w:sz w:val="18"/>
                <w:szCs w:val="18"/>
                <w:lang w:val="en-US"/>
              </w:rPr>
              <w:t>Total</w:t>
            </w:r>
          </w:p>
        </w:tc>
        <w:tc>
          <w:tcPr>
            <w:tcW w:w="2060" w:type="dxa"/>
            <w:gridSpan w:val="3"/>
            <w:tcBorders>
              <w:top w:val="single" w:sz="4" w:space="0" w:color="auto"/>
              <w:bottom w:val="single" w:sz="12" w:space="0" w:color="auto"/>
            </w:tcBorders>
            <w:shd w:val="clear" w:color="auto" w:fill="auto"/>
            <w:vAlign w:val="bottom"/>
          </w:tcPr>
          <w:p w14:paraId="04BEC495" w14:textId="7BAB4E73" w:rsidR="00EA422B" w:rsidRPr="004C184C" w:rsidRDefault="00EA422B" w:rsidP="00786240">
            <w:pPr>
              <w:suppressAutoHyphens w:val="0"/>
              <w:spacing w:before="40" w:after="40" w:line="220" w:lineRule="exact"/>
              <w:ind w:right="113"/>
              <w:jc w:val="right"/>
              <w:rPr>
                <w:b/>
                <w:bCs/>
                <w:sz w:val="18"/>
                <w:szCs w:val="18"/>
                <w:lang w:val="en-US"/>
              </w:rPr>
            </w:pPr>
            <w:r w:rsidRPr="004C184C">
              <w:rPr>
                <w:b/>
                <w:bCs/>
                <w:sz w:val="18"/>
                <w:szCs w:val="18"/>
                <w:lang w:val="en-US"/>
              </w:rPr>
              <w:t>6</w:t>
            </w:r>
            <w:r w:rsidR="00080958">
              <w:rPr>
                <w:b/>
                <w:bCs/>
                <w:sz w:val="18"/>
                <w:szCs w:val="18"/>
                <w:lang w:val="en-US"/>
              </w:rPr>
              <w:t xml:space="preserve"> </w:t>
            </w:r>
            <w:r w:rsidRPr="004C184C">
              <w:rPr>
                <w:b/>
                <w:bCs/>
                <w:sz w:val="18"/>
                <w:szCs w:val="18"/>
                <w:lang w:val="en-US"/>
              </w:rPr>
              <w:t>960</w:t>
            </w:r>
            <w:r w:rsidR="00080958">
              <w:rPr>
                <w:b/>
                <w:bCs/>
                <w:sz w:val="18"/>
                <w:szCs w:val="18"/>
                <w:lang w:val="en-US"/>
              </w:rPr>
              <w:t xml:space="preserve"> </w:t>
            </w:r>
            <w:r w:rsidRPr="004C184C">
              <w:rPr>
                <w:b/>
                <w:bCs/>
                <w:sz w:val="18"/>
                <w:szCs w:val="18"/>
                <w:lang w:val="en-US"/>
              </w:rPr>
              <w:t>625</w:t>
            </w:r>
            <w:r w:rsidRPr="004C184C">
              <w:rPr>
                <w:b/>
                <w:bCs/>
                <w:sz w:val="18"/>
                <w:szCs w:val="18"/>
                <w:rtl/>
                <w:lang w:val="en-US"/>
              </w:rPr>
              <w:t>.</w:t>
            </w:r>
            <w:r w:rsidRPr="004C184C">
              <w:rPr>
                <w:b/>
                <w:bCs/>
                <w:sz w:val="18"/>
                <w:szCs w:val="18"/>
                <w:lang w:val="en-US"/>
              </w:rPr>
              <w:t>46</w:t>
            </w:r>
            <w:r w:rsidRPr="004C184C">
              <w:rPr>
                <w:b/>
                <w:bCs/>
                <w:sz w:val="18"/>
                <w:szCs w:val="18"/>
                <w:cs/>
                <w:lang w:val="en-US"/>
              </w:rPr>
              <w:t xml:space="preserve"> </w:t>
            </w:r>
            <w:r w:rsidRPr="004C184C">
              <w:rPr>
                <w:b/>
                <w:bCs/>
                <w:sz w:val="18"/>
                <w:szCs w:val="18"/>
                <w:lang w:val="en-US"/>
              </w:rPr>
              <w:br/>
            </w:r>
            <w:r w:rsidRPr="004C184C">
              <w:rPr>
                <w:b/>
                <w:bCs/>
                <w:sz w:val="18"/>
                <w:szCs w:val="18"/>
                <w:cs/>
                <w:lang w:val="en-US"/>
              </w:rPr>
              <w:t>(</w:t>
            </w:r>
            <w:r w:rsidRPr="004C184C">
              <w:rPr>
                <w:b/>
                <w:bCs/>
                <w:sz w:val="18"/>
                <w:szCs w:val="18"/>
                <w:lang w:val="en-US"/>
              </w:rPr>
              <w:t>USD 218</w:t>
            </w:r>
            <w:r w:rsidR="00080958">
              <w:rPr>
                <w:b/>
                <w:bCs/>
                <w:sz w:val="18"/>
                <w:szCs w:val="18"/>
                <w:lang w:val="en-US"/>
              </w:rPr>
              <w:t xml:space="preserve"> </w:t>
            </w:r>
            <w:r w:rsidRPr="004C184C">
              <w:rPr>
                <w:b/>
                <w:bCs/>
                <w:sz w:val="18"/>
                <w:szCs w:val="18"/>
                <w:lang w:val="en-US"/>
              </w:rPr>
              <w:t>406</w:t>
            </w:r>
            <w:r w:rsidRPr="004C184C">
              <w:rPr>
                <w:b/>
                <w:bCs/>
                <w:sz w:val="18"/>
                <w:szCs w:val="18"/>
                <w:cs/>
                <w:lang w:val="en-US"/>
              </w:rPr>
              <w:t>.</w:t>
            </w:r>
            <w:r w:rsidRPr="004C184C">
              <w:rPr>
                <w:b/>
                <w:bCs/>
                <w:sz w:val="18"/>
                <w:szCs w:val="18"/>
                <w:lang w:val="en-US"/>
              </w:rPr>
              <w:t>82</w:t>
            </w:r>
            <w:r w:rsidRPr="004C184C">
              <w:rPr>
                <w:b/>
                <w:bCs/>
                <w:sz w:val="18"/>
                <w:szCs w:val="18"/>
                <w:cs/>
                <w:lang w:val="en-US"/>
              </w:rPr>
              <w:t>)</w:t>
            </w:r>
          </w:p>
        </w:tc>
      </w:tr>
    </w:tbl>
    <w:p w14:paraId="764C7C03" w14:textId="77777777" w:rsidR="00EA422B" w:rsidRPr="004C184C" w:rsidRDefault="00EA422B" w:rsidP="00786240">
      <w:pPr>
        <w:pStyle w:val="H23G"/>
        <w:rPr>
          <w:lang w:val="en-US"/>
        </w:rPr>
      </w:pPr>
      <w:r w:rsidRPr="004C184C">
        <w:rPr>
          <w:lang w:val="en-US"/>
        </w:rPr>
        <w:tab/>
      </w:r>
      <w:r w:rsidRPr="004C184C">
        <w:rPr>
          <w:lang w:val="en-US"/>
        </w:rPr>
        <w:tab/>
        <w:t>Employment</w:t>
      </w:r>
    </w:p>
    <w:p w14:paraId="6F3E7972" w14:textId="13384743" w:rsidR="00EA422B" w:rsidRPr="004C184C" w:rsidRDefault="00EA422B" w:rsidP="00786240">
      <w:pPr>
        <w:pStyle w:val="SingleTxtG"/>
        <w:rPr>
          <w:lang w:val="en-US"/>
        </w:rPr>
      </w:pPr>
      <w:r w:rsidRPr="004C184C">
        <w:rPr>
          <w:lang w:val="en-US"/>
        </w:rPr>
        <w:t>16.</w:t>
      </w:r>
      <w:r w:rsidRPr="004C184C">
        <w:rPr>
          <w:lang w:val="en-US"/>
        </w:rPr>
        <w:tab/>
        <w:t xml:space="preserve">Unemployment rate in 2019 stayed low at 0.99%, accounting for 370,000 unemployed. The overall average wage and the average wage for the private sector increased by 2.3% and 3.3% respectively. Labor productivity increased by 3.1% from the previous year. </w:t>
      </w:r>
    </w:p>
    <w:p w14:paraId="4AC5FC14" w14:textId="77777777" w:rsidR="00EA422B" w:rsidRPr="004C184C" w:rsidRDefault="00EA422B" w:rsidP="00786240">
      <w:pPr>
        <w:pStyle w:val="SingleTxtG"/>
        <w:rPr>
          <w:lang w:val="en-US"/>
        </w:rPr>
      </w:pPr>
      <w:r w:rsidRPr="004C184C">
        <w:rPr>
          <w:lang w:val="en-US"/>
        </w:rPr>
        <w:t>17.</w:t>
      </w:r>
      <w:r w:rsidRPr="004C184C">
        <w:rPr>
          <w:lang w:val="en-US"/>
        </w:rPr>
        <w:tab/>
        <w:t xml:space="preserve">Employment in the service sector continued to increase in 2019, especially in the hotel/restaurant industry (0.8%). In addition, employment in the construction sector and transportation sector also continued to increase by 3.3% and 3.7%, respectively, because of the expansion of public investment and online trading/ordering through various platforms. </w:t>
      </w:r>
    </w:p>
    <w:p w14:paraId="28647A3C" w14:textId="220AAC73" w:rsidR="00EA422B" w:rsidRPr="004C184C" w:rsidRDefault="00EA422B" w:rsidP="00786240">
      <w:pPr>
        <w:pStyle w:val="SingleTxtG"/>
        <w:rPr>
          <w:lang w:val="en-US"/>
        </w:rPr>
      </w:pPr>
      <w:r w:rsidRPr="004C184C">
        <w:rPr>
          <w:lang w:val="en-US"/>
        </w:rPr>
        <w:t>18.</w:t>
      </w:r>
      <w:r w:rsidRPr="004C184C">
        <w:rPr>
          <w:lang w:val="en-US"/>
        </w:rPr>
        <w:tab/>
        <w:t>Thailand</w:t>
      </w:r>
      <w:r w:rsidR="00567EA4" w:rsidRPr="004C184C">
        <w:rPr>
          <w:lang w:val="en-US"/>
        </w:rPr>
        <w:t>’</w:t>
      </w:r>
      <w:r w:rsidRPr="004C184C">
        <w:rPr>
          <w:lang w:val="en-US"/>
        </w:rPr>
        <w:t>s overall employment in 2019 decreased by 0.7%, however. The labor market has been affected both by a cyclical effect due to an economic slowdown which has reduced employment through production and exports, as well as a structural effect including a change in Thailand</w:t>
      </w:r>
      <w:r w:rsidR="00567EA4" w:rsidRPr="004C184C">
        <w:rPr>
          <w:lang w:val="en-US"/>
        </w:rPr>
        <w:t>’</w:t>
      </w:r>
      <w:r w:rsidRPr="004C184C">
        <w:rPr>
          <w:lang w:val="en-US"/>
        </w:rPr>
        <w:t>s labor market structure and a higher opportunity to access to education, which can slow down labor from entering the market, and technological advancement.</w:t>
      </w:r>
    </w:p>
    <w:p w14:paraId="31B22A03" w14:textId="77777777" w:rsidR="00EA422B" w:rsidRPr="004C184C" w:rsidRDefault="00EA422B" w:rsidP="00786240">
      <w:pPr>
        <w:pStyle w:val="SingleTxtG"/>
        <w:rPr>
          <w:lang w:val="en-US"/>
        </w:rPr>
      </w:pPr>
      <w:r w:rsidRPr="004C184C">
        <w:rPr>
          <w:lang w:val="en-US"/>
        </w:rPr>
        <w:t>19.</w:t>
      </w:r>
      <w:r w:rsidRPr="004C184C">
        <w:rPr>
          <w:lang w:val="en-US"/>
        </w:rPr>
        <w:tab/>
        <w:t>As of March 2019, the number of persons in the work force registered with trade unions accounted for 616,492.</w:t>
      </w:r>
    </w:p>
    <w:p w14:paraId="1B02833E" w14:textId="77777777" w:rsidR="00EA422B" w:rsidRPr="004C184C" w:rsidRDefault="00EA422B" w:rsidP="007928B6">
      <w:pPr>
        <w:pStyle w:val="H23G"/>
        <w:rPr>
          <w:lang w:val="en-US"/>
        </w:rPr>
      </w:pPr>
      <w:r w:rsidRPr="004C184C">
        <w:rPr>
          <w:lang w:val="en-US"/>
        </w:rPr>
        <w:tab/>
      </w:r>
      <w:r w:rsidRPr="004C184C">
        <w:rPr>
          <w:lang w:val="en-US"/>
        </w:rPr>
        <w:tab/>
        <w:t>Household</w:t>
      </w:r>
      <w:r w:rsidRPr="004C184C">
        <w:rPr>
          <w:cs/>
          <w:lang w:val="en-US"/>
        </w:rPr>
        <w:t xml:space="preserve"> </w:t>
      </w:r>
      <w:r w:rsidRPr="004C184C">
        <w:rPr>
          <w:lang w:val="en-US"/>
        </w:rPr>
        <w:t>consumption expenditures</w:t>
      </w:r>
    </w:p>
    <w:p w14:paraId="4A71A64F" w14:textId="07C39FBC" w:rsidR="00EA422B" w:rsidRPr="004C184C" w:rsidRDefault="00EA422B" w:rsidP="00786240">
      <w:pPr>
        <w:pStyle w:val="SingleTxtG"/>
        <w:rPr>
          <w:lang w:val="en-US"/>
        </w:rPr>
      </w:pPr>
      <w:bookmarkStart w:id="2" w:name="_Ref51892242"/>
      <w:r w:rsidRPr="004C184C">
        <w:rPr>
          <w:lang w:val="en-US"/>
        </w:rPr>
        <w:t>20.</w:t>
      </w:r>
      <w:r w:rsidRPr="004C184C">
        <w:rPr>
          <w:lang w:val="en-US"/>
        </w:rPr>
        <w:tab/>
        <w:t>In 2019, Thailand</w:t>
      </w:r>
      <w:r w:rsidR="00567EA4" w:rsidRPr="004C184C">
        <w:rPr>
          <w:lang w:val="en-US"/>
        </w:rPr>
        <w:t>’</w:t>
      </w:r>
      <w:r w:rsidRPr="004C184C">
        <w:rPr>
          <w:lang w:val="en-US"/>
        </w:rPr>
        <w:t>s household</w:t>
      </w:r>
      <w:r w:rsidRPr="004C184C">
        <w:rPr>
          <w:cs/>
          <w:lang w:val="en-US"/>
        </w:rPr>
        <w:t xml:space="preserve"> </w:t>
      </w:r>
      <w:r w:rsidRPr="004C184C">
        <w:rPr>
          <w:lang w:val="en-US"/>
        </w:rPr>
        <w:t>consumption expenditures mainly comprised food and non</w:t>
      </w:r>
      <w:r w:rsidR="00D97E73" w:rsidRPr="004C184C">
        <w:rPr>
          <w:lang w:val="en-US"/>
        </w:rPr>
        <w:t>-</w:t>
      </w:r>
      <w:r w:rsidRPr="004C184C">
        <w:rPr>
          <w:lang w:val="en-US"/>
        </w:rPr>
        <w:t>alcoholic drinks (38</w:t>
      </w:r>
      <w:r w:rsidRPr="004C184C">
        <w:rPr>
          <w:cs/>
          <w:lang w:val="en-US"/>
        </w:rPr>
        <w:t>.</w:t>
      </w:r>
      <w:r w:rsidRPr="004C184C">
        <w:rPr>
          <w:lang w:val="en-US"/>
        </w:rPr>
        <w:t>31%), alcoholic drinks (1</w:t>
      </w:r>
      <w:r w:rsidRPr="004C184C">
        <w:rPr>
          <w:cs/>
          <w:lang w:val="en-US"/>
        </w:rPr>
        <w:t>.</w:t>
      </w:r>
      <w:r w:rsidRPr="004C184C">
        <w:rPr>
          <w:lang w:val="en-US"/>
        </w:rPr>
        <w:t>37</w:t>
      </w:r>
      <w:r w:rsidRPr="004C184C">
        <w:rPr>
          <w:cs/>
          <w:lang w:val="en-US"/>
        </w:rPr>
        <w:t>%</w:t>
      </w:r>
      <w:r w:rsidRPr="004C184C">
        <w:rPr>
          <w:lang w:val="en-US"/>
        </w:rPr>
        <w:t>), tobacco products (0</w:t>
      </w:r>
      <w:r w:rsidRPr="004C184C">
        <w:rPr>
          <w:cs/>
          <w:lang w:val="en-US"/>
        </w:rPr>
        <w:t>.</w:t>
      </w:r>
      <w:r w:rsidRPr="004C184C">
        <w:rPr>
          <w:lang w:val="en-US"/>
        </w:rPr>
        <w:t>68</w:t>
      </w:r>
      <w:r w:rsidRPr="004C184C">
        <w:rPr>
          <w:cs/>
          <w:lang w:val="en-US"/>
        </w:rPr>
        <w:t>%</w:t>
      </w:r>
      <w:r w:rsidRPr="004C184C">
        <w:rPr>
          <w:lang w:val="en-US"/>
        </w:rPr>
        <w:t>), household goods (23</w:t>
      </w:r>
      <w:r w:rsidRPr="004C184C">
        <w:rPr>
          <w:cs/>
          <w:lang w:val="en-US"/>
        </w:rPr>
        <w:t>.</w:t>
      </w:r>
      <w:r w:rsidRPr="004C184C">
        <w:rPr>
          <w:lang w:val="en-US"/>
        </w:rPr>
        <w:t>38</w:t>
      </w:r>
      <w:r w:rsidRPr="004C184C">
        <w:rPr>
          <w:cs/>
          <w:lang w:val="en-US"/>
        </w:rPr>
        <w:t>%</w:t>
      </w:r>
      <w:r w:rsidRPr="004C184C">
        <w:rPr>
          <w:lang w:val="en-US"/>
        </w:rPr>
        <w:t>), clothing and footwear (2</w:t>
      </w:r>
      <w:r w:rsidRPr="004C184C">
        <w:rPr>
          <w:cs/>
          <w:lang w:val="en-US"/>
        </w:rPr>
        <w:t>.</w:t>
      </w:r>
      <w:r w:rsidRPr="004C184C">
        <w:rPr>
          <w:lang w:val="en-US"/>
        </w:rPr>
        <w:t>50</w:t>
      </w:r>
      <w:r w:rsidRPr="004C184C">
        <w:rPr>
          <w:cs/>
          <w:lang w:val="en-US"/>
        </w:rPr>
        <w:t>%</w:t>
      </w:r>
      <w:r w:rsidRPr="004C184C">
        <w:rPr>
          <w:lang w:val="en-US"/>
        </w:rPr>
        <w:t>), personal expenditures (3</w:t>
      </w:r>
      <w:r w:rsidRPr="004C184C">
        <w:rPr>
          <w:cs/>
          <w:lang w:val="en-US"/>
        </w:rPr>
        <w:t>.</w:t>
      </w:r>
      <w:r w:rsidRPr="004C184C">
        <w:rPr>
          <w:lang w:val="en-US"/>
        </w:rPr>
        <w:t>43</w:t>
      </w:r>
      <w:r w:rsidRPr="004C184C">
        <w:rPr>
          <w:cs/>
          <w:lang w:val="en-US"/>
        </w:rPr>
        <w:t>%</w:t>
      </w:r>
      <w:r w:rsidRPr="004C184C">
        <w:rPr>
          <w:lang w:val="en-US"/>
        </w:rPr>
        <w:t>), health (1</w:t>
      </w:r>
      <w:r w:rsidRPr="004C184C">
        <w:rPr>
          <w:cs/>
          <w:lang w:val="en-US"/>
        </w:rPr>
        <w:t>.</w:t>
      </w:r>
      <w:r w:rsidRPr="004C184C">
        <w:rPr>
          <w:lang w:val="en-US"/>
        </w:rPr>
        <w:t>78</w:t>
      </w:r>
      <w:r w:rsidRPr="004C184C">
        <w:rPr>
          <w:cs/>
          <w:lang w:val="en-US"/>
        </w:rPr>
        <w:t>%</w:t>
      </w:r>
      <w:r w:rsidRPr="004C184C">
        <w:rPr>
          <w:lang w:val="en-US"/>
        </w:rPr>
        <w:t>), transport and communication (23</w:t>
      </w:r>
      <w:r w:rsidRPr="004C184C">
        <w:rPr>
          <w:cs/>
          <w:lang w:val="en-US"/>
        </w:rPr>
        <w:t>.</w:t>
      </w:r>
      <w:r w:rsidRPr="004C184C">
        <w:rPr>
          <w:lang w:val="en-US"/>
        </w:rPr>
        <w:t>94</w:t>
      </w:r>
      <w:r w:rsidRPr="004C184C">
        <w:rPr>
          <w:cs/>
          <w:lang w:val="en-US"/>
        </w:rPr>
        <w:t>%</w:t>
      </w:r>
      <w:r w:rsidRPr="004C184C">
        <w:rPr>
          <w:lang w:val="en-US"/>
        </w:rPr>
        <w:t>), education (2</w:t>
      </w:r>
      <w:r w:rsidRPr="004C184C">
        <w:rPr>
          <w:cs/>
          <w:lang w:val="en-US"/>
        </w:rPr>
        <w:t>.</w:t>
      </w:r>
      <w:r w:rsidRPr="004C184C">
        <w:rPr>
          <w:lang w:val="en-US"/>
        </w:rPr>
        <w:t>02</w:t>
      </w:r>
      <w:r w:rsidRPr="004C184C">
        <w:rPr>
          <w:cs/>
          <w:lang w:val="en-US"/>
        </w:rPr>
        <w:t>%</w:t>
      </w:r>
      <w:r w:rsidRPr="004C184C">
        <w:rPr>
          <w:lang w:val="en-US"/>
        </w:rPr>
        <w:t>), recreation, reading, and religious activities (1</w:t>
      </w:r>
      <w:r w:rsidRPr="004C184C">
        <w:rPr>
          <w:cs/>
          <w:lang w:val="en-US"/>
        </w:rPr>
        <w:t>.</w:t>
      </w:r>
      <w:r w:rsidRPr="004C184C">
        <w:rPr>
          <w:lang w:val="en-US"/>
        </w:rPr>
        <w:t>77</w:t>
      </w:r>
      <w:r w:rsidRPr="004C184C">
        <w:rPr>
          <w:cs/>
          <w:lang w:val="en-US"/>
        </w:rPr>
        <w:t>%</w:t>
      </w:r>
      <w:r w:rsidRPr="004C184C">
        <w:rPr>
          <w:lang w:val="en-US"/>
        </w:rPr>
        <w:t>) and cultural expenses (0</w:t>
      </w:r>
      <w:r w:rsidRPr="004C184C">
        <w:rPr>
          <w:cs/>
          <w:lang w:val="en-US"/>
        </w:rPr>
        <w:t>.</w:t>
      </w:r>
      <w:r w:rsidRPr="004C184C">
        <w:rPr>
          <w:lang w:val="en-US"/>
        </w:rPr>
        <w:t>82</w:t>
      </w:r>
      <w:r w:rsidRPr="004C184C">
        <w:rPr>
          <w:cs/>
          <w:lang w:val="en-US"/>
        </w:rPr>
        <w:t>%</w:t>
      </w:r>
      <w:r w:rsidRPr="004C184C">
        <w:rPr>
          <w:lang w:val="en-US"/>
        </w:rPr>
        <w:t>).</w:t>
      </w:r>
      <w:bookmarkEnd w:id="2"/>
    </w:p>
    <w:p w14:paraId="0505F4CD" w14:textId="77777777" w:rsidR="00EA422B" w:rsidRPr="004C184C" w:rsidRDefault="00EA422B" w:rsidP="00786240">
      <w:pPr>
        <w:pStyle w:val="SingleTxtG"/>
        <w:rPr>
          <w:lang w:val="en-US"/>
        </w:rPr>
      </w:pPr>
      <w:r w:rsidRPr="004C184C">
        <w:rPr>
          <w:lang w:val="en-US"/>
        </w:rPr>
        <w:t>21.</w:t>
      </w:r>
      <w:r w:rsidRPr="004C184C">
        <w:rPr>
          <w:lang w:val="en-US"/>
        </w:rPr>
        <w:tab/>
        <w:t>The Gini coefficient relating to</w:t>
      </w:r>
      <w:r w:rsidRPr="004C184C">
        <w:rPr>
          <w:cs/>
          <w:lang w:val="en-US"/>
        </w:rPr>
        <w:t xml:space="preserve"> </w:t>
      </w:r>
      <w:r w:rsidRPr="004C184C">
        <w:rPr>
          <w:lang w:val="en-US"/>
        </w:rPr>
        <w:t>the distribution</w:t>
      </w:r>
      <w:r w:rsidRPr="004C184C">
        <w:rPr>
          <w:cs/>
          <w:lang w:val="en-US"/>
        </w:rPr>
        <w:t xml:space="preserve"> </w:t>
      </w:r>
      <w:r w:rsidRPr="004C184C">
        <w:rPr>
          <w:lang w:val="en-US"/>
        </w:rPr>
        <w:t>of income or household consumption expenditure was 0</w:t>
      </w:r>
      <w:r w:rsidRPr="004C184C">
        <w:rPr>
          <w:cs/>
          <w:lang w:val="en-US"/>
        </w:rPr>
        <w:t>.</w:t>
      </w:r>
      <w:r w:rsidRPr="004C184C">
        <w:rPr>
          <w:lang w:val="en-US"/>
        </w:rPr>
        <w:t>364 in 2019.</w:t>
      </w:r>
    </w:p>
    <w:p w14:paraId="508D169E" w14:textId="77777777" w:rsidR="00EA422B" w:rsidRPr="004C184C" w:rsidRDefault="00EA422B" w:rsidP="007928B6">
      <w:pPr>
        <w:pStyle w:val="H23G"/>
        <w:rPr>
          <w:lang w:val="en-US"/>
        </w:rPr>
      </w:pPr>
      <w:r w:rsidRPr="004C184C">
        <w:rPr>
          <w:lang w:val="en-US"/>
        </w:rPr>
        <w:tab/>
      </w:r>
      <w:r w:rsidRPr="004C184C">
        <w:rPr>
          <w:lang w:val="en-US"/>
        </w:rPr>
        <w:tab/>
        <w:t>Health</w:t>
      </w:r>
    </w:p>
    <w:p w14:paraId="4FA98370" w14:textId="5633E8C1" w:rsidR="00EA422B" w:rsidRPr="004C184C" w:rsidRDefault="00EA422B" w:rsidP="00786240">
      <w:pPr>
        <w:pStyle w:val="SingleTxtG"/>
        <w:rPr>
          <w:lang w:val="en-US"/>
        </w:rPr>
      </w:pPr>
      <w:r w:rsidRPr="004C184C">
        <w:rPr>
          <w:lang w:val="en-US"/>
        </w:rPr>
        <w:t>22.</w:t>
      </w:r>
      <w:r w:rsidRPr="004C184C">
        <w:rPr>
          <w:lang w:val="en-US"/>
        </w:rPr>
        <w:tab/>
        <w:t>The country</w:t>
      </w:r>
      <w:r w:rsidR="00567EA4" w:rsidRPr="004C184C">
        <w:rPr>
          <w:lang w:val="en-US"/>
        </w:rPr>
        <w:t>’</w:t>
      </w:r>
      <w:r w:rsidRPr="004C184C">
        <w:rPr>
          <w:lang w:val="en-US"/>
        </w:rPr>
        <w:t>s health expenditures in 2017 amounted to approximately 3.7% of the GDP. As mentioned in paragraph 20, health expenditures of households accounted for 1.78% of household consumption expenditures.</w:t>
      </w:r>
    </w:p>
    <w:p w14:paraId="352449F0" w14:textId="7474B169" w:rsidR="00EA422B" w:rsidRPr="004C184C" w:rsidRDefault="00EA422B" w:rsidP="00786240">
      <w:pPr>
        <w:pStyle w:val="SingleTxtG"/>
        <w:rPr>
          <w:lang w:val="en-US"/>
        </w:rPr>
      </w:pPr>
      <w:r w:rsidRPr="004C184C">
        <w:rPr>
          <w:lang w:val="en-US"/>
        </w:rPr>
        <w:t>23.</w:t>
      </w:r>
      <w:r w:rsidRPr="004C184C">
        <w:rPr>
          <w:lang w:val="en-US"/>
        </w:rPr>
        <w:tab/>
        <w:t>Thailand prides itself on achieving Universal Health Coverage (UHC). The UHC scheme covers almost a hundred percent of the population. Despite being a middle</w:t>
      </w:r>
      <w:r w:rsidR="007928B6" w:rsidRPr="004C184C">
        <w:rPr>
          <w:lang w:val="en-US"/>
        </w:rPr>
        <w:t>-</w:t>
      </w:r>
      <w:r w:rsidRPr="004C184C">
        <w:rPr>
          <w:lang w:val="en-US"/>
        </w:rPr>
        <w:t xml:space="preserve">income country, Thailand is recognized as a model for UHC, whose experience can be shared with </w:t>
      </w:r>
      <w:r w:rsidRPr="004C184C">
        <w:rPr>
          <w:lang w:val="en-US"/>
        </w:rPr>
        <w:lastRenderedPageBreak/>
        <w:t>other countries. At the same time, the country is committed to continually improving its UHC scheme to ensure greater equitable access by all.</w:t>
      </w:r>
    </w:p>
    <w:p w14:paraId="4C354564" w14:textId="359ACDFE" w:rsidR="00EA422B" w:rsidRPr="004C184C" w:rsidRDefault="00EA422B" w:rsidP="00786240">
      <w:pPr>
        <w:pStyle w:val="SingleTxtG"/>
        <w:rPr>
          <w:lang w:val="en-US"/>
        </w:rPr>
      </w:pPr>
      <w:r w:rsidRPr="004C184C">
        <w:rPr>
          <w:lang w:val="en-US"/>
        </w:rPr>
        <w:t>24.</w:t>
      </w:r>
      <w:r w:rsidRPr="004C184C">
        <w:rPr>
          <w:lang w:val="en-US"/>
        </w:rPr>
        <w:tab/>
        <w:t>On sexual and reproductive health, Thailand has progressively implemented related goals and targets of the 2030 Agenda for Sustainable Development. In 2019, the percentage of women of child</w:t>
      </w:r>
      <w:r w:rsidRPr="004C184C">
        <w:rPr>
          <w:cs/>
          <w:lang w:val="en-US"/>
        </w:rPr>
        <w:t>/</w:t>
      </w:r>
      <w:r w:rsidRPr="004C184C">
        <w:rPr>
          <w:lang w:val="en-US"/>
        </w:rPr>
        <w:t xml:space="preserve">bearing age using contraception or whose partner used contraception was recorded at </w:t>
      </w:r>
      <w:r w:rsidRPr="004C184C">
        <w:rPr>
          <w:cs/>
          <w:lang w:val="en-US"/>
        </w:rPr>
        <w:t>78.4</w:t>
      </w:r>
      <w:r w:rsidRPr="004C184C">
        <w:rPr>
          <w:lang w:val="en-US"/>
        </w:rPr>
        <w:t>%, compared to 72% in 1994. It has been recognized by UNFPA as</w:t>
      </w:r>
      <w:r w:rsidRPr="004C184C">
        <w:rPr>
          <w:cs/>
          <w:lang w:val="en-US"/>
        </w:rPr>
        <w:t xml:space="preserve"> </w:t>
      </w:r>
      <w:r w:rsidR="00567EA4" w:rsidRPr="004C184C">
        <w:rPr>
          <w:lang w:val="en-US"/>
        </w:rPr>
        <w:t>‘</w:t>
      </w:r>
      <w:r w:rsidRPr="004C184C">
        <w:rPr>
          <w:lang w:val="en-US"/>
        </w:rPr>
        <w:t>one of the groundbreaker and front runner countries in achieving population and development targets for the past 25 years</w:t>
      </w:r>
      <w:r w:rsidR="00567EA4" w:rsidRPr="004C184C">
        <w:rPr>
          <w:lang w:val="en-US"/>
        </w:rPr>
        <w:t>’</w:t>
      </w:r>
      <w:r w:rsidRPr="004C184C">
        <w:rPr>
          <w:lang w:val="en-US"/>
        </w:rPr>
        <w:t>.</w:t>
      </w:r>
    </w:p>
    <w:p w14:paraId="32B3F8ED" w14:textId="77777777" w:rsidR="00EA422B" w:rsidRPr="004C184C" w:rsidRDefault="00EA422B" w:rsidP="00786240">
      <w:pPr>
        <w:pStyle w:val="SingleTxtG"/>
        <w:rPr>
          <w:lang w:val="en-US"/>
        </w:rPr>
      </w:pPr>
      <w:r w:rsidRPr="004C184C">
        <w:rPr>
          <w:lang w:val="en-US"/>
        </w:rPr>
        <w:t>25.</w:t>
      </w:r>
      <w:r w:rsidRPr="004C184C">
        <w:rPr>
          <w:lang w:val="en-US"/>
        </w:rPr>
        <w:tab/>
        <w:t xml:space="preserve">There were 5,043 cases of medical terminations of pregnancy through </w:t>
      </w:r>
      <w:proofErr w:type="spellStart"/>
      <w:r w:rsidRPr="004C184C">
        <w:rPr>
          <w:lang w:val="en-US"/>
        </w:rPr>
        <w:t>Medabon</w:t>
      </w:r>
      <w:proofErr w:type="spellEnd"/>
      <w:r w:rsidRPr="004C184C">
        <w:rPr>
          <w:lang w:val="en-US"/>
        </w:rPr>
        <w:t xml:space="preserve"> tablets dispensed by the Ministry of Health in 2018.</w:t>
      </w:r>
    </w:p>
    <w:p w14:paraId="3D616FA5" w14:textId="2DD0D1DB" w:rsidR="00EA422B" w:rsidRPr="004C184C" w:rsidRDefault="00EA422B" w:rsidP="00786240">
      <w:pPr>
        <w:pStyle w:val="SingleTxtG"/>
        <w:rPr>
          <w:lang w:val="en-US"/>
        </w:rPr>
      </w:pPr>
      <w:r w:rsidRPr="004C184C">
        <w:rPr>
          <w:lang w:val="en-US"/>
        </w:rPr>
        <w:t>26.</w:t>
      </w:r>
      <w:r w:rsidRPr="004C184C">
        <w:rPr>
          <w:lang w:val="en-US"/>
        </w:rPr>
        <w:tab/>
        <w:t>Major causes of death (per 100,000 population) include malignant neoplasms of all forms (120.5), diseases of the circulatory system (103.7), diseases of the respiratory system (64.0), external causes of morbidity and mortality (59.7), certain infectious and parasitic diseases (56.7), diseases of the genitourinary system (35.2), diseases of the digestive system (29.7), endocrine, nutritional and metabolic diseases (23.9), diseases of the nervous system (17.6), and diseases of the blood and blood</w:t>
      </w:r>
      <w:r w:rsidR="00D97E73" w:rsidRPr="004C184C">
        <w:rPr>
          <w:lang w:val="en-US"/>
        </w:rPr>
        <w:t>-</w:t>
      </w:r>
      <w:r w:rsidRPr="004C184C">
        <w:rPr>
          <w:lang w:val="en-US"/>
        </w:rPr>
        <w:t>forming organs and certain disorders involving the immune mechanism (1.7).</w:t>
      </w:r>
    </w:p>
    <w:p w14:paraId="5E04D4B9" w14:textId="532B602D" w:rsidR="00EA422B" w:rsidRPr="004C184C" w:rsidRDefault="00EA422B" w:rsidP="007928B6">
      <w:pPr>
        <w:pStyle w:val="SingleTxtG"/>
        <w:rPr>
          <w:lang w:val="en-US"/>
        </w:rPr>
      </w:pPr>
      <w:r w:rsidRPr="004C184C">
        <w:rPr>
          <w:lang w:val="en-US"/>
        </w:rPr>
        <w:t>27.</w:t>
      </w:r>
      <w:r w:rsidRPr="004C184C">
        <w:rPr>
          <w:lang w:val="en-US"/>
        </w:rPr>
        <w:tab/>
        <w:t>In 2019, the prevalence of major non</w:t>
      </w:r>
      <w:r w:rsidR="00D97E73" w:rsidRPr="004C184C">
        <w:rPr>
          <w:lang w:val="en-US"/>
        </w:rPr>
        <w:t>-</w:t>
      </w:r>
      <w:r w:rsidRPr="004C184C">
        <w:rPr>
          <w:lang w:val="en-US"/>
        </w:rPr>
        <w:t>communicable diseases in Thailand per 100,000 persons who were treated at hospitals under the Ministry of Public Health, is as follows: (</w:t>
      </w:r>
      <w:proofErr w:type="spellStart"/>
      <w:r w:rsidRPr="004C184C">
        <w:rPr>
          <w:lang w:val="en-US"/>
        </w:rPr>
        <w:t>i</w:t>
      </w:r>
      <w:proofErr w:type="spellEnd"/>
      <w:r w:rsidRPr="004C184C">
        <w:rPr>
          <w:lang w:val="en-US"/>
        </w:rPr>
        <w:t>) coronary artery disease (610.2), (ii) chronic obstructive pulmonary disease (473</w:t>
      </w:r>
      <w:r w:rsidRPr="004C184C">
        <w:rPr>
          <w:cs/>
          <w:lang w:val="en-US"/>
        </w:rPr>
        <w:t>.</w:t>
      </w:r>
      <w:r w:rsidRPr="004C184C">
        <w:rPr>
          <w:lang w:val="en-US"/>
        </w:rPr>
        <w:t>6), and (iii) diabetes (5,440</w:t>
      </w:r>
      <w:r w:rsidRPr="004C184C">
        <w:rPr>
          <w:cs/>
          <w:lang w:val="en-US"/>
        </w:rPr>
        <w:t>.</w:t>
      </w:r>
      <w:r w:rsidRPr="004C184C">
        <w:rPr>
          <w:lang w:val="en-US"/>
        </w:rPr>
        <w:t xml:space="preserve">8). </w:t>
      </w:r>
    </w:p>
    <w:p w14:paraId="7A61977E" w14:textId="77777777" w:rsidR="00EA422B" w:rsidRPr="004C184C" w:rsidRDefault="00EA422B" w:rsidP="007928B6">
      <w:pPr>
        <w:pStyle w:val="SingleTxtG"/>
        <w:rPr>
          <w:lang w:val="en-US"/>
        </w:rPr>
      </w:pPr>
      <w:r w:rsidRPr="004C184C">
        <w:rPr>
          <w:lang w:val="en-US"/>
        </w:rPr>
        <w:t>28.</w:t>
      </w:r>
      <w:r w:rsidRPr="004C184C">
        <w:rPr>
          <w:lang w:val="en-US"/>
        </w:rPr>
        <w:tab/>
        <w:t>As of October 2018, 450,573 persons in Thailand were infected with HIV</w:t>
      </w:r>
      <w:r w:rsidRPr="004C184C">
        <w:rPr>
          <w:cs/>
          <w:lang w:val="en-US"/>
        </w:rPr>
        <w:t>/</w:t>
      </w:r>
      <w:r w:rsidRPr="004C184C">
        <w:rPr>
          <w:lang w:val="en-US"/>
        </w:rPr>
        <w:t>AIDS.</w:t>
      </w:r>
    </w:p>
    <w:p w14:paraId="0CFDB842" w14:textId="77777777" w:rsidR="00EA422B" w:rsidRPr="004C184C" w:rsidRDefault="00EA422B" w:rsidP="007928B6">
      <w:pPr>
        <w:pStyle w:val="H23G"/>
        <w:rPr>
          <w:lang w:val="en-US"/>
        </w:rPr>
      </w:pPr>
      <w:r w:rsidRPr="004C184C">
        <w:rPr>
          <w:lang w:val="en-US"/>
        </w:rPr>
        <w:tab/>
      </w:r>
      <w:r w:rsidRPr="004C184C">
        <w:rPr>
          <w:lang w:val="en-US"/>
        </w:rPr>
        <w:tab/>
        <w:t>Education</w:t>
      </w:r>
    </w:p>
    <w:p w14:paraId="7C927CA3" w14:textId="4D9C5081" w:rsidR="00EA422B" w:rsidRPr="004C184C" w:rsidRDefault="00EA422B" w:rsidP="007928B6">
      <w:pPr>
        <w:pStyle w:val="SingleTxtG"/>
        <w:rPr>
          <w:lang w:val="en-US"/>
        </w:rPr>
      </w:pPr>
      <w:bookmarkStart w:id="3" w:name="_Ref45066167"/>
      <w:r w:rsidRPr="004C184C">
        <w:rPr>
          <w:lang w:val="en-US"/>
        </w:rPr>
        <w:t>29.</w:t>
      </w:r>
      <w:r w:rsidRPr="004C184C">
        <w:rPr>
          <w:lang w:val="en-US"/>
        </w:rPr>
        <w:tab/>
        <w:t xml:space="preserve">Thailand has introduced the </w:t>
      </w:r>
      <w:r w:rsidR="00567EA4" w:rsidRPr="004C184C">
        <w:rPr>
          <w:lang w:val="en-US"/>
        </w:rPr>
        <w:t>‘</w:t>
      </w:r>
      <w:r w:rsidRPr="004C184C">
        <w:rPr>
          <w:lang w:val="en-US"/>
        </w:rPr>
        <w:t>Education for All</w:t>
      </w:r>
      <w:r w:rsidR="00567EA4" w:rsidRPr="004C184C">
        <w:rPr>
          <w:lang w:val="en-US"/>
        </w:rPr>
        <w:t>’</w:t>
      </w:r>
      <w:r w:rsidRPr="004C184C">
        <w:rPr>
          <w:lang w:val="en-US"/>
        </w:rPr>
        <w:t xml:space="preserve"> policy (see paragraph 114)</w:t>
      </w:r>
      <w:r w:rsidRPr="004C184C">
        <w:rPr>
          <w:cs/>
          <w:lang w:val="en-US"/>
        </w:rPr>
        <w:t xml:space="preserve">. </w:t>
      </w:r>
      <w:bookmarkEnd w:id="3"/>
      <w:r w:rsidRPr="004C184C">
        <w:rPr>
          <w:lang w:val="en-US"/>
        </w:rPr>
        <w:t>The net enrolment ratio in primary and secondary education, which was calculated from students as a percentage of school</w:t>
      </w:r>
      <w:r w:rsidR="00D97E73" w:rsidRPr="004C184C">
        <w:rPr>
          <w:lang w:val="en-US"/>
        </w:rPr>
        <w:t>-</w:t>
      </w:r>
      <w:r w:rsidRPr="004C184C">
        <w:rPr>
          <w:lang w:val="en-US"/>
        </w:rPr>
        <w:t>age population, was 102</w:t>
      </w:r>
      <w:r w:rsidRPr="004C184C">
        <w:rPr>
          <w:cs/>
          <w:lang w:val="en-US"/>
        </w:rPr>
        <w:t>.</w:t>
      </w:r>
      <w:r w:rsidRPr="004C184C">
        <w:rPr>
          <w:lang w:val="en-US"/>
        </w:rPr>
        <w:t>74</w:t>
      </w:r>
      <w:r w:rsidRPr="004C184C">
        <w:rPr>
          <w:cs/>
          <w:lang w:val="en-US"/>
        </w:rPr>
        <w:t>%</w:t>
      </w:r>
      <w:r w:rsidRPr="004C184C">
        <w:rPr>
          <w:lang w:val="en-US"/>
        </w:rPr>
        <w:t xml:space="preserve"> (46</w:t>
      </w:r>
      <w:r w:rsidRPr="004C184C">
        <w:rPr>
          <w:cs/>
          <w:lang w:val="en-US"/>
        </w:rPr>
        <w:t>.</w:t>
      </w:r>
      <w:r w:rsidRPr="004C184C">
        <w:rPr>
          <w:lang w:val="en-US"/>
        </w:rPr>
        <w:t>72</w:t>
      </w:r>
      <w:r w:rsidRPr="004C184C">
        <w:rPr>
          <w:cs/>
          <w:lang w:val="en-US"/>
        </w:rPr>
        <w:t>%</w:t>
      </w:r>
      <w:r w:rsidRPr="004C184C">
        <w:rPr>
          <w:lang w:val="en-US"/>
        </w:rPr>
        <w:t xml:space="preserve"> female, 53</w:t>
      </w:r>
      <w:r w:rsidRPr="004C184C">
        <w:rPr>
          <w:cs/>
          <w:lang w:val="en-US"/>
        </w:rPr>
        <w:t>.</w:t>
      </w:r>
      <w:r w:rsidRPr="004C184C">
        <w:rPr>
          <w:lang w:val="en-US"/>
        </w:rPr>
        <w:t>28</w:t>
      </w:r>
      <w:r w:rsidRPr="004C184C">
        <w:rPr>
          <w:cs/>
          <w:lang w:val="en-US"/>
        </w:rPr>
        <w:t>%</w:t>
      </w:r>
      <w:r w:rsidRPr="004C184C">
        <w:rPr>
          <w:lang w:val="en-US"/>
        </w:rPr>
        <w:t xml:space="preserve"> male) and </w:t>
      </w:r>
      <w:r w:rsidRPr="004C184C">
        <w:rPr>
          <w:cs/>
          <w:lang w:val="en-US"/>
        </w:rPr>
        <w:t>87.52</w:t>
      </w:r>
      <w:r w:rsidRPr="004C184C">
        <w:rPr>
          <w:lang w:val="en-US"/>
        </w:rPr>
        <w:t>% (50</w:t>
      </w:r>
      <w:r w:rsidRPr="004C184C">
        <w:rPr>
          <w:cs/>
          <w:lang w:val="en-US"/>
        </w:rPr>
        <w:t>.</w:t>
      </w:r>
      <w:r w:rsidRPr="004C184C">
        <w:rPr>
          <w:lang w:val="en-US"/>
        </w:rPr>
        <w:t>25</w:t>
      </w:r>
      <w:r w:rsidRPr="004C184C">
        <w:rPr>
          <w:cs/>
          <w:lang w:val="en-US"/>
        </w:rPr>
        <w:t>%</w:t>
      </w:r>
      <w:r w:rsidRPr="004C184C">
        <w:rPr>
          <w:lang w:val="en-US"/>
        </w:rPr>
        <w:t xml:space="preserve"> female, </w:t>
      </w:r>
      <w:r w:rsidRPr="004C184C">
        <w:rPr>
          <w:cs/>
          <w:lang w:val="en-US"/>
        </w:rPr>
        <w:t>49.75%</w:t>
      </w:r>
      <w:r w:rsidRPr="004C184C">
        <w:rPr>
          <w:lang w:val="en-US"/>
        </w:rPr>
        <w:t xml:space="preserve"> male), respectively. </w:t>
      </w:r>
    </w:p>
    <w:p w14:paraId="1AC4700E" w14:textId="447FC52A" w:rsidR="00EA422B" w:rsidRPr="004C184C" w:rsidRDefault="00EA422B" w:rsidP="007928B6">
      <w:pPr>
        <w:pStyle w:val="SingleTxtG"/>
        <w:rPr>
          <w:lang w:val="en-US"/>
        </w:rPr>
      </w:pPr>
      <w:r w:rsidRPr="004C184C">
        <w:rPr>
          <w:lang w:val="en-US"/>
        </w:rPr>
        <w:t>30.</w:t>
      </w:r>
      <w:r w:rsidRPr="004C184C">
        <w:rPr>
          <w:lang w:val="en-US"/>
        </w:rPr>
        <w:tab/>
        <w:t>The drop</w:t>
      </w:r>
      <w:r w:rsidR="00D97E73" w:rsidRPr="004C184C">
        <w:rPr>
          <w:lang w:val="en-US"/>
        </w:rPr>
        <w:t>-</w:t>
      </w:r>
      <w:r w:rsidRPr="004C184C">
        <w:rPr>
          <w:lang w:val="en-US"/>
        </w:rPr>
        <w:t>out rates in 2016 were 0</w:t>
      </w:r>
      <w:r w:rsidRPr="004C184C">
        <w:rPr>
          <w:cs/>
          <w:lang w:val="en-US"/>
        </w:rPr>
        <w:t>.</w:t>
      </w:r>
      <w:r w:rsidRPr="004C184C">
        <w:rPr>
          <w:lang w:val="en-US"/>
        </w:rPr>
        <w:t>04% in primary education, 0</w:t>
      </w:r>
      <w:r w:rsidRPr="004C184C">
        <w:rPr>
          <w:cs/>
          <w:lang w:val="en-US"/>
        </w:rPr>
        <w:t>.</w:t>
      </w:r>
      <w:r w:rsidRPr="004C184C">
        <w:rPr>
          <w:lang w:val="en-US"/>
        </w:rPr>
        <w:t>16% in lower secondary education and 0</w:t>
      </w:r>
      <w:r w:rsidRPr="004C184C">
        <w:rPr>
          <w:cs/>
          <w:lang w:val="en-US"/>
        </w:rPr>
        <w:t>.</w:t>
      </w:r>
      <w:r w:rsidRPr="004C184C">
        <w:rPr>
          <w:lang w:val="en-US"/>
        </w:rPr>
        <w:t>13% in higher secondary education, accounting for 5,377 students in total.</w:t>
      </w:r>
    </w:p>
    <w:p w14:paraId="7D0B7FDB" w14:textId="41ED2347" w:rsidR="00EA422B" w:rsidRPr="004C184C" w:rsidRDefault="00EA422B" w:rsidP="007928B6">
      <w:pPr>
        <w:pStyle w:val="SingleTxtG"/>
        <w:rPr>
          <w:lang w:val="en-US"/>
        </w:rPr>
      </w:pPr>
      <w:r w:rsidRPr="004C184C">
        <w:rPr>
          <w:lang w:val="en-US"/>
        </w:rPr>
        <w:t>31.</w:t>
      </w:r>
      <w:r w:rsidRPr="004C184C">
        <w:rPr>
          <w:lang w:val="en-US"/>
        </w:rPr>
        <w:tab/>
        <w:t xml:space="preserve">According to the 2018 </w:t>
      </w:r>
      <w:proofErr w:type="spellStart"/>
      <w:r w:rsidRPr="004C184C">
        <w:rPr>
          <w:lang w:val="en-US"/>
        </w:rPr>
        <w:t>Programme</w:t>
      </w:r>
      <w:proofErr w:type="spellEnd"/>
      <w:r w:rsidRPr="004C184C">
        <w:rPr>
          <w:lang w:val="en-US"/>
        </w:rPr>
        <w:t xml:space="preserve"> for International Student Assessment (PISA) survey, Thai students</w:t>
      </w:r>
      <w:r w:rsidR="00567EA4" w:rsidRPr="004C184C">
        <w:rPr>
          <w:lang w:val="en-US"/>
        </w:rPr>
        <w:t>’</w:t>
      </w:r>
      <w:r w:rsidRPr="004C184C">
        <w:rPr>
          <w:lang w:val="en-US"/>
        </w:rPr>
        <w:t xml:space="preserve"> mean scores in reading, mathematics and science were 393, 419, 426, lower than the OECD average of 487, 489, and 489, respectively. The mean reading score was 16 points lower than in the 2015 PISA survey, while the mean scores in mathematics and science increased by 4 and 5 points, respectively. Girls scored higher than boys in reading by 39 score points, in mathematics by 16 score points, and in science by 20 score points. </w:t>
      </w:r>
    </w:p>
    <w:p w14:paraId="3D34EC4B" w14:textId="60FBBAF3" w:rsidR="00EA422B" w:rsidRPr="004C184C" w:rsidRDefault="00EA422B" w:rsidP="007928B6">
      <w:pPr>
        <w:pStyle w:val="SingleTxtG"/>
        <w:rPr>
          <w:lang w:val="en-US"/>
        </w:rPr>
      </w:pPr>
      <w:r w:rsidRPr="004C184C">
        <w:rPr>
          <w:lang w:val="en-US"/>
        </w:rPr>
        <w:t>32.</w:t>
      </w:r>
      <w:r w:rsidRPr="004C184C">
        <w:rPr>
          <w:lang w:val="en-US"/>
        </w:rPr>
        <w:tab/>
        <w:t xml:space="preserve">In the academic year 2018, 510,040 students with special conditions in 26,557 schools under the Office of the Basic Education Commission received Equitable Education Fund (EEF) grants. More information on the EEF can be found in paragraph </w:t>
      </w:r>
      <w:r w:rsidR="00637E99" w:rsidRPr="004C184C">
        <w:rPr>
          <w:lang w:val="en-US"/>
        </w:rPr>
        <w:t>115</w:t>
      </w:r>
      <w:r w:rsidRPr="004C184C">
        <w:rPr>
          <w:lang w:val="en-US"/>
        </w:rPr>
        <w:t>.</w:t>
      </w:r>
    </w:p>
    <w:p w14:paraId="3259DD47" w14:textId="77777777" w:rsidR="00EA422B" w:rsidRPr="004C184C" w:rsidRDefault="00EA422B" w:rsidP="007928B6">
      <w:pPr>
        <w:pStyle w:val="H1G"/>
        <w:rPr>
          <w:lang w:val="en-US"/>
        </w:rPr>
      </w:pPr>
      <w:r w:rsidRPr="004C184C">
        <w:rPr>
          <w:lang w:val="en-US"/>
        </w:rPr>
        <w:tab/>
      </w:r>
      <w:bookmarkStart w:id="4" w:name="_Toc89701534"/>
      <w:r w:rsidRPr="004C184C">
        <w:rPr>
          <w:lang w:val="en-US"/>
        </w:rPr>
        <w:t>B.</w:t>
      </w:r>
      <w:r w:rsidRPr="004C184C">
        <w:rPr>
          <w:lang w:val="en-US"/>
        </w:rPr>
        <w:tab/>
        <w:t>Constitutional, political and legal structure</w:t>
      </w:r>
      <w:bookmarkEnd w:id="4"/>
    </w:p>
    <w:p w14:paraId="3C8AB314" w14:textId="5A0C9646" w:rsidR="00EA422B" w:rsidRPr="004C184C" w:rsidRDefault="00EA422B" w:rsidP="007928B6">
      <w:pPr>
        <w:pStyle w:val="SingleTxtG"/>
        <w:rPr>
          <w:lang w:val="en-US"/>
        </w:rPr>
      </w:pPr>
      <w:r w:rsidRPr="004C184C">
        <w:rPr>
          <w:lang w:val="en-US"/>
        </w:rPr>
        <w:t>33.</w:t>
      </w:r>
      <w:r w:rsidRPr="004C184C">
        <w:rPr>
          <w:lang w:val="en-US"/>
        </w:rPr>
        <w:tab/>
        <w:t xml:space="preserve">Thailand </w:t>
      </w:r>
      <w:r w:rsidRPr="004C184C">
        <w:rPr>
          <w:cs/>
          <w:lang w:val="en-US"/>
        </w:rPr>
        <w:t>(</w:t>
      </w:r>
      <w:r w:rsidRPr="004C184C">
        <w:rPr>
          <w:lang w:val="en-US"/>
        </w:rPr>
        <w:t>previously known as Siam</w:t>
      </w:r>
      <w:r w:rsidRPr="004C184C">
        <w:rPr>
          <w:cs/>
          <w:lang w:val="en-US"/>
        </w:rPr>
        <w:t xml:space="preserve">) </w:t>
      </w:r>
      <w:r w:rsidRPr="004C184C">
        <w:rPr>
          <w:lang w:val="en-US"/>
        </w:rPr>
        <w:t>had been ruled under an absolute monarchy and became a constitutional monarchy in 1932</w:t>
      </w:r>
      <w:r w:rsidRPr="004C184C">
        <w:rPr>
          <w:cs/>
          <w:lang w:val="en-US"/>
        </w:rPr>
        <w:t xml:space="preserve">. </w:t>
      </w:r>
      <w:r w:rsidRPr="004C184C">
        <w:rPr>
          <w:lang w:val="en-US"/>
        </w:rPr>
        <w:t xml:space="preserve">The ruling monarch is His Majesty King </w:t>
      </w:r>
      <w:proofErr w:type="spellStart"/>
      <w:r w:rsidRPr="004C184C">
        <w:rPr>
          <w:lang w:val="en-US"/>
        </w:rPr>
        <w:t>Maha</w:t>
      </w:r>
      <w:proofErr w:type="spellEnd"/>
      <w:r w:rsidR="0050000D" w:rsidRPr="004C184C">
        <w:rPr>
          <w:lang w:val="en-US"/>
        </w:rPr>
        <w:t xml:space="preserve"> </w:t>
      </w:r>
      <w:r w:rsidRPr="004C184C">
        <w:rPr>
          <w:lang w:val="en-US"/>
        </w:rPr>
        <w:t xml:space="preserve">Vajiralongkorn </w:t>
      </w:r>
      <w:proofErr w:type="spellStart"/>
      <w:r w:rsidRPr="004C184C">
        <w:rPr>
          <w:lang w:val="en-US"/>
        </w:rPr>
        <w:t>Phra</w:t>
      </w:r>
      <w:proofErr w:type="spellEnd"/>
      <w:r w:rsidR="0050000D" w:rsidRPr="004C184C">
        <w:rPr>
          <w:lang w:val="en-US"/>
        </w:rPr>
        <w:t xml:space="preserve"> </w:t>
      </w:r>
      <w:proofErr w:type="spellStart"/>
      <w:r w:rsidRPr="004C184C">
        <w:rPr>
          <w:lang w:val="en-US"/>
        </w:rPr>
        <w:t>Vajiraklaochaoyuhua</w:t>
      </w:r>
      <w:proofErr w:type="spellEnd"/>
      <w:r w:rsidRPr="004C184C">
        <w:rPr>
          <w:lang w:val="en-US"/>
        </w:rPr>
        <w:t>, the tenth king of the Chakri dynasty</w:t>
      </w:r>
      <w:r w:rsidRPr="004C184C">
        <w:rPr>
          <w:cs/>
          <w:lang w:val="en-US"/>
        </w:rPr>
        <w:t>.</w:t>
      </w:r>
      <w:r w:rsidRPr="004C184C">
        <w:rPr>
          <w:lang w:val="en-US"/>
        </w:rPr>
        <w:t xml:space="preserve"> </w:t>
      </w:r>
    </w:p>
    <w:p w14:paraId="3004C847" w14:textId="0E335A4A" w:rsidR="00EA422B" w:rsidRPr="004C184C" w:rsidRDefault="00EA422B" w:rsidP="007928B6">
      <w:pPr>
        <w:pStyle w:val="SingleTxtG"/>
        <w:rPr>
          <w:lang w:val="en-US"/>
        </w:rPr>
      </w:pPr>
      <w:r w:rsidRPr="004C184C">
        <w:rPr>
          <w:lang w:val="en-US"/>
        </w:rPr>
        <w:t>34.</w:t>
      </w:r>
      <w:r w:rsidRPr="004C184C">
        <w:rPr>
          <w:lang w:val="en-US"/>
        </w:rPr>
        <w:tab/>
        <w:t>The current Constitution was promulgated on</w:t>
      </w:r>
      <w:r w:rsidRPr="004C184C">
        <w:rPr>
          <w:cs/>
          <w:lang w:val="en-US"/>
        </w:rPr>
        <w:t xml:space="preserve"> </w:t>
      </w:r>
      <w:r w:rsidRPr="004C184C">
        <w:rPr>
          <w:lang w:val="en-US"/>
        </w:rPr>
        <w:t>April 6, 2017, replacing the Interim Constitution of 2014</w:t>
      </w:r>
      <w:r w:rsidRPr="004C184C">
        <w:rPr>
          <w:cs/>
          <w:lang w:val="en-US"/>
        </w:rPr>
        <w:t xml:space="preserve">. </w:t>
      </w:r>
      <w:r w:rsidRPr="004C184C">
        <w:rPr>
          <w:lang w:val="en-US"/>
        </w:rPr>
        <w:t>The drafting of the 2017 Constitution placed emphasis on public participation, including through social media. The draft was approved by a national referendum in August 2016 with 61</w:t>
      </w:r>
      <w:r w:rsidRPr="004C184C">
        <w:rPr>
          <w:cs/>
          <w:lang w:val="en-US"/>
        </w:rPr>
        <w:t>.</w:t>
      </w:r>
      <w:r w:rsidRPr="004C184C">
        <w:rPr>
          <w:lang w:val="en-US"/>
        </w:rPr>
        <w:t>35 percent of votes in favor</w:t>
      </w:r>
      <w:r w:rsidRPr="004C184C">
        <w:rPr>
          <w:cs/>
          <w:lang w:val="en-US"/>
        </w:rPr>
        <w:t>.</w:t>
      </w:r>
    </w:p>
    <w:p w14:paraId="4284269B" w14:textId="77777777" w:rsidR="00EA422B" w:rsidRPr="004C184C" w:rsidRDefault="00EA422B" w:rsidP="007928B6">
      <w:pPr>
        <w:pStyle w:val="SingleTxtG"/>
        <w:rPr>
          <w:lang w:val="en-US"/>
        </w:rPr>
      </w:pPr>
      <w:r w:rsidRPr="004C184C">
        <w:rPr>
          <w:lang w:val="en-US"/>
        </w:rPr>
        <w:t>35.</w:t>
      </w:r>
      <w:r w:rsidRPr="004C184C">
        <w:rPr>
          <w:lang w:val="en-US"/>
        </w:rPr>
        <w:tab/>
        <w:t>According to the 2017 Constitution, the Thai political system embodies four following characteristics;</w:t>
      </w:r>
      <w:r w:rsidRPr="004C184C">
        <w:rPr>
          <w:cs/>
          <w:lang w:val="en-US"/>
        </w:rPr>
        <w:t xml:space="preserve"> </w:t>
      </w:r>
      <w:r w:rsidRPr="004C184C">
        <w:rPr>
          <w:lang w:val="en-US"/>
        </w:rPr>
        <w:t>it is (</w:t>
      </w:r>
      <w:proofErr w:type="spellStart"/>
      <w:r w:rsidRPr="004C184C">
        <w:rPr>
          <w:lang w:val="en-US"/>
        </w:rPr>
        <w:t>i</w:t>
      </w:r>
      <w:proofErr w:type="spellEnd"/>
      <w:r w:rsidRPr="004C184C">
        <w:rPr>
          <w:lang w:val="en-US"/>
        </w:rPr>
        <w:t>) a constitutional monarchy, (ii) a unitary system state, (iii) a separation of powers system, and (iv) a bicameral parliamentary system</w:t>
      </w:r>
      <w:r w:rsidRPr="004C184C">
        <w:rPr>
          <w:cs/>
          <w:lang w:val="en-US"/>
        </w:rPr>
        <w:t>.</w:t>
      </w:r>
    </w:p>
    <w:p w14:paraId="62C9E7D7" w14:textId="77777777" w:rsidR="00EA422B" w:rsidRPr="004C184C" w:rsidRDefault="00EA422B" w:rsidP="007928B6">
      <w:pPr>
        <w:pStyle w:val="SingleTxtG"/>
        <w:rPr>
          <w:lang w:val="en-US"/>
        </w:rPr>
      </w:pPr>
      <w:r w:rsidRPr="004C184C">
        <w:rPr>
          <w:lang w:val="en-US"/>
        </w:rPr>
        <w:lastRenderedPageBreak/>
        <w:t>36.</w:t>
      </w:r>
      <w:r w:rsidRPr="004C184C">
        <w:rPr>
          <w:lang w:val="en-US"/>
        </w:rPr>
        <w:tab/>
        <w:t>The sovereign power belongs to the Thai people</w:t>
      </w:r>
      <w:r w:rsidRPr="004C184C">
        <w:rPr>
          <w:cs/>
          <w:lang w:val="en-US"/>
        </w:rPr>
        <w:t xml:space="preserve">. </w:t>
      </w:r>
      <w:r w:rsidRPr="004C184C">
        <w:rPr>
          <w:lang w:val="en-US"/>
        </w:rPr>
        <w:t>The King as Head of State shall exercise the legislative, executive, and judicial powers through Parliament, the Cabinet</w:t>
      </w:r>
      <w:r w:rsidRPr="004C184C">
        <w:rPr>
          <w:cs/>
          <w:lang w:val="en-US"/>
        </w:rPr>
        <w:t xml:space="preserve"> </w:t>
      </w:r>
      <w:r w:rsidRPr="004C184C">
        <w:rPr>
          <w:lang w:val="en-US"/>
        </w:rPr>
        <w:t>and the Courts respectively in accordance with the provisions of this Constitution</w:t>
      </w:r>
      <w:r w:rsidRPr="004C184C">
        <w:rPr>
          <w:cs/>
          <w:lang w:val="en-US"/>
        </w:rPr>
        <w:t xml:space="preserve">. </w:t>
      </w:r>
      <w:r w:rsidRPr="004C184C">
        <w:rPr>
          <w:lang w:val="en-US"/>
        </w:rPr>
        <w:t>The democratic character of the Thai political system is assured by the complete separation of the judicial branch from the other branches, thus the independence of the Courts</w:t>
      </w:r>
      <w:r w:rsidRPr="004C184C">
        <w:rPr>
          <w:cs/>
          <w:lang w:val="en-US"/>
        </w:rPr>
        <w:t>.</w:t>
      </w:r>
    </w:p>
    <w:p w14:paraId="76D013A5" w14:textId="0FA41BED" w:rsidR="00EA422B" w:rsidRPr="004C184C" w:rsidRDefault="00836139" w:rsidP="00836139">
      <w:pPr>
        <w:pStyle w:val="H23G"/>
        <w:rPr>
          <w:lang w:val="en-US"/>
        </w:rPr>
      </w:pPr>
      <w:r w:rsidRPr="004C184C">
        <w:rPr>
          <w:lang w:val="en-US"/>
        </w:rPr>
        <w:tab/>
      </w:r>
      <w:r w:rsidRPr="004C184C">
        <w:rPr>
          <w:lang w:val="en-US"/>
        </w:rPr>
        <w:tab/>
      </w:r>
      <w:r w:rsidR="00EA422B" w:rsidRPr="004C184C">
        <w:rPr>
          <w:lang w:val="en-US"/>
        </w:rPr>
        <w:t>The legislative branch</w:t>
      </w:r>
      <w:r w:rsidR="00EA422B" w:rsidRPr="004C184C">
        <w:rPr>
          <w:cs/>
          <w:lang w:val="en-US"/>
        </w:rPr>
        <w:t xml:space="preserve">: </w:t>
      </w:r>
      <w:r w:rsidR="00EA422B" w:rsidRPr="004C184C">
        <w:rPr>
          <w:lang w:val="en-US"/>
        </w:rPr>
        <w:t>a bicameral parliamentary system</w:t>
      </w:r>
    </w:p>
    <w:p w14:paraId="278E9A67" w14:textId="77777777" w:rsidR="00EA422B" w:rsidRPr="004C184C" w:rsidRDefault="00EA422B" w:rsidP="007928B6">
      <w:pPr>
        <w:pStyle w:val="SingleTxtG"/>
        <w:rPr>
          <w:lang w:val="en-US"/>
        </w:rPr>
      </w:pPr>
      <w:r w:rsidRPr="004C184C">
        <w:rPr>
          <w:lang w:val="en-US"/>
        </w:rPr>
        <w:t>37.</w:t>
      </w:r>
      <w:r w:rsidRPr="004C184C">
        <w:rPr>
          <w:lang w:val="en-US"/>
        </w:rPr>
        <w:tab/>
        <w:t>The 2017 Constitution specifies that the Parliament is composed of two houses which are the House of Representatives and the Senate</w:t>
      </w:r>
      <w:r w:rsidRPr="004C184C">
        <w:rPr>
          <w:cs/>
          <w:lang w:val="en-US"/>
        </w:rPr>
        <w:t>.</w:t>
      </w:r>
    </w:p>
    <w:p w14:paraId="24C625D4" w14:textId="60E0F33C" w:rsidR="00EA422B" w:rsidRPr="004C184C" w:rsidRDefault="00EA422B" w:rsidP="007928B6">
      <w:pPr>
        <w:pStyle w:val="SingleTxtG"/>
        <w:rPr>
          <w:lang w:val="en-US"/>
        </w:rPr>
      </w:pPr>
      <w:r w:rsidRPr="004C184C">
        <w:rPr>
          <w:lang w:val="en-US"/>
        </w:rPr>
        <w:t>38.</w:t>
      </w:r>
      <w:r w:rsidRPr="004C184C">
        <w:rPr>
          <w:lang w:val="en-US"/>
        </w:rPr>
        <w:tab/>
        <w:t>The House of Representatives has five hundred members, consisting of 350</w:t>
      </w:r>
      <w:r w:rsidRPr="004C184C">
        <w:rPr>
          <w:cs/>
          <w:lang w:val="en-US"/>
        </w:rPr>
        <w:t xml:space="preserve"> </w:t>
      </w:r>
      <w:r w:rsidRPr="004C184C">
        <w:rPr>
          <w:lang w:val="en-US"/>
        </w:rPr>
        <w:t>constituency MPs and 150 party</w:t>
      </w:r>
      <w:r w:rsidR="00D97E73" w:rsidRPr="004C184C">
        <w:rPr>
          <w:lang w:val="en-US"/>
        </w:rPr>
        <w:t>-</w:t>
      </w:r>
      <w:r w:rsidRPr="004C184C">
        <w:rPr>
          <w:lang w:val="en-US"/>
        </w:rPr>
        <w:t>list MPs chosen according to proportional representation</w:t>
      </w:r>
      <w:r w:rsidRPr="004C184C">
        <w:rPr>
          <w:cs/>
          <w:lang w:val="en-US"/>
        </w:rPr>
        <w:t>.</w:t>
      </w:r>
    </w:p>
    <w:p w14:paraId="60A609A2" w14:textId="20E7662F" w:rsidR="00EA422B" w:rsidRPr="004C184C" w:rsidRDefault="00EA422B" w:rsidP="007928B6">
      <w:pPr>
        <w:pStyle w:val="SingleTxtG"/>
        <w:rPr>
          <w:lang w:val="en-US"/>
        </w:rPr>
      </w:pPr>
      <w:r w:rsidRPr="004C184C">
        <w:rPr>
          <w:lang w:val="en-US"/>
        </w:rPr>
        <w:t>39.</w:t>
      </w:r>
      <w:r w:rsidRPr="004C184C">
        <w:rPr>
          <w:lang w:val="en-US"/>
        </w:rPr>
        <w:tab/>
        <w:t>The Senate consists of 200 members installed from a selection by and among persons having the knowledge, expertise, experience, profession or characteristics or common interests</w:t>
      </w:r>
      <w:r w:rsidRPr="004C184C">
        <w:rPr>
          <w:cs/>
          <w:lang w:val="en-US"/>
        </w:rPr>
        <w:t xml:space="preserve"> </w:t>
      </w:r>
      <w:r w:rsidRPr="004C184C">
        <w:rPr>
          <w:lang w:val="en-US"/>
        </w:rPr>
        <w:t>or working or having worked in varied areas of society</w:t>
      </w:r>
      <w:r w:rsidRPr="004C184C">
        <w:rPr>
          <w:cs/>
          <w:lang w:val="en-US"/>
        </w:rPr>
        <w:t xml:space="preserve">. </w:t>
      </w:r>
      <w:r w:rsidRPr="004C184C">
        <w:rPr>
          <w:lang w:val="en-US"/>
        </w:rPr>
        <w:t>The division of groups shall be made in a way which enables every person to have the right to apply for selection to belong to any one group</w:t>
      </w:r>
      <w:r w:rsidRPr="004C184C">
        <w:rPr>
          <w:cs/>
          <w:lang w:val="en-US"/>
        </w:rPr>
        <w:t xml:space="preserve">. </w:t>
      </w:r>
      <w:r w:rsidRPr="004C184C">
        <w:rPr>
          <w:lang w:val="en-US"/>
        </w:rPr>
        <w:t>However, the initial House of the Senate</w:t>
      </w:r>
      <w:r w:rsidRPr="004C184C">
        <w:rPr>
          <w:cs/>
          <w:lang w:val="en-US"/>
        </w:rPr>
        <w:t xml:space="preserve"> </w:t>
      </w:r>
      <w:r w:rsidRPr="004C184C">
        <w:rPr>
          <w:lang w:val="en-US"/>
        </w:rPr>
        <w:t>which has a five</w:t>
      </w:r>
      <w:r w:rsidR="00D97E73" w:rsidRPr="004C184C">
        <w:rPr>
          <w:lang w:val="en-US"/>
        </w:rPr>
        <w:t>-</w:t>
      </w:r>
      <w:r w:rsidRPr="004C184C">
        <w:rPr>
          <w:lang w:val="en-US"/>
        </w:rPr>
        <w:t>year term shall consist of 250 members appointed by the King upon the advice of the National Council for Peace and Order</w:t>
      </w:r>
      <w:r w:rsidRPr="004C184C">
        <w:rPr>
          <w:cs/>
          <w:lang w:val="en-US"/>
        </w:rPr>
        <w:t>.</w:t>
      </w:r>
    </w:p>
    <w:p w14:paraId="5CCC80F7" w14:textId="77777777" w:rsidR="00EA422B" w:rsidRPr="004C184C" w:rsidRDefault="00EA422B" w:rsidP="007928B6">
      <w:pPr>
        <w:pStyle w:val="SingleTxtG"/>
        <w:rPr>
          <w:lang w:val="en-US"/>
        </w:rPr>
      </w:pPr>
      <w:r w:rsidRPr="004C184C">
        <w:rPr>
          <w:lang w:val="en-US"/>
        </w:rPr>
        <w:t>40.</w:t>
      </w:r>
      <w:r w:rsidRPr="004C184C">
        <w:rPr>
          <w:lang w:val="en-US"/>
        </w:rPr>
        <w:tab/>
        <w:t xml:space="preserve">Currently, there are </w:t>
      </w:r>
      <w:r w:rsidRPr="004C184C">
        <w:rPr>
          <w:cs/>
          <w:lang w:val="en-US"/>
        </w:rPr>
        <w:t xml:space="preserve">78 </w:t>
      </w:r>
      <w:r w:rsidRPr="004C184C">
        <w:rPr>
          <w:lang w:val="en-US"/>
        </w:rPr>
        <w:t xml:space="preserve">female MPs </w:t>
      </w:r>
      <w:r w:rsidRPr="004C184C">
        <w:rPr>
          <w:cs/>
          <w:lang w:val="en-US"/>
        </w:rPr>
        <w:t>(</w:t>
      </w:r>
      <w:r w:rsidRPr="004C184C">
        <w:rPr>
          <w:lang w:val="en-US"/>
        </w:rPr>
        <w:t>15</w:t>
      </w:r>
      <w:r w:rsidRPr="004C184C">
        <w:rPr>
          <w:cs/>
          <w:lang w:val="en-US"/>
        </w:rPr>
        <w:t>.</w:t>
      </w:r>
      <w:r w:rsidRPr="004C184C">
        <w:rPr>
          <w:lang w:val="en-US"/>
        </w:rPr>
        <w:t>6</w:t>
      </w:r>
      <w:r w:rsidRPr="004C184C">
        <w:rPr>
          <w:cs/>
          <w:lang w:val="en-US"/>
        </w:rPr>
        <w:t>%)</w:t>
      </w:r>
      <w:r w:rsidRPr="004C184C">
        <w:rPr>
          <w:lang w:val="en-US"/>
        </w:rPr>
        <w:t xml:space="preserve"> and 25 female senators </w:t>
      </w:r>
      <w:r w:rsidRPr="004C184C">
        <w:rPr>
          <w:cs/>
          <w:lang w:val="en-US"/>
        </w:rPr>
        <w:t>(</w:t>
      </w:r>
      <w:r w:rsidRPr="004C184C">
        <w:rPr>
          <w:lang w:val="en-US"/>
        </w:rPr>
        <w:t>10</w:t>
      </w:r>
      <w:r w:rsidRPr="004C184C">
        <w:rPr>
          <w:cs/>
          <w:lang w:val="en-US"/>
        </w:rPr>
        <w:t>%)</w:t>
      </w:r>
      <w:r w:rsidRPr="004C184C">
        <w:rPr>
          <w:lang w:val="en-US"/>
        </w:rPr>
        <w:t>.</w:t>
      </w:r>
    </w:p>
    <w:p w14:paraId="2C7C59E6" w14:textId="39C119C1" w:rsidR="00EA422B" w:rsidRPr="004C184C" w:rsidRDefault="00836139" w:rsidP="00836139">
      <w:pPr>
        <w:pStyle w:val="H23G"/>
        <w:rPr>
          <w:lang w:val="en-US"/>
        </w:rPr>
      </w:pPr>
      <w:r w:rsidRPr="004C184C">
        <w:rPr>
          <w:lang w:val="en-US"/>
        </w:rPr>
        <w:tab/>
      </w:r>
      <w:r w:rsidRPr="004C184C">
        <w:rPr>
          <w:lang w:val="en-US"/>
        </w:rPr>
        <w:tab/>
      </w:r>
      <w:r w:rsidR="00EA422B" w:rsidRPr="004C184C">
        <w:rPr>
          <w:lang w:val="en-US"/>
        </w:rPr>
        <w:t>The executive branch</w:t>
      </w:r>
    </w:p>
    <w:p w14:paraId="3991A20C" w14:textId="62B3177A" w:rsidR="00EA422B" w:rsidRPr="004C184C" w:rsidRDefault="00EA422B" w:rsidP="0050000D">
      <w:pPr>
        <w:pStyle w:val="SingleTxtG"/>
        <w:rPr>
          <w:lang w:val="en-US"/>
        </w:rPr>
      </w:pPr>
      <w:r w:rsidRPr="004C184C">
        <w:rPr>
          <w:lang w:val="en-US"/>
        </w:rPr>
        <w:t>41.</w:t>
      </w:r>
      <w:r w:rsidRPr="004C184C">
        <w:rPr>
          <w:lang w:val="en-US"/>
        </w:rPr>
        <w:tab/>
        <w:t>The executive branch headed by the Prime Minister</w:t>
      </w:r>
      <w:r w:rsidRPr="004C184C">
        <w:rPr>
          <w:cs/>
          <w:lang w:val="en-US"/>
        </w:rPr>
        <w:t xml:space="preserve"> </w:t>
      </w:r>
      <w:r w:rsidRPr="004C184C">
        <w:rPr>
          <w:lang w:val="en-US"/>
        </w:rPr>
        <w:t>is responsible for the administration of the State</w:t>
      </w:r>
      <w:r w:rsidR="00567EA4" w:rsidRPr="004C184C">
        <w:rPr>
          <w:lang w:val="en-US"/>
        </w:rPr>
        <w:t>’</w:t>
      </w:r>
      <w:r w:rsidRPr="004C184C">
        <w:rPr>
          <w:lang w:val="en-US"/>
        </w:rPr>
        <w:t>s affairs and the implementation of laws</w:t>
      </w:r>
      <w:r w:rsidRPr="004C184C">
        <w:rPr>
          <w:cs/>
          <w:lang w:val="en-US"/>
        </w:rPr>
        <w:t xml:space="preserve">. </w:t>
      </w:r>
      <w:r w:rsidRPr="004C184C">
        <w:rPr>
          <w:lang w:val="en-US"/>
        </w:rPr>
        <w:t>It is responsible to the Parliament for all its actions and decisions</w:t>
      </w:r>
      <w:r w:rsidRPr="004C184C">
        <w:rPr>
          <w:cs/>
          <w:lang w:val="en-US"/>
        </w:rPr>
        <w:t xml:space="preserve">. </w:t>
      </w:r>
    </w:p>
    <w:p w14:paraId="230289DE" w14:textId="77777777" w:rsidR="00EA422B" w:rsidRPr="004C184C" w:rsidRDefault="00EA422B" w:rsidP="0050000D">
      <w:pPr>
        <w:pStyle w:val="SingleTxtG"/>
        <w:rPr>
          <w:lang w:val="en-US"/>
        </w:rPr>
      </w:pPr>
      <w:r w:rsidRPr="004C184C">
        <w:rPr>
          <w:lang w:val="en-US"/>
        </w:rPr>
        <w:t>42.</w:t>
      </w:r>
      <w:r w:rsidRPr="004C184C">
        <w:rPr>
          <w:lang w:val="en-US"/>
        </w:rPr>
        <w:tab/>
        <w:t>The administrative structure of the country is divided into three levels</w:t>
      </w:r>
      <w:r w:rsidRPr="004C184C">
        <w:rPr>
          <w:cs/>
          <w:lang w:val="en-US"/>
        </w:rPr>
        <w:t xml:space="preserve">: </w:t>
      </w:r>
      <w:r w:rsidRPr="004C184C">
        <w:rPr>
          <w:lang w:val="en-US"/>
        </w:rPr>
        <w:t>central administration, provincial administration and local administration</w:t>
      </w:r>
      <w:r w:rsidRPr="004C184C">
        <w:rPr>
          <w:cs/>
          <w:lang w:val="en-US"/>
        </w:rPr>
        <w:t>:</w:t>
      </w:r>
    </w:p>
    <w:p w14:paraId="336FC584" w14:textId="7DEC1465" w:rsidR="00EA422B" w:rsidRPr="004C184C" w:rsidRDefault="00A032A3" w:rsidP="00A032A3">
      <w:pPr>
        <w:pStyle w:val="Bullet1G"/>
        <w:numPr>
          <w:ilvl w:val="0"/>
          <w:numId w:val="0"/>
        </w:numPr>
        <w:tabs>
          <w:tab w:val="left" w:pos="1701"/>
        </w:tabs>
        <w:ind w:left="1701" w:hanging="170"/>
        <w:rPr>
          <w:lang w:val="en-US"/>
        </w:rPr>
      </w:pPr>
      <w:r w:rsidRPr="004C184C">
        <w:rPr>
          <w:lang w:val="en-US"/>
        </w:rPr>
        <w:t>•</w:t>
      </w:r>
      <w:r w:rsidRPr="004C184C">
        <w:rPr>
          <w:lang w:val="en-US"/>
        </w:rPr>
        <w:tab/>
      </w:r>
      <w:r w:rsidR="00EA422B" w:rsidRPr="004C184C">
        <w:rPr>
          <w:lang w:val="en-US"/>
        </w:rPr>
        <w:t>Central administration. The central administration consists of 20 ministries, responsible for discharging duties according to the Government Restructuring Act B</w:t>
      </w:r>
      <w:r w:rsidR="00EA422B" w:rsidRPr="004C184C">
        <w:rPr>
          <w:cs/>
          <w:lang w:val="en-US"/>
        </w:rPr>
        <w:t>.</w:t>
      </w:r>
      <w:r w:rsidR="00EA422B" w:rsidRPr="004C184C">
        <w:rPr>
          <w:lang w:val="en-US"/>
        </w:rPr>
        <w:t>E</w:t>
      </w:r>
      <w:r w:rsidR="00EA422B" w:rsidRPr="004C184C">
        <w:rPr>
          <w:cs/>
          <w:lang w:val="en-US"/>
        </w:rPr>
        <w:t xml:space="preserve">. </w:t>
      </w:r>
      <w:r w:rsidR="00EA422B" w:rsidRPr="004C184C">
        <w:rPr>
          <w:lang w:val="en-US"/>
        </w:rPr>
        <w:t>25</w:t>
      </w:r>
      <w:r w:rsidR="00EA422B" w:rsidRPr="004C184C">
        <w:rPr>
          <w:cs/>
          <w:lang w:val="en-US"/>
        </w:rPr>
        <w:t xml:space="preserve">34 (1991) </w:t>
      </w:r>
      <w:r w:rsidR="00EA422B" w:rsidRPr="004C184C">
        <w:rPr>
          <w:lang w:val="en-US"/>
        </w:rPr>
        <w:t>in providing public services</w:t>
      </w:r>
      <w:r w:rsidR="00EA422B" w:rsidRPr="004C184C">
        <w:rPr>
          <w:cs/>
          <w:lang w:val="en-US"/>
        </w:rPr>
        <w:t xml:space="preserve">. </w:t>
      </w:r>
      <w:r w:rsidR="00EA422B" w:rsidRPr="004C184C">
        <w:rPr>
          <w:lang w:val="en-US"/>
        </w:rPr>
        <w:t xml:space="preserve">The head of the Cabinet is the Prime Minister, who is responsible for all </w:t>
      </w:r>
      <w:proofErr w:type="gramStart"/>
      <w:r w:rsidR="00EA422B" w:rsidRPr="004C184C">
        <w:rPr>
          <w:lang w:val="en-US"/>
        </w:rPr>
        <w:t>ministries</w:t>
      </w:r>
      <w:r w:rsidR="00EA422B" w:rsidRPr="004C184C">
        <w:rPr>
          <w:cs/>
          <w:lang w:val="en-US"/>
        </w:rPr>
        <w:t>;</w:t>
      </w:r>
      <w:proofErr w:type="gramEnd"/>
    </w:p>
    <w:p w14:paraId="61F937D0" w14:textId="50057F28" w:rsidR="00EA422B" w:rsidRPr="004C184C" w:rsidRDefault="00A032A3" w:rsidP="00A032A3">
      <w:pPr>
        <w:pStyle w:val="Bullet1G"/>
        <w:numPr>
          <w:ilvl w:val="0"/>
          <w:numId w:val="0"/>
        </w:numPr>
        <w:tabs>
          <w:tab w:val="left" w:pos="1701"/>
        </w:tabs>
        <w:ind w:left="1701" w:hanging="170"/>
        <w:rPr>
          <w:lang w:val="en-US"/>
        </w:rPr>
      </w:pPr>
      <w:r w:rsidRPr="004C184C">
        <w:rPr>
          <w:lang w:val="en-US"/>
        </w:rPr>
        <w:t>•</w:t>
      </w:r>
      <w:r w:rsidRPr="004C184C">
        <w:rPr>
          <w:lang w:val="en-US"/>
        </w:rPr>
        <w:tab/>
      </w:r>
      <w:r w:rsidR="00EA422B" w:rsidRPr="004C184C">
        <w:rPr>
          <w:lang w:val="en-US"/>
        </w:rPr>
        <w:t>Provincial administration.</w:t>
      </w:r>
      <w:r w:rsidR="00EA422B" w:rsidRPr="004C184C">
        <w:rPr>
          <w:cs/>
          <w:lang w:val="en-US"/>
        </w:rPr>
        <w:t xml:space="preserve"> </w:t>
      </w:r>
      <w:r w:rsidR="00EA422B" w:rsidRPr="004C184C">
        <w:rPr>
          <w:lang w:val="en-US"/>
        </w:rPr>
        <w:t>The country is administratively divided into 76 provinces, 878</w:t>
      </w:r>
      <w:r w:rsidR="00EA422B" w:rsidRPr="004C184C">
        <w:rPr>
          <w:cs/>
          <w:lang w:val="en-US"/>
        </w:rPr>
        <w:t xml:space="preserve"> </w:t>
      </w:r>
      <w:r w:rsidR="00EA422B" w:rsidRPr="004C184C">
        <w:rPr>
          <w:lang w:val="en-US"/>
        </w:rPr>
        <w:t>districts, 7,255 sub</w:t>
      </w:r>
      <w:r w:rsidR="00D97E73" w:rsidRPr="004C184C">
        <w:rPr>
          <w:lang w:val="en-US"/>
        </w:rPr>
        <w:t>-</w:t>
      </w:r>
      <w:r w:rsidR="00EA422B" w:rsidRPr="004C184C">
        <w:rPr>
          <w:lang w:val="en-US"/>
        </w:rPr>
        <w:t>districts and 75,032</w:t>
      </w:r>
      <w:r w:rsidR="00EA422B" w:rsidRPr="004C184C">
        <w:rPr>
          <w:cs/>
          <w:lang w:val="en-US"/>
        </w:rPr>
        <w:t xml:space="preserve"> </w:t>
      </w:r>
      <w:r w:rsidR="00EA422B" w:rsidRPr="004C184C">
        <w:rPr>
          <w:lang w:val="en-US"/>
        </w:rPr>
        <w:t>villages</w:t>
      </w:r>
      <w:r w:rsidR="00EA422B" w:rsidRPr="004C184C">
        <w:rPr>
          <w:cs/>
          <w:lang w:val="en-US"/>
        </w:rPr>
        <w:t xml:space="preserve">. </w:t>
      </w:r>
      <w:r w:rsidR="00EA422B" w:rsidRPr="004C184C">
        <w:rPr>
          <w:lang w:val="en-US"/>
        </w:rPr>
        <w:t>A village is the most basic form of administration, led by a village head in charge of keeping law and order</w:t>
      </w:r>
      <w:r w:rsidR="00EA422B" w:rsidRPr="004C184C">
        <w:rPr>
          <w:cs/>
          <w:lang w:val="en-US"/>
        </w:rPr>
        <w:t xml:space="preserve">. </w:t>
      </w:r>
      <w:r w:rsidR="00EA422B" w:rsidRPr="004C184C">
        <w:rPr>
          <w:lang w:val="en-US"/>
        </w:rPr>
        <w:t>A sub</w:t>
      </w:r>
      <w:r w:rsidR="00D97E73" w:rsidRPr="004C184C">
        <w:rPr>
          <w:lang w:val="en-US"/>
        </w:rPr>
        <w:t>-</w:t>
      </w:r>
      <w:r w:rsidR="00EA422B" w:rsidRPr="004C184C">
        <w:rPr>
          <w:lang w:val="en-US"/>
        </w:rPr>
        <w:t>district is a collection of villages, headed by a sub</w:t>
      </w:r>
      <w:r w:rsidR="00D97E73" w:rsidRPr="004C184C">
        <w:rPr>
          <w:lang w:val="en-US"/>
        </w:rPr>
        <w:t>-</w:t>
      </w:r>
      <w:r w:rsidR="00EA422B" w:rsidRPr="004C184C">
        <w:rPr>
          <w:lang w:val="en-US"/>
        </w:rPr>
        <w:t xml:space="preserve">district chief </w:t>
      </w:r>
      <w:r w:rsidR="00EA422B" w:rsidRPr="004C184C">
        <w:rPr>
          <w:cs/>
          <w:lang w:val="en-US"/>
        </w:rPr>
        <w:t>(</w:t>
      </w:r>
      <w:proofErr w:type="spellStart"/>
      <w:r w:rsidR="00EA422B" w:rsidRPr="004C184C">
        <w:rPr>
          <w:lang w:val="en-US"/>
        </w:rPr>
        <w:t>Kamnan</w:t>
      </w:r>
      <w:proofErr w:type="spellEnd"/>
      <w:r w:rsidR="00EA422B" w:rsidRPr="004C184C">
        <w:rPr>
          <w:cs/>
          <w:lang w:val="en-US"/>
        </w:rPr>
        <w:t xml:space="preserve">). </w:t>
      </w:r>
      <w:r w:rsidR="00EA422B" w:rsidRPr="004C184C">
        <w:rPr>
          <w:lang w:val="en-US"/>
        </w:rPr>
        <w:t>Village heads and sub</w:t>
      </w:r>
      <w:r w:rsidR="00D97E73" w:rsidRPr="004C184C">
        <w:rPr>
          <w:lang w:val="en-US"/>
        </w:rPr>
        <w:t>-</w:t>
      </w:r>
      <w:r w:rsidR="00EA422B" w:rsidRPr="004C184C">
        <w:rPr>
          <w:lang w:val="en-US"/>
        </w:rPr>
        <w:t>district chiefs are government representatives, but they are elected by the local people and report directly to chief district officers who fall under the direct responsibility of a provincial governor</w:t>
      </w:r>
      <w:r w:rsidR="00EA422B" w:rsidRPr="004C184C">
        <w:rPr>
          <w:cs/>
          <w:lang w:val="en-US"/>
        </w:rPr>
        <w:t xml:space="preserve">. </w:t>
      </w:r>
      <w:r w:rsidR="00EA422B" w:rsidRPr="004C184C">
        <w:rPr>
          <w:lang w:val="en-US"/>
        </w:rPr>
        <w:t xml:space="preserve">Chief district officers and provincial governors are civil servants, centrally appointed by the Ministry of </w:t>
      </w:r>
      <w:proofErr w:type="gramStart"/>
      <w:r w:rsidR="00EA422B" w:rsidRPr="004C184C">
        <w:rPr>
          <w:lang w:val="en-US"/>
        </w:rPr>
        <w:t>Interior</w:t>
      </w:r>
      <w:r w:rsidR="00EA422B" w:rsidRPr="004C184C">
        <w:rPr>
          <w:cs/>
          <w:lang w:val="en-US"/>
        </w:rPr>
        <w:t>;</w:t>
      </w:r>
      <w:proofErr w:type="gramEnd"/>
    </w:p>
    <w:p w14:paraId="30DEFEC1" w14:textId="41721111" w:rsidR="00EA422B" w:rsidRPr="004C184C" w:rsidRDefault="00A032A3" w:rsidP="00A032A3">
      <w:pPr>
        <w:pStyle w:val="Bullet1G"/>
        <w:numPr>
          <w:ilvl w:val="0"/>
          <w:numId w:val="0"/>
        </w:numPr>
        <w:tabs>
          <w:tab w:val="left" w:pos="1701"/>
        </w:tabs>
        <w:ind w:left="1701" w:hanging="170"/>
        <w:rPr>
          <w:lang w:val="en-US"/>
        </w:rPr>
      </w:pPr>
      <w:r w:rsidRPr="004C184C">
        <w:rPr>
          <w:lang w:val="en-US"/>
        </w:rPr>
        <w:t>•</w:t>
      </w:r>
      <w:r w:rsidRPr="004C184C">
        <w:rPr>
          <w:lang w:val="en-US"/>
        </w:rPr>
        <w:tab/>
      </w:r>
      <w:r w:rsidR="00EA422B" w:rsidRPr="004C184C">
        <w:rPr>
          <w:lang w:val="en-US"/>
        </w:rPr>
        <w:t>Local administration. The local administration is the main mechanism for taking care of and providing public services for the benefit of people in localities</w:t>
      </w:r>
      <w:r w:rsidR="00EA422B" w:rsidRPr="004C184C">
        <w:rPr>
          <w:cs/>
          <w:lang w:val="en-US"/>
        </w:rPr>
        <w:t xml:space="preserve">. </w:t>
      </w:r>
      <w:r w:rsidR="00EA422B" w:rsidRPr="004C184C">
        <w:rPr>
          <w:lang w:val="en-US"/>
        </w:rPr>
        <w:t>They have the capacity to self</w:t>
      </w:r>
      <w:r w:rsidR="00D97E73" w:rsidRPr="004C184C">
        <w:rPr>
          <w:lang w:val="en-US"/>
        </w:rPr>
        <w:t>-</w:t>
      </w:r>
      <w:r w:rsidR="00EA422B" w:rsidRPr="004C184C">
        <w:rPr>
          <w:lang w:val="en-US"/>
        </w:rPr>
        <w:t>govern their own affairs</w:t>
      </w:r>
      <w:r w:rsidR="00EA422B" w:rsidRPr="004C184C">
        <w:rPr>
          <w:cs/>
          <w:lang w:val="en-US"/>
        </w:rPr>
        <w:t xml:space="preserve">. </w:t>
      </w:r>
      <w:r w:rsidR="00EA422B" w:rsidRPr="004C184C">
        <w:rPr>
          <w:lang w:val="en-US"/>
        </w:rPr>
        <w:t xml:space="preserve">Each local administrative organization has the legitimacy to independently make their own administrative, </w:t>
      </w:r>
      <w:proofErr w:type="gramStart"/>
      <w:r w:rsidR="00EA422B" w:rsidRPr="004C184C">
        <w:rPr>
          <w:lang w:val="en-US"/>
        </w:rPr>
        <w:t>financial</w:t>
      </w:r>
      <w:proofErr w:type="gramEnd"/>
      <w:r w:rsidR="00EA422B" w:rsidRPr="004C184C">
        <w:rPr>
          <w:lang w:val="en-US"/>
        </w:rPr>
        <w:t xml:space="preserve"> and fiscal policies and carry out their specific power and duties, but with due consideration to provincial and national development policies</w:t>
      </w:r>
      <w:r w:rsidR="00EA422B" w:rsidRPr="004C184C">
        <w:rPr>
          <w:cs/>
          <w:lang w:val="en-US"/>
        </w:rPr>
        <w:t xml:space="preserve">. </w:t>
      </w:r>
      <w:r w:rsidR="00EA422B" w:rsidRPr="004C184C">
        <w:rPr>
          <w:lang w:val="en-US"/>
        </w:rPr>
        <w:t xml:space="preserve">The Government will provide only necessary supervision as provided by the law, </w:t>
      </w:r>
      <w:proofErr w:type="gramStart"/>
      <w:r w:rsidR="00EA422B" w:rsidRPr="004C184C">
        <w:rPr>
          <w:lang w:val="en-US"/>
        </w:rPr>
        <w:t>in order to</w:t>
      </w:r>
      <w:proofErr w:type="gramEnd"/>
      <w:r w:rsidR="00EA422B" w:rsidRPr="004C184C">
        <w:rPr>
          <w:lang w:val="en-US"/>
        </w:rPr>
        <w:t xml:space="preserve"> continuously enhance the decentralization process</w:t>
      </w:r>
      <w:r w:rsidR="00EA422B" w:rsidRPr="004C184C">
        <w:rPr>
          <w:cs/>
          <w:lang w:val="en-US"/>
        </w:rPr>
        <w:t xml:space="preserve">. </w:t>
      </w:r>
      <w:r w:rsidR="00EA422B" w:rsidRPr="004C184C">
        <w:rPr>
          <w:lang w:val="en-US"/>
        </w:rPr>
        <w:t>In 2018, local administrative organizations comprised of the Bangkok Metropolitan Administration, the City of Pattaya, 76 Provincial Administrative Organizations, 2,442 Municipalities, and 5,</w:t>
      </w:r>
      <w:r w:rsidR="00EA422B" w:rsidRPr="004C184C">
        <w:rPr>
          <w:cs/>
          <w:lang w:val="en-US"/>
        </w:rPr>
        <w:t>33</w:t>
      </w:r>
      <w:r w:rsidR="00EA422B" w:rsidRPr="004C184C">
        <w:rPr>
          <w:lang w:val="en-US"/>
        </w:rPr>
        <w:t>2 Sub</w:t>
      </w:r>
      <w:r w:rsidR="00D97E73" w:rsidRPr="004C184C">
        <w:rPr>
          <w:lang w:val="en-US"/>
        </w:rPr>
        <w:t>-</w:t>
      </w:r>
      <w:r w:rsidR="00EA422B" w:rsidRPr="004C184C">
        <w:rPr>
          <w:lang w:val="en-US"/>
        </w:rPr>
        <w:t>District Administrative Organizations, were</w:t>
      </w:r>
      <w:r w:rsidR="00EA422B" w:rsidRPr="004C184C">
        <w:rPr>
          <w:cs/>
          <w:lang w:val="en-US"/>
        </w:rPr>
        <w:t xml:space="preserve"> </w:t>
      </w:r>
      <w:r w:rsidR="00EA422B" w:rsidRPr="004C184C">
        <w:rPr>
          <w:lang w:val="en-US"/>
        </w:rPr>
        <w:t>headed by executive chiefs elected by popular vote</w:t>
      </w:r>
      <w:r w:rsidR="00EA422B" w:rsidRPr="004C184C">
        <w:rPr>
          <w:cs/>
          <w:lang w:val="en-US"/>
        </w:rPr>
        <w:t>.</w:t>
      </w:r>
    </w:p>
    <w:p w14:paraId="75E003EF" w14:textId="23087B84" w:rsidR="00EA422B" w:rsidRPr="004C184C" w:rsidRDefault="00EA422B" w:rsidP="0050000D">
      <w:pPr>
        <w:pStyle w:val="SingleTxtG"/>
        <w:rPr>
          <w:lang w:val="en-US"/>
        </w:rPr>
      </w:pPr>
      <w:r w:rsidRPr="004C184C">
        <w:rPr>
          <w:lang w:val="en-US"/>
        </w:rPr>
        <w:t>43.</w:t>
      </w:r>
      <w:r w:rsidRPr="004C184C">
        <w:rPr>
          <w:lang w:val="en-US"/>
        </w:rPr>
        <w:tab/>
        <w:t>The government administration is carried out under the national budgetary system, with the annual budget allocation scrutinized and approved by the Parliament</w:t>
      </w:r>
      <w:r w:rsidRPr="004C184C">
        <w:rPr>
          <w:cs/>
          <w:lang w:val="en-US"/>
        </w:rPr>
        <w:t xml:space="preserve">. </w:t>
      </w:r>
      <w:r w:rsidRPr="004C184C">
        <w:rPr>
          <w:lang w:val="en-US"/>
        </w:rPr>
        <w:t>The fiscal year starts on 1 October and ends on 30 September of the following year</w:t>
      </w:r>
      <w:r w:rsidRPr="004C184C">
        <w:rPr>
          <w:cs/>
          <w:lang w:val="en-US"/>
        </w:rPr>
        <w:t>.</w:t>
      </w:r>
    </w:p>
    <w:p w14:paraId="2E03CF27" w14:textId="3793C929" w:rsidR="00EA422B" w:rsidRPr="004C184C" w:rsidRDefault="00EA422B" w:rsidP="0050000D">
      <w:pPr>
        <w:pStyle w:val="SingleTxtG"/>
        <w:rPr>
          <w:lang w:val="en-US"/>
        </w:rPr>
      </w:pPr>
      <w:r w:rsidRPr="004C184C">
        <w:rPr>
          <w:lang w:val="en-US"/>
        </w:rPr>
        <w:lastRenderedPageBreak/>
        <w:t>44.</w:t>
      </w:r>
      <w:r w:rsidRPr="004C184C">
        <w:rPr>
          <w:lang w:val="en-US"/>
        </w:rPr>
        <w:tab/>
        <w:t>The Government may be defeated in the House of Representatives by a vote of non</w:t>
      </w:r>
      <w:r w:rsidR="00D97E73" w:rsidRPr="004C184C">
        <w:rPr>
          <w:lang w:val="en-US"/>
        </w:rPr>
        <w:t>-</w:t>
      </w:r>
      <w:r w:rsidRPr="004C184C">
        <w:rPr>
          <w:lang w:val="en-US"/>
        </w:rPr>
        <w:t>confidence and, in that case, the House Speaker is required to appoint another leader who can maintain the confidence of the Parliament, or else the Prime Minister can dissolve the Parliament by issuing the writs for an election</w:t>
      </w:r>
      <w:r w:rsidRPr="004C184C">
        <w:rPr>
          <w:cs/>
          <w:lang w:val="en-US"/>
        </w:rPr>
        <w:t>.</w:t>
      </w:r>
    </w:p>
    <w:p w14:paraId="632ED139" w14:textId="775C4CE5" w:rsidR="00EA422B" w:rsidRPr="004C184C" w:rsidRDefault="00836139" w:rsidP="00836139">
      <w:pPr>
        <w:pStyle w:val="H23G"/>
        <w:rPr>
          <w:lang w:val="en-US"/>
        </w:rPr>
      </w:pPr>
      <w:r w:rsidRPr="004C184C">
        <w:rPr>
          <w:lang w:val="en-US"/>
        </w:rPr>
        <w:tab/>
      </w:r>
      <w:r w:rsidRPr="004C184C">
        <w:rPr>
          <w:lang w:val="en-US"/>
        </w:rPr>
        <w:tab/>
      </w:r>
      <w:r w:rsidR="00EA422B" w:rsidRPr="004C184C">
        <w:rPr>
          <w:lang w:val="en-US"/>
        </w:rPr>
        <w:t>The judicial branch</w:t>
      </w:r>
    </w:p>
    <w:p w14:paraId="161D718B" w14:textId="77777777" w:rsidR="00EA422B" w:rsidRPr="004C184C" w:rsidRDefault="00EA422B" w:rsidP="0050000D">
      <w:pPr>
        <w:pStyle w:val="SingleTxtG"/>
        <w:rPr>
          <w:lang w:val="en-US"/>
        </w:rPr>
      </w:pPr>
      <w:r w:rsidRPr="004C184C">
        <w:rPr>
          <w:lang w:val="en-US"/>
        </w:rPr>
        <w:t>45.</w:t>
      </w:r>
      <w:r w:rsidRPr="004C184C">
        <w:rPr>
          <w:lang w:val="en-US"/>
        </w:rPr>
        <w:tab/>
        <w:t>The judicial branch consists of the Constitutional Court, the Courts of Justice, the Administrative Court and the Military Court</w:t>
      </w:r>
      <w:r w:rsidRPr="004C184C">
        <w:rPr>
          <w:cs/>
          <w:lang w:val="en-US"/>
        </w:rPr>
        <w:t>.</w:t>
      </w:r>
    </w:p>
    <w:p w14:paraId="0299A250" w14:textId="77777777" w:rsidR="00EA422B" w:rsidRPr="004C184C" w:rsidRDefault="00EA422B" w:rsidP="0050000D">
      <w:pPr>
        <w:pStyle w:val="SingleTxtG"/>
        <w:rPr>
          <w:lang w:val="en-US"/>
        </w:rPr>
      </w:pPr>
      <w:r w:rsidRPr="004C184C">
        <w:rPr>
          <w:lang w:val="en-US"/>
        </w:rPr>
        <w:t>46.</w:t>
      </w:r>
      <w:r w:rsidRPr="004C184C">
        <w:rPr>
          <w:lang w:val="en-US"/>
        </w:rPr>
        <w:tab/>
        <w:t>The Constitutional Court is responsible for deliberating on whether provisions of the law are contrary to or inconsistent with the Constitution</w:t>
      </w:r>
      <w:r w:rsidRPr="004C184C">
        <w:rPr>
          <w:cs/>
          <w:lang w:val="en-US"/>
        </w:rPr>
        <w:t>.</w:t>
      </w:r>
      <w:r w:rsidRPr="004C184C">
        <w:rPr>
          <w:lang w:val="en-US"/>
        </w:rPr>
        <w:t xml:space="preserve"> </w:t>
      </w:r>
    </w:p>
    <w:p w14:paraId="5AF48F1C" w14:textId="77777777" w:rsidR="00EA422B" w:rsidRPr="004C184C" w:rsidRDefault="00EA422B" w:rsidP="0050000D">
      <w:pPr>
        <w:pStyle w:val="SingleTxtG"/>
        <w:rPr>
          <w:lang w:val="en-US"/>
        </w:rPr>
      </w:pPr>
      <w:r w:rsidRPr="004C184C">
        <w:rPr>
          <w:lang w:val="en-US"/>
        </w:rPr>
        <w:t>47.</w:t>
      </w:r>
      <w:r w:rsidRPr="004C184C">
        <w:rPr>
          <w:lang w:val="en-US"/>
        </w:rPr>
        <w:tab/>
        <w:t>The Courts of Justice have the power to try and adjudicate all cases except those specified by this Constitution or the law to be within the jurisdiction of other Courts</w:t>
      </w:r>
      <w:r w:rsidRPr="004C184C">
        <w:rPr>
          <w:cs/>
          <w:lang w:val="en-US"/>
        </w:rPr>
        <w:t xml:space="preserve">. </w:t>
      </w:r>
      <w:r w:rsidRPr="004C184C">
        <w:rPr>
          <w:lang w:val="en-US"/>
        </w:rPr>
        <w:t xml:space="preserve">Based on the Act Promulgating Law on the </w:t>
      </w:r>
      <w:proofErr w:type="spellStart"/>
      <w:r w:rsidRPr="004C184C">
        <w:rPr>
          <w:lang w:val="en-US"/>
        </w:rPr>
        <w:t>Organisation</w:t>
      </w:r>
      <w:proofErr w:type="spellEnd"/>
      <w:r w:rsidRPr="004C184C">
        <w:rPr>
          <w:lang w:val="en-US"/>
        </w:rPr>
        <w:t xml:space="preserve"> of the Court of Justice B</w:t>
      </w:r>
      <w:r w:rsidRPr="004C184C">
        <w:rPr>
          <w:cs/>
          <w:lang w:val="en-US"/>
        </w:rPr>
        <w:t>.</w:t>
      </w:r>
      <w:r w:rsidRPr="004C184C">
        <w:rPr>
          <w:lang w:val="en-US"/>
        </w:rPr>
        <w:t>E</w:t>
      </w:r>
      <w:r w:rsidRPr="004C184C">
        <w:rPr>
          <w:cs/>
          <w:lang w:val="en-US"/>
        </w:rPr>
        <w:t xml:space="preserve">. </w:t>
      </w:r>
      <w:r w:rsidRPr="004C184C">
        <w:rPr>
          <w:lang w:val="en-US"/>
        </w:rPr>
        <w:t xml:space="preserve">2543 </w:t>
      </w:r>
      <w:r w:rsidRPr="004C184C">
        <w:rPr>
          <w:cs/>
          <w:lang w:val="en-US"/>
        </w:rPr>
        <w:t>(</w:t>
      </w:r>
      <w:r w:rsidRPr="004C184C">
        <w:rPr>
          <w:lang w:val="en-US"/>
        </w:rPr>
        <w:t>2000</w:t>
      </w:r>
      <w:r w:rsidRPr="004C184C">
        <w:rPr>
          <w:cs/>
          <w:lang w:val="en-US"/>
        </w:rPr>
        <w:t>)</w:t>
      </w:r>
      <w:r w:rsidRPr="004C184C">
        <w:rPr>
          <w:lang w:val="en-US"/>
        </w:rPr>
        <w:t>, there are three levels of courts of justice in Thailand</w:t>
      </w:r>
      <w:r w:rsidRPr="004C184C">
        <w:rPr>
          <w:cs/>
          <w:lang w:val="en-US"/>
        </w:rPr>
        <w:t>:</w:t>
      </w:r>
      <w:r w:rsidRPr="004C184C">
        <w:rPr>
          <w:lang w:val="en-US"/>
        </w:rPr>
        <w:t xml:space="preserve"> courts of first instance, courts of appeal, and the Supreme Court</w:t>
      </w:r>
      <w:r w:rsidRPr="004C184C">
        <w:rPr>
          <w:cs/>
          <w:lang w:val="en-US"/>
        </w:rPr>
        <w:t xml:space="preserve">. </w:t>
      </w:r>
      <w:r w:rsidRPr="004C184C">
        <w:rPr>
          <w:lang w:val="en-US"/>
        </w:rPr>
        <w:t xml:space="preserve">Since some types of cases require expertise and special procedures, special courts and divisions are established to deal with cases concerning elections, drugs, </w:t>
      </w:r>
      <w:proofErr w:type="spellStart"/>
      <w:r w:rsidRPr="004C184C">
        <w:rPr>
          <w:lang w:val="en-US"/>
        </w:rPr>
        <w:t>labour</w:t>
      </w:r>
      <w:proofErr w:type="spellEnd"/>
      <w:r w:rsidRPr="004C184C">
        <w:rPr>
          <w:lang w:val="en-US"/>
        </w:rPr>
        <w:t>, tax, bankruptcy, human trafficking, intellectual property, environmental cases, international trade, juvenile and family, corruption and misconduct, as well as criminal cases for persons holding political positions</w:t>
      </w:r>
      <w:r w:rsidRPr="004C184C">
        <w:rPr>
          <w:cs/>
          <w:lang w:val="en-US"/>
        </w:rPr>
        <w:t>.</w:t>
      </w:r>
    </w:p>
    <w:p w14:paraId="7322F9EA" w14:textId="77777777" w:rsidR="00EA422B" w:rsidRPr="004C184C" w:rsidRDefault="00EA422B" w:rsidP="0050000D">
      <w:pPr>
        <w:pStyle w:val="SingleTxtG"/>
        <w:rPr>
          <w:lang w:val="en-US"/>
        </w:rPr>
      </w:pPr>
      <w:r w:rsidRPr="004C184C">
        <w:rPr>
          <w:lang w:val="en-US"/>
        </w:rPr>
        <w:t>48.</w:t>
      </w:r>
      <w:r w:rsidRPr="004C184C">
        <w:rPr>
          <w:lang w:val="en-US"/>
        </w:rPr>
        <w:tab/>
        <w:t>The Administrative Courts</w:t>
      </w:r>
      <w:r w:rsidRPr="004C184C">
        <w:rPr>
          <w:cs/>
          <w:lang w:val="en-US"/>
        </w:rPr>
        <w:t xml:space="preserve"> </w:t>
      </w:r>
      <w:r w:rsidRPr="004C184C">
        <w:rPr>
          <w:lang w:val="en-US"/>
        </w:rPr>
        <w:t>have the power to try and adjudicate on cases of dispute between government agencies, state officials and private individual</w:t>
      </w:r>
      <w:r w:rsidRPr="004C184C">
        <w:rPr>
          <w:cs/>
          <w:lang w:val="en-US"/>
        </w:rPr>
        <w:t>(</w:t>
      </w:r>
      <w:r w:rsidRPr="004C184C">
        <w:rPr>
          <w:lang w:val="en-US"/>
        </w:rPr>
        <w:t>s</w:t>
      </w:r>
      <w:r w:rsidRPr="004C184C">
        <w:rPr>
          <w:cs/>
          <w:lang w:val="en-US"/>
        </w:rPr>
        <w:t>)</w:t>
      </w:r>
      <w:r w:rsidRPr="004C184C">
        <w:rPr>
          <w:lang w:val="en-US"/>
        </w:rPr>
        <w:t>, or among state officials themselves</w:t>
      </w:r>
      <w:r w:rsidRPr="004C184C">
        <w:rPr>
          <w:cs/>
          <w:lang w:val="en-US"/>
        </w:rPr>
        <w:t xml:space="preserve">. </w:t>
      </w:r>
      <w:r w:rsidRPr="004C184C">
        <w:rPr>
          <w:lang w:val="en-US"/>
        </w:rPr>
        <w:t>There are</w:t>
      </w:r>
      <w:r w:rsidRPr="004C184C">
        <w:rPr>
          <w:cs/>
          <w:lang w:val="en-US"/>
        </w:rPr>
        <w:t xml:space="preserve"> </w:t>
      </w:r>
      <w:r w:rsidRPr="004C184C">
        <w:rPr>
          <w:lang w:val="en-US"/>
        </w:rPr>
        <w:t>Administrative Courts of First Instance and the Supreme Administrative Court</w:t>
      </w:r>
      <w:r w:rsidRPr="004C184C">
        <w:rPr>
          <w:cs/>
          <w:lang w:val="en-US"/>
        </w:rPr>
        <w:t>.</w:t>
      </w:r>
    </w:p>
    <w:p w14:paraId="1FDA8790" w14:textId="77777777" w:rsidR="00EA422B" w:rsidRPr="004C184C" w:rsidRDefault="00EA422B" w:rsidP="0050000D">
      <w:pPr>
        <w:pStyle w:val="SingleTxtG"/>
        <w:rPr>
          <w:lang w:val="en-US"/>
        </w:rPr>
      </w:pPr>
      <w:r w:rsidRPr="004C184C">
        <w:rPr>
          <w:lang w:val="en-US"/>
        </w:rPr>
        <w:t>49.</w:t>
      </w:r>
      <w:r w:rsidRPr="004C184C">
        <w:rPr>
          <w:lang w:val="en-US"/>
        </w:rPr>
        <w:tab/>
        <w:t>The Military Courts have the power to try and adjudicate cases in which offenders are subjected to the jurisdiction of the Military Courts</w:t>
      </w:r>
      <w:r w:rsidRPr="004C184C">
        <w:rPr>
          <w:cs/>
          <w:lang w:val="en-US"/>
        </w:rPr>
        <w:t>.</w:t>
      </w:r>
    </w:p>
    <w:p w14:paraId="1D8F550A" w14:textId="5C5D7791" w:rsidR="00EA422B" w:rsidRPr="004C184C" w:rsidRDefault="00EE6918" w:rsidP="00EE6918">
      <w:pPr>
        <w:pStyle w:val="H23G"/>
        <w:rPr>
          <w:lang w:val="en-US"/>
        </w:rPr>
      </w:pPr>
      <w:r w:rsidRPr="004C184C">
        <w:rPr>
          <w:lang w:val="en-US"/>
        </w:rPr>
        <w:tab/>
      </w:r>
      <w:r w:rsidRPr="004C184C">
        <w:rPr>
          <w:lang w:val="en-US"/>
        </w:rPr>
        <w:tab/>
      </w:r>
      <w:r w:rsidR="00EA422B" w:rsidRPr="004C184C">
        <w:rPr>
          <w:lang w:val="en-US"/>
        </w:rPr>
        <w:t>Independent Organizations under the Constitution</w:t>
      </w:r>
    </w:p>
    <w:p w14:paraId="1EBE1D2D" w14:textId="794DA82A" w:rsidR="00EA422B" w:rsidRPr="004C184C" w:rsidRDefault="00EA422B" w:rsidP="0050000D">
      <w:pPr>
        <w:pStyle w:val="SingleTxtG"/>
        <w:rPr>
          <w:lang w:val="en-US"/>
        </w:rPr>
      </w:pPr>
      <w:r w:rsidRPr="004C184C">
        <w:rPr>
          <w:lang w:val="en-US"/>
        </w:rPr>
        <w:t>50.</w:t>
      </w:r>
      <w:r w:rsidRPr="004C184C">
        <w:rPr>
          <w:lang w:val="en-US"/>
        </w:rPr>
        <w:tab/>
        <w:t>Under Chapter 12 of the 2017 Constitution, five independent organizations have been established as mechanisms to carry out functions which need specialization and impartiality, namely the Election Commission, the Ombudspersons, the National Anti</w:t>
      </w:r>
      <w:r w:rsidR="00D97E73" w:rsidRPr="004C184C">
        <w:rPr>
          <w:lang w:val="en-US"/>
        </w:rPr>
        <w:t>-</w:t>
      </w:r>
      <w:r w:rsidRPr="004C184C">
        <w:rPr>
          <w:lang w:val="en-US"/>
        </w:rPr>
        <w:t>Corruption Commission, the State Audit Commission and the National Human Rights Commission</w:t>
      </w:r>
      <w:r w:rsidRPr="004C184C">
        <w:rPr>
          <w:cs/>
          <w:lang w:val="en-US"/>
        </w:rPr>
        <w:t>.</w:t>
      </w:r>
    </w:p>
    <w:p w14:paraId="7E721831" w14:textId="77777777" w:rsidR="00EA422B" w:rsidRPr="004C184C" w:rsidRDefault="00EA422B" w:rsidP="0050000D">
      <w:pPr>
        <w:pStyle w:val="SingleTxtG"/>
        <w:rPr>
          <w:lang w:val="en-US"/>
        </w:rPr>
      </w:pPr>
      <w:r w:rsidRPr="004C184C">
        <w:rPr>
          <w:lang w:val="en-US"/>
        </w:rPr>
        <w:t>51.</w:t>
      </w:r>
      <w:r w:rsidRPr="004C184C">
        <w:rPr>
          <w:lang w:val="en-US"/>
        </w:rPr>
        <w:tab/>
        <w:t>The Election Commission is responsible for controlling and holding elections and/or selecting members of the House of Representatives, the Senate and a local assembly and local administrators, as the case may be</w:t>
      </w:r>
      <w:r w:rsidRPr="004C184C">
        <w:rPr>
          <w:cs/>
          <w:lang w:val="en-US"/>
        </w:rPr>
        <w:t xml:space="preserve">. </w:t>
      </w:r>
      <w:r w:rsidRPr="004C184C">
        <w:rPr>
          <w:lang w:val="en-US"/>
        </w:rPr>
        <w:t>They also set duties for the interim Cabinet, and oversee the voting in a referendum to ensure that it proceeds in an honest and fair manner.</w:t>
      </w:r>
    </w:p>
    <w:p w14:paraId="7A170FA0" w14:textId="358C3259" w:rsidR="00EA422B" w:rsidRPr="004C184C" w:rsidRDefault="00EA422B" w:rsidP="0050000D">
      <w:pPr>
        <w:pStyle w:val="SingleTxtG"/>
        <w:rPr>
          <w:lang w:val="en-US"/>
        </w:rPr>
      </w:pPr>
      <w:r w:rsidRPr="004C184C">
        <w:rPr>
          <w:lang w:val="en-US"/>
        </w:rPr>
        <w:t>52.</w:t>
      </w:r>
      <w:r w:rsidRPr="004C184C">
        <w:rPr>
          <w:lang w:val="en-US"/>
        </w:rPr>
        <w:tab/>
        <w:t>The Ombudspersons are responsible for (</w:t>
      </w:r>
      <w:proofErr w:type="spellStart"/>
      <w:r w:rsidRPr="004C184C">
        <w:rPr>
          <w:lang w:val="en-US"/>
        </w:rPr>
        <w:t>i</w:t>
      </w:r>
      <w:proofErr w:type="spellEnd"/>
      <w:r w:rsidRPr="004C184C">
        <w:rPr>
          <w:lang w:val="en-US"/>
        </w:rPr>
        <w:t>) considering and inquiring into the complaint</w:t>
      </w:r>
      <w:r w:rsidRPr="004C184C">
        <w:rPr>
          <w:cs/>
          <w:lang w:val="en-US"/>
        </w:rPr>
        <w:t>/</w:t>
      </w:r>
      <w:r w:rsidRPr="004C184C">
        <w:rPr>
          <w:lang w:val="en-US"/>
        </w:rPr>
        <w:t>s for fact</w:t>
      </w:r>
      <w:r w:rsidR="00D97E73" w:rsidRPr="004C184C">
        <w:rPr>
          <w:lang w:val="en-US"/>
        </w:rPr>
        <w:t>-</w:t>
      </w:r>
      <w:r w:rsidRPr="004C184C">
        <w:rPr>
          <w:lang w:val="en-US"/>
        </w:rPr>
        <w:t>finding in the following cases</w:t>
      </w:r>
      <w:r w:rsidRPr="004C184C">
        <w:rPr>
          <w:cs/>
          <w:lang w:val="en-US"/>
        </w:rPr>
        <w:t>: (</w:t>
      </w:r>
      <w:r w:rsidRPr="004C184C">
        <w:rPr>
          <w:lang w:val="en-US"/>
        </w:rPr>
        <w:t>a</w:t>
      </w:r>
      <w:r w:rsidRPr="004C184C">
        <w:rPr>
          <w:cs/>
          <w:lang w:val="en-US"/>
        </w:rPr>
        <w:t xml:space="preserve">) </w:t>
      </w:r>
      <w:r w:rsidRPr="004C184C">
        <w:rPr>
          <w:lang w:val="en-US"/>
        </w:rPr>
        <w:t xml:space="preserve">failure to perform in compliance with the law or performance beyond the powers and duties as provided by the law of a government official, an official or employee of a government agency, a state agency, a state enterprise or a local government organization; </w:t>
      </w:r>
      <w:r w:rsidRPr="004C184C">
        <w:rPr>
          <w:cs/>
          <w:lang w:val="en-US"/>
        </w:rPr>
        <w:t>(</w:t>
      </w:r>
      <w:r w:rsidRPr="004C184C">
        <w:rPr>
          <w:lang w:val="en-US"/>
        </w:rPr>
        <w:t>b</w:t>
      </w:r>
      <w:r w:rsidRPr="004C184C">
        <w:rPr>
          <w:cs/>
          <w:lang w:val="en-US"/>
        </w:rPr>
        <w:t xml:space="preserve">) </w:t>
      </w:r>
      <w:r w:rsidRPr="004C184C">
        <w:rPr>
          <w:lang w:val="en-US"/>
        </w:rPr>
        <w:t>performance of, or omission to perform, duties of a government official, an official or employee of a government agency, a state agency, a state enterprise or a local government organization, which unjustly causes damage to the complainant or the public; (ii) taking action in connection with ethics of holders of political positions and state officials; (iii) monitoring, evaluating and preparing recommendations on compliance with the Constitution; and (iv) conducting inquiries in cases where such act threatens to cause harm to the public at large or there is a need to safeguard public interests.</w:t>
      </w:r>
    </w:p>
    <w:p w14:paraId="61BF68D4" w14:textId="2E1659CA" w:rsidR="00EA422B" w:rsidRPr="004C184C" w:rsidRDefault="00EA422B" w:rsidP="0050000D">
      <w:pPr>
        <w:pStyle w:val="SingleTxtG"/>
        <w:rPr>
          <w:lang w:val="en-US"/>
        </w:rPr>
      </w:pPr>
      <w:r w:rsidRPr="004C184C">
        <w:rPr>
          <w:lang w:val="en-US"/>
        </w:rPr>
        <w:t>53.</w:t>
      </w:r>
      <w:r w:rsidRPr="004C184C">
        <w:rPr>
          <w:lang w:val="en-US"/>
        </w:rPr>
        <w:tab/>
        <w:t>The National Anti</w:t>
      </w:r>
      <w:r w:rsidR="00D97E73" w:rsidRPr="004C184C">
        <w:rPr>
          <w:lang w:val="en-US"/>
        </w:rPr>
        <w:t>-</w:t>
      </w:r>
      <w:r w:rsidRPr="004C184C">
        <w:rPr>
          <w:lang w:val="en-US"/>
        </w:rPr>
        <w:t>Corruption Commission</w:t>
      </w:r>
      <w:r w:rsidRPr="004C184C">
        <w:rPr>
          <w:cs/>
          <w:lang w:val="en-US"/>
        </w:rPr>
        <w:t xml:space="preserve"> </w:t>
      </w:r>
      <w:r w:rsidRPr="004C184C">
        <w:rPr>
          <w:lang w:val="en-US"/>
        </w:rPr>
        <w:t>is responsible for inquiring into the facts and preparing opinions on removal from office of holders of political office and high</w:t>
      </w:r>
      <w:r w:rsidRPr="004C184C">
        <w:rPr>
          <w:cs/>
          <w:lang w:val="en-US"/>
        </w:rPr>
        <w:t xml:space="preserve"> </w:t>
      </w:r>
      <w:r w:rsidRPr="004C184C">
        <w:rPr>
          <w:lang w:val="en-US"/>
        </w:rPr>
        <w:t>ranking officials to be submitted to the Senate or the Supreme Court of Justice</w:t>
      </w:r>
      <w:r w:rsidR="00567EA4" w:rsidRPr="004C184C">
        <w:rPr>
          <w:lang w:val="en-US"/>
        </w:rPr>
        <w:t>’</w:t>
      </w:r>
      <w:r w:rsidRPr="004C184C">
        <w:rPr>
          <w:lang w:val="en-US"/>
        </w:rPr>
        <w:t xml:space="preserve">s Criminal Division for Persons Holding Political Office; inspecting assets and liabilities of persons holding political office; and monitoring the morals and ethics of persons holding political office. </w:t>
      </w:r>
    </w:p>
    <w:p w14:paraId="07258907" w14:textId="77777777" w:rsidR="00EA422B" w:rsidRPr="004C184C" w:rsidRDefault="00EA422B" w:rsidP="0050000D">
      <w:pPr>
        <w:pStyle w:val="SingleTxtG"/>
        <w:rPr>
          <w:lang w:val="en-US"/>
        </w:rPr>
      </w:pPr>
      <w:r w:rsidRPr="004C184C">
        <w:rPr>
          <w:lang w:val="en-US"/>
        </w:rPr>
        <w:t>54.</w:t>
      </w:r>
      <w:r w:rsidRPr="004C184C">
        <w:rPr>
          <w:lang w:val="en-US"/>
        </w:rPr>
        <w:tab/>
        <w:t>The State Audit Commission is responsible for inspections, prescribing standards and rules for state audits and advising and recommending remedial measures on state audits in an independent and neutral manner.</w:t>
      </w:r>
    </w:p>
    <w:p w14:paraId="46067642" w14:textId="0BA6D87C" w:rsidR="00EA422B" w:rsidRPr="004C184C" w:rsidRDefault="00EA422B" w:rsidP="0050000D">
      <w:pPr>
        <w:pStyle w:val="SingleTxtG"/>
        <w:rPr>
          <w:lang w:val="en-US"/>
        </w:rPr>
      </w:pPr>
      <w:r w:rsidRPr="004C184C">
        <w:rPr>
          <w:lang w:val="en-US"/>
        </w:rPr>
        <w:lastRenderedPageBreak/>
        <w:t>55.</w:t>
      </w:r>
      <w:r w:rsidRPr="004C184C">
        <w:rPr>
          <w:lang w:val="en-US"/>
        </w:rPr>
        <w:tab/>
        <w:t>The National Human Rights Commission</w:t>
      </w:r>
      <w:r w:rsidRPr="004C184C">
        <w:rPr>
          <w:cs/>
          <w:lang w:val="en-US"/>
        </w:rPr>
        <w:t xml:space="preserve"> </w:t>
      </w:r>
      <w:r w:rsidRPr="004C184C">
        <w:rPr>
          <w:lang w:val="en-US"/>
        </w:rPr>
        <w:t>is responsible for examining and reporting facts on violations of human rights to the relevant state agencies and/or the private sector; and</w:t>
      </w:r>
      <w:r w:rsidRPr="004C184C">
        <w:rPr>
          <w:cs/>
          <w:lang w:val="en-US"/>
        </w:rPr>
        <w:t xml:space="preserve"> </w:t>
      </w:r>
      <w:r w:rsidRPr="004C184C">
        <w:rPr>
          <w:lang w:val="en-US"/>
        </w:rPr>
        <w:t>for rendering recommendations on measures or guidelines for the promotion and protection of human rights to the National Assembly, the Council of Ministers and relevant agencies. The Organic Act on the National Human Rights Commission, which came into force on 13 December 2017, reflects the country</w:t>
      </w:r>
      <w:r w:rsidR="00567EA4" w:rsidRPr="004C184C">
        <w:rPr>
          <w:lang w:val="en-US"/>
        </w:rPr>
        <w:t>’</w:t>
      </w:r>
      <w:r w:rsidRPr="004C184C">
        <w:rPr>
          <w:lang w:val="en-US"/>
        </w:rPr>
        <w:t>s efforts to revitalize the strength of this key human rights mechanism in accordance with the Principles relating to the Status of National Institutions (the Paris Principles).</w:t>
      </w:r>
    </w:p>
    <w:p w14:paraId="00F39BF8" w14:textId="77777777" w:rsidR="00EA422B" w:rsidRPr="004C184C" w:rsidRDefault="00EA422B" w:rsidP="00A63B20">
      <w:pPr>
        <w:pStyle w:val="H23G"/>
        <w:rPr>
          <w:lang w:val="en-US"/>
        </w:rPr>
      </w:pPr>
      <w:r w:rsidRPr="004C184C">
        <w:rPr>
          <w:lang w:val="en-US"/>
        </w:rPr>
        <w:tab/>
      </w:r>
      <w:r w:rsidRPr="004C184C">
        <w:rPr>
          <w:lang w:val="en-US"/>
        </w:rPr>
        <w:tab/>
        <w:t>State Attorney</w:t>
      </w:r>
    </w:p>
    <w:p w14:paraId="1CB33257" w14:textId="77777777" w:rsidR="00EA422B" w:rsidRPr="004C184C" w:rsidRDefault="00EA422B" w:rsidP="00A63B20">
      <w:pPr>
        <w:pStyle w:val="SingleTxtG"/>
        <w:rPr>
          <w:lang w:val="en-US"/>
        </w:rPr>
      </w:pPr>
      <w:r w:rsidRPr="004C184C">
        <w:rPr>
          <w:lang w:val="en-US"/>
        </w:rPr>
        <w:t>56.</w:t>
      </w:r>
      <w:r w:rsidRPr="004C184C">
        <w:rPr>
          <w:lang w:val="en-US"/>
        </w:rPr>
        <w:tab/>
        <w:t>The Office of the Attorney General has the power and constitutionally guaranteed independence to decide whether to prosecute a case or not and perform their functions under the Constitution in a just manner</w:t>
      </w:r>
      <w:r w:rsidRPr="004C184C">
        <w:rPr>
          <w:cs/>
          <w:lang w:val="en-US"/>
        </w:rPr>
        <w:t>.</w:t>
      </w:r>
      <w:r w:rsidRPr="004C184C">
        <w:rPr>
          <w:lang w:val="en-US"/>
        </w:rPr>
        <w:t xml:space="preserve"> The Office is a key player in protecting the human rights of citizens</w:t>
      </w:r>
      <w:r w:rsidRPr="004C184C">
        <w:rPr>
          <w:cs/>
          <w:lang w:val="en-US"/>
        </w:rPr>
        <w:t>.</w:t>
      </w:r>
    </w:p>
    <w:p w14:paraId="219F04C2" w14:textId="50F7458B" w:rsidR="00EA422B" w:rsidRPr="004C184C" w:rsidRDefault="00A63B20" w:rsidP="00A63B20">
      <w:pPr>
        <w:pStyle w:val="H23G"/>
        <w:rPr>
          <w:lang w:val="en-US"/>
        </w:rPr>
      </w:pPr>
      <w:r w:rsidRPr="004C184C">
        <w:rPr>
          <w:lang w:val="en-US"/>
        </w:rPr>
        <w:tab/>
      </w:r>
      <w:r w:rsidRPr="004C184C">
        <w:rPr>
          <w:lang w:val="en-US"/>
        </w:rPr>
        <w:tab/>
      </w:r>
      <w:r w:rsidR="00EA422B" w:rsidRPr="004C184C">
        <w:rPr>
          <w:lang w:val="en-US"/>
        </w:rPr>
        <w:t>The electoral system</w:t>
      </w:r>
    </w:p>
    <w:p w14:paraId="6C863A96" w14:textId="77777777" w:rsidR="00EA422B" w:rsidRPr="004C184C" w:rsidRDefault="00EA422B" w:rsidP="00A63B20">
      <w:pPr>
        <w:pStyle w:val="SingleTxtG"/>
        <w:rPr>
          <w:lang w:val="en-US"/>
        </w:rPr>
      </w:pPr>
      <w:r w:rsidRPr="004C184C">
        <w:rPr>
          <w:lang w:val="en-US"/>
        </w:rPr>
        <w:t>57.</w:t>
      </w:r>
      <w:r w:rsidRPr="004C184C">
        <w:rPr>
          <w:lang w:val="en-US"/>
        </w:rPr>
        <w:tab/>
        <w:t xml:space="preserve">To be entitled to vote in an election, a person must be a Thai citizen </w:t>
      </w:r>
      <w:r w:rsidRPr="004C184C">
        <w:rPr>
          <w:cs/>
          <w:lang w:val="en-US"/>
        </w:rPr>
        <w:t>(</w:t>
      </w:r>
      <w:r w:rsidRPr="004C184C">
        <w:rPr>
          <w:lang w:val="en-US"/>
        </w:rPr>
        <w:t>if Thai nationality is acquired through naturalization, that person must hold it for not less than five years</w:t>
      </w:r>
      <w:r w:rsidRPr="004C184C">
        <w:rPr>
          <w:cs/>
          <w:lang w:val="en-US"/>
        </w:rPr>
        <w:t xml:space="preserve">) </w:t>
      </w:r>
      <w:r w:rsidRPr="004C184C">
        <w:rPr>
          <w:lang w:val="en-US"/>
        </w:rPr>
        <w:t>and have reached the age of 18 on election day</w:t>
      </w:r>
      <w:r w:rsidRPr="004C184C">
        <w:rPr>
          <w:cs/>
          <w:lang w:val="en-US"/>
        </w:rPr>
        <w:t>.</w:t>
      </w:r>
    </w:p>
    <w:p w14:paraId="74828636" w14:textId="77777777" w:rsidR="00EA422B" w:rsidRPr="004C184C" w:rsidRDefault="00EA422B" w:rsidP="00A63B20">
      <w:pPr>
        <w:pStyle w:val="SingleTxtG"/>
        <w:rPr>
          <w:lang w:val="en-US"/>
        </w:rPr>
      </w:pPr>
      <w:r w:rsidRPr="004C184C">
        <w:rPr>
          <w:lang w:val="en-US"/>
        </w:rPr>
        <w:t>58.</w:t>
      </w:r>
      <w:r w:rsidRPr="004C184C">
        <w:rPr>
          <w:lang w:val="en-US"/>
        </w:rPr>
        <w:tab/>
        <w:t>In the 2019 election, 51,419,975</w:t>
      </w:r>
      <w:r w:rsidRPr="004C184C">
        <w:rPr>
          <w:cs/>
          <w:lang w:val="en-US"/>
        </w:rPr>
        <w:t xml:space="preserve"> </w:t>
      </w:r>
      <w:r w:rsidRPr="004C184C">
        <w:rPr>
          <w:lang w:val="en-US"/>
        </w:rPr>
        <w:t>persons were eligible to vote, of which 26,618,448 were female and 24,801,527 were male.</w:t>
      </w:r>
    </w:p>
    <w:p w14:paraId="623BF6F8" w14:textId="5E66FDEF" w:rsidR="00EA422B" w:rsidRPr="004C184C" w:rsidRDefault="00EA422B" w:rsidP="00687F8F">
      <w:pPr>
        <w:pStyle w:val="SingleTxtG"/>
        <w:spacing w:after="240"/>
        <w:rPr>
          <w:lang w:val="en-US"/>
        </w:rPr>
      </w:pPr>
      <w:r w:rsidRPr="004C184C">
        <w:rPr>
          <w:lang w:val="en-US"/>
        </w:rPr>
        <w:t>59.</w:t>
      </w:r>
      <w:r w:rsidRPr="004C184C">
        <w:rPr>
          <w:lang w:val="en-US"/>
        </w:rPr>
        <w:tab/>
        <w:t>As of 13 May 2019, there are 88 recognized political parties at the national level. The distribution of legislative seats by party is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972"/>
        <w:gridCol w:w="1398"/>
      </w:tblGrid>
      <w:tr w:rsidR="00EA422B" w:rsidRPr="004C184C" w14:paraId="0336E5A6" w14:textId="77777777" w:rsidTr="00687F8F">
        <w:trPr>
          <w:tblHeader/>
        </w:trPr>
        <w:tc>
          <w:tcPr>
            <w:tcW w:w="5054" w:type="dxa"/>
            <w:tcBorders>
              <w:top w:val="single" w:sz="4" w:space="0" w:color="auto"/>
              <w:bottom w:val="single" w:sz="12" w:space="0" w:color="auto"/>
            </w:tcBorders>
            <w:shd w:val="clear" w:color="auto" w:fill="auto"/>
            <w:vAlign w:val="bottom"/>
          </w:tcPr>
          <w:p w14:paraId="317E703F" w14:textId="77777777" w:rsidR="00EA422B" w:rsidRPr="004C184C" w:rsidRDefault="00EA422B" w:rsidP="00687F8F">
            <w:pPr>
              <w:suppressAutoHyphens w:val="0"/>
              <w:spacing w:before="80" w:after="80" w:line="200" w:lineRule="exact"/>
              <w:ind w:right="113"/>
              <w:rPr>
                <w:i/>
                <w:sz w:val="16"/>
                <w:lang w:val="en-US"/>
              </w:rPr>
            </w:pPr>
            <w:r w:rsidRPr="004C184C">
              <w:rPr>
                <w:i/>
                <w:sz w:val="16"/>
                <w:lang w:val="en-US"/>
              </w:rPr>
              <w:t>Party</w:t>
            </w:r>
          </w:p>
        </w:tc>
        <w:tc>
          <w:tcPr>
            <w:tcW w:w="1183" w:type="dxa"/>
            <w:tcBorders>
              <w:top w:val="single" w:sz="4" w:space="0" w:color="auto"/>
              <w:bottom w:val="single" w:sz="12" w:space="0" w:color="auto"/>
            </w:tcBorders>
            <w:shd w:val="clear" w:color="auto" w:fill="auto"/>
            <w:vAlign w:val="bottom"/>
          </w:tcPr>
          <w:p w14:paraId="5AA4E6CB" w14:textId="77777777" w:rsidR="00EA422B" w:rsidRPr="004C184C" w:rsidRDefault="00EA422B" w:rsidP="00687F8F">
            <w:pPr>
              <w:suppressAutoHyphens w:val="0"/>
              <w:spacing w:before="80" w:after="80" w:line="200" w:lineRule="exact"/>
              <w:ind w:right="113"/>
              <w:jc w:val="right"/>
              <w:rPr>
                <w:i/>
                <w:sz w:val="16"/>
                <w:lang w:val="en-US"/>
              </w:rPr>
            </w:pPr>
            <w:r w:rsidRPr="004C184C">
              <w:rPr>
                <w:i/>
                <w:sz w:val="16"/>
                <w:lang w:val="en-US"/>
              </w:rPr>
              <w:t>Seat(s)</w:t>
            </w:r>
          </w:p>
        </w:tc>
      </w:tr>
      <w:tr w:rsidR="00EA422B" w:rsidRPr="004C184C" w14:paraId="43062579" w14:textId="77777777" w:rsidTr="00687F8F">
        <w:trPr>
          <w:trHeight w:hRule="exact" w:val="113"/>
          <w:tblHeader/>
        </w:trPr>
        <w:tc>
          <w:tcPr>
            <w:tcW w:w="5054" w:type="dxa"/>
            <w:tcBorders>
              <w:top w:val="single" w:sz="12" w:space="0" w:color="auto"/>
            </w:tcBorders>
            <w:shd w:val="clear" w:color="auto" w:fill="auto"/>
          </w:tcPr>
          <w:p w14:paraId="6C14B3FE" w14:textId="77777777" w:rsidR="00EA422B" w:rsidRPr="004C184C" w:rsidRDefault="00EA422B" w:rsidP="00687F8F">
            <w:pPr>
              <w:suppressAutoHyphens w:val="0"/>
              <w:spacing w:before="40" w:after="40" w:line="220" w:lineRule="exact"/>
              <w:ind w:right="113"/>
              <w:rPr>
                <w:sz w:val="18"/>
                <w:lang w:val="en-US"/>
              </w:rPr>
            </w:pPr>
          </w:p>
        </w:tc>
        <w:tc>
          <w:tcPr>
            <w:tcW w:w="1183" w:type="dxa"/>
            <w:tcBorders>
              <w:top w:val="single" w:sz="12" w:space="0" w:color="auto"/>
            </w:tcBorders>
            <w:shd w:val="clear" w:color="auto" w:fill="auto"/>
            <w:vAlign w:val="bottom"/>
          </w:tcPr>
          <w:p w14:paraId="714A1B4C" w14:textId="77777777" w:rsidR="00EA422B" w:rsidRPr="004C184C" w:rsidRDefault="00EA422B" w:rsidP="00687F8F">
            <w:pPr>
              <w:suppressAutoHyphens w:val="0"/>
              <w:spacing w:before="40" w:after="40" w:line="220" w:lineRule="exact"/>
              <w:ind w:right="113"/>
              <w:jc w:val="right"/>
              <w:rPr>
                <w:sz w:val="18"/>
                <w:lang w:val="en-US"/>
              </w:rPr>
            </w:pPr>
          </w:p>
        </w:tc>
      </w:tr>
      <w:tr w:rsidR="00EA422B" w:rsidRPr="004C184C" w14:paraId="41A55F76" w14:textId="77777777" w:rsidTr="00687F8F">
        <w:tc>
          <w:tcPr>
            <w:tcW w:w="5054" w:type="dxa"/>
            <w:shd w:val="clear" w:color="auto" w:fill="auto"/>
          </w:tcPr>
          <w:p w14:paraId="5DD87E54" w14:textId="77777777" w:rsidR="00EA422B" w:rsidRPr="004C184C" w:rsidRDefault="00EA422B" w:rsidP="00687F8F">
            <w:pPr>
              <w:suppressAutoHyphens w:val="0"/>
              <w:spacing w:before="40" w:after="40" w:line="220" w:lineRule="exact"/>
              <w:ind w:right="113"/>
              <w:rPr>
                <w:sz w:val="18"/>
                <w:lang w:val="en-US"/>
              </w:rPr>
            </w:pPr>
            <w:proofErr w:type="spellStart"/>
            <w:r w:rsidRPr="004C184C">
              <w:rPr>
                <w:sz w:val="18"/>
                <w:lang w:val="en-US"/>
              </w:rPr>
              <w:t>Pheu</w:t>
            </w:r>
            <w:proofErr w:type="spellEnd"/>
            <w:r w:rsidRPr="004C184C">
              <w:rPr>
                <w:sz w:val="18"/>
                <w:lang w:val="en-US"/>
              </w:rPr>
              <w:t xml:space="preserve"> Thai Party</w:t>
            </w:r>
          </w:p>
        </w:tc>
        <w:tc>
          <w:tcPr>
            <w:tcW w:w="1183" w:type="dxa"/>
            <w:shd w:val="clear" w:color="auto" w:fill="auto"/>
            <w:vAlign w:val="bottom"/>
          </w:tcPr>
          <w:p w14:paraId="55734185" w14:textId="77777777" w:rsidR="00EA422B" w:rsidRPr="004C184C" w:rsidRDefault="00EA422B" w:rsidP="00687F8F">
            <w:pPr>
              <w:suppressAutoHyphens w:val="0"/>
              <w:spacing w:before="40" w:after="40" w:line="220" w:lineRule="exact"/>
              <w:ind w:right="113"/>
              <w:jc w:val="right"/>
              <w:rPr>
                <w:sz w:val="18"/>
                <w:lang w:val="en-US"/>
              </w:rPr>
            </w:pPr>
            <w:r w:rsidRPr="004C184C">
              <w:rPr>
                <w:sz w:val="18"/>
                <w:lang w:val="en-US"/>
              </w:rPr>
              <w:t>136</w:t>
            </w:r>
          </w:p>
        </w:tc>
      </w:tr>
      <w:tr w:rsidR="00EA422B" w:rsidRPr="004C184C" w14:paraId="1ABFA5FA" w14:textId="77777777" w:rsidTr="00687F8F">
        <w:tc>
          <w:tcPr>
            <w:tcW w:w="5054" w:type="dxa"/>
            <w:shd w:val="clear" w:color="auto" w:fill="auto"/>
          </w:tcPr>
          <w:p w14:paraId="004C0B09" w14:textId="77777777" w:rsidR="00EA422B" w:rsidRPr="004C184C" w:rsidRDefault="00EA422B" w:rsidP="00687F8F">
            <w:pPr>
              <w:suppressAutoHyphens w:val="0"/>
              <w:spacing w:before="40" w:after="40" w:line="220" w:lineRule="exact"/>
              <w:ind w:right="113"/>
              <w:rPr>
                <w:sz w:val="18"/>
                <w:lang w:val="en-US"/>
              </w:rPr>
            </w:pPr>
            <w:proofErr w:type="spellStart"/>
            <w:r w:rsidRPr="004C184C">
              <w:rPr>
                <w:sz w:val="18"/>
                <w:lang w:val="en-US"/>
              </w:rPr>
              <w:t>PalangPracharath</w:t>
            </w:r>
            <w:proofErr w:type="spellEnd"/>
            <w:r w:rsidRPr="004C184C">
              <w:rPr>
                <w:sz w:val="18"/>
                <w:lang w:val="en-US"/>
              </w:rPr>
              <w:t xml:space="preserve"> Party</w:t>
            </w:r>
          </w:p>
        </w:tc>
        <w:tc>
          <w:tcPr>
            <w:tcW w:w="1183" w:type="dxa"/>
            <w:shd w:val="clear" w:color="auto" w:fill="auto"/>
            <w:vAlign w:val="bottom"/>
          </w:tcPr>
          <w:p w14:paraId="00501198" w14:textId="77777777" w:rsidR="00EA422B" w:rsidRPr="004C184C" w:rsidRDefault="00EA422B" w:rsidP="00687F8F">
            <w:pPr>
              <w:suppressAutoHyphens w:val="0"/>
              <w:spacing w:before="40" w:after="40" w:line="220" w:lineRule="exact"/>
              <w:ind w:right="113"/>
              <w:jc w:val="right"/>
              <w:rPr>
                <w:sz w:val="18"/>
                <w:szCs w:val="18"/>
                <w:lang w:val="en-US"/>
              </w:rPr>
            </w:pPr>
            <w:r w:rsidRPr="004C184C">
              <w:rPr>
                <w:sz w:val="18"/>
                <w:szCs w:val="18"/>
                <w:lang w:val="en-US"/>
              </w:rPr>
              <w:t>11</w:t>
            </w:r>
            <w:r w:rsidRPr="004C184C">
              <w:rPr>
                <w:sz w:val="18"/>
                <w:szCs w:val="18"/>
                <w:cs/>
                <w:lang w:val="en-US"/>
              </w:rPr>
              <w:t>6</w:t>
            </w:r>
          </w:p>
        </w:tc>
      </w:tr>
      <w:tr w:rsidR="00EA422B" w:rsidRPr="004C184C" w14:paraId="7D8088DD" w14:textId="77777777" w:rsidTr="00687F8F">
        <w:tc>
          <w:tcPr>
            <w:tcW w:w="5054" w:type="dxa"/>
            <w:shd w:val="clear" w:color="auto" w:fill="auto"/>
          </w:tcPr>
          <w:p w14:paraId="454F1AAF" w14:textId="77777777" w:rsidR="00EA422B" w:rsidRPr="004C184C" w:rsidRDefault="00EA422B" w:rsidP="00687F8F">
            <w:pPr>
              <w:suppressAutoHyphens w:val="0"/>
              <w:spacing w:before="40" w:after="40" w:line="220" w:lineRule="exact"/>
              <w:ind w:right="113"/>
              <w:rPr>
                <w:sz w:val="18"/>
                <w:lang w:val="en-US"/>
              </w:rPr>
            </w:pPr>
            <w:r w:rsidRPr="004C184C">
              <w:rPr>
                <w:sz w:val="18"/>
                <w:lang w:val="en-US"/>
              </w:rPr>
              <w:t>Future Forward Party</w:t>
            </w:r>
          </w:p>
        </w:tc>
        <w:tc>
          <w:tcPr>
            <w:tcW w:w="1183" w:type="dxa"/>
            <w:shd w:val="clear" w:color="auto" w:fill="auto"/>
            <w:vAlign w:val="bottom"/>
          </w:tcPr>
          <w:p w14:paraId="06BF8C93" w14:textId="77777777" w:rsidR="00EA422B" w:rsidRPr="004C184C" w:rsidRDefault="00EA422B" w:rsidP="00687F8F">
            <w:pPr>
              <w:suppressAutoHyphens w:val="0"/>
              <w:spacing w:before="40" w:after="40" w:line="220" w:lineRule="exact"/>
              <w:ind w:right="113"/>
              <w:jc w:val="right"/>
              <w:rPr>
                <w:sz w:val="18"/>
                <w:szCs w:val="18"/>
                <w:lang w:val="en-US"/>
              </w:rPr>
            </w:pPr>
            <w:r w:rsidRPr="004C184C">
              <w:rPr>
                <w:sz w:val="18"/>
                <w:szCs w:val="18"/>
                <w:lang w:val="en-US"/>
              </w:rPr>
              <w:t>8</w:t>
            </w:r>
            <w:r w:rsidRPr="004C184C">
              <w:rPr>
                <w:sz w:val="18"/>
                <w:szCs w:val="18"/>
                <w:cs/>
                <w:lang w:val="en-US"/>
              </w:rPr>
              <w:t>0</w:t>
            </w:r>
          </w:p>
        </w:tc>
      </w:tr>
      <w:tr w:rsidR="00EA422B" w:rsidRPr="004C184C" w14:paraId="3E473FF3" w14:textId="77777777" w:rsidTr="00687F8F">
        <w:tc>
          <w:tcPr>
            <w:tcW w:w="5054" w:type="dxa"/>
            <w:shd w:val="clear" w:color="auto" w:fill="auto"/>
          </w:tcPr>
          <w:p w14:paraId="470F7F98" w14:textId="77777777" w:rsidR="00EA422B" w:rsidRPr="004C184C" w:rsidRDefault="00EA422B" w:rsidP="00687F8F">
            <w:pPr>
              <w:suppressAutoHyphens w:val="0"/>
              <w:spacing w:before="40" w:after="40" w:line="220" w:lineRule="exact"/>
              <w:ind w:right="113"/>
              <w:rPr>
                <w:sz w:val="18"/>
                <w:lang w:val="en-US"/>
              </w:rPr>
            </w:pPr>
            <w:r w:rsidRPr="004C184C">
              <w:rPr>
                <w:sz w:val="18"/>
                <w:lang w:val="en-US"/>
              </w:rPr>
              <w:t>Democrat Party</w:t>
            </w:r>
          </w:p>
        </w:tc>
        <w:tc>
          <w:tcPr>
            <w:tcW w:w="1183" w:type="dxa"/>
            <w:shd w:val="clear" w:color="auto" w:fill="auto"/>
            <w:vAlign w:val="bottom"/>
          </w:tcPr>
          <w:p w14:paraId="389EC70E" w14:textId="77777777" w:rsidR="00EA422B" w:rsidRPr="004C184C" w:rsidRDefault="00EA422B" w:rsidP="00687F8F">
            <w:pPr>
              <w:suppressAutoHyphens w:val="0"/>
              <w:spacing w:before="40" w:after="40" w:line="220" w:lineRule="exact"/>
              <w:ind w:right="113"/>
              <w:jc w:val="right"/>
              <w:rPr>
                <w:sz w:val="18"/>
                <w:lang w:val="en-US"/>
              </w:rPr>
            </w:pPr>
            <w:r w:rsidRPr="004C184C">
              <w:rPr>
                <w:sz w:val="18"/>
                <w:lang w:val="en-US"/>
              </w:rPr>
              <w:t>53</w:t>
            </w:r>
          </w:p>
        </w:tc>
      </w:tr>
      <w:tr w:rsidR="00EA422B" w:rsidRPr="004C184C" w14:paraId="35560EB4" w14:textId="77777777" w:rsidTr="00687F8F">
        <w:tc>
          <w:tcPr>
            <w:tcW w:w="5054" w:type="dxa"/>
            <w:shd w:val="clear" w:color="auto" w:fill="auto"/>
          </w:tcPr>
          <w:p w14:paraId="4E6D1B47" w14:textId="77777777" w:rsidR="00EA422B" w:rsidRPr="004C184C" w:rsidRDefault="00EA422B" w:rsidP="00687F8F">
            <w:pPr>
              <w:suppressAutoHyphens w:val="0"/>
              <w:spacing w:before="40" w:after="40" w:line="220" w:lineRule="exact"/>
              <w:ind w:right="113"/>
              <w:rPr>
                <w:sz w:val="18"/>
                <w:lang w:val="en-US"/>
              </w:rPr>
            </w:pPr>
            <w:proofErr w:type="spellStart"/>
            <w:r w:rsidRPr="004C184C">
              <w:rPr>
                <w:sz w:val="18"/>
                <w:lang w:val="en-US"/>
              </w:rPr>
              <w:t>Bhumjaithai</w:t>
            </w:r>
            <w:proofErr w:type="spellEnd"/>
            <w:r w:rsidRPr="004C184C">
              <w:rPr>
                <w:sz w:val="18"/>
                <w:lang w:val="en-US"/>
              </w:rPr>
              <w:t xml:space="preserve"> Party</w:t>
            </w:r>
          </w:p>
        </w:tc>
        <w:tc>
          <w:tcPr>
            <w:tcW w:w="1183" w:type="dxa"/>
            <w:shd w:val="clear" w:color="auto" w:fill="auto"/>
            <w:vAlign w:val="bottom"/>
          </w:tcPr>
          <w:p w14:paraId="4ABC5001" w14:textId="77777777" w:rsidR="00EA422B" w:rsidRPr="004C184C" w:rsidRDefault="00EA422B" w:rsidP="00687F8F">
            <w:pPr>
              <w:suppressAutoHyphens w:val="0"/>
              <w:spacing w:before="40" w:after="40" w:line="220" w:lineRule="exact"/>
              <w:ind w:right="113"/>
              <w:jc w:val="right"/>
              <w:rPr>
                <w:sz w:val="18"/>
                <w:lang w:val="en-US"/>
              </w:rPr>
            </w:pPr>
            <w:r w:rsidRPr="004C184C">
              <w:rPr>
                <w:sz w:val="18"/>
                <w:lang w:val="en-US"/>
              </w:rPr>
              <w:t>51</w:t>
            </w:r>
          </w:p>
        </w:tc>
      </w:tr>
      <w:tr w:rsidR="00EA422B" w:rsidRPr="004C184C" w14:paraId="2669E890" w14:textId="77777777" w:rsidTr="00687F8F">
        <w:tc>
          <w:tcPr>
            <w:tcW w:w="5054" w:type="dxa"/>
            <w:shd w:val="clear" w:color="auto" w:fill="auto"/>
          </w:tcPr>
          <w:p w14:paraId="417EEF26" w14:textId="77777777" w:rsidR="00EA422B" w:rsidRPr="004C184C" w:rsidRDefault="00EA422B" w:rsidP="00687F8F">
            <w:pPr>
              <w:suppressAutoHyphens w:val="0"/>
              <w:spacing w:before="40" w:after="40" w:line="220" w:lineRule="exact"/>
              <w:ind w:right="113"/>
              <w:rPr>
                <w:sz w:val="18"/>
                <w:lang w:val="en-US"/>
              </w:rPr>
            </w:pPr>
            <w:r w:rsidRPr="004C184C">
              <w:rPr>
                <w:sz w:val="18"/>
                <w:lang w:val="en-US"/>
              </w:rPr>
              <w:t>Thai Liberal Party</w:t>
            </w:r>
          </w:p>
        </w:tc>
        <w:tc>
          <w:tcPr>
            <w:tcW w:w="1183" w:type="dxa"/>
            <w:shd w:val="clear" w:color="auto" w:fill="auto"/>
            <w:vAlign w:val="bottom"/>
          </w:tcPr>
          <w:p w14:paraId="3DA963E4" w14:textId="77777777" w:rsidR="00EA422B" w:rsidRPr="004C184C" w:rsidRDefault="00EA422B" w:rsidP="00687F8F">
            <w:pPr>
              <w:suppressAutoHyphens w:val="0"/>
              <w:spacing w:before="40" w:after="40" w:line="220" w:lineRule="exact"/>
              <w:ind w:right="113"/>
              <w:jc w:val="right"/>
              <w:rPr>
                <w:sz w:val="18"/>
                <w:lang w:val="en-US"/>
              </w:rPr>
            </w:pPr>
            <w:r w:rsidRPr="004C184C">
              <w:rPr>
                <w:sz w:val="18"/>
                <w:lang w:val="en-US"/>
              </w:rPr>
              <w:t>10</w:t>
            </w:r>
          </w:p>
        </w:tc>
      </w:tr>
      <w:tr w:rsidR="00EA422B" w:rsidRPr="004C184C" w14:paraId="0BC9DA3D" w14:textId="77777777" w:rsidTr="00687F8F">
        <w:tc>
          <w:tcPr>
            <w:tcW w:w="5054" w:type="dxa"/>
            <w:shd w:val="clear" w:color="auto" w:fill="auto"/>
          </w:tcPr>
          <w:p w14:paraId="480BA1C5" w14:textId="77777777" w:rsidR="00EA422B" w:rsidRPr="004C184C" w:rsidRDefault="00EA422B" w:rsidP="00687F8F">
            <w:pPr>
              <w:suppressAutoHyphens w:val="0"/>
              <w:spacing w:before="40" w:after="40" w:line="220" w:lineRule="exact"/>
              <w:ind w:right="113"/>
              <w:rPr>
                <w:sz w:val="18"/>
                <w:lang w:val="en-US"/>
              </w:rPr>
            </w:pPr>
            <w:proofErr w:type="spellStart"/>
            <w:r w:rsidRPr="004C184C">
              <w:rPr>
                <w:sz w:val="18"/>
                <w:lang w:val="en-US"/>
              </w:rPr>
              <w:t>Chartthaipattana</w:t>
            </w:r>
            <w:proofErr w:type="spellEnd"/>
            <w:r w:rsidRPr="004C184C">
              <w:rPr>
                <w:sz w:val="18"/>
                <w:lang w:val="en-US"/>
              </w:rPr>
              <w:t xml:space="preserve"> Party</w:t>
            </w:r>
          </w:p>
        </w:tc>
        <w:tc>
          <w:tcPr>
            <w:tcW w:w="1183" w:type="dxa"/>
            <w:shd w:val="clear" w:color="auto" w:fill="auto"/>
            <w:vAlign w:val="bottom"/>
          </w:tcPr>
          <w:p w14:paraId="0149EB05" w14:textId="77777777" w:rsidR="00EA422B" w:rsidRPr="004C184C" w:rsidRDefault="00EA422B" w:rsidP="00687F8F">
            <w:pPr>
              <w:suppressAutoHyphens w:val="0"/>
              <w:spacing w:before="40" w:after="40" w:line="220" w:lineRule="exact"/>
              <w:ind w:right="113"/>
              <w:jc w:val="right"/>
              <w:rPr>
                <w:sz w:val="18"/>
                <w:lang w:val="en-US"/>
              </w:rPr>
            </w:pPr>
            <w:r w:rsidRPr="004C184C">
              <w:rPr>
                <w:sz w:val="18"/>
                <w:lang w:val="en-US"/>
              </w:rPr>
              <w:t>10</w:t>
            </w:r>
          </w:p>
        </w:tc>
      </w:tr>
      <w:tr w:rsidR="00EA422B" w:rsidRPr="004C184C" w14:paraId="748C60BE" w14:textId="77777777" w:rsidTr="00687F8F">
        <w:tc>
          <w:tcPr>
            <w:tcW w:w="5054" w:type="dxa"/>
            <w:shd w:val="clear" w:color="auto" w:fill="auto"/>
          </w:tcPr>
          <w:p w14:paraId="59C60B36" w14:textId="77777777" w:rsidR="00EA422B" w:rsidRPr="004C184C" w:rsidRDefault="00EA422B" w:rsidP="00687F8F">
            <w:pPr>
              <w:suppressAutoHyphens w:val="0"/>
              <w:spacing w:before="40" w:after="40" w:line="220" w:lineRule="exact"/>
              <w:ind w:right="113"/>
              <w:rPr>
                <w:sz w:val="18"/>
                <w:lang w:val="en-US"/>
              </w:rPr>
            </w:pPr>
            <w:r w:rsidRPr="004C184C">
              <w:rPr>
                <w:sz w:val="18"/>
                <w:lang w:val="en-US"/>
              </w:rPr>
              <w:t>New Economics Party</w:t>
            </w:r>
          </w:p>
        </w:tc>
        <w:tc>
          <w:tcPr>
            <w:tcW w:w="1183" w:type="dxa"/>
            <w:shd w:val="clear" w:color="auto" w:fill="auto"/>
            <w:vAlign w:val="bottom"/>
          </w:tcPr>
          <w:p w14:paraId="1DA8ECAD" w14:textId="77777777" w:rsidR="00EA422B" w:rsidRPr="004C184C" w:rsidRDefault="00EA422B" w:rsidP="00687F8F">
            <w:pPr>
              <w:suppressAutoHyphens w:val="0"/>
              <w:spacing w:before="40" w:after="40" w:line="220" w:lineRule="exact"/>
              <w:ind w:right="113"/>
              <w:jc w:val="right"/>
              <w:rPr>
                <w:sz w:val="18"/>
                <w:lang w:val="en-US"/>
              </w:rPr>
            </w:pPr>
            <w:r w:rsidRPr="004C184C">
              <w:rPr>
                <w:sz w:val="18"/>
                <w:lang w:val="en-US"/>
              </w:rPr>
              <w:t>6</w:t>
            </w:r>
          </w:p>
        </w:tc>
      </w:tr>
      <w:tr w:rsidR="00EA422B" w:rsidRPr="004C184C" w14:paraId="040E3D0F" w14:textId="77777777" w:rsidTr="00687F8F">
        <w:tc>
          <w:tcPr>
            <w:tcW w:w="5054" w:type="dxa"/>
            <w:shd w:val="clear" w:color="auto" w:fill="auto"/>
          </w:tcPr>
          <w:p w14:paraId="48684632" w14:textId="77777777" w:rsidR="00EA422B" w:rsidRPr="004C184C" w:rsidRDefault="00EA422B" w:rsidP="00687F8F">
            <w:pPr>
              <w:suppressAutoHyphens w:val="0"/>
              <w:spacing w:before="40" w:after="40" w:line="220" w:lineRule="exact"/>
              <w:ind w:right="113"/>
              <w:rPr>
                <w:sz w:val="18"/>
                <w:lang w:val="en-US"/>
              </w:rPr>
            </w:pPr>
            <w:proofErr w:type="spellStart"/>
            <w:r w:rsidRPr="004C184C">
              <w:rPr>
                <w:sz w:val="18"/>
                <w:lang w:val="en-US"/>
              </w:rPr>
              <w:t>Prachachart</w:t>
            </w:r>
            <w:proofErr w:type="spellEnd"/>
            <w:r w:rsidRPr="004C184C">
              <w:rPr>
                <w:sz w:val="18"/>
                <w:lang w:val="en-US"/>
              </w:rPr>
              <w:t xml:space="preserve"> Party</w:t>
            </w:r>
          </w:p>
        </w:tc>
        <w:tc>
          <w:tcPr>
            <w:tcW w:w="1183" w:type="dxa"/>
            <w:shd w:val="clear" w:color="auto" w:fill="auto"/>
            <w:vAlign w:val="bottom"/>
          </w:tcPr>
          <w:p w14:paraId="6359B8AA" w14:textId="77777777" w:rsidR="00EA422B" w:rsidRPr="004C184C" w:rsidRDefault="00EA422B" w:rsidP="00687F8F">
            <w:pPr>
              <w:suppressAutoHyphens w:val="0"/>
              <w:spacing w:before="40" w:after="40" w:line="220" w:lineRule="exact"/>
              <w:ind w:right="113"/>
              <w:jc w:val="right"/>
              <w:rPr>
                <w:sz w:val="18"/>
                <w:lang w:val="en-US"/>
              </w:rPr>
            </w:pPr>
            <w:r w:rsidRPr="004C184C">
              <w:rPr>
                <w:sz w:val="18"/>
                <w:lang w:val="en-US"/>
              </w:rPr>
              <w:t>7</w:t>
            </w:r>
          </w:p>
        </w:tc>
      </w:tr>
      <w:tr w:rsidR="00EA422B" w:rsidRPr="004C184C" w14:paraId="18139CD6" w14:textId="77777777" w:rsidTr="00687F8F">
        <w:tc>
          <w:tcPr>
            <w:tcW w:w="5054" w:type="dxa"/>
            <w:shd w:val="clear" w:color="auto" w:fill="auto"/>
          </w:tcPr>
          <w:p w14:paraId="3149201F" w14:textId="77777777" w:rsidR="00EA422B" w:rsidRPr="004C184C" w:rsidRDefault="00EA422B" w:rsidP="00687F8F">
            <w:pPr>
              <w:suppressAutoHyphens w:val="0"/>
              <w:spacing w:before="40" w:after="40" w:line="220" w:lineRule="exact"/>
              <w:ind w:right="113"/>
              <w:rPr>
                <w:sz w:val="18"/>
                <w:lang w:val="en-US"/>
              </w:rPr>
            </w:pPr>
            <w:proofErr w:type="spellStart"/>
            <w:r w:rsidRPr="004C184C">
              <w:rPr>
                <w:sz w:val="18"/>
                <w:lang w:val="en-US"/>
              </w:rPr>
              <w:t>Puea</w:t>
            </w:r>
            <w:proofErr w:type="spellEnd"/>
            <w:r w:rsidRPr="004C184C">
              <w:rPr>
                <w:sz w:val="18"/>
                <w:lang w:val="en-US"/>
              </w:rPr>
              <w:t xml:space="preserve"> Chat Party</w:t>
            </w:r>
          </w:p>
        </w:tc>
        <w:tc>
          <w:tcPr>
            <w:tcW w:w="1183" w:type="dxa"/>
            <w:shd w:val="clear" w:color="auto" w:fill="auto"/>
            <w:vAlign w:val="bottom"/>
          </w:tcPr>
          <w:p w14:paraId="5D621D87" w14:textId="77777777" w:rsidR="00EA422B" w:rsidRPr="004C184C" w:rsidRDefault="00EA422B" w:rsidP="00687F8F">
            <w:pPr>
              <w:suppressAutoHyphens w:val="0"/>
              <w:spacing w:before="40" w:after="40" w:line="220" w:lineRule="exact"/>
              <w:ind w:right="113"/>
              <w:jc w:val="right"/>
              <w:rPr>
                <w:sz w:val="18"/>
                <w:lang w:val="en-US"/>
              </w:rPr>
            </w:pPr>
            <w:r w:rsidRPr="004C184C">
              <w:rPr>
                <w:sz w:val="18"/>
                <w:lang w:val="en-US"/>
              </w:rPr>
              <w:t>5</w:t>
            </w:r>
          </w:p>
        </w:tc>
      </w:tr>
      <w:tr w:rsidR="00EA422B" w:rsidRPr="004C184C" w14:paraId="2D017E2D" w14:textId="77777777" w:rsidTr="00687F8F">
        <w:tc>
          <w:tcPr>
            <w:tcW w:w="5054" w:type="dxa"/>
            <w:shd w:val="clear" w:color="auto" w:fill="auto"/>
          </w:tcPr>
          <w:p w14:paraId="43747A96" w14:textId="77777777" w:rsidR="00EA422B" w:rsidRPr="004C184C" w:rsidRDefault="00EA422B" w:rsidP="00687F8F">
            <w:pPr>
              <w:suppressAutoHyphens w:val="0"/>
              <w:spacing w:before="40" w:after="40" w:line="220" w:lineRule="exact"/>
              <w:ind w:right="113"/>
              <w:rPr>
                <w:sz w:val="18"/>
                <w:lang w:val="en-US"/>
              </w:rPr>
            </w:pPr>
            <w:r w:rsidRPr="004C184C">
              <w:rPr>
                <w:sz w:val="18"/>
                <w:lang w:val="en-US"/>
              </w:rPr>
              <w:t>Action Coalition for Thailand</w:t>
            </w:r>
          </w:p>
        </w:tc>
        <w:tc>
          <w:tcPr>
            <w:tcW w:w="1183" w:type="dxa"/>
            <w:shd w:val="clear" w:color="auto" w:fill="auto"/>
            <w:vAlign w:val="bottom"/>
          </w:tcPr>
          <w:p w14:paraId="668F92D9" w14:textId="77777777" w:rsidR="00EA422B" w:rsidRPr="004C184C" w:rsidRDefault="00EA422B" w:rsidP="00687F8F">
            <w:pPr>
              <w:suppressAutoHyphens w:val="0"/>
              <w:spacing w:before="40" w:after="40" w:line="220" w:lineRule="exact"/>
              <w:ind w:right="113"/>
              <w:jc w:val="right"/>
              <w:rPr>
                <w:sz w:val="18"/>
                <w:lang w:val="en-US"/>
              </w:rPr>
            </w:pPr>
            <w:r w:rsidRPr="004C184C">
              <w:rPr>
                <w:sz w:val="18"/>
                <w:lang w:val="en-US"/>
              </w:rPr>
              <w:t>5</w:t>
            </w:r>
          </w:p>
        </w:tc>
      </w:tr>
      <w:tr w:rsidR="00EA422B" w:rsidRPr="004C184C" w14:paraId="594C9127" w14:textId="77777777" w:rsidTr="00687F8F">
        <w:tc>
          <w:tcPr>
            <w:tcW w:w="5054" w:type="dxa"/>
            <w:shd w:val="clear" w:color="auto" w:fill="auto"/>
          </w:tcPr>
          <w:p w14:paraId="2D525B0B" w14:textId="77777777" w:rsidR="00EA422B" w:rsidRPr="004C184C" w:rsidRDefault="00EA422B" w:rsidP="00687F8F">
            <w:pPr>
              <w:suppressAutoHyphens w:val="0"/>
              <w:spacing w:before="40" w:after="40" w:line="220" w:lineRule="exact"/>
              <w:ind w:right="113"/>
              <w:rPr>
                <w:sz w:val="18"/>
                <w:lang w:val="en-US"/>
              </w:rPr>
            </w:pPr>
            <w:r w:rsidRPr="004C184C">
              <w:rPr>
                <w:sz w:val="18"/>
                <w:lang w:val="en-US"/>
              </w:rPr>
              <w:t xml:space="preserve">Chart </w:t>
            </w:r>
            <w:proofErr w:type="spellStart"/>
            <w:r w:rsidRPr="004C184C">
              <w:rPr>
                <w:sz w:val="18"/>
                <w:lang w:val="en-US"/>
              </w:rPr>
              <w:t>Pattana</w:t>
            </w:r>
            <w:proofErr w:type="spellEnd"/>
            <w:r w:rsidRPr="004C184C">
              <w:rPr>
                <w:sz w:val="18"/>
                <w:lang w:val="en-US"/>
              </w:rPr>
              <w:t xml:space="preserve"> Party</w:t>
            </w:r>
          </w:p>
        </w:tc>
        <w:tc>
          <w:tcPr>
            <w:tcW w:w="1183" w:type="dxa"/>
            <w:shd w:val="clear" w:color="auto" w:fill="auto"/>
            <w:vAlign w:val="bottom"/>
          </w:tcPr>
          <w:p w14:paraId="4B7B6E8A" w14:textId="77777777" w:rsidR="00EA422B" w:rsidRPr="004C184C" w:rsidRDefault="00EA422B" w:rsidP="00687F8F">
            <w:pPr>
              <w:suppressAutoHyphens w:val="0"/>
              <w:spacing w:before="40" w:after="40" w:line="220" w:lineRule="exact"/>
              <w:ind w:right="113"/>
              <w:jc w:val="right"/>
              <w:rPr>
                <w:sz w:val="18"/>
                <w:lang w:val="en-US"/>
              </w:rPr>
            </w:pPr>
            <w:r w:rsidRPr="004C184C">
              <w:rPr>
                <w:sz w:val="18"/>
                <w:lang w:val="en-US"/>
              </w:rPr>
              <w:t>3</w:t>
            </w:r>
          </w:p>
        </w:tc>
      </w:tr>
      <w:tr w:rsidR="00EA422B" w:rsidRPr="004C184C" w14:paraId="23A16D60" w14:textId="77777777" w:rsidTr="00687F8F">
        <w:tc>
          <w:tcPr>
            <w:tcW w:w="5054" w:type="dxa"/>
            <w:shd w:val="clear" w:color="auto" w:fill="auto"/>
          </w:tcPr>
          <w:p w14:paraId="69696A05" w14:textId="77777777" w:rsidR="00EA422B" w:rsidRPr="004C184C" w:rsidRDefault="00EA422B" w:rsidP="00687F8F">
            <w:pPr>
              <w:suppressAutoHyphens w:val="0"/>
              <w:spacing w:before="40" w:after="40" w:line="220" w:lineRule="exact"/>
              <w:ind w:right="113"/>
              <w:rPr>
                <w:sz w:val="18"/>
                <w:lang w:val="en-US"/>
              </w:rPr>
            </w:pPr>
            <w:r w:rsidRPr="004C184C">
              <w:rPr>
                <w:sz w:val="18"/>
                <w:lang w:val="en-US"/>
              </w:rPr>
              <w:t>Thai Local Power Party</w:t>
            </w:r>
          </w:p>
        </w:tc>
        <w:tc>
          <w:tcPr>
            <w:tcW w:w="1183" w:type="dxa"/>
            <w:shd w:val="clear" w:color="auto" w:fill="auto"/>
            <w:vAlign w:val="bottom"/>
          </w:tcPr>
          <w:p w14:paraId="0C152E64" w14:textId="77777777" w:rsidR="00EA422B" w:rsidRPr="004C184C" w:rsidRDefault="00EA422B" w:rsidP="00687F8F">
            <w:pPr>
              <w:suppressAutoHyphens w:val="0"/>
              <w:spacing w:before="40" w:after="40" w:line="220" w:lineRule="exact"/>
              <w:ind w:right="113"/>
              <w:jc w:val="right"/>
              <w:rPr>
                <w:sz w:val="18"/>
                <w:lang w:val="en-US"/>
              </w:rPr>
            </w:pPr>
            <w:r w:rsidRPr="004C184C">
              <w:rPr>
                <w:sz w:val="18"/>
                <w:lang w:val="en-US"/>
              </w:rPr>
              <w:t>3</w:t>
            </w:r>
          </w:p>
        </w:tc>
      </w:tr>
      <w:tr w:rsidR="00EA422B" w:rsidRPr="004C184C" w14:paraId="7DC2CD1A" w14:textId="77777777" w:rsidTr="00687F8F">
        <w:tc>
          <w:tcPr>
            <w:tcW w:w="5054" w:type="dxa"/>
            <w:shd w:val="clear" w:color="auto" w:fill="auto"/>
          </w:tcPr>
          <w:p w14:paraId="02EDB473" w14:textId="77777777" w:rsidR="00EA422B" w:rsidRPr="004C184C" w:rsidRDefault="00EA422B" w:rsidP="00687F8F">
            <w:pPr>
              <w:suppressAutoHyphens w:val="0"/>
              <w:spacing w:before="40" w:after="40" w:line="220" w:lineRule="exact"/>
              <w:ind w:right="113"/>
              <w:rPr>
                <w:sz w:val="18"/>
                <w:lang w:val="en-US"/>
              </w:rPr>
            </w:pPr>
            <w:r w:rsidRPr="004C184C">
              <w:rPr>
                <w:sz w:val="18"/>
                <w:lang w:val="en-US"/>
              </w:rPr>
              <w:t>Thai Forest Conservation Party</w:t>
            </w:r>
          </w:p>
        </w:tc>
        <w:tc>
          <w:tcPr>
            <w:tcW w:w="1183" w:type="dxa"/>
            <w:shd w:val="clear" w:color="auto" w:fill="auto"/>
            <w:vAlign w:val="bottom"/>
          </w:tcPr>
          <w:p w14:paraId="74305892" w14:textId="77777777" w:rsidR="00EA422B" w:rsidRPr="004C184C" w:rsidRDefault="00EA422B" w:rsidP="00687F8F">
            <w:pPr>
              <w:suppressAutoHyphens w:val="0"/>
              <w:spacing w:before="40" w:after="40" w:line="220" w:lineRule="exact"/>
              <w:ind w:right="113"/>
              <w:jc w:val="right"/>
              <w:rPr>
                <w:sz w:val="18"/>
                <w:lang w:val="en-US"/>
              </w:rPr>
            </w:pPr>
            <w:r w:rsidRPr="004C184C">
              <w:rPr>
                <w:sz w:val="18"/>
                <w:lang w:val="en-US"/>
              </w:rPr>
              <w:t>2</w:t>
            </w:r>
          </w:p>
        </w:tc>
      </w:tr>
      <w:tr w:rsidR="00EA422B" w:rsidRPr="004C184C" w14:paraId="22F70545" w14:textId="77777777" w:rsidTr="00687F8F">
        <w:tc>
          <w:tcPr>
            <w:tcW w:w="5054" w:type="dxa"/>
            <w:shd w:val="clear" w:color="auto" w:fill="auto"/>
          </w:tcPr>
          <w:p w14:paraId="35435D26" w14:textId="77777777" w:rsidR="00EA422B" w:rsidRPr="004C184C" w:rsidRDefault="00EA422B" w:rsidP="00687F8F">
            <w:pPr>
              <w:suppressAutoHyphens w:val="0"/>
              <w:spacing w:before="40" w:after="40" w:line="220" w:lineRule="exact"/>
              <w:ind w:right="113"/>
              <w:rPr>
                <w:sz w:val="18"/>
                <w:lang w:val="en-US"/>
              </w:rPr>
            </w:pPr>
            <w:r w:rsidRPr="004C184C">
              <w:rPr>
                <w:sz w:val="18"/>
                <w:lang w:val="en-US"/>
              </w:rPr>
              <w:t>Thai People Power Party</w:t>
            </w:r>
          </w:p>
        </w:tc>
        <w:tc>
          <w:tcPr>
            <w:tcW w:w="1183" w:type="dxa"/>
            <w:shd w:val="clear" w:color="auto" w:fill="auto"/>
            <w:vAlign w:val="bottom"/>
          </w:tcPr>
          <w:p w14:paraId="74595AA3" w14:textId="77777777" w:rsidR="00EA422B" w:rsidRPr="004C184C" w:rsidRDefault="00EA422B" w:rsidP="00687F8F">
            <w:pPr>
              <w:suppressAutoHyphens w:val="0"/>
              <w:spacing w:before="40" w:after="40" w:line="220" w:lineRule="exact"/>
              <w:ind w:right="113"/>
              <w:jc w:val="right"/>
              <w:rPr>
                <w:sz w:val="18"/>
                <w:lang w:val="en-US"/>
              </w:rPr>
            </w:pPr>
            <w:r w:rsidRPr="004C184C">
              <w:rPr>
                <w:sz w:val="18"/>
                <w:lang w:val="en-US"/>
              </w:rPr>
              <w:t>1</w:t>
            </w:r>
          </w:p>
        </w:tc>
      </w:tr>
      <w:tr w:rsidR="00EA422B" w:rsidRPr="004C184C" w14:paraId="5C40EDDB" w14:textId="77777777" w:rsidTr="00687F8F">
        <w:tc>
          <w:tcPr>
            <w:tcW w:w="5054" w:type="dxa"/>
            <w:shd w:val="clear" w:color="auto" w:fill="auto"/>
          </w:tcPr>
          <w:p w14:paraId="7991EAD3" w14:textId="77777777" w:rsidR="00EA422B" w:rsidRPr="004C184C" w:rsidRDefault="00EA422B" w:rsidP="00687F8F">
            <w:pPr>
              <w:suppressAutoHyphens w:val="0"/>
              <w:spacing w:before="40" w:after="40" w:line="220" w:lineRule="exact"/>
              <w:ind w:right="113"/>
              <w:rPr>
                <w:sz w:val="18"/>
                <w:lang w:val="en-US"/>
              </w:rPr>
            </w:pPr>
            <w:r w:rsidRPr="004C184C">
              <w:rPr>
                <w:sz w:val="18"/>
                <w:lang w:val="en-US"/>
              </w:rPr>
              <w:t xml:space="preserve">Thai Nation Power Party </w:t>
            </w:r>
          </w:p>
        </w:tc>
        <w:tc>
          <w:tcPr>
            <w:tcW w:w="1183" w:type="dxa"/>
            <w:shd w:val="clear" w:color="auto" w:fill="auto"/>
            <w:vAlign w:val="bottom"/>
          </w:tcPr>
          <w:p w14:paraId="6DEA9AC8" w14:textId="77777777" w:rsidR="00EA422B" w:rsidRPr="004C184C" w:rsidRDefault="00EA422B" w:rsidP="00687F8F">
            <w:pPr>
              <w:suppressAutoHyphens w:val="0"/>
              <w:spacing w:before="40" w:after="40" w:line="220" w:lineRule="exact"/>
              <w:ind w:right="113"/>
              <w:jc w:val="right"/>
              <w:rPr>
                <w:sz w:val="18"/>
                <w:lang w:val="en-US"/>
              </w:rPr>
            </w:pPr>
            <w:r w:rsidRPr="004C184C">
              <w:rPr>
                <w:sz w:val="18"/>
                <w:lang w:val="en-US"/>
              </w:rPr>
              <w:t>1</w:t>
            </w:r>
          </w:p>
        </w:tc>
      </w:tr>
      <w:tr w:rsidR="00EA422B" w:rsidRPr="004C184C" w14:paraId="3074A3E6" w14:textId="77777777" w:rsidTr="00687F8F">
        <w:tc>
          <w:tcPr>
            <w:tcW w:w="5054" w:type="dxa"/>
            <w:shd w:val="clear" w:color="auto" w:fill="auto"/>
          </w:tcPr>
          <w:p w14:paraId="41F1C67F" w14:textId="77777777" w:rsidR="00EA422B" w:rsidRPr="004C184C" w:rsidRDefault="00EA422B" w:rsidP="00687F8F">
            <w:pPr>
              <w:suppressAutoHyphens w:val="0"/>
              <w:spacing w:before="40" w:after="40" w:line="220" w:lineRule="exact"/>
              <w:ind w:right="113"/>
              <w:rPr>
                <w:sz w:val="18"/>
                <w:lang w:val="en-US"/>
              </w:rPr>
            </w:pPr>
            <w:r w:rsidRPr="004C184C">
              <w:rPr>
                <w:sz w:val="18"/>
                <w:lang w:val="en-US"/>
              </w:rPr>
              <w:t>People Progressive Party</w:t>
            </w:r>
          </w:p>
        </w:tc>
        <w:tc>
          <w:tcPr>
            <w:tcW w:w="1183" w:type="dxa"/>
            <w:shd w:val="clear" w:color="auto" w:fill="auto"/>
            <w:vAlign w:val="bottom"/>
          </w:tcPr>
          <w:p w14:paraId="7358CB1A" w14:textId="77777777" w:rsidR="00EA422B" w:rsidRPr="004C184C" w:rsidRDefault="00EA422B" w:rsidP="00687F8F">
            <w:pPr>
              <w:suppressAutoHyphens w:val="0"/>
              <w:spacing w:before="40" w:after="40" w:line="220" w:lineRule="exact"/>
              <w:ind w:right="113"/>
              <w:jc w:val="right"/>
              <w:rPr>
                <w:sz w:val="18"/>
                <w:lang w:val="en-US"/>
              </w:rPr>
            </w:pPr>
            <w:r w:rsidRPr="004C184C">
              <w:rPr>
                <w:sz w:val="18"/>
                <w:lang w:val="en-US"/>
              </w:rPr>
              <w:t>1</w:t>
            </w:r>
          </w:p>
        </w:tc>
      </w:tr>
      <w:tr w:rsidR="00EA422B" w:rsidRPr="004C184C" w14:paraId="33336AB5" w14:textId="77777777" w:rsidTr="00687F8F">
        <w:tc>
          <w:tcPr>
            <w:tcW w:w="5054" w:type="dxa"/>
            <w:shd w:val="clear" w:color="auto" w:fill="auto"/>
          </w:tcPr>
          <w:p w14:paraId="05C08759" w14:textId="77777777" w:rsidR="00EA422B" w:rsidRPr="004C184C" w:rsidRDefault="00EA422B" w:rsidP="00687F8F">
            <w:pPr>
              <w:suppressAutoHyphens w:val="0"/>
              <w:spacing w:before="40" w:after="40" w:line="220" w:lineRule="exact"/>
              <w:ind w:right="113"/>
              <w:rPr>
                <w:sz w:val="18"/>
                <w:lang w:val="en-US"/>
              </w:rPr>
            </w:pPr>
            <w:r w:rsidRPr="004C184C">
              <w:rPr>
                <w:sz w:val="18"/>
                <w:lang w:val="en-US"/>
              </w:rPr>
              <w:t>Thai Civilized Party</w:t>
            </w:r>
          </w:p>
        </w:tc>
        <w:tc>
          <w:tcPr>
            <w:tcW w:w="1183" w:type="dxa"/>
            <w:shd w:val="clear" w:color="auto" w:fill="auto"/>
            <w:vAlign w:val="bottom"/>
          </w:tcPr>
          <w:p w14:paraId="46151E2C" w14:textId="77777777" w:rsidR="00EA422B" w:rsidRPr="004C184C" w:rsidRDefault="00EA422B" w:rsidP="00687F8F">
            <w:pPr>
              <w:suppressAutoHyphens w:val="0"/>
              <w:spacing w:before="40" w:after="40" w:line="220" w:lineRule="exact"/>
              <w:ind w:right="113"/>
              <w:jc w:val="right"/>
              <w:rPr>
                <w:sz w:val="18"/>
                <w:lang w:val="en-US"/>
              </w:rPr>
            </w:pPr>
            <w:r w:rsidRPr="004C184C">
              <w:rPr>
                <w:sz w:val="18"/>
                <w:lang w:val="en-US"/>
              </w:rPr>
              <w:t>1</w:t>
            </w:r>
          </w:p>
        </w:tc>
      </w:tr>
      <w:tr w:rsidR="00EA422B" w:rsidRPr="004C184C" w14:paraId="78D2BDD1" w14:textId="77777777" w:rsidTr="00687F8F">
        <w:tc>
          <w:tcPr>
            <w:tcW w:w="5054" w:type="dxa"/>
            <w:shd w:val="clear" w:color="auto" w:fill="auto"/>
          </w:tcPr>
          <w:p w14:paraId="56916ABC" w14:textId="77777777" w:rsidR="00EA422B" w:rsidRPr="004C184C" w:rsidRDefault="00EA422B" w:rsidP="00687F8F">
            <w:pPr>
              <w:suppressAutoHyphens w:val="0"/>
              <w:spacing w:before="40" w:after="40" w:line="220" w:lineRule="exact"/>
              <w:ind w:right="113"/>
              <w:rPr>
                <w:sz w:val="18"/>
                <w:lang w:val="en-US"/>
              </w:rPr>
            </w:pPr>
            <w:proofErr w:type="spellStart"/>
            <w:r w:rsidRPr="004C184C">
              <w:rPr>
                <w:sz w:val="18"/>
                <w:lang w:val="en-US"/>
              </w:rPr>
              <w:t>Palang</w:t>
            </w:r>
            <w:proofErr w:type="spellEnd"/>
            <w:r w:rsidRPr="004C184C">
              <w:rPr>
                <w:sz w:val="18"/>
                <w:lang w:val="en-US"/>
              </w:rPr>
              <w:t xml:space="preserve"> Thai </w:t>
            </w:r>
            <w:proofErr w:type="spellStart"/>
            <w:r w:rsidRPr="004C184C">
              <w:rPr>
                <w:sz w:val="18"/>
                <w:lang w:val="en-US"/>
              </w:rPr>
              <w:t>Rak</w:t>
            </w:r>
            <w:proofErr w:type="spellEnd"/>
            <w:r w:rsidRPr="004C184C">
              <w:rPr>
                <w:sz w:val="18"/>
                <w:lang w:val="en-US"/>
              </w:rPr>
              <w:t xml:space="preserve"> Thai Party</w:t>
            </w:r>
          </w:p>
        </w:tc>
        <w:tc>
          <w:tcPr>
            <w:tcW w:w="1183" w:type="dxa"/>
            <w:shd w:val="clear" w:color="auto" w:fill="auto"/>
            <w:vAlign w:val="bottom"/>
          </w:tcPr>
          <w:p w14:paraId="23B884FE" w14:textId="77777777" w:rsidR="00EA422B" w:rsidRPr="004C184C" w:rsidRDefault="00EA422B" w:rsidP="00687F8F">
            <w:pPr>
              <w:suppressAutoHyphens w:val="0"/>
              <w:spacing w:before="40" w:after="40" w:line="220" w:lineRule="exact"/>
              <w:ind w:right="113"/>
              <w:jc w:val="right"/>
              <w:rPr>
                <w:sz w:val="18"/>
                <w:lang w:val="en-US"/>
              </w:rPr>
            </w:pPr>
            <w:r w:rsidRPr="004C184C">
              <w:rPr>
                <w:sz w:val="18"/>
                <w:lang w:val="en-US"/>
              </w:rPr>
              <w:t>1</w:t>
            </w:r>
          </w:p>
        </w:tc>
      </w:tr>
      <w:tr w:rsidR="00EA422B" w:rsidRPr="004C184C" w14:paraId="504112A5" w14:textId="77777777" w:rsidTr="00687F8F">
        <w:tc>
          <w:tcPr>
            <w:tcW w:w="5054" w:type="dxa"/>
            <w:shd w:val="clear" w:color="auto" w:fill="auto"/>
          </w:tcPr>
          <w:p w14:paraId="47C8E7F2" w14:textId="77777777" w:rsidR="00EA422B" w:rsidRPr="004C184C" w:rsidRDefault="00EA422B" w:rsidP="00687F8F">
            <w:pPr>
              <w:suppressAutoHyphens w:val="0"/>
              <w:spacing w:before="40" w:after="40" w:line="220" w:lineRule="exact"/>
              <w:ind w:right="113"/>
              <w:rPr>
                <w:sz w:val="18"/>
                <w:lang w:val="en-US"/>
              </w:rPr>
            </w:pPr>
            <w:r w:rsidRPr="004C184C">
              <w:rPr>
                <w:sz w:val="18"/>
                <w:lang w:val="en-US"/>
              </w:rPr>
              <w:t>Thai Teachers for People Party</w:t>
            </w:r>
          </w:p>
        </w:tc>
        <w:tc>
          <w:tcPr>
            <w:tcW w:w="1183" w:type="dxa"/>
            <w:shd w:val="clear" w:color="auto" w:fill="auto"/>
            <w:vAlign w:val="bottom"/>
          </w:tcPr>
          <w:p w14:paraId="017713D9" w14:textId="77777777" w:rsidR="00EA422B" w:rsidRPr="004C184C" w:rsidRDefault="00EA422B" w:rsidP="00687F8F">
            <w:pPr>
              <w:suppressAutoHyphens w:val="0"/>
              <w:spacing w:before="40" w:after="40" w:line="220" w:lineRule="exact"/>
              <w:ind w:right="113"/>
              <w:jc w:val="right"/>
              <w:rPr>
                <w:sz w:val="18"/>
                <w:lang w:val="en-US"/>
              </w:rPr>
            </w:pPr>
            <w:r w:rsidRPr="004C184C">
              <w:rPr>
                <w:sz w:val="18"/>
                <w:lang w:val="en-US"/>
              </w:rPr>
              <w:t>1</w:t>
            </w:r>
          </w:p>
        </w:tc>
      </w:tr>
      <w:tr w:rsidR="00EA422B" w:rsidRPr="004C184C" w14:paraId="1E5C6A2B" w14:textId="77777777" w:rsidTr="00CA59C7">
        <w:tc>
          <w:tcPr>
            <w:tcW w:w="5054" w:type="dxa"/>
            <w:tcBorders>
              <w:bottom w:val="nil"/>
            </w:tcBorders>
            <w:shd w:val="clear" w:color="auto" w:fill="auto"/>
          </w:tcPr>
          <w:p w14:paraId="6B75213A" w14:textId="77777777" w:rsidR="00EA422B" w:rsidRPr="004C184C" w:rsidRDefault="00EA422B" w:rsidP="00687F8F">
            <w:pPr>
              <w:suppressAutoHyphens w:val="0"/>
              <w:spacing w:before="40" w:after="40" w:line="220" w:lineRule="exact"/>
              <w:ind w:right="113"/>
              <w:rPr>
                <w:sz w:val="18"/>
                <w:lang w:val="en-US"/>
              </w:rPr>
            </w:pPr>
            <w:proofErr w:type="spellStart"/>
            <w:r w:rsidRPr="004C184C">
              <w:rPr>
                <w:sz w:val="18"/>
                <w:lang w:val="en-US"/>
              </w:rPr>
              <w:t>Prachaniyom</w:t>
            </w:r>
            <w:proofErr w:type="spellEnd"/>
            <w:r w:rsidRPr="004C184C">
              <w:rPr>
                <w:sz w:val="18"/>
                <w:lang w:val="en-US"/>
              </w:rPr>
              <w:t xml:space="preserve"> Party</w:t>
            </w:r>
          </w:p>
        </w:tc>
        <w:tc>
          <w:tcPr>
            <w:tcW w:w="1183" w:type="dxa"/>
            <w:tcBorders>
              <w:bottom w:val="nil"/>
            </w:tcBorders>
            <w:shd w:val="clear" w:color="auto" w:fill="auto"/>
            <w:vAlign w:val="bottom"/>
          </w:tcPr>
          <w:p w14:paraId="078898D9" w14:textId="77777777" w:rsidR="00EA422B" w:rsidRPr="004C184C" w:rsidRDefault="00EA422B" w:rsidP="00687F8F">
            <w:pPr>
              <w:suppressAutoHyphens w:val="0"/>
              <w:spacing w:before="40" w:after="40" w:line="220" w:lineRule="exact"/>
              <w:ind w:right="113"/>
              <w:jc w:val="right"/>
              <w:rPr>
                <w:sz w:val="18"/>
                <w:lang w:val="en-US"/>
              </w:rPr>
            </w:pPr>
            <w:r w:rsidRPr="004C184C">
              <w:rPr>
                <w:sz w:val="18"/>
                <w:lang w:val="en-US"/>
              </w:rPr>
              <w:t>1</w:t>
            </w:r>
          </w:p>
        </w:tc>
      </w:tr>
      <w:tr w:rsidR="00EA422B" w:rsidRPr="004C184C" w14:paraId="5C647484" w14:textId="77777777" w:rsidTr="00CA59C7">
        <w:tc>
          <w:tcPr>
            <w:tcW w:w="5054" w:type="dxa"/>
            <w:tcBorders>
              <w:top w:val="nil"/>
              <w:bottom w:val="nil"/>
            </w:tcBorders>
            <w:shd w:val="clear" w:color="auto" w:fill="auto"/>
          </w:tcPr>
          <w:p w14:paraId="5A61A2F9" w14:textId="77777777" w:rsidR="00EA422B" w:rsidRPr="004C184C" w:rsidRDefault="00EA422B" w:rsidP="00687F8F">
            <w:pPr>
              <w:suppressAutoHyphens w:val="0"/>
              <w:spacing w:before="40" w:after="40" w:line="220" w:lineRule="exact"/>
              <w:ind w:right="113"/>
              <w:rPr>
                <w:sz w:val="18"/>
                <w:lang w:val="en-US"/>
              </w:rPr>
            </w:pPr>
            <w:r w:rsidRPr="004C184C">
              <w:rPr>
                <w:sz w:val="18"/>
                <w:lang w:val="en-US"/>
              </w:rPr>
              <w:t>Thai People Justice Party</w:t>
            </w:r>
          </w:p>
        </w:tc>
        <w:tc>
          <w:tcPr>
            <w:tcW w:w="1183" w:type="dxa"/>
            <w:tcBorders>
              <w:top w:val="nil"/>
              <w:bottom w:val="nil"/>
            </w:tcBorders>
            <w:shd w:val="clear" w:color="auto" w:fill="auto"/>
            <w:vAlign w:val="bottom"/>
          </w:tcPr>
          <w:p w14:paraId="6EB622DD" w14:textId="77777777" w:rsidR="00EA422B" w:rsidRPr="004C184C" w:rsidRDefault="00EA422B" w:rsidP="00687F8F">
            <w:pPr>
              <w:suppressAutoHyphens w:val="0"/>
              <w:spacing w:before="40" w:after="40" w:line="220" w:lineRule="exact"/>
              <w:ind w:right="113"/>
              <w:jc w:val="right"/>
              <w:rPr>
                <w:sz w:val="18"/>
                <w:lang w:val="en-US"/>
              </w:rPr>
            </w:pPr>
            <w:r w:rsidRPr="004C184C">
              <w:rPr>
                <w:sz w:val="18"/>
                <w:lang w:val="en-US"/>
              </w:rPr>
              <w:t>1</w:t>
            </w:r>
          </w:p>
        </w:tc>
      </w:tr>
      <w:tr w:rsidR="00EA422B" w:rsidRPr="004C184C" w14:paraId="7B0C7713" w14:textId="77777777" w:rsidTr="00CA59C7">
        <w:tc>
          <w:tcPr>
            <w:tcW w:w="5054" w:type="dxa"/>
            <w:tcBorders>
              <w:top w:val="nil"/>
              <w:bottom w:val="nil"/>
            </w:tcBorders>
            <w:shd w:val="clear" w:color="auto" w:fill="auto"/>
          </w:tcPr>
          <w:p w14:paraId="14D6CC17" w14:textId="77777777" w:rsidR="00EA422B" w:rsidRPr="004C184C" w:rsidRDefault="00EA422B" w:rsidP="00687F8F">
            <w:pPr>
              <w:suppressAutoHyphens w:val="0"/>
              <w:spacing w:before="40" w:after="40" w:line="220" w:lineRule="exact"/>
              <w:ind w:right="113"/>
              <w:rPr>
                <w:sz w:val="18"/>
                <w:lang w:val="en-US"/>
              </w:rPr>
            </w:pPr>
            <w:r w:rsidRPr="004C184C">
              <w:rPr>
                <w:sz w:val="18"/>
                <w:lang w:val="en-US"/>
              </w:rPr>
              <w:t>People Reform Party</w:t>
            </w:r>
          </w:p>
        </w:tc>
        <w:tc>
          <w:tcPr>
            <w:tcW w:w="1183" w:type="dxa"/>
            <w:tcBorders>
              <w:top w:val="nil"/>
              <w:bottom w:val="nil"/>
            </w:tcBorders>
            <w:shd w:val="clear" w:color="auto" w:fill="auto"/>
            <w:vAlign w:val="bottom"/>
          </w:tcPr>
          <w:p w14:paraId="0F60438F" w14:textId="77777777" w:rsidR="00EA422B" w:rsidRPr="004C184C" w:rsidRDefault="00EA422B" w:rsidP="00687F8F">
            <w:pPr>
              <w:suppressAutoHyphens w:val="0"/>
              <w:spacing w:before="40" w:after="40" w:line="220" w:lineRule="exact"/>
              <w:ind w:right="113"/>
              <w:jc w:val="right"/>
              <w:rPr>
                <w:sz w:val="18"/>
                <w:lang w:val="en-US"/>
              </w:rPr>
            </w:pPr>
            <w:r w:rsidRPr="004C184C">
              <w:rPr>
                <w:sz w:val="18"/>
                <w:lang w:val="en-US"/>
              </w:rPr>
              <w:t>1</w:t>
            </w:r>
          </w:p>
        </w:tc>
      </w:tr>
      <w:tr w:rsidR="00EA422B" w:rsidRPr="004C184C" w14:paraId="1DFA1A15" w14:textId="77777777" w:rsidTr="00687F8F">
        <w:tc>
          <w:tcPr>
            <w:tcW w:w="5054" w:type="dxa"/>
            <w:tcBorders>
              <w:top w:val="nil"/>
              <w:bottom w:val="nil"/>
            </w:tcBorders>
            <w:shd w:val="clear" w:color="auto" w:fill="auto"/>
          </w:tcPr>
          <w:p w14:paraId="28410199" w14:textId="77777777" w:rsidR="00EA422B" w:rsidRPr="004C184C" w:rsidRDefault="00EA422B" w:rsidP="00687F8F">
            <w:pPr>
              <w:suppressAutoHyphens w:val="0"/>
              <w:spacing w:before="40" w:after="40" w:line="220" w:lineRule="exact"/>
              <w:ind w:right="113"/>
              <w:rPr>
                <w:sz w:val="18"/>
                <w:lang w:val="en-US"/>
              </w:rPr>
            </w:pPr>
            <w:r w:rsidRPr="004C184C">
              <w:rPr>
                <w:sz w:val="18"/>
                <w:lang w:val="en-US"/>
              </w:rPr>
              <w:t>Thai Citizens Power Party</w:t>
            </w:r>
          </w:p>
        </w:tc>
        <w:tc>
          <w:tcPr>
            <w:tcW w:w="1183" w:type="dxa"/>
            <w:tcBorders>
              <w:top w:val="nil"/>
              <w:bottom w:val="nil"/>
            </w:tcBorders>
            <w:shd w:val="clear" w:color="auto" w:fill="auto"/>
            <w:vAlign w:val="bottom"/>
          </w:tcPr>
          <w:p w14:paraId="60E7216C" w14:textId="77777777" w:rsidR="00EA422B" w:rsidRPr="004C184C" w:rsidRDefault="00EA422B" w:rsidP="00687F8F">
            <w:pPr>
              <w:suppressAutoHyphens w:val="0"/>
              <w:spacing w:before="40" w:after="40" w:line="220" w:lineRule="exact"/>
              <w:ind w:right="113"/>
              <w:jc w:val="right"/>
              <w:rPr>
                <w:sz w:val="18"/>
                <w:lang w:val="en-US"/>
              </w:rPr>
            </w:pPr>
            <w:r w:rsidRPr="004C184C">
              <w:rPr>
                <w:sz w:val="18"/>
                <w:lang w:val="en-US"/>
              </w:rPr>
              <w:t>1</w:t>
            </w:r>
          </w:p>
        </w:tc>
      </w:tr>
      <w:tr w:rsidR="00EA422B" w:rsidRPr="004C184C" w14:paraId="170ED81D" w14:textId="77777777" w:rsidTr="00687F8F">
        <w:tc>
          <w:tcPr>
            <w:tcW w:w="5054" w:type="dxa"/>
            <w:tcBorders>
              <w:top w:val="nil"/>
            </w:tcBorders>
            <w:shd w:val="clear" w:color="auto" w:fill="auto"/>
          </w:tcPr>
          <w:p w14:paraId="1EC7560C" w14:textId="77777777" w:rsidR="00EA422B" w:rsidRPr="004C184C" w:rsidRDefault="00EA422B" w:rsidP="00687F8F">
            <w:pPr>
              <w:keepNext/>
              <w:keepLines/>
              <w:suppressAutoHyphens w:val="0"/>
              <w:spacing w:before="40" w:after="40" w:line="220" w:lineRule="exact"/>
              <w:ind w:right="113"/>
              <w:rPr>
                <w:sz w:val="18"/>
                <w:lang w:val="en-US"/>
              </w:rPr>
            </w:pPr>
            <w:r w:rsidRPr="004C184C">
              <w:rPr>
                <w:sz w:val="18"/>
                <w:lang w:val="en-US"/>
              </w:rPr>
              <w:lastRenderedPageBreak/>
              <w:t>New Democracy Party</w:t>
            </w:r>
          </w:p>
        </w:tc>
        <w:tc>
          <w:tcPr>
            <w:tcW w:w="1183" w:type="dxa"/>
            <w:tcBorders>
              <w:top w:val="nil"/>
            </w:tcBorders>
            <w:shd w:val="clear" w:color="auto" w:fill="auto"/>
            <w:vAlign w:val="bottom"/>
          </w:tcPr>
          <w:p w14:paraId="603CC999" w14:textId="77777777" w:rsidR="00EA422B" w:rsidRPr="004C184C" w:rsidRDefault="00EA422B" w:rsidP="00687F8F">
            <w:pPr>
              <w:keepNext/>
              <w:keepLines/>
              <w:suppressAutoHyphens w:val="0"/>
              <w:spacing w:before="40" w:after="40" w:line="220" w:lineRule="exact"/>
              <w:ind w:right="113"/>
              <w:jc w:val="right"/>
              <w:rPr>
                <w:sz w:val="18"/>
                <w:lang w:val="en-US"/>
              </w:rPr>
            </w:pPr>
            <w:r w:rsidRPr="004C184C">
              <w:rPr>
                <w:sz w:val="18"/>
                <w:lang w:val="en-US"/>
              </w:rPr>
              <w:t>1</w:t>
            </w:r>
          </w:p>
        </w:tc>
      </w:tr>
      <w:tr w:rsidR="00EA422B" w:rsidRPr="004C184C" w14:paraId="68B07957" w14:textId="77777777" w:rsidTr="00687F8F">
        <w:tc>
          <w:tcPr>
            <w:tcW w:w="5054" w:type="dxa"/>
            <w:shd w:val="clear" w:color="auto" w:fill="auto"/>
          </w:tcPr>
          <w:p w14:paraId="2F8588BC" w14:textId="77777777" w:rsidR="00EA422B" w:rsidRPr="004C184C" w:rsidRDefault="00EA422B" w:rsidP="00687F8F">
            <w:pPr>
              <w:keepNext/>
              <w:keepLines/>
              <w:suppressAutoHyphens w:val="0"/>
              <w:spacing w:before="40" w:after="40" w:line="220" w:lineRule="exact"/>
              <w:ind w:right="113"/>
              <w:rPr>
                <w:sz w:val="18"/>
                <w:lang w:val="en-US"/>
              </w:rPr>
            </w:pPr>
            <w:r w:rsidRPr="004C184C">
              <w:rPr>
                <w:sz w:val="18"/>
                <w:lang w:val="en-US"/>
              </w:rPr>
              <w:t xml:space="preserve">New </w:t>
            </w:r>
            <w:proofErr w:type="spellStart"/>
            <w:r w:rsidRPr="004C184C">
              <w:rPr>
                <w:sz w:val="18"/>
                <w:lang w:val="en-US"/>
              </w:rPr>
              <w:t>Palangdharma</w:t>
            </w:r>
            <w:proofErr w:type="spellEnd"/>
            <w:r w:rsidRPr="004C184C">
              <w:rPr>
                <w:sz w:val="18"/>
                <w:lang w:val="en-US"/>
              </w:rPr>
              <w:t xml:space="preserve"> Party</w:t>
            </w:r>
          </w:p>
        </w:tc>
        <w:tc>
          <w:tcPr>
            <w:tcW w:w="1183" w:type="dxa"/>
            <w:shd w:val="clear" w:color="auto" w:fill="auto"/>
            <w:vAlign w:val="bottom"/>
          </w:tcPr>
          <w:p w14:paraId="30DB509E" w14:textId="77777777" w:rsidR="00EA422B" w:rsidRPr="004C184C" w:rsidRDefault="00EA422B" w:rsidP="00687F8F">
            <w:pPr>
              <w:keepNext/>
              <w:keepLines/>
              <w:suppressAutoHyphens w:val="0"/>
              <w:spacing w:before="40" w:after="40" w:line="220" w:lineRule="exact"/>
              <w:ind w:right="113"/>
              <w:jc w:val="right"/>
              <w:rPr>
                <w:sz w:val="18"/>
                <w:lang w:val="en-US"/>
              </w:rPr>
            </w:pPr>
            <w:r w:rsidRPr="004C184C">
              <w:rPr>
                <w:sz w:val="18"/>
                <w:lang w:val="en-US"/>
              </w:rPr>
              <w:t>1</w:t>
            </w:r>
          </w:p>
        </w:tc>
      </w:tr>
    </w:tbl>
    <w:p w14:paraId="552BE46F" w14:textId="77777777" w:rsidR="00EA422B" w:rsidRPr="004C184C" w:rsidRDefault="00EA422B" w:rsidP="00687F8F">
      <w:pPr>
        <w:pStyle w:val="H23G"/>
        <w:rPr>
          <w:lang w:val="en-US"/>
        </w:rPr>
      </w:pPr>
      <w:r w:rsidRPr="004C184C">
        <w:rPr>
          <w:lang w:val="en-US"/>
        </w:rPr>
        <w:tab/>
      </w:r>
      <w:r w:rsidRPr="004C184C">
        <w:rPr>
          <w:lang w:val="en-US"/>
        </w:rPr>
        <w:tab/>
        <w:t>Crime and administration of justice</w:t>
      </w:r>
    </w:p>
    <w:p w14:paraId="371DD6E3" w14:textId="1B5EABA7" w:rsidR="00EA422B" w:rsidRPr="004C184C" w:rsidRDefault="00EA422B" w:rsidP="005E4033">
      <w:pPr>
        <w:pStyle w:val="SingleTxtG"/>
        <w:spacing w:after="240"/>
        <w:rPr>
          <w:lang w:val="en-US"/>
        </w:rPr>
      </w:pPr>
      <w:r w:rsidRPr="004C184C">
        <w:rPr>
          <w:lang w:val="en-US"/>
        </w:rPr>
        <w:t>60.</w:t>
      </w:r>
      <w:r w:rsidRPr="004C184C">
        <w:rPr>
          <w:lang w:val="en-US"/>
        </w:rPr>
        <w:tab/>
        <w:t>In 2019, criminal cases increased by 23% from the previous year. Among them, narcotic cases and offences against property cases increased by 27.7% and 4.3%, respectively. Crimes against life, body and sexual assaults decreased by 6.1%, however. Figures in the following tables are based on available data as of March 2019.</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435"/>
        <w:gridCol w:w="1328"/>
        <w:gridCol w:w="761"/>
        <w:gridCol w:w="620"/>
        <w:gridCol w:w="742"/>
        <w:gridCol w:w="484"/>
      </w:tblGrid>
      <w:tr w:rsidR="00EA422B" w:rsidRPr="004C184C" w14:paraId="394CDF93" w14:textId="77777777" w:rsidTr="00464716">
        <w:trPr>
          <w:tblHeader/>
        </w:trPr>
        <w:tc>
          <w:tcPr>
            <w:tcW w:w="3969" w:type="dxa"/>
            <w:tcBorders>
              <w:top w:val="single" w:sz="4" w:space="0" w:color="auto"/>
              <w:bottom w:val="single" w:sz="4" w:space="0" w:color="auto"/>
            </w:tcBorders>
            <w:shd w:val="clear" w:color="auto" w:fill="auto"/>
            <w:vAlign w:val="bottom"/>
          </w:tcPr>
          <w:p w14:paraId="0EC9A646" w14:textId="76B45F36" w:rsidR="00EA422B" w:rsidRPr="004C184C" w:rsidRDefault="00EA422B" w:rsidP="00796C13">
            <w:pPr>
              <w:suppressAutoHyphens w:val="0"/>
              <w:spacing w:before="80" w:after="80" w:line="200" w:lineRule="exact"/>
              <w:ind w:right="113"/>
              <w:rPr>
                <w:i/>
                <w:sz w:val="16"/>
                <w:lang w:val="en-US"/>
              </w:rPr>
            </w:pPr>
            <w:r w:rsidRPr="004C184C">
              <w:rPr>
                <w:i/>
                <w:sz w:val="16"/>
                <w:lang w:val="en-US"/>
              </w:rPr>
              <w:t>Incidence of violent death and life</w:t>
            </w:r>
            <w:r w:rsidR="00D97E73" w:rsidRPr="004C184C">
              <w:rPr>
                <w:i/>
                <w:sz w:val="16"/>
                <w:lang w:val="en-US"/>
              </w:rPr>
              <w:t>-</w:t>
            </w:r>
            <w:r w:rsidRPr="004C184C">
              <w:rPr>
                <w:i/>
                <w:sz w:val="16"/>
                <w:lang w:val="en-US"/>
              </w:rPr>
              <w:t>threatening crimes, offences against body and sexual offences reported per 100,000 persons</w:t>
            </w:r>
          </w:p>
        </w:tc>
        <w:tc>
          <w:tcPr>
            <w:tcW w:w="4526" w:type="dxa"/>
            <w:gridSpan w:val="5"/>
            <w:tcBorders>
              <w:top w:val="single" w:sz="4" w:space="0" w:color="auto"/>
              <w:bottom w:val="single" w:sz="4" w:space="0" w:color="auto"/>
            </w:tcBorders>
            <w:shd w:val="clear" w:color="auto" w:fill="auto"/>
            <w:vAlign w:val="bottom"/>
          </w:tcPr>
          <w:p w14:paraId="68FC7CCE" w14:textId="77777777" w:rsidR="00EA422B" w:rsidRPr="004C184C" w:rsidRDefault="00EA422B" w:rsidP="005E4033">
            <w:pPr>
              <w:suppressAutoHyphens w:val="0"/>
              <w:spacing w:before="80" w:after="80" w:line="200" w:lineRule="exact"/>
              <w:ind w:right="113"/>
              <w:jc w:val="right"/>
              <w:rPr>
                <w:i/>
                <w:sz w:val="16"/>
                <w:cs/>
                <w:lang w:val="en-US"/>
              </w:rPr>
            </w:pPr>
            <w:r w:rsidRPr="004C184C">
              <w:rPr>
                <w:i/>
                <w:sz w:val="16"/>
                <w:lang w:val="en-US"/>
              </w:rPr>
              <w:t>6</w:t>
            </w:r>
            <w:r w:rsidRPr="004C184C">
              <w:rPr>
                <w:i/>
                <w:sz w:val="16"/>
                <w:cs/>
                <w:lang w:val="en-US"/>
              </w:rPr>
              <w:t>.</w:t>
            </w:r>
            <w:r w:rsidRPr="004C184C">
              <w:rPr>
                <w:i/>
                <w:sz w:val="16"/>
                <w:lang w:val="en-US"/>
              </w:rPr>
              <w:t>98</w:t>
            </w:r>
          </w:p>
        </w:tc>
      </w:tr>
      <w:tr w:rsidR="00EA422B" w:rsidRPr="004C184C" w14:paraId="6BDAE893" w14:textId="77777777" w:rsidTr="00402575">
        <w:tc>
          <w:tcPr>
            <w:tcW w:w="3969" w:type="dxa"/>
            <w:vMerge w:val="restart"/>
            <w:tcBorders>
              <w:top w:val="single" w:sz="4" w:space="0" w:color="auto"/>
              <w:bottom w:val="single" w:sz="12" w:space="0" w:color="auto"/>
            </w:tcBorders>
            <w:shd w:val="clear" w:color="auto" w:fill="auto"/>
          </w:tcPr>
          <w:p w14:paraId="5529E417" w14:textId="77777777" w:rsidR="00EA422B" w:rsidRPr="004C184C" w:rsidRDefault="00EA422B" w:rsidP="005E4033">
            <w:pPr>
              <w:suppressAutoHyphens w:val="0"/>
              <w:spacing w:before="40" w:after="40" w:line="220" w:lineRule="exact"/>
              <w:ind w:right="113"/>
              <w:rPr>
                <w:sz w:val="18"/>
                <w:rtl/>
                <w:cs/>
                <w:lang w:val="en-US"/>
              </w:rPr>
            </w:pPr>
            <w:r w:rsidRPr="004C184C">
              <w:rPr>
                <w:sz w:val="18"/>
                <w:lang w:val="en-US"/>
              </w:rPr>
              <w:t xml:space="preserve">Number of persons and rate </w:t>
            </w:r>
            <w:r w:rsidRPr="004C184C">
              <w:rPr>
                <w:sz w:val="18"/>
                <w:cs/>
                <w:lang w:val="en-US"/>
              </w:rPr>
              <w:t>(</w:t>
            </w:r>
            <w:r w:rsidRPr="004C184C">
              <w:rPr>
                <w:sz w:val="18"/>
                <w:lang w:val="en-US"/>
              </w:rPr>
              <w:t>per</w:t>
            </w:r>
            <w:r w:rsidRPr="004C184C">
              <w:rPr>
                <w:sz w:val="18"/>
                <w:cs/>
                <w:lang w:val="en-US"/>
              </w:rPr>
              <w:t xml:space="preserve"> </w:t>
            </w:r>
            <w:r w:rsidRPr="004C184C">
              <w:rPr>
                <w:sz w:val="18"/>
                <w:lang w:val="en-US"/>
              </w:rPr>
              <w:t>100,000</w:t>
            </w:r>
            <w:r w:rsidRPr="004C184C">
              <w:rPr>
                <w:sz w:val="18"/>
                <w:cs/>
                <w:lang w:val="en-US"/>
              </w:rPr>
              <w:t xml:space="preserve"> </w:t>
            </w:r>
            <w:r w:rsidRPr="004C184C">
              <w:rPr>
                <w:sz w:val="18"/>
                <w:lang w:val="en-US"/>
              </w:rPr>
              <w:t>persons</w:t>
            </w:r>
            <w:r w:rsidRPr="004C184C">
              <w:rPr>
                <w:sz w:val="18"/>
                <w:cs/>
                <w:lang w:val="en-US"/>
              </w:rPr>
              <w:t xml:space="preserve">) </w:t>
            </w:r>
            <w:r w:rsidRPr="004C184C">
              <w:rPr>
                <w:sz w:val="18"/>
                <w:lang w:val="en-US"/>
              </w:rPr>
              <w:t>who</w:t>
            </w:r>
            <w:r w:rsidRPr="004C184C">
              <w:rPr>
                <w:sz w:val="18"/>
                <w:cs/>
                <w:lang w:val="en-US"/>
              </w:rPr>
              <w:t xml:space="preserve"> </w:t>
            </w:r>
            <w:r w:rsidRPr="004C184C">
              <w:rPr>
                <w:sz w:val="18"/>
                <w:lang w:val="en-US"/>
              </w:rPr>
              <w:t>were</w:t>
            </w:r>
            <w:r w:rsidRPr="004C184C">
              <w:rPr>
                <w:sz w:val="18"/>
                <w:cs/>
                <w:lang w:val="en-US"/>
              </w:rPr>
              <w:t xml:space="preserve"> </w:t>
            </w:r>
            <w:r w:rsidRPr="004C184C">
              <w:rPr>
                <w:sz w:val="18"/>
                <w:lang w:val="en-US"/>
              </w:rPr>
              <w:t xml:space="preserve">arrested </w:t>
            </w:r>
            <w:r w:rsidRPr="004C184C">
              <w:rPr>
                <w:sz w:val="18"/>
                <w:cs/>
                <w:lang w:val="en-US"/>
              </w:rPr>
              <w:t>/</w:t>
            </w:r>
            <w:r w:rsidRPr="004C184C">
              <w:rPr>
                <w:sz w:val="18"/>
                <w:lang w:val="en-US"/>
              </w:rPr>
              <w:t xml:space="preserve"> brought</w:t>
            </w:r>
            <w:r w:rsidRPr="004C184C">
              <w:rPr>
                <w:sz w:val="18"/>
                <w:cs/>
                <w:lang w:val="en-US"/>
              </w:rPr>
              <w:t xml:space="preserve"> </w:t>
            </w:r>
            <w:r w:rsidRPr="004C184C">
              <w:rPr>
                <w:sz w:val="18"/>
                <w:lang w:val="en-US"/>
              </w:rPr>
              <w:t>before</w:t>
            </w:r>
            <w:r w:rsidRPr="004C184C">
              <w:rPr>
                <w:sz w:val="18"/>
                <w:cs/>
                <w:lang w:val="en-US"/>
              </w:rPr>
              <w:t xml:space="preserve"> </w:t>
            </w:r>
            <w:r w:rsidRPr="004C184C">
              <w:rPr>
                <w:sz w:val="18"/>
                <w:lang w:val="en-US"/>
              </w:rPr>
              <w:t>a</w:t>
            </w:r>
            <w:r w:rsidRPr="004C184C">
              <w:rPr>
                <w:sz w:val="18"/>
                <w:cs/>
                <w:lang w:val="en-US"/>
              </w:rPr>
              <w:t xml:space="preserve"> </w:t>
            </w:r>
            <w:r w:rsidRPr="004C184C">
              <w:rPr>
                <w:sz w:val="18"/>
                <w:lang w:val="en-US"/>
              </w:rPr>
              <w:t xml:space="preserve">court for violent or other serious crimes </w:t>
            </w:r>
            <w:r w:rsidRPr="004C184C">
              <w:rPr>
                <w:sz w:val="18"/>
                <w:cs/>
                <w:lang w:val="en-US"/>
              </w:rPr>
              <w:t>(</w:t>
            </w:r>
            <w:r w:rsidRPr="004C184C">
              <w:rPr>
                <w:sz w:val="18"/>
                <w:lang w:val="en-US"/>
              </w:rPr>
              <w:t>such as homicide, robbery, assault and trafficking</w:t>
            </w:r>
            <w:r w:rsidRPr="004C184C">
              <w:rPr>
                <w:sz w:val="18"/>
                <w:cs/>
                <w:lang w:val="en-US"/>
              </w:rPr>
              <w:t>)</w:t>
            </w:r>
          </w:p>
        </w:tc>
        <w:tc>
          <w:tcPr>
            <w:tcW w:w="1533" w:type="dxa"/>
            <w:vMerge w:val="restart"/>
            <w:tcBorders>
              <w:top w:val="single" w:sz="4" w:space="0" w:color="auto"/>
              <w:bottom w:val="nil"/>
            </w:tcBorders>
            <w:shd w:val="clear" w:color="auto" w:fill="auto"/>
            <w:vAlign w:val="bottom"/>
          </w:tcPr>
          <w:p w14:paraId="43203074" w14:textId="77777777" w:rsidR="00EA422B" w:rsidRPr="004C184C" w:rsidRDefault="00EA422B" w:rsidP="00402575">
            <w:pPr>
              <w:suppressAutoHyphens w:val="0"/>
              <w:spacing w:before="80" w:after="80" w:line="200" w:lineRule="exact"/>
              <w:ind w:right="113"/>
              <w:rPr>
                <w:i/>
                <w:iCs/>
                <w:sz w:val="16"/>
                <w:szCs w:val="16"/>
                <w:lang w:val="en-US"/>
              </w:rPr>
            </w:pPr>
            <w:r w:rsidRPr="004C184C">
              <w:rPr>
                <w:i/>
                <w:iCs/>
                <w:sz w:val="16"/>
                <w:szCs w:val="16"/>
                <w:lang w:val="en-US"/>
              </w:rPr>
              <w:t>Offences</w:t>
            </w:r>
          </w:p>
        </w:tc>
        <w:tc>
          <w:tcPr>
            <w:tcW w:w="1586" w:type="dxa"/>
            <w:gridSpan w:val="2"/>
            <w:tcBorders>
              <w:top w:val="single" w:sz="4" w:space="0" w:color="auto"/>
              <w:bottom w:val="single" w:sz="4" w:space="0" w:color="auto"/>
              <w:right w:val="single" w:sz="24" w:space="0" w:color="FFFFFF" w:themeColor="background1"/>
            </w:tcBorders>
            <w:shd w:val="clear" w:color="auto" w:fill="auto"/>
            <w:vAlign w:val="bottom"/>
          </w:tcPr>
          <w:p w14:paraId="44EFB3C6" w14:textId="77777777" w:rsidR="00EA422B" w:rsidRPr="004C184C" w:rsidRDefault="00EA422B" w:rsidP="00796C13">
            <w:pPr>
              <w:suppressAutoHyphens w:val="0"/>
              <w:spacing w:before="80" w:after="80" w:line="200" w:lineRule="exact"/>
              <w:ind w:right="113"/>
              <w:jc w:val="right"/>
              <w:rPr>
                <w:i/>
                <w:iCs/>
                <w:sz w:val="16"/>
                <w:szCs w:val="16"/>
                <w:lang w:val="en-US"/>
              </w:rPr>
            </w:pPr>
            <w:r w:rsidRPr="004C184C">
              <w:rPr>
                <w:i/>
                <w:iCs/>
                <w:sz w:val="16"/>
                <w:szCs w:val="16"/>
                <w:lang w:val="en-US"/>
              </w:rPr>
              <w:t>Asserted</w:t>
            </w:r>
          </w:p>
        </w:tc>
        <w:tc>
          <w:tcPr>
            <w:tcW w:w="1407" w:type="dxa"/>
            <w:gridSpan w:val="2"/>
            <w:tcBorders>
              <w:top w:val="single" w:sz="4" w:space="0" w:color="auto"/>
              <w:left w:val="single" w:sz="24" w:space="0" w:color="FFFFFF" w:themeColor="background1"/>
              <w:bottom w:val="single" w:sz="4" w:space="0" w:color="auto"/>
            </w:tcBorders>
            <w:shd w:val="clear" w:color="auto" w:fill="auto"/>
            <w:vAlign w:val="bottom"/>
          </w:tcPr>
          <w:p w14:paraId="3AD08068" w14:textId="77777777" w:rsidR="00EA422B" w:rsidRPr="004C184C" w:rsidRDefault="00EA422B" w:rsidP="00796C13">
            <w:pPr>
              <w:suppressAutoHyphens w:val="0"/>
              <w:spacing w:before="80" w:after="80" w:line="200" w:lineRule="exact"/>
              <w:ind w:right="113"/>
              <w:jc w:val="right"/>
              <w:rPr>
                <w:i/>
                <w:iCs/>
                <w:sz w:val="16"/>
                <w:szCs w:val="16"/>
                <w:lang w:val="en-US"/>
              </w:rPr>
            </w:pPr>
            <w:r w:rsidRPr="004C184C">
              <w:rPr>
                <w:i/>
                <w:iCs/>
                <w:sz w:val="16"/>
                <w:szCs w:val="16"/>
                <w:lang w:val="en-US"/>
              </w:rPr>
              <w:t>Persecuted</w:t>
            </w:r>
          </w:p>
        </w:tc>
      </w:tr>
      <w:tr w:rsidR="00EA422B" w:rsidRPr="004C184C" w14:paraId="7996732D" w14:textId="77777777" w:rsidTr="00402575">
        <w:tc>
          <w:tcPr>
            <w:tcW w:w="3969" w:type="dxa"/>
            <w:vMerge/>
            <w:tcBorders>
              <w:top w:val="nil"/>
              <w:bottom w:val="single" w:sz="12" w:space="0" w:color="auto"/>
            </w:tcBorders>
            <w:shd w:val="clear" w:color="auto" w:fill="auto"/>
          </w:tcPr>
          <w:p w14:paraId="48194497" w14:textId="77777777" w:rsidR="00EA422B" w:rsidRPr="004C184C" w:rsidRDefault="00EA422B" w:rsidP="005E4033">
            <w:pPr>
              <w:suppressAutoHyphens w:val="0"/>
              <w:spacing w:before="40" w:after="40" w:line="220" w:lineRule="exact"/>
              <w:ind w:right="113"/>
              <w:rPr>
                <w:sz w:val="18"/>
                <w:lang w:val="en-US"/>
              </w:rPr>
            </w:pPr>
          </w:p>
        </w:tc>
        <w:tc>
          <w:tcPr>
            <w:tcW w:w="1533" w:type="dxa"/>
            <w:vMerge/>
            <w:tcBorders>
              <w:top w:val="nil"/>
              <w:bottom w:val="single" w:sz="12" w:space="0" w:color="auto"/>
            </w:tcBorders>
            <w:shd w:val="clear" w:color="auto" w:fill="auto"/>
            <w:vAlign w:val="bottom"/>
          </w:tcPr>
          <w:p w14:paraId="0C6931FF" w14:textId="77777777" w:rsidR="00EA422B" w:rsidRPr="004C184C" w:rsidRDefault="00EA422B" w:rsidP="00796C13">
            <w:pPr>
              <w:suppressAutoHyphens w:val="0"/>
              <w:spacing w:before="80" w:after="80" w:line="200" w:lineRule="exact"/>
              <w:ind w:right="113"/>
              <w:jc w:val="right"/>
              <w:rPr>
                <w:i/>
                <w:iCs/>
                <w:sz w:val="16"/>
                <w:szCs w:val="16"/>
                <w:lang w:val="en-US"/>
              </w:rPr>
            </w:pPr>
          </w:p>
        </w:tc>
        <w:tc>
          <w:tcPr>
            <w:tcW w:w="877" w:type="dxa"/>
            <w:tcBorders>
              <w:top w:val="single" w:sz="4" w:space="0" w:color="auto"/>
              <w:bottom w:val="single" w:sz="12" w:space="0" w:color="auto"/>
            </w:tcBorders>
            <w:shd w:val="clear" w:color="auto" w:fill="auto"/>
            <w:vAlign w:val="bottom"/>
          </w:tcPr>
          <w:p w14:paraId="3AAFAEA5" w14:textId="5480A58A" w:rsidR="00EA422B" w:rsidRPr="004C184C" w:rsidRDefault="000F3F61" w:rsidP="00796C13">
            <w:pPr>
              <w:suppressAutoHyphens w:val="0"/>
              <w:spacing w:before="80" w:after="80" w:line="200" w:lineRule="exact"/>
              <w:ind w:right="113"/>
              <w:jc w:val="right"/>
              <w:rPr>
                <w:i/>
                <w:iCs/>
                <w:sz w:val="16"/>
                <w:szCs w:val="16"/>
                <w:lang w:val="en-US"/>
              </w:rPr>
            </w:pPr>
            <w:r w:rsidRPr="004C184C">
              <w:rPr>
                <w:i/>
                <w:iCs/>
                <w:sz w:val="16"/>
                <w:szCs w:val="16"/>
                <w:lang w:val="en-US"/>
              </w:rPr>
              <w:t>Number</w:t>
            </w:r>
          </w:p>
        </w:tc>
        <w:tc>
          <w:tcPr>
            <w:tcW w:w="709" w:type="dxa"/>
            <w:tcBorders>
              <w:top w:val="single" w:sz="4" w:space="0" w:color="auto"/>
              <w:bottom w:val="single" w:sz="12" w:space="0" w:color="auto"/>
              <w:right w:val="single" w:sz="24" w:space="0" w:color="FFFFFF" w:themeColor="background1"/>
            </w:tcBorders>
            <w:shd w:val="clear" w:color="auto" w:fill="auto"/>
            <w:vAlign w:val="bottom"/>
          </w:tcPr>
          <w:p w14:paraId="00CBD3D3" w14:textId="5DEC3DC0" w:rsidR="00EA422B" w:rsidRPr="004C184C" w:rsidRDefault="000F3F61" w:rsidP="00796C13">
            <w:pPr>
              <w:suppressAutoHyphens w:val="0"/>
              <w:spacing w:before="80" w:after="80" w:line="200" w:lineRule="exact"/>
              <w:ind w:right="113"/>
              <w:jc w:val="right"/>
              <w:rPr>
                <w:i/>
                <w:iCs/>
                <w:sz w:val="16"/>
                <w:szCs w:val="16"/>
                <w:lang w:val="en-US"/>
              </w:rPr>
            </w:pPr>
            <w:r w:rsidRPr="004C184C">
              <w:rPr>
                <w:i/>
                <w:iCs/>
                <w:sz w:val="16"/>
                <w:szCs w:val="16"/>
                <w:lang w:val="en-US"/>
              </w:rPr>
              <w:t>Rate</w:t>
            </w:r>
          </w:p>
        </w:tc>
        <w:tc>
          <w:tcPr>
            <w:tcW w:w="850" w:type="dxa"/>
            <w:tcBorders>
              <w:top w:val="single" w:sz="4" w:space="0" w:color="auto"/>
              <w:left w:val="single" w:sz="24" w:space="0" w:color="FFFFFF" w:themeColor="background1"/>
              <w:bottom w:val="single" w:sz="12" w:space="0" w:color="auto"/>
            </w:tcBorders>
            <w:shd w:val="clear" w:color="auto" w:fill="auto"/>
            <w:vAlign w:val="bottom"/>
          </w:tcPr>
          <w:p w14:paraId="2689FE00" w14:textId="515B5AC9" w:rsidR="00EA422B" w:rsidRPr="004C184C" w:rsidRDefault="000F3F61" w:rsidP="00796C13">
            <w:pPr>
              <w:suppressAutoHyphens w:val="0"/>
              <w:spacing w:before="80" w:after="80" w:line="200" w:lineRule="exact"/>
              <w:ind w:right="113"/>
              <w:jc w:val="right"/>
              <w:rPr>
                <w:i/>
                <w:iCs/>
                <w:sz w:val="16"/>
                <w:szCs w:val="16"/>
                <w:lang w:val="en-US"/>
              </w:rPr>
            </w:pPr>
            <w:r w:rsidRPr="004C184C">
              <w:rPr>
                <w:i/>
                <w:iCs/>
                <w:sz w:val="16"/>
                <w:szCs w:val="16"/>
                <w:lang w:val="en-US"/>
              </w:rPr>
              <w:t>Number</w:t>
            </w:r>
          </w:p>
        </w:tc>
        <w:tc>
          <w:tcPr>
            <w:tcW w:w="557" w:type="dxa"/>
            <w:tcBorders>
              <w:top w:val="single" w:sz="4" w:space="0" w:color="auto"/>
              <w:bottom w:val="single" w:sz="12" w:space="0" w:color="auto"/>
            </w:tcBorders>
            <w:shd w:val="clear" w:color="auto" w:fill="auto"/>
            <w:vAlign w:val="bottom"/>
          </w:tcPr>
          <w:p w14:paraId="16E21042" w14:textId="53F07E25" w:rsidR="00EA422B" w:rsidRPr="004C184C" w:rsidRDefault="000F3F61" w:rsidP="00796C13">
            <w:pPr>
              <w:suppressAutoHyphens w:val="0"/>
              <w:spacing w:before="80" w:after="80" w:line="200" w:lineRule="exact"/>
              <w:ind w:right="113"/>
              <w:jc w:val="right"/>
              <w:rPr>
                <w:i/>
                <w:iCs/>
                <w:sz w:val="16"/>
                <w:szCs w:val="16"/>
                <w:lang w:val="en-US"/>
              </w:rPr>
            </w:pPr>
            <w:r w:rsidRPr="004C184C">
              <w:rPr>
                <w:i/>
                <w:iCs/>
                <w:sz w:val="16"/>
                <w:szCs w:val="16"/>
                <w:lang w:val="en-US"/>
              </w:rPr>
              <w:t>Rate</w:t>
            </w:r>
          </w:p>
        </w:tc>
      </w:tr>
      <w:tr w:rsidR="00EA422B" w:rsidRPr="004C184C" w14:paraId="1AE210C0" w14:textId="77777777" w:rsidTr="00464716">
        <w:tc>
          <w:tcPr>
            <w:tcW w:w="3969" w:type="dxa"/>
            <w:vMerge/>
            <w:tcBorders>
              <w:top w:val="nil"/>
              <w:bottom w:val="single" w:sz="12" w:space="0" w:color="auto"/>
            </w:tcBorders>
            <w:shd w:val="clear" w:color="auto" w:fill="auto"/>
          </w:tcPr>
          <w:p w14:paraId="1BCD7A93" w14:textId="77777777" w:rsidR="00EA422B" w:rsidRPr="004C184C" w:rsidRDefault="00EA422B" w:rsidP="005E4033">
            <w:pPr>
              <w:suppressAutoHyphens w:val="0"/>
              <w:spacing w:before="40" w:after="40" w:line="220" w:lineRule="exact"/>
              <w:ind w:right="113"/>
              <w:rPr>
                <w:sz w:val="18"/>
                <w:lang w:val="en-US"/>
              </w:rPr>
            </w:pPr>
          </w:p>
        </w:tc>
        <w:tc>
          <w:tcPr>
            <w:tcW w:w="1533" w:type="dxa"/>
            <w:tcBorders>
              <w:top w:val="single" w:sz="12" w:space="0" w:color="auto"/>
            </w:tcBorders>
            <w:shd w:val="clear" w:color="auto" w:fill="auto"/>
            <w:vAlign w:val="bottom"/>
          </w:tcPr>
          <w:p w14:paraId="34E426F4" w14:textId="77777777" w:rsidR="00EA422B" w:rsidRPr="004C184C" w:rsidRDefault="00EA422B" w:rsidP="00402575">
            <w:pPr>
              <w:suppressAutoHyphens w:val="0"/>
              <w:spacing w:before="40" w:after="40" w:line="220" w:lineRule="exact"/>
              <w:ind w:right="113"/>
              <w:rPr>
                <w:sz w:val="18"/>
                <w:lang w:val="en-US"/>
              </w:rPr>
            </w:pPr>
            <w:r w:rsidRPr="004C184C">
              <w:rPr>
                <w:sz w:val="18"/>
                <w:lang w:val="en-US"/>
              </w:rPr>
              <w:t>Arson</w:t>
            </w:r>
          </w:p>
        </w:tc>
        <w:tc>
          <w:tcPr>
            <w:tcW w:w="877" w:type="dxa"/>
            <w:tcBorders>
              <w:top w:val="single" w:sz="12" w:space="0" w:color="auto"/>
            </w:tcBorders>
            <w:shd w:val="clear" w:color="auto" w:fill="auto"/>
            <w:vAlign w:val="bottom"/>
          </w:tcPr>
          <w:p w14:paraId="2FB73868" w14:textId="77777777"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317</w:t>
            </w:r>
          </w:p>
        </w:tc>
        <w:tc>
          <w:tcPr>
            <w:tcW w:w="709" w:type="dxa"/>
            <w:tcBorders>
              <w:top w:val="single" w:sz="12" w:space="0" w:color="auto"/>
            </w:tcBorders>
            <w:shd w:val="clear" w:color="auto" w:fill="auto"/>
            <w:vAlign w:val="bottom"/>
          </w:tcPr>
          <w:p w14:paraId="22FBB87D" w14:textId="77777777"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0</w:t>
            </w:r>
            <w:r w:rsidRPr="004C184C">
              <w:rPr>
                <w:sz w:val="18"/>
                <w:cs/>
                <w:lang w:val="en-US"/>
              </w:rPr>
              <w:t>.</w:t>
            </w:r>
            <w:r w:rsidRPr="004C184C">
              <w:rPr>
                <w:sz w:val="18"/>
                <w:lang w:val="en-US"/>
              </w:rPr>
              <w:t>55</w:t>
            </w:r>
          </w:p>
        </w:tc>
        <w:tc>
          <w:tcPr>
            <w:tcW w:w="850" w:type="dxa"/>
            <w:tcBorders>
              <w:top w:val="single" w:sz="12" w:space="0" w:color="auto"/>
            </w:tcBorders>
            <w:shd w:val="clear" w:color="auto" w:fill="auto"/>
            <w:vAlign w:val="bottom"/>
          </w:tcPr>
          <w:p w14:paraId="2DE14A8F" w14:textId="77777777"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594</w:t>
            </w:r>
          </w:p>
        </w:tc>
        <w:tc>
          <w:tcPr>
            <w:tcW w:w="557" w:type="dxa"/>
            <w:tcBorders>
              <w:top w:val="single" w:sz="12" w:space="0" w:color="auto"/>
            </w:tcBorders>
            <w:shd w:val="clear" w:color="auto" w:fill="auto"/>
            <w:vAlign w:val="bottom"/>
          </w:tcPr>
          <w:p w14:paraId="36F61DCD" w14:textId="77777777"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0</w:t>
            </w:r>
            <w:r w:rsidRPr="004C184C">
              <w:rPr>
                <w:sz w:val="18"/>
                <w:cs/>
                <w:lang w:val="en-US"/>
              </w:rPr>
              <w:t>.</w:t>
            </w:r>
            <w:r w:rsidRPr="004C184C">
              <w:rPr>
                <w:sz w:val="18"/>
                <w:lang w:val="en-US"/>
              </w:rPr>
              <w:t>89</w:t>
            </w:r>
          </w:p>
        </w:tc>
      </w:tr>
      <w:tr w:rsidR="00EA422B" w:rsidRPr="004C184C" w14:paraId="51D79076" w14:textId="77777777" w:rsidTr="00464716">
        <w:tc>
          <w:tcPr>
            <w:tcW w:w="3969" w:type="dxa"/>
            <w:vMerge/>
            <w:tcBorders>
              <w:top w:val="nil"/>
              <w:bottom w:val="single" w:sz="12" w:space="0" w:color="auto"/>
            </w:tcBorders>
            <w:shd w:val="clear" w:color="auto" w:fill="auto"/>
          </w:tcPr>
          <w:p w14:paraId="6DA94FF8" w14:textId="77777777" w:rsidR="00EA422B" w:rsidRPr="004C184C" w:rsidRDefault="00EA422B" w:rsidP="005E4033">
            <w:pPr>
              <w:suppressAutoHyphens w:val="0"/>
              <w:spacing w:before="40" w:after="40" w:line="220" w:lineRule="exact"/>
              <w:ind w:right="113"/>
              <w:rPr>
                <w:sz w:val="18"/>
                <w:lang w:val="en-US"/>
              </w:rPr>
            </w:pPr>
          </w:p>
        </w:tc>
        <w:tc>
          <w:tcPr>
            <w:tcW w:w="1533" w:type="dxa"/>
            <w:shd w:val="clear" w:color="auto" w:fill="auto"/>
            <w:vAlign w:val="bottom"/>
          </w:tcPr>
          <w:p w14:paraId="136DBC1B" w14:textId="77777777" w:rsidR="00EA422B" w:rsidRPr="004C184C" w:rsidRDefault="00EA422B" w:rsidP="00402575">
            <w:pPr>
              <w:suppressAutoHyphens w:val="0"/>
              <w:spacing w:before="40" w:after="40" w:line="220" w:lineRule="exact"/>
              <w:ind w:right="113"/>
              <w:rPr>
                <w:sz w:val="18"/>
                <w:lang w:val="en-US"/>
              </w:rPr>
            </w:pPr>
            <w:r w:rsidRPr="004C184C">
              <w:rPr>
                <w:sz w:val="18"/>
                <w:lang w:val="en-US"/>
              </w:rPr>
              <w:t>Rape</w:t>
            </w:r>
          </w:p>
        </w:tc>
        <w:tc>
          <w:tcPr>
            <w:tcW w:w="877" w:type="dxa"/>
            <w:shd w:val="clear" w:color="auto" w:fill="auto"/>
            <w:vAlign w:val="bottom"/>
          </w:tcPr>
          <w:p w14:paraId="73D61792" w14:textId="35E97953"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3</w:t>
            </w:r>
            <w:r w:rsidR="004D6BEF" w:rsidRPr="004C184C">
              <w:rPr>
                <w:sz w:val="18"/>
                <w:lang w:val="en-US"/>
              </w:rPr>
              <w:t xml:space="preserve"> </w:t>
            </w:r>
            <w:r w:rsidRPr="004C184C">
              <w:rPr>
                <w:sz w:val="18"/>
                <w:lang w:val="en-US"/>
              </w:rPr>
              <w:t>523</w:t>
            </w:r>
          </w:p>
        </w:tc>
        <w:tc>
          <w:tcPr>
            <w:tcW w:w="709" w:type="dxa"/>
            <w:shd w:val="clear" w:color="auto" w:fill="auto"/>
            <w:vAlign w:val="bottom"/>
          </w:tcPr>
          <w:p w14:paraId="77532BFB" w14:textId="77777777"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5</w:t>
            </w:r>
            <w:r w:rsidRPr="004C184C">
              <w:rPr>
                <w:sz w:val="18"/>
                <w:cs/>
                <w:lang w:val="en-US"/>
              </w:rPr>
              <w:t>.</w:t>
            </w:r>
            <w:r w:rsidRPr="004C184C">
              <w:rPr>
                <w:sz w:val="18"/>
                <w:lang w:val="en-US"/>
              </w:rPr>
              <w:t>3</w:t>
            </w:r>
          </w:p>
        </w:tc>
        <w:tc>
          <w:tcPr>
            <w:tcW w:w="850" w:type="dxa"/>
            <w:shd w:val="clear" w:color="auto" w:fill="auto"/>
            <w:vAlign w:val="bottom"/>
          </w:tcPr>
          <w:p w14:paraId="4CCB2469" w14:textId="2A59B06D"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7</w:t>
            </w:r>
            <w:r w:rsidR="004D6BEF" w:rsidRPr="004C184C">
              <w:rPr>
                <w:sz w:val="18"/>
                <w:lang w:val="en-US"/>
              </w:rPr>
              <w:t xml:space="preserve"> </w:t>
            </w:r>
            <w:r w:rsidRPr="004C184C">
              <w:rPr>
                <w:sz w:val="18"/>
                <w:lang w:val="en-US"/>
              </w:rPr>
              <w:t>334</w:t>
            </w:r>
          </w:p>
        </w:tc>
        <w:tc>
          <w:tcPr>
            <w:tcW w:w="557" w:type="dxa"/>
            <w:shd w:val="clear" w:color="auto" w:fill="auto"/>
            <w:vAlign w:val="bottom"/>
          </w:tcPr>
          <w:p w14:paraId="28409D19" w14:textId="77777777"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11</w:t>
            </w:r>
          </w:p>
        </w:tc>
      </w:tr>
      <w:tr w:rsidR="00EA422B" w:rsidRPr="004C184C" w14:paraId="68E39A55" w14:textId="77777777" w:rsidTr="00464716">
        <w:tc>
          <w:tcPr>
            <w:tcW w:w="3969" w:type="dxa"/>
            <w:vMerge/>
            <w:tcBorders>
              <w:top w:val="nil"/>
              <w:bottom w:val="single" w:sz="12" w:space="0" w:color="auto"/>
            </w:tcBorders>
            <w:shd w:val="clear" w:color="auto" w:fill="auto"/>
          </w:tcPr>
          <w:p w14:paraId="55CDEA8A" w14:textId="77777777" w:rsidR="00EA422B" w:rsidRPr="004C184C" w:rsidRDefault="00EA422B" w:rsidP="005E4033">
            <w:pPr>
              <w:suppressAutoHyphens w:val="0"/>
              <w:spacing w:before="40" w:after="40" w:line="220" w:lineRule="exact"/>
              <w:ind w:right="113"/>
              <w:rPr>
                <w:sz w:val="18"/>
                <w:lang w:val="en-US"/>
              </w:rPr>
            </w:pPr>
          </w:p>
        </w:tc>
        <w:tc>
          <w:tcPr>
            <w:tcW w:w="1533" w:type="dxa"/>
            <w:shd w:val="clear" w:color="auto" w:fill="auto"/>
            <w:vAlign w:val="bottom"/>
          </w:tcPr>
          <w:p w14:paraId="57AB8AA5" w14:textId="77777777" w:rsidR="00EA422B" w:rsidRPr="004C184C" w:rsidRDefault="00EA422B" w:rsidP="00402575">
            <w:pPr>
              <w:suppressAutoHyphens w:val="0"/>
              <w:spacing w:before="40" w:after="40" w:line="220" w:lineRule="exact"/>
              <w:ind w:right="113"/>
              <w:rPr>
                <w:sz w:val="18"/>
                <w:lang w:val="en-US"/>
              </w:rPr>
            </w:pPr>
            <w:r w:rsidRPr="004C184C">
              <w:rPr>
                <w:sz w:val="18"/>
                <w:lang w:val="en-US"/>
              </w:rPr>
              <w:t>Other sexual offences</w:t>
            </w:r>
          </w:p>
        </w:tc>
        <w:tc>
          <w:tcPr>
            <w:tcW w:w="877" w:type="dxa"/>
            <w:shd w:val="clear" w:color="auto" w:fill="auto"/>
            <w:vAlign w:val="bottom"/>
          </w:tcPr>
          <w:p w14:paraId="6AF2C5F6" w14:textId="0ED0D719"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1</w:t>
            </w:r>
            <w:r w:rsidR="004D6BEF" w:rsidRPr="004C184C">
              <w:rPr>
                <w:sz w:val="18"/>
                <w:lang w:val="en-US"/>
              </w:rPr>
              <w:t xml:space="preserve"> </w:t>
            </w:r>
            <w:r w:rsidRPr="004C184C">
              <w:rPr>
                <w:sz w:val="18"/>
                <w:lang w:val="en-US"/>
              </w:rPr>
              <w:t>559</w:t>
            </w:r>
          </w:p>
        </w:tc>
        <w:tc>
          <w:tcPr>
            <w:tcW w:w="709" w:type="dxa"/>
            <w:shd w:val="clear" w:color="auto" w:fill="auto"/>
            <w:vAlign w:val="bottom"/>
          </w:tcPr>
          <w:p w14:paraId="7EA16F64" w14:textId="77777777"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2</w:t>
            </w:r>
            <w:r w:rsidRPr="004C184C">
              <w:rPr>
                <w:sz w:val="18"/>
                <w:cs/>
                <w:lang w:val="en-US"/>
              </w:rPr>
              <w:t>.</w:t>
            </w:r>
            <w:r w:rsidRPr="004C184C">
              <w:rPr>
                <w:sz w:val="18"/>
                <w:lang w:val="en-US"/>
              </w:rPr>
              <w:t>35</w:t>
            </w:r>
          </w:p>
        </w:tc>
        <w:tc>
          <w:tcPr>
            <w:tcW w:w="850" w:type="dxa"/>
            <w:shd w:val="clear" w:color="auto" w:fill="auto"/>
            <w:vAlign w:val="bottom"/>
          </w:tcPr>
          <w:p w14:paraId="123B4771" w14:textId="1CD50071"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3</w:t>
            </w:r>
            <w:r w:rsidR="004D6BEF" w:rsidRPr="004C184C">
              <w:rPr>
                <w:sz w:val="18"/>
                <w:lang w:val="en-US"/>
              </w:rPr>
              <w:t xml:space="preserve"> </w:t>
            </w:r>
            <w:r w:rsidRPr="004C184C">
              <w:rPr>
                <w:sz w:val="18"/>
                <w:lang w:val="en-US"/>
              </w:rPr>
              <w:t>078</w:t>
            </w:r>
          </w:p>
        </w:tc>
        <w:tc>
          <w:tcPr>
            <w:tcW w:w="557" w:type="dxa"/>
            <w:shd w:val="clear" w:color="auto" w:fill="auto"/>
            <w:vAlign w:val="bottom"/>
          </w:tcPr>
          <w:p w14:paraId="07307420" w14:textId="77777777"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4</w:t>
            </w:r>
            <w:r w:rsidRPr="004C184C">
              <w:rPr>
                <w:sz w:val="18"/>
                <w:cs/>
                <w:lang w:val="en-US"/>
              </w:rPr>
              <w:t>.</w:t>
            </w:r>
            <w:r w:rsidRPr="004C184C">
              <w:rPr>
                <w:sz w:val="18"/>
                <w:lang w:val="en-US"/>
              </w:rPr>
              <w:t>6</w:t>
            </w:r>
          </w:p>
        </w:tc>
      </w:tr>
      <w:tr w:rsidR="00EA422B" w:rsidRPr="004C184C" w14:paraId="1CC78C8A" w14:textId="77777777" w:rsidTr="00464716">
        <w:tc>
          <w:tcPr>
            <w:tcW w:w="3969" w:type="dxa"/>
            <w:vMerge/>
            <w:tcBorders>
              <w:top w:val="nil"/>
              <w:bottom w:val="single" w:sz="12" w:space="0" w:color="auto"/>
            </w:tcBorders>
            <w:shd w:val="clear" w:color="auto" w:fill="auto"/>
          </w:tcPr>
          <w:p w14:paraId="7EA49D3F" w14:textId="77777777" w:rsidR="00EA422B" w:rsidRPr="004C184C" w:rsidRDefault="00EA422B" w:rsidP="005E4033">
            <w:pPr>
              <w:suppressAutoHyphens w:val="0"/>
              <w:spacing w:before="40" w:after="40" w:line="220" w:lineRule="exact"/>
              <w:ind w:right="113"/>
              <w:rPr>
                <w:sz w:val="18"/>
                <w:lang w:val="en-US"/>
              </w:rPr>
            </w:pPr>
          </w:p>
        </w:tc>
        <w:tc>
          <w:tcPr>
            <w:tcW w:w="1533" w:type="dxa"/>
            <w:shd w:val="clear" w:color="auto" w:fill="auto"/>
            <w:vAlign w:val="bottom"/>
          </w:tcPr>
          <w:p w14:paraId="0C316915" w14:textId="77777777" w:rsidR="00EA422B" w:rsidRPr="004C184C" w:rsidRDefault="00EA422B" w:rsidP="00402575">
            <w:pPr>
              <w:suppressAutoHyphens w:val="0"/>
              <w:spacing w:before="40" w:after="40" w:line="220" w:lineRule="exact"/>
              <w:ind w:right="113"/>
              <w:rPr>
                <w:sz w:val="18"/>
                <w:lang w:val="en-US"/>
              </w:rPr>
            </w:pPr>
            <w:r w:rsidRPr="004C184C">
              <w:rPr>
                <w:sz w:val="18"/>
                <w:lang w:val="en-US"/>
              </w:rPr>
              <w:t>Murder</w:t>
            </w:r>
          </w:p>
        </w:tc>
        <w:tc>
          <w:tcPr>
            <w:tcW w:w="877" w:type="dxa"/>
            <w:shd w:val="clear" w:color="auto" w:fill="auto"/>
            <w:vAlign w:val="bottom"/>
          </w:tcPr>
          <w:p w14:paraId="5E991362" w14:textId="3E9E2D2E"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2</w:t>
            </w:r>
            <w:r w:rsidR="004D6BEF" w:rsidRPr="004C184C">
              <w:rPr>
                <w:sz w:val="18"/>
                <w:lang w:val="en-US"/>
              </w:rPr>
              <w:t xml:space="preserve"> </w:t>
            </w:r>
            <w:r w:rsidRPr="004C184C">
              <w:rPr>
                <w:sz w:val="18"/>
                <w:lang w:val="en-US"/>
              </w:rPr>
              <w:t>660</w:t>
            </w:r>
          </w:p>
        </w:tc>
        <w:tc>
          <w:tcPr>
            <w:tcW w:w="709" w:type="dxa"/>
            <w:shd w:val="clear" w:color="auto" w:fill="auto"/>
            <w:vAlign w:val="bottom"/>
          </w:tcPr>
          <w:p w14:paraId="31897EC1" w14:textId="77777777"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4</w:t>
            </w:r>
          </w:p>
        </w:tc>
        <w:tc>
          <w:tcPr>
            <w:tcW w:w="850" w:type="dxa"/>
            <w:shd w:val="clear" w:color="auto" w:fill="auto"/>
            <w:vAlign w:val="bottom"/>
          </w:tcPr>
          <w:p w14:paraId="02D07807" w14:textId="65FD3619"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6</w:t>
            </w:r>
            <w:r w:rsidR="004D6BEF" w:rsidRPr="004C184C">
              <w:rPr>
                <w:sz w:val="18"/>
                <w:lang w:val="en-US"/>
              </w:rPr>
              <w:t xml:space="preserve"> </w:t>
            </w:r>
            <w:r w:rsidRPr="004C184C">
              <w:rPr>
                <w:sz w:val="18"/>
                <w:lang w:val="en-US"/>
              </w:rPr>
              <w:t>242</w:t>
            </w:r>
          </w:p>
        </w:tc>
        <w:tc>
          <w:tcPr>
            <w:tcW w:w="557" w:type="dxa"/>
            <w:shd w:val="clear" w:color="auto" w:fill="auto"/>
            <w:vAlign w:val="bottom"/>
          </w:tcPr>
          <w:p w14:paraId="129943B7" w14:textId="77777777"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9</w:t>
            </w:r>
            <w:r w:rsidRPr="004C184C">
              <w:rPr>
                <w:sz w:val="18"/>
                <w:cs/>
                <w:lang w:val="en-US"/>
              </w:rPr>
              <w:t>.</w:t>
            </w:r>
            <w:r w:rsidRPr="004C184C">
              <w:rPr>
                <w:sz w:val="18"/>
                <w:lang w:val="en-US"/>
              </w:rPr>
              <w:t>4</w:t>
            </w:r>
          </w:p>
        </w:tc>
      </w:tr>
      <w:tr w:rsidR="00EA422B" w:rsidRPr="004C184C" w14:paraId="070783C8" w14:textId="77777777" w:rsidTr="00464716">
        <w:tc>
          <w:tcPr>
            <w:tcW w:w="3969" w:type="dxa"/>
            <w:vMerge/>
            <w:tcBorders>
              <w:top w:val="nil"/>
              <w:bottom w:val="single" w:sz="12" w:space="0" w:color="auto"/>
            </w:tcBorders>
            <w:shd w:val="clear" w:color="auto" w:fill="auto"/>
          </w:tcPr>
          <w:p w14:paraId="2E67586F" w14:textId="77777777" w:rsidR="00EA422B" w:rsidRPr="004C184C" w:rsidRDefault="00EA422B" w:rsidP="005E4033">
            <w:pPr>
              <w:suppressAutoHyphens w:val="0"/>
              <w:spacing w:before="40" w:after="40" w:line="220" w:lineRule="exact"/>
              <w:ind w:right="113"/>
              <w:rPr>
                <w:sz w:val="18"/>
                <w:lang w:val="en-US"/>
              </w:rPr>
            </w:pPr>
          </w:p>
        </w:tc>
        <w:tc>
          <w:tcPr>
            <w:tcW w:w="1533" w:type="dxa"/>
            <w:shd w:val="clear" w:color="auto" w:fill="auto"/>
            <w:vAlign w:val="bottom"/>
          </w:tcPr>
          <w:p w14:paraId="4DB86D0B" w14:textId="77777777" w:rsidR="00EA422B" w:rsidRPr="004C184C" w:rsidRDefault="00EA422B" w:rsidP="00402575">
            <w:pPr>
              <w:suppressAutoHyphens w:val="0"/>
              <w:spacing w:before="40" w:after="40" w:line="220" w:lineRule="exact"/>
              <w:ind w:right="113"/>
              <w:rPr>
                <w:sz w:val="18"/>
                <w:lang w:val="en-US"/>
              </w:rPr>
            </w:pPr>
            <w:r w:rsidRPr="004C184C">
              <w:rPr>
                <w:sz w:val="18"/>
                <w:lang w:val="en-US"/>
              </w:rPr>
              <w:t>Attempted murder</w:t>
            </w:r>
          </w:p>
        </w:tc>
        <w:tc>
          <w:tcPr>
            <w:tcW w:w="877" w:type="dxa"/>
            <w:shd w:val="clear" w:color="auto" w:fill="auto"/>
            <w:vAlign w:val="bottom"/>
          </w:tcPr>
          <w:p w14:paraId="373C2D37" w14:textId="36BC7EAA"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4</w:t>
            </w:r>
            <w:r w:rsidR="004D6BEF" w:rsidRPr="004C184C">
              <w:rPr>
                <w:sz w:val="18"/>
                <w:lang w:val="en-US"/>
              </w:rPr>
              <w:t xml:space="preserve"> </w:t>
            </w:r>
            <w:r w:rsidRPr="004C184C">
              <w:rPr>
                <w:sz w:val="18"/>
                <w:lang w:val="en-US"/>
              </w:rPr>
              <w:t>762</w:t>
            </w:r>
          </w:p>
        </w:tc>
        <w:tc>
          <w:tcPr>
            <w:tcW w:w="709" w:type="dxa"/>
            <w:shd w:val="clear" w:color="auto" w:fill="auto"/>
            <w:vAlign w:val="bottom"/>
          </w:tcPr>
          <w:p w14:paraId="1A9F783D" w14:textId="77777777"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7</w:t>
            </w:r>
            <w:r w:rsidRPr="004C184C">
              <w:rPr>
                <w:sz w:val="18"/>
                <w:cs/>
                <w:lang w:val="en-US"/>
              </w:rPr>
              <w:t>.</w:t>
            </w:r>
            <w:r w:rsidRPr="004C184C">
              <w:rPr>
                <w:sz w:val="18"/>
                <w:lang w:val="en-US"/>
              </w:rPr>
              <w:t>17</w:t>
            </w:r>
          </w:p>
        </w:tc>
        <w:tc>
          <w:tcPr>
            <w:tcW w:w="850" w:type="dxa"/>
            <w:shd w:val="clear" w:color="auto" w:fill="auto"/>
            <w:vAlign w:val="bottom"/>
          </w:tcPr>
          <w:p w14:paraId="72D48D28" w14:textId="4BEB6553"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12</w:t>
            </w:r>
            <w:r w:rsidR="004D6BEF" w:rsidRPr="004C184C">
              <w:rPr>
                <w:sz w:val="18"/>
                <w:lang w:val="en-US"/>
              </w:rPr>
              <w:t xml:space="preserve"> </w:t>
            </w:r>
            <w:r w:rsidRPr="004C184C">
              <w:rPr>
                <w:sz w:val="18"/>
                <w:lang w:val="en-US"/>
              </w:rPr>
              <w:t>035</w:t>
            </w:r>
          </w:p>
        </w:tc>
        <w:tc>
          <w:tcPr>
            <w:tcW w:w="557" w:type="dxa"/>
            <w:shd w:val="clear" w:color="auto" w:fill="auto"/>
            <w:vAlign w:val="bottom"/>
          </w:tcPr>
          <w:p w14:paraId="5F381EEE" w14:textId="77777777"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18</w:t>
            </w:r>
            <w:r w:rsidRPr="004C184C">
              <w:rPr>
                <w:sz w:val="18"/>
                <w:cs/>
                <w:lang w:val="en-US"/>
              </w:rPr>
              <w:t>.</w:t>
            </w:r>
            <w:r w:rsidRPr="004C184C">
              <w:rPr>
                <w:sz w:val="18"/>
                <w:lang w:val="en-US"/>
              </w:rPr>
              <w:t>1</w:t>
            </w:r>
          </w:p>
        </w:tc>
      </w:tr>
      <w:tr w:rsidR="00EA422B" w:rsidRPr="004C184C" w14:paraId="63AB5293" w14:textId="77777777" w:rsidTr="00464716">
        <w:tc>
          <w:tcPr>
            <w:tcW w:w="3969" w:type="dxa"/>
            <w:vMerge/>
            <w:tcBorders>
              <w:top w:val="nil"/>
              <w:bottom w:val="single" w:sz="12" w:space="0" w:color="auto"/>
            </w:tcBorders>
            <w:shd w:val="clear" w:color="auto" w:fill="auto"/>
          </w:tcPr>
          <w:p w14:paraId="465731AC" w14:textId="77777777" w:rsidR="00EA422B" w:rsidRPr="004C184C" w:rsidRDefault="00EA422B" w:rsidP="005E4033">
            <w:pPr>
              <w:suppressAutoHyphens w:val="0"/>
              <w:spacing w:before="40" w:after="40" w:line="220" w:lineRule="exact"/>
              <w:ind w:right="113"/>
              <w:rPr>
                <w:sz w:val="18"/>
                <w:lang w:val="en-US"/>
              </w:rPr>
            </w:pPr>
          </w:p>
        </w:tc>
        <w:tc>
          <w:tcPr>
            <w:tcW w:w="1533" w:type="dxa"/>
            <w:shd w:val="clear" w:color="auto" w:fill="auto"/>
            <w:vAlign w:val="bottom"/>
          </w:tcPr>
          <w:p w14:paraId="1A197F29" w14:textId="77777777" w:rsidR="00EA422B" w:rsidRPr="004C184C" w:rsidRDefault="00EA422B" w:rsidP="00402575">
            <w:pPr>
              <w:suppressAutoHyphens w:val="0"/>
              <w:spacing w:before="40" w:after="40" w:line="220" w:lineRule="exact"/>
              <w:ind w:right="113"/>
              <w:rPr>
                <w:sz w:val="18"/>
                <w:lang w:val="en-US"/>
              </w:rPr>
            </w:pPr>
            <w:r w:rsidRPr="004C184C">
              <w:rPr>
                <w:sz w:val="18"/>
                <w:lang w:val="en-US"/>
              </w:rPr>
              <w:t>Unintentional killing</w:t>
            </w:r>
          </w:p>
        </w:tc>
        <w:tc>
          <w:tcPr>
            <w:tcW w:w="877" w:type="dxa"/>
            <w:shd w:val="clear" w:color="auto" w:fill="auto"/>
            <w:vAlign w:val="bottom"/>
          </w:tcPr>
          <w:p w14:paraId="5F2FFC0B" w14:textId="77777777"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503</w:t>
            </w:r>
          </w:p>
        </w:tc>
        <w:tc>
          <w:tcPr>
            <w:tcW w:w="709" w:type="dxa"/>
            <w:shd w:val="clear" w:color="auto" w:fill="auto"/>
            <w:vAlign w:val="bottom"/>
          </w:tcPr>
          <w:p w14:paraId="4EE51C05" w14:textId="77777777"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0</w:t>
            </w:r>
            <w:r w:rsidRPr="004C184C">
              <w:rPr>
                <w:sz w:val="18"/>
                <w:cs/>
                <w:lang w:val="en-US"/>
              </w:rPr>
              <w:t>.</w:t>
            </w:r>
            <w:r w:rsidRPr="004C184C">
              <w:rPr>
                <w:sz w:val="18"/>
                <w:lang w:val="en-US"/>
              </w:rPr>
              <w:t>76</w:t>
            </w:r>
          </w:p>
        </w:tc>
        <w:tc>
          <w:tcPr>
            <w:tcW w:w="850" w:type="dxa"/>
            <w:shd w:val="clear" w:color="auto" w:fill="auto"/>
            <w:vAlign w:val="bottom"/>
          </w:tcPr>
          <w:p w14:paraId="4670C67B" w14:textId="7598A890"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1</w:t>
            </w:r>
            <w:r w:rsidR="004D6BEF" w:rsidRPr="004C184C">
              <w:rPr>
                <w:sz w:val="18"/>
                <w:lang w:val="en-US"/>
              </w:rPr>
              <w:t xml:space="preserve"> </w:t>
            </w:r>
            <w:r w:rsidRPr="004C184C">
              <w:rPr>
                <w:sz w:val="18"/>
                <w:lang w:val="en-US"/>
              </w:rPr>
              <w:t>309</w:t>
            </w:r>
          </w:p>
        </w:tc>
        <w:tc>
          <w:tcPr>
            <w:tcW w:w="557" w:type="dxa"/>
            <w:shd w:val="clear" w:color="auto" w:fill="auto"/>
            <w:vAlign w:val="bottom"/>
          </w:tcPr>
          <w:p w14:paraId="6F7B2E47" w14:textId="77777777"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1</w:t>
            </w:r>
            <w:r w:rsidRPr="004C184C">
              <w:rPr>
                <w:sz w:val="18"/>
                <w:cs/>
                <w:lang w:val="en-US"/>
              </w:rPr>
              <w:t>.</w:t>
            </w:r>
            <w:r w:rsidRPr="004C184C">
              <w:rPr>
                <w:sz w:val="18"/>
                <w:lang w:val="en-US"/>
              </w:rPr>
              <w:t>97</w:t>
            </w:r>
          </w:p>
        </w:tc>
      </w:tr>
      <w:tr w:rsidR="00EA422B" w:rsidRPr="004C184C" w14:paraId="38ED9D0C" w14:textId="77777777" w:rsidTr="00464716">
        <w:tc>
          <w:tcPr>
            <w:tcW w:w="3969" w:type="dxa"/>
            <w:vMerge/>
            <w:tcBorders>
              <w:top w:val="nil"/>
              <w:bottom w:val="single" w:sz="12" w:space="0" w:color="auto"/>
            </w:tcBorders>
            <w:shd w:val="clear" w:color="auto" w:fill="auto"/>
          </w:tcPr>
          <w:p w14:paraId="3E8BCA1D" w14:textId="77777777" w:rsidR="00EA422B" w:rsidRPr="004C184C" w:rsidRDefault="00EA422B" w:rsidP="005E4033">
            <w:pPr>
              <w:suppressAutoHyphens w:val="0"/>
              <w:spacing w:before="40" w:after="40" w:line="220" w:lineRule="exact"/>
              <w:ind w:right="113"/>
              <w:rPr>
                <w:sz w:val="18"/>
                <w:lang w:val="en-US"/>
              </w:rPr>
            </w:pPr>
          </w:p>
        </w:tc>
        <w:tc>
          <w:tcPr>
            <w:tcW w:w="1533" w:type="dxa"/>
            <w:shd w:val="clear" w:color="auto" w:fill="auto"/>
            <w:vAlign w:val="bottom"/>
          </w:tcPr>
          <w:p w14:paraId="13D585EB" w14:textId="77777777" w:rsidR="00EA422B" w:rsidRPr="004C184C" w:rsidRDefault="00EA422B" w:rsidP="00402575">
            <w:pPr>
              <w:suppressAutoHyphens w:val="0"/>
              <w:spacing w:before="40" w:after="40" w:line="220" w:lineRule="exact"/>
              <w:ind w:right="113"/>
              <w:rPr>
                <w:sz w:val="18"/>
                <w:lang w:val="en-US"/>
              </w:rPr>
            </w:pPr>
            <w:r w:rsidRPr="004C184C">
              <w:rPr>
                <w:sz w:val="18"/>
                <w:lang w:val="en-US"/>
              </w:rPr>
              <w:t>Other homicide offences</w:t>
            </w:r>
          </w:p>
        </w:tc>
        <w:tc>
          <w:tcPr>
            <w:tcW w:w="877" w:type="dxa"/>
            <w:shd w:val="clear" w:color="auto" w:fill="auto"/>
            <w:vAlign w:val="bottom"/>
          </w:tcPr>
          <w:p w14:paraId="017F3183" w14:textId="77777777"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111</w:t>
            </w:r>
          </w:p>
        </w:tc>
        <w:tc>
          <w:tcPr>
            <w:tcW w:w="709" w:type="dxa"/>
            <w:shd w:val="clear" w:color="auto" w:fill="auto"/>
            <w:vAlign w:val="bottom"/>
          </w:tcPr>
          <w:p w14:paraId="079B175B" w14:textId="77777777"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0</w:t>
            </w:r>
            <w:r w:rsidRPr="004C184C">
              <w:rPr>
                <w:sz w:val="18"/>
                <w:cs/>
                <w:lang w:val="en-US"/>
              </w:rPr>
              <w:t>.</w:t>
            </w:r>
            <w:r w:rsidRPr="004C184C">
              <w:rPr>
                <w:sz w:val="18"/>
                <w:lang w:val="en-US"/>
              </w:rPr>
              <w:t>17</w:t>
            </w:r>
          </w:p>
        </w:tc>
        <w:tc>
          <w:tcPr>
            <w:tcW w:w="850" w:type="dxa"/>
            <w:shd w:val="clear" w:color="auto" w:fill="auto"/>
            <w:vAlign w:val="bottom"/>
          </w:tcPr>
          <w:p w14:paraId="63DBAA57" w14:textId="77777777"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257</w:t>
            </w:r>
          </w:p>
        </w:tc>
        <w:tc>
          <w:tcPr>
            <w:tcW w:w="557" w:type="dxa"/>
            <w:shd w:val="clear" w:color="auto" w:fill="auto"/>
            <w:vAlign w:val="bottom"/>
          </w:tcPr>
          <w:p w14:paraId="7D22BE5B" w14:textId="77777777"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0</w:t>
            </w:r>
            <w:r w:rsidRPr="004C184C">
              <w:rPr>
                <w:sz w:val="18"/>
                <w:cs/>
                <w:lang w:val="en-US"/>
              </w:rPr>
              <w:t>.</w:t>
            </w:r>
            <w:r w:rsidRPr="004C184C">
              <w:rPr>
                <w:sz w:val="18"/>
                <w:lang w:val="en-US"/>
              </w:rPr>
              <w:t>39</w:t>
            </w:r>
          </w:p>
        </w:tc>
      </w:tr>
      <w:tr w:rsidR="00EA422B" w:rsidRPr="004C184C" w14:paraId="6E2FA26F" w14:textId="77777777" w:rsidTr="00464716">
        <w:tc>
          <w:tcPr>
            <w:tcW w:w="3969" w:type="dxa"/>
            <w:vMerge/>
            <w:tcBorders>
              <w:top w:val="nil"/>
              <w:bottom w:val="single" w:sz="12" w:space="0" w:color="auto"/>
            </w:tcBorders>
            <w:shd w:val="clear" w:color="auto" w:fill="auto"/>
          </w:tcPr>
          <w:p w14:paraId="0EAEB618" w14:textId="77777777" w:rsidR="00EA422B" w:rsidRPr="004C184C" w:rsidRDefault="00EA422B" w:rsidP="005E4033">
            <w:pPr>
              <w:suppressAutoHyphens w:val="0"/>
              <w:spacing w:before="40" w:after="40" w:line="220" w:lineRule="exact"/>
              <w:ind w:right="113"/>
              <w:rPr>
                <w:sz w:val="18"/>
                <w:lang w:val="en-US"/>
              </w:rPr>
            </w:pPr>
          </w:p>
        </w:tc>
        <w:tc>
          <w:tcPr>
            <w:tcW w:w="1533" w:type="dxa"/>
            <w:shd w:val="clear" w:color="auto" w:fill="auto"/>
            <w:vAlign w:val="bottom"/>
          </w:tcPr>
          <w:p w14:paraId="5F8C7D4D" w14:textId="77777777" w:rsidR="00EA422B" w:rsidRPr="004C184C" w:rsidRDefault="00EA422B" w:rsidP="00402575">
            <w:pPr>
              <w:suppressAutoHyphens w:val="0"/>
              <w:spacing w:before="40" w:after="40" w:line="220" w:lineRule="exact"/>
              <w:ind w:right="113"/>
              <w:rPr>
                <w:sz w:val="18"/>
                <w:lang w:val="en-US"/>
              </w:rPr>
            </w:pPr>
            <w:r w:rsidRPr="004C184C">
              <w:rPr>
                <w:sz w:val="18"/>
                <w:lang w:val="en-US"/>
              </w:rPr>
              <w:t>Offences against body</w:t>
            </w:r>
          </w:p>
        </w:tc>
        <w:tc>
          <w:tcPr>
            <w:tcW w:w="877" w:type="dxa"/>
            <w:shd w:val="clear" w:color="auto" w:fill="auto"/>
            <w:vAlign w:val="bottom"/>
          </w:tcPr>
          <w:p w14:paraId="2BAFD0DC" w14:textId="76E0247A"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14</w:t>
            </w:r>
            <w:r w:rsidR="004D6BEF" w:rsidRPr="004C184C">
              <w:rPr>
                <w:sz w:val="18"/>
                <w:lang w:val="en-US"/>
              </w:rPr>
              <w:t xml:space="preserve"> </w:t>
            </w:r>
            <w:r w:rsidRPr="004C184C">
              <w:rPr>
                <w:sz w:val="18"/>
                <w:lang w:val="en-US"/>
              </w:rPr>
              <w:t>770</w:t>
            </w:r>
          </w:p>
        </w:tc>
        <w:tc>
          <w:tcPr>
            <w:tcW w:w="709" w:type="dxa"/>
            <w:shd w:val="clear" w:color="auto" w:fill="auto"/>
            <w:vAlign w:val="bottom"/>
          </w:tcPr>
          <w:p w14:paraId="12EC5241" w14:textId="77777777"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22</w:t>
            </w:r>
            <w:r w:rsidRPr="004C184C">
              <w:rPr>
                <w:sz w:val="18"/>
                <w:cs/>
                <w:lang w:val="en-US"/>
              </w:rPr>
              <w:t>.</w:t>
            </w:r>
            <w:r w:rsidRPr="004C184C">
              <w:rPr>
                <w:sz w:val="18"/>
                <w:lang w:val="en-US"/>
              </w:rPr>
              <w:t>24</w:t>
            </w:r>
          </w:p>
        </w:tc>
        <w:tc>
          <w:tcPr>
            <w:tcW w:w="850" w:type="dxa"/>
            <w:shd w:val="clear" w:color="auto" w:fill="auto"/>
            <w:vAlign w:val="bottom"/>
          </w:tcPr>
          <w:p w14:paraId="0F1C4249" w14:textId="453D23C2"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20</w:t>
            </w:r>
            <w:r w:rsidR="004D6BEF" w:rsidRPr="004C184C">
              <w:rPr>
                <w:sz w:val="18"/>
                <w:lang w:val="en-US"/>
              </w:rPr>
              <w:t xml:space="preserve"> </w:t>
            </w:r>
            <w:r w:rsidRPr="004C184C">
              <w:rPr>
                <w:sz w:val="18"/>
                <w:lang w:val="en-US"/>
              </w:rPr>
              <w:t>858</w:t>
            </w:r>
          </w:p>
        </w:tc>
        <w:tc>
          <w:tcPr>
            <w:tcW w:w="557" w:type="dxa"/>
            <w:shd w:val="clear" w:color="auto" w:fill="auto"/>
            <w:vAlign w:val="bottom"/>
          </w:tcPr>
          <w:p w14:paraId="4A27A69D" w14:textId="77777777"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31</w:t>
            </w:r>
            <w:r w:rsidRPr="004C184C">
              <w:rPr>
                <w:sz w:val="18"/>
                <w:cs/>
                <w:lang w:val="en-US"/>
              </w:rPr>
              <w:t>.</w:t>
            </w:r>
            <w:r w:rsidRPr="004C184C">
              <w:rPr>
                <w:sz w:val="18"/>
                <w:lang w:val="en-US"/>
              </w:rPr>
              <w:t>4</w:t>
            </w:r>
          </w:p>
        </w:tc>
      </w:tr>
      <w:tr w:rsidR="00EA422B" w:rsidRPr="004C184C" w14:paraId="3EA6848C" w14:textId="77777777" w:rsidTr="00464716">
        <w:tc>
          <w:tcPr>
            <w:tcW w:w="3969" w:type="dxa"/>
            <w:vMerge/>
            <w:tcBorders>
              <w:top w:val="nil"/>
              <w:bottom w:val="single" w:sz="12" w:space="0" w:color="auto"/>
            </w:tcBorders>
            <w:shd w:val="clear" w:color="auto" w:fill="auto"/>
          </w:tcPr>
          <w:p w14:paraId="34776E84" w14:textId="77777777" w:rsidR="00EA422B" w:rsidRPr="004C184C" w:rsidRDefault="00EA422B" w:rsidP="005E4033">
            <w:pPr>
              <w:suppressAutoHyphens w:val="0"/>
              <w:spacing w:before="40" w:after="40" w:line="220" w:lineRule="exact"/>
              <w:ind w:right="113"/>
              <w:rPr>
                <w:sz w:val="18"/>
                <w:lang w:val="en-US"/>
              </w:rPr>
            </w:pPr>
          </w:p>
        </w:tc>
        <w:tc>
          <w:tcPr>
            <w:tcW w:w="1533" w:type="dxa"/>
            <w:shd w:val="clear" w:color="auto" w:fill="auto"/>
            <w:vAlign w:val="bottom"/>
          </w:tcPr>
          <w:p w14:paraId="64D790E6" w14:textId="77777777" w:rsidR="00EA422B" w:rsidRPr="004C184C" w:rsidRDefault="00EA422B" w:rsidP="00402575">
            <w:pPr>
              <w:suppressAutoHyphens w:val="0"/>
              <w:spacing w:before="40" w:after="40" w:line="220" w:lineRule="exact"/>
              <w:ind w:right="113"/>
              <w:rPr>
                <w:sz w:val="18"/>
                <w:lang w:val="en-US"/>
              </w:rPr>
            </w:pPr>
            <w:r w:rsidRPr="004C184C">
              <w:rPr>
                <w:sz w:val="18"/>
                <w:lang w:val="en-US"/>
              </w:rPr>
              <w:t>Robbery</w:t>
            </w:r>
          </w:p>
        </w:tc>
        <w:tc>
          <w:tcPr>
            <w:tcW w:w="877" w:type="dxa"/>
            <w:shd w:val="clear" w:color="auto" w:fill="auto"/>
            <w:vAlign w:val="bottom"/>
          </w:tcPr>
          <w:p w14:paraId="3CDEA451" w14:textId="4CB228F0"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1</w:t>
            </w:r>
            <w:r w:rsidR="004D6BEF" w:rsidRPr="004C184C">
              <w:rPr>
                <w:sz w:val="18"/>
                <w:lang w:val="en-US"/>
              </w:rPr>
              <w:t xml:space="preserve"> </w:t>
            </w:r>
            <w:r w:rsidRPr="004C184C">
              <w:rPr>
                <w:sz w:val="18"/>
                <w:lang w:val="en-US"/>
              </w:rPr>
              <w:t>005</w:t>
            </w:r>
          </w:p>
        </w:tc>
        <w:tc>
          <w:tcPr>
            <w:tcW w:w="709" w:type="dxa"/>
            <w:shd w:val="clear" w:color="auto" w:fill="auto"/>
            <w:vAlign w:val="bottom"/>
          </w:tcPr>
          <w:p w14:paraId="44528C52" w14:textId="77777777"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1</w:t>
            </w:r>
            <w:r w:rsidRPr="004C184C">
              <w:rPr>
                <w:sz w:val="18"/>
                <w:cs/>
                <w:lang w:val="en-US"/>
              </w:rPr>
              <w:t>.</w:t>
            </w:r>
            <w:r w:rsidRPr="004C184C">
              <w:rPr>
                <w:sz w:val="18"/>
                <w:lang w:val="en-US"/>
              </w:rPr>
              <w:t>5</w:t>
            </w:r>
          </w:p>
        </w:tc>
        <w:tc>
          <w:tcPr>
            <w:tcW w:w="850" w:type="dxa"/>
            <w:shd w:val="clear" w:color="auto" w:fill="auto"/>
            <w:vAlign w:val="bottom"/>
          </w:tcPr>
          <w:p w14:paraId="2DDDF7E9" w14:textId="51E5D6F7"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2</w:t>
            </w:r>
            <w:r w:rsidR="004D6BEF" w:rsidRPr="004C184C">
              <w:rPr>
                <w:sz w:val="18"/>
                <w:lang w:val="en-US"/>
              </w:rPr>
              <w:t xml:space="preserve"> </w:t>
            </w:r>
            <w:r w:rsidRPr="004C184C">
              <w:rPr>
                <w:sz w:val="18"/>
                <w:lang w:val="en-US"/>
              </w:rPr>
              <w:t>983</w:t>
            </w:r>
          </w:p>
        </w:tc>
        <w:tc>
          <w:tcPr>
            <w:tcW w:w="557" w:type="dxa"/>
            <w:shd w:val="clear" w:color="auto" w:fill="auto"/>
            <w:vAlign w:val="bottom"/>
          </w:tcPr>
          <w:p w14:paraId="377C827B" w14:textId="77777777"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4</w:t>
            </w:r>
            <w:r w:rsidRPr="004C184C">
              <w:rPr>
                <w:sz w:val="18"/>
                <w:cs/>
                <w:lang w:val="en-US"/>
              </w:rPr>
              <w:t>.</w:t>
            </w:r>
            <w:r w:rsidRPr="004C184C">
              <w:rPr>
                <w:sz w:val="18"/>
                <w:lang w:val="en-US"/>
              </w:rPr>
              <w:t>5</w:t>
            </w:r>
          </w:p>
        </w:tc>
      </w:tr>
      <w:tr w:rsidR="00EA422B" w:rsidRPr="004C184C" w14:paraId="03877953" w14:textId="77777777" w:rsidTr="00464716">
        <w:tc>
          <w:tcPr>
            <w:tcW w:w="3969" w:type="dxa"/>
            <w:vMerge/>
            <w:tcBorders>
              <w:top w:val="nil"/>
              <w:bottom w:val="single" w:sz="12" w:space="0" w:color="auto"/>
            </w:tcBorders>
            <w:shd w:val="clear" w:color="auto" w:fill="auto"/>
          </w:tcPr>
          <w:p w14:paraId="1537BCDD" w14:textId="77777777" w:rsidR="00EA422B" w:rsidRPr="004C184C" w:rsidRDefault="00EA422B" w:rsidP="005E4033">
            <w:pPr>
              <w:suppressAutoHyphens w:val="0"/>
              <w:spacing w:before="40" w:after="40" w:line="220" w:lineRule="exact"/>
              <w:ind w:right="113"/>
              <w:rPr>
                <w:sz w:val="18"/>
                <w:lang w:val="en-US"/>
              </w:rPr>
            </w:pPr>
          </w:p>
        </w:tc>
        <w:tc>
          <w:tcPr>
            <w:tcW w:w="1533" w:type="dxa"/>
            <w:shd w:val="clear" w:color="auto" w:fill="auto"/>
            <w:vAlign w:val="bottom"/>
          </w:tcPr>
          <w:p w14:paraId="16552123" w14:textId="77777777" w:rsidR="00EA422B" w:rsidRPr="004C184C" w:rsidRDefault="00EA422B" w:rsidP="00402575">
            <w:pPr>
              <w:suppressAutoHyphens w:val="0"/>
              <w:spacing w:before="40" w:after="40" w:line="220" w:lineRule="exact"/>
              <w:ind w:right="113"/>
              <w:rPr>
                <w:sz w:val="18"/>
                <w:lang w:val="en-US"/>
              </w:rPr>
            </w:pPr>
            <w:r w:rsidRPr="004C184C">
              <w:rPr>
                <w:sz w:val="18"/>
                <w:lang w:val="en-US"/>
              </w:rPr>
              <w:t>Gang robbery</w:t>
            </w:r>
          </w:p>
        </w:tc>
        <w:tc>
          <w:tcPr>
            <w:tcW w:w="877" w:type="dxa"/>
            <w:shd w:val="clear" w:color="auto" w:fill="auto"/>
            <w:vAlign w:val="bottom"/>
          </w:tcPr>
          <w:p w14:paraId="5AE4EDB1" w14:textId="77777777"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598</w:t>
            </w:r>
          </w:p>
        </w:tc>
        <w:tc>
          <w:tcPr>
            <w:tcW w:w="709" w:type="dxa"/>
            <w:shd w:val="clear" w:color="auto" w:fill="auto"/>
            <w:vAlign w:val="bottom"/>
          </w:tcPr>
          <w:p w14:paraId="1B7F7F10" w14:textId="77777777"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0</w:t>
            </w:r>
            <w:r w:rsidRPr="004C184C">
              <w:rPr>
                <w:sz w:val="18"/>
                <w:cs/>
                <w:lang w:val="en-US"/>
              </w:rPr>
              <w:t>.</w:t>
            </w:r>
            <w:r w:rsidRPr="004C184C">
              <w:rPr>
                <w:sz w:val="18"/>
                <w:lang w:val="en-US"/>
              </w:rPr>
              <w:t>9</w:t>
            </w:r>
          </w:p>
        </w:tc>
        <w:tc>
          <w:tcPr>
            <w:tcW w:w="850" w:type="dxa"/>
            <w:shd w:val="clear" w:color="auto" w:fill="auto"/>
            <w:vAlign w:val="bottom"/>
          </w:tcPr>
          <w:p w14:paraId="053A418A" w14:textId="0A195ADC"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2</w:t>
            </w:r>
            <w:r w:rsidR="004D6BEF" w:rsidRPr="004C184C">
              <w:rPr>
                <w:sz w:val="18"/>
                <w:lang w:val="en-US"/>
              </w:rPr>
              <w:t xml:space="preserve"> </w:t>
            </w:r>
            <w:r w:rsidRPr="004C184C">
              <w:rPr>
                <w:sz w:val="18"/>
                <w:lang w:val="en-US"/>
              </w:rPr>
              <w:t>571</w:t>
            </w:r>
          </w:p>
        </w:tc>
        <w:tc>
          <w:tcPr>
            <w:tcW w:w="557" w:type="dxa"/>
            <w:shd w:val="clear" w:color="auto" w:fill="auto"/>
            <w:vAlign w:val="bottom"/>
          </w:tcPr>
          <w:p w14:paraId="26F0EB81" w14:textId="77777777"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3</w:t>
            </w:r>
            <w:r w:rsidRPr="004C184C">
              <w:rPr>
                <w:sz w:val="18"/>
                <w:cs/>
                <w:lang w:val="en-US"/>
              </w:rPr>
              <w:t>.</w:t>
            </w:r>
            <w:r w:rsidRPr="004C184C">
              <w:rPr>
                <w:sz w:val="18"/>
                <w:lang w:val="en-US"/>
              </w:rPr>
              <w:t>88</w:t>
            </w:r>
          </w:p>
        </w:tc>
      </w:tr>
      <w:tr w:rsidR="00EA422B" w:rsidRPr="004C184C" w14:paraId="6CC55553" w14:textId="77777777" w:rsidTr="00464716">
        <w:tc>
          <w:tcPr>
            <w:tcW w:w="3969" w:type="dxa"/>
            <w:vMerge/>
            <w:tcBorders>
              <w:top w:val="nil"/>
              <w:bottom w:val="single" w:sz="12" w:space="0" w:color="auto"/>
            </w:tcBorders>
            <w:shd w:val="clear" w:color="auto" w:fill="auto"/>
          </w:tcPr>
          <w:p w14:paraId="7F46273C" w14:textId="77777777" w:rsidR="00EA422B" w:rsidRPr="004C184C" w:rsidRDefault="00EA422B" w:rsidP="005E4033">
            <w:pPr>
              <w:suppressAutoHyphens w:val="0"/>
              <w:spacing w:before="40" w:after="40" w:line="220" w:lineRule="exact"/>
              <w:ind w:right="113"/>
              <w:rPr>
                <w:sz w:val="18"/>
                <w:lang w:val="en-US"/>
              </w:rPr>
            </w:pPr>
          </w:p>
        </w:tc>
        <w:tc>
          <w:tcPr>
            <w:tcW w:w="1533" w:type="dxa"/>
            <w:shd w:val="clear" w:color="auto" w:fill="auto"/>
            <w:vAlign w:val="bottom"/>
          </w:tcPr>
          <w:p w14:paraId="415C30F1" w14:textId="77777777" w:rsidR="00EA422B" w:rsidRPr="004C184C" w:rsidRDefault="00EA422B" w:rsidP="00402575">
            <w:pPr>
              <w:suppressAutoHyphens w:val="0"/>
              <w:spacing w:before="40" w:after="40" w:line="220" w:lineRule="exact"/>
              <w:ind w:right="113"/>
              <w:rPr>
                <w:sz w:val="18"/>
                <w:lang w:val="en-US"/>
              </w:rPr>
            </w:pPr>
            <w:r w:rsidRPr="004C184C">
              <w:rPr>
                <w:sz w:val="18"/>
                <w:lang w:val="en-US"/>
              </w:rPr>
              <w:t>Human trafficking</w:t>
            </w:r>
          </w:p>
        </w:tc>
        <w:tc>
          <w:tcPr>
            <w:tcW w:w="877" w:type="dxa"/>
            <w:shd w:val="clear" w:color="auto" w:fill="auto"/>
            <w:vAlign w:val="bottom"/>
          </w:tcPr>
          <w:p w14:paraId="08CE690B" w14:textId="77777777"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555</w:t>
            </w:r>
          </w:p>
        </w:tc>
        <w:tc>
          <w:tcPr>
            <w:tcW w:w="709" w:type="dxa"/>
            <w:shd w:val="clear" w:color="auto" w:fill="auto"/>
            <w:vAlign w:val="bottom"/>
          </w:tcPr>
          <w:p w14:paraId="71A07627" w14:textId="77777777"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0</w:t>
            </w:r>
            <w:r w:rsidRPr="004C184C">
              <w:rPr>
                <w:sz w:val="18"/>
                <w:cs/>
                <w:lang w:val="en-US"/>
              </w:rPr>
              <w:t>.</w:t>
            </w:r>
            <w:r w:rsidRPr="004C184C">
              <w:rPr>
                <w:sz w:val="18"/>
                <w:lang w:val="en-US"/>
              </w:rPr>
              <w:t>83</w:t>
            </w:r>
          </w:p>
        </w:tc>
        <w:tc>
          <w:tcPr>
            <w:tcW w:w="850" w:type="dxa"/>
            <w:shd w:val="clear" w:color="auto" w:fill="auto"/>
            <w:vAlign w:val="bottom"/>
          </w:tcPr>
          <w:p w14:paraId="33E1A7FC" w14:textId="77777777"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461</w:t>
            </w:r>
          </w:p>
        </w:tc>
        <w:tc>
          <w:tcPr>
            <w:tcW w:w="557" w:type="dxa"/>
            <w:shd w:val="clear" w:color="auto" w:fill="auto"/>
            <w:vAlign w:val="bottom"/>
          </w:tcPr>
          <w:p w14:paraId="72F64516" w14:textId="77777777" w:rsidR="00EA422B" w:rsidRPr="004C184C" w:rsidRDefault="00EA422B" w:rsidP="005E4033">
            <w:pPr>
              <w:suppressAutoHyphens w:val="0"/>
              <w:spacing w:before="40" w:after="40" w:line="220" w:lineRule="exact"/>
              <w:ind w:right="113"/>
              <w:jc w:val="right"/>
              <w:rPr>
                <w:sz w:val="18"/>
                <w:lang w:val="en-US"/>
              </w:rPr>
            </w:pPr>
            <w:r w:rsidRPr="004C184C">
              <w:rPr>
                <w:sz w:val="18"/>
                <w:lang w:val="en-US"/>
              </w:rPr>
              <w:t>0</w:t>
            </w:r>
            <w:r w:rsidRPr="004C184C">
              <w:rPr>
                <w:sz w:val="18"/>
                <w:cs/>
                <w:lang w:val="en-US"/>
              </w:rPr>
              <w:t>.</w:t>
            </w:r>
            <w:r w:rsidRPr="004C184C">
              <w:rPr>
                <w:sz w:val="18"/>
                <w:lang w:val="en-US"/>
              </w:rPr>
              <w:t>69</w:t>
            </w:r>
          </w:p>
        </w:tc>
      </w:tr>
    </w:tbl>
    <w:p w14:paraId="69674690" w14:textId="77777777" w:rsidR="00EA422B" w:rsidRPr="004C184C" w:rsidRDefault="00EA422B" w:rsidP="00464716">
      <w:pPr>
        <w:pStyle w:val="SingleTxtG"/>
        <w:spacing w:before="120"/>
        <w:rPr>
          <w:highlight w:val="yellow"/>
          <w:lang w:val="en-US"/>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25"/>
        <w:gridCol w:w="3745"/>
      </w:tblGrid>
      <w:tr w:rsidR="00EA422B" w:rsidRPr="004C184C" w14:paraId="021B3713" w14:textId="77777777" w:rsidTr="00403A97">
        <w:trPr>
          <w:tblHeader/>
        </w:trPr>
        <w:tc>
          <w:tcPr>
            <w:tcW w:w="3625" w:type="dxa"/>
            <w:tcBorders>
              <w:top w:val="single" w:sz="4" w:space="0" w:color="auto"/>
              <w:bottom w:val="single" w:sz="12" w:space="0" w:color="auto"/>
            </w:tcBorders>
            <w:shd w:val="clear" w:color="auto" w:fill="auto"/>
            <w:vAlign w:val="bottom"/>
          </w:tcPr>
          <w:p w14:paraId="3A0AF46E" w14:textId="77777777" w:rsidR="00EA422B" w:rsidRPr="004C184C" w:rsidRDefault="00EA422B" w:rsidP="00464716">
            <w:pPr>
              <w:suppressAutoHyphens w:val="0"/>
              <w:spacing w:before="80" w:after="80" w:line="200" w:lineRule="exact"/>
              <w:ind w:right="113"/>
              <w:rPr>
                <w:i/>
                <w:sz w:val="16"/>
                <w:cs/>
                <w:lang w:val="en-US"/>
              </w:rPr>
            </w:pPr>
            <w:r w:rsidRPr="004C184C">
              <w:rPr>
                <w:i/>
                <w:sz w:val="16"/>
                <w:lang w:val="en-US"/>
              </w:rPr>
              <w:t>Share</w:t>
            </w:r>
            <w:r w:rsidRPr="004C184C">
              <w:rPr>
                <w:i/>
                <w:sz w:val="16"/>
                <w:cs/>
                <w:lang w:val="en-US"/>
              </w:rPr>
              <w:t xml:space="preserve"> </w:t>
            </w:r>
            <w:r w:rsidRPr="004C184C">
              <w:rPr>
                <w:i/>
                <w:sz w:val="16"/>
                <w:lang w:val="en-US"/>
              </w:rPr>
              <w:t>of</w:t>
            </w:r>
            <w:r w:rsidRPr="004C184C">
              <w:rPr>
                <w:i/>
                <w:sz w:val="16"/>
                <w:cs/>
                <w:lang w:val="en-US"/>
              </w:rPr>
              <w:t xml:space="preserve"> </w:t>
            </w:r>
            <w:r w:rsidRPr="004C184C">
              <w:rPr>
                <w:i/>
                <w:sz w:val="16"/>
                <w:lang w:val="en-US"/>
              </w:rPr>
              <w:t>public</w:t>
            </w:r>
            <w:r w:rsidRPr="004C184C">
              <w:rPr>
                <w:i/>
                <w:sz w:val="16"/>
                <w:cs/>
                <w:lang w:val="en-US"/>
              </w:rPr>
              <w:t xml:space="preserve"> </w:t>
            </w:r>
            <w:r w:rsidRPr="004C184C">
              <w:rPr>
                <w:i/>
                <w:sz w:val="16"/>
                <w:lang w:val="en-US"/>
              </w:rPr>
              <w:t>expenditure</w:t>
            </w:r>
            <w:r w:rsidRPr="004C184C">
              <w:rPr>
                <w:i/>
                <w:sz w:val="16"/>
                <w:cs/>
                <w:lang w:val="en-US"/>
              </w:rPr>
              <w:t xml:space="preserve"> </w:t>
            </w:r>
            <w:r w:rsidRPr="004C184C">
              <w:rPr>
                <w:i/>
                <w:sz w:val="16"/>
                <w:lang w:val="en-US"/>
              </w:rPr>
              <w:t>on police</w:t>
            </w:r>
            <w:r w:rsidRPr="004C184C">
              <w:rPr>
                <w:i/>
                <w:sz w:val="16"/>
                <w:cs/>
                <w:lang w:val="en-US"/>
              </w:rPr>
              <w:t>/</w:t>
            </w:r>
            <w:r w:rsidRPr="004C184C">
              <w:rPr>
                <w:i/>
                <w:sz w:val="16"/>
                <w:lang w:val="en-US"/>
              </w:rPr>
              <w:t>security</w:t>
            </w:r>
            <w:r w:rsidRPr="004C184C">
              <w:rPr>
                <w:i/>
                <w:sz w:val="16"/>
                <w:cs/>
                <w:lang w:val="en-US"/>
              </w:rPr>
              <w:t xml:space="preserve"> </w:t>
            </w:r>
            <w:r w:rsidRPr="004C184C">
              <w:rPr>
                <w:i/>
                <w:sz w:val="16"/>
                <w:lang w:val="en-US"/>
              </w:rPr>
              <w:t>and</w:t>
            </w:r>
            <w:r w:rsidRPr="004C184C">
              <w:rPr>
                <w:i/>
                <w:sz w:val="16"/>
                <w:cs/>
                <w:lang w:val="en-US"/>
              </w:rPr>
              <w:t xml:space="preserve"> </w:t>
            </w:r>
            <w:r w:rsidRPr="004C184C">
              <w:rPr>
                <w:i/>
                <w:sz w:val="16"/>
                <w:lang w:val="en-US"/>
              </w:rPr>
              <w:t>judiciary</w:t>
            </w:r>
            <w:r w:rsidRPr="004C184C">
              <w:rPr>
                <w:i/>
                <w:sz w:val="16"/>
                <w:cs/>
                <w:lang w:val="en-US"/>
              </w:rPr>
              <w:t xml:space="preserve"> (</w:t>
            </w:r>
            <w:r w:rsidRPr="004C184C">
              <w:rPr>
                <w:i/>
                <w:sz w:val="16"/>
                <w:lang w:val="en-US"/>
              </w:rPr>
              <w:t>million baht</w:t>
            </w:r>
            <w:r w:rsidRPr="004C184C">
              <w:rPr>
                <w:i/>
                <w:sz w:val="16"/>
                <w:cs/>
                <w:lang w:val="en-US"/>
              </w:rPr>
              <w:t>)</w:t>
            </w:r>
          </w:p>
        </w:tc>
        <w:tc>
          <w:tcPr>
            <w:tcW w:w="3745" w:type="dxa"/>
            <w:tcBorders>
              <w:top w:val="single" w:sz="4" w:space="0" w:color="auto"/>
              <w:bottom w:val="single" w:sz="12" w:space="0" w:color="auto"/>
            </w:tcBorders>
            <w:shd w:val="clear" w:color="auto" w:fill="auto"/>
            <w:vAlign w:val="bottom"/>
          </w:tcPr>
          <w:p w14:paraId="514FEBF0" w14:textId="72613933" w:rsidR="00EA422B" w:rsidRPr="004C184C" w:rsidRDefault="00EA422B" w:rsidP="00464716">
            <w:pPr>
              <w:suppressAutoHyphens w:val="0"/>
              <w:spacing w:before="80" w:after="80" w:line="200" w:lineRule="exact"/>
              <w:ind w:right="113"/>
              <w:jc w:val="right"/>
              <w:rPr>
                <w:i/>
                <w:sz w:val="16"/>
                <w:lang w:val="en-US"/>
              </w:rPr>
            </w:pPr>
            <w:r w:rsidRPr="004C184C">
              <w:rPr>
                <w:iCs/>
                <w:sz w:val="16"/>
                <w:szCs w:val="16"/>
                <w:cs/>
                <w:lang w:val="en-US"/>
              </w:rPr>
              <w:t>408</w:t>
            </w:r>
            <w:r w:rsidR="00464716" w:rsidRPr="004C184C">
              <w:rPr>
                <w:iCs/>
                <w:sz w:val="16"/>
                <w:szCs w:val="16"/>
                <w:cs/>
                <w:lang w:val="en-US"/>
              </w:rPr>
              <w:t xml:space="preserve"> </w:t>
            </w:r>
            <w:r w:rsidRPr="004C184C">
              <w:rPr>
                <w:iCs/>
                <w:sz w:val="16"/>
                <w:szCs w:val="16"/>
                <w:cs/>
                <w:lang w:val="en-US"/>
              </w:rPr>
              <w:t>569.7</w:t>
            </w:r>
            <w:r w:rsidRPr="004C184C">
              <w:rPr>
                <w:i/>
                <w:sz w:val="16"/>
                <w:cs/>
                <w:lang w:val="en-US"/>
              </w:rPr>
              <w:t xml:space="preserve"> (</w:t>
            </w:r>
            <w:r w:rsidRPr="004C184C">
              <w:rPr>
                <w:i/>
                <w:sz w:val="16"/>
                <w:lang w:val="en-US"/>
              </w:rPr>
              <w:t>approximately 14</w:t>
            </w:r>
            <w:r w:rsidRPr="004C184C">
              <w:rPr>
                <w:i/>
                <w:sz w:val="16"/>
                <w:szCs w:val="16"/>
                <w:cs/>
                <w:lang w:val="en-US"/>
              </w:rPr>
              <w:t>%</w:t>
            </w:r>
            <w:r w:rsidRPr="004C184C">
              <w:rPr>
                <w:i/>
                <w:sz w:val="16"/>
                <w:cs/>
                <w:lang w:val="en-US"/>
              </w:rPr>
              <w:t xml:space="preserve"> </w:t>
            </w:r>
            <w:r w:rsidRPr="004C184C">
              <w:rPr>
                <w:i/>
                <w:sz w:val="16"/>
                <w:lang w:val="en-US"/>
              </w:rPr>
              <w:t>of the total budget</w:t>
            </w:r>
            <w:r w:rsidRPr="004C184C">
              <w:rPr>
                <w:i/>
                <w:sz w:val="16"/>
                <w:cs/>
                <w:lang w:val="en-US"/>
              </w:rPr>
              <w:t>)</w:t>
            </w:r>
          </w:p>
        </w:tc>
      </w:tr>
      <w:tr w:rsidR="00781D8D" w:rsidRPr="004C184C" w14:paraId="3345D88E" w14:textId="77777777" w:rsidTr="00403A97">
        <w:trPr>
          <w:trHeight w:hRule="exact" w:val="113"/>
          <w:tblHeader/>
        </w:trPr>
        <w:tc>
          <w:tcPr>
            <w:tcW w:w="3625" w:type="dxa"/>
            <w:tcBorders>
              <w:top w:val="single" w:sz="12" w:space="0" w:color="auto"/>
              <w:bottom w:val="nil"/>
            </w:tcBorders>
            <w:shd w:val="clear" w:color="auto" w:fill="auto"/>
          </w:tcPr>
          <w:p w14:paraId="2027E351" w14:textId="77777777" w:rsidR="00781D8D" w:rsidRPr="004C184C" w:rsidRDefault="00781D8D" w:rsidP="00464716">
            <w:pPr>
              <w:suppressAutoHyphens w:val="0"/>
              <w:spacing w:before="40" w:after="40" w:line="220" w:lineRule="exact"/>
              <w:ind w:right="113"/>
              <w:rPr>
                <w:sz w:val="18"/>
                <w:lang w:val="en-US"/>
              </w:rPr>
            </w:pPr>
          </w:p>
        </w:tc>
        <w:tc>
          <w:tcPr>
            <w:tcW w:w="3745" w:type="dxa"/>
            <w:tcBorders>
              <w:top w:val="single" w:sz="12" w:space="0" w:color="auto"/>
              <w:bottom w:val="nil"/>
            </w:tcBorders>
            <w:shd w:val="clear" w:color="auto" w:fill="auto"/>
          </w:tcPr>
          <w:p w14:paraId="35485732" w14:textId="77777777" w:rsidR="00781D8D" w:rsidRPr="004C184C" w:rsidRDefault="00781D8D" w:rsidP="00211F4A">
            <w:pPr>
              <w:suppressAutoHyphens w:val="0"/>
              <w:spacing w:before="40" w:after="40" w:line="220" w:lineRule="exact"/>
              <w:ind w:right="113"/>
              <w:rPr>
                <w:sz w:val="18"/>
                <w:szCs w:val="18"/>
                <w:lang w:val="en-US"/>
              </w:rPr>
            </w:pPr>
          </w:p>
        </w:tc>
      </w:tr>
      <w:tr w:rsidR="00EA422B" w:rsidRPr="004C184C" w14:paraId="01D77E1B" w14:textId="77777777" w:rsidTr="00403A97">
        <w:tc>
          <w:tcPr>
            <w:tcW w:w="3625" w:type="dxa"/>
            <w:tcBorders>
              <w:top w:val="nil"/>
              <w:bottom w:val="nil"/>
            </w:tcBorders>
            <w:shd w:val="clear" w:color="auto" w:fill="auto"/>
          </w:tcPr>
          <w:p w14:paraId="67BAE265" w14:textId="183DA87B" w:rsidR="00EA422B" w:rsidRPr="004C184C" w:rsidRDefault="00EA422B" w:rsidP="00464716">
            <w:pPr>
              <w:suppressAutoHyphens w:val="0"/>
              <w:spacing w:before="40" w:after="40" w:line="220" w:lineRule="exact"/>
              <w:ind w:right="113"/>
              <w:rPr>
                <w:sz w:val="18"/>
                <w:lang w:val="en-US"/>
              </w:rPr>
            </w:pPr>
            <w:r w:rsidRPr="004C184C">
              <w:rPr>
                <w:sz w:val="18"/>
                <w:lang w:val="en-US"/>
              </w:rPr>
              <w:t>Convicted prisoners, disaggregated by offenses and the court</w:t>
            </w:r>
            <w:r w:rsidR="00567EA4" w:rsidRPr="004C184C">
              <w:rPr>
                <w:sz w:val="18"/>
                <w:lang w:val="en-US"/>
              </w:rPr>
              <w:t>’</w:t>
            </w:r>
            <w:r w:rsidRPr="004C184C">
              <w:rPr>
                <w:sz w:val="18"/>
                <w:lang w:val="en-US"/>
              </w:rPr>
              <w:t xml:space="preserve">s adjudication </w:t>
            </w:r>
          </w:p>
          <w:p w14:paraId="078C1D21" w14:textId="77777777" w:rsidR="00EA422B" w:rsidRPr="004C184C" w:rsidRDefault="00EA422B" w:rsidP="00464716">
            <w:pPr>
              <w:suppressAutoHyphens w:val="0"/>
              <w:spacing w:before="40" w:after="40" w:line="220" w:lineRule="exact"/>
              <w:ind w:right="113"/>
              <w:rPr>
                <w:sz w:val="18"/>
                <w:lang w:val="en-US"/>
              </w:rPr>
            </w:pPr>
            <w:r w:rsidRPr="004C184C">
              <w:rPr>
                <w:sz w:val="18"/>
                <w:lang w:val="en-US"/>
              </w:rPr>
              <w:t>(as of 3 April 2019)</w:t>
            </w:r>
          </w:p>
        </w:tc>
        <w:tc>
          <w:tcPr>
            <w:tcW w:w="3745" w:type="dxa"/>
            <w:tcBorders>
              <w:top w:val="nil"/>
              <w:bottom w:val="nil"/>
            </w:tcBorders>
            <w:shd w:val="clear" w:color="auto" w:fill="auto"/>
          </w:tcPr>
          <w:p w14:paraId="0F210C09" w14:textId="240362D2" w:rsidR="00EA422B" w:rsidRPr="004C184C" w:rsidRDefault="00EA422B" w:rsidP="00211F4A">
            <w:pPr>
              <w:suppressAutoHyphens w:val="0"/>
              <w:spacing w:before="40" w:after="40" w:line="220" w:lineRule="exact"/>
              <w:ind w:right="113"/>
              <w:rPr>
                <w:sz w:val="18"/>
                <w:cs/>
                <w:lang w:val="en-US"/>
              </w:rPr>
            </w:pPr>
            <w:r w:rsidRPr="004C184C">
              <w:rPr>
                <w:sz w:val="18"/>
                <w:szCs w:val="18"/>
                <w:lang w:val="en-US"/>
              </w:rPr>
              <w:t xml:space="preserve">Please refer to </w:t>
            </w:r>
            <w:r w:rsidRPr="004C184C">
              <w:rPr>
                <w:sz w:val="18"/>
                <w:szCs w:val="18"/>
                <w:cs/>
                <w:lang w:val="en-US"/>
              </w:rPr>
              <w:t>the</w:t>
            </w:r>
            <w:r w:rsidRPr="004C184C">
              <w:rPr>
                <w:sz w:val="18"/>
                <w:szCs w:val="18"/>
                <w:lang w:val="en-US"/>
              </w:rPr>
              <w:t xml:space="preserve"> attached tables</w:t>
            </w:r>
            <w:r w:rsidRPr="004C184C">
              <w:rPr>
                <w:sz w:val="18"/>
                <w:lang w:val="en-US"/>
              </w:rPr>
              <w:t>.</w:t>
            </w:r>
          </w:p>
        </w:tc>
      </w:tr>
      <w:tr w:rsidR="00EA422B" w:rsidRPr="004C184C" w14:paraId="1687F4ED" w14:textId="77777777" w:rsidTr="00403A97">
        <w:tc>
          <w:tcPr>
            <w:tcW w:w="3625" w:type="dxa"/>
            <w:tcBorders>
              <w:top w:val="nil"/>
              <w:bottom w:val="nil"/>
            </w:tcBorders>
            <w:shd w:val="clear" w:color="auto" w:fill="auto"/>
          </w:tcPr>
          <w:p w14:paraId="430D7433" w14:textId="77777777" w:rsidR="00EA422B" w:rsidRPr="004C184C" w:rsidRDefault="00EA422B" w:rsidP="00464716">
            <w:pPr>
              <w:suppressAutoHyphens w:val="0"/>
              <w:spacing w:before="40" w:after="40" w:line="220" w:lineRule="exact"/>
              <w:ind w:right="113"/>
              <w:rPr>
                <w:sz w:val="18"/>
                <w:szCs w:val="18"/>
                <w:lang w:val="en-US"/>
              </w:rPr>
            </w:pPr>
            <w:r w:rsidRPr="004C184C">
              <w:rPr>
                <w:sz w:val="18"/>
                <w:szCs w:val="18"/>
                <w:lang w:val="en-US"/>
              </w:rPr>
              <w:t xml:space="preserve">Accused and detained persons who apply for free legal aid </w:t>
            </w:r>
          </w:p>
        </w:tc>
        <w:tc>
          <w:tcPr>
            <w:tcW w:w="3745" w:type="dxa"/>
            <w:tcBorders>
              <w:top w:val="nil"/>
              <w:bottom w:val="nil"/>
            </w:tcBorders>
            <w:shd w:val="clear" w:color="auto" w:fill="auto"/>
            <w:vAlign w:val="bottom"/>
          </w:tcPr>
          <w:p w14:paraId="762FB0AD" w14:textId="36F7A02C" w:rsidR="00EA422B" w:rsidRPr="004C184C" w:rsidRDefault="00EA422B" w:rsidP="00211F4A">
            <w:pPr>
              <w:suppressAutoHyphens w:val="0"/>
              <w:spacing w:before="40" w:after="40" w:line="220" w:lineRule="exact"/>
              <w:ind w:right="113"/>
              <w:rPr>
                <w:sz w:val="18"/>
                <w:szCs w:val="18"/>
                <w:cs/>
                <w:lang w:val="en-US"/>
              </w:rPr>
            </w:pPr>
            <w:r w:rsidRPr="004C184C">
              <w:rPr>
                <w:sz w:val="18"/>
                <w:szCs w:val="18"/>
                <w:cs/>
                <w:lang w:val="en-US"/>
              </w:rPr>
              <w:t>744 cases in 2015</w:t>
            </w:r>
          </w:p>
          <w:p w14:paraId="1E99E020" w14:textId="77777777" w:rsidR="00EA422B" w:rsidRPr="004C184C" w:rsidRDefault="00EA422B" w:rsidP="00211F4A">
            <w:pPr>
              <w:suppressAutoHyphens w:val="0"/>
              <w:spacing w:before="40" w:after="40" w:line="220" w:lineRule="exact"/>
              <w:ind w:right="113"/>
              <w:rPr>
                <w:sz w:val="18"/>
                <w:szCs w:val="18"/>
                <w:cs/>
                <w:lang w:val="en-US"/>
              </w:rPr>
            </w:pPr>
            <w:r w:rsidRPr="004C184C">
              <w:rPr>
                <w:sz w:val="18"/>
                <w:szCs w:val="18"/>
                <w:cs/>
                <w:lang w:val="en-US"/>
              </w:rPr>
              <w:t>757 cases in 2016</w:t>
            </w:r>
          </w:p>
          <w:p w14:paraId="1037E818" w14:textId="77777777" w:rsidR="00EA422B" w:rsidRPr="004C184C" w:rsidRDefault="00EA422B" w:rsidP="00211F4A">
            <w:pPr>
              <w:suppressAutoHyphens w:val="0"/>
              <w:spacing w:before="40" w:after="40" w:line="220" w:lineRule="exact"/>
              <w:ind w:right="113"/>
              <w:rPr>
                <w:sz w:val="18"/>
                <w:szCs w:val="18"/>
                <w:cs/>
                <w:lang w:val="en-US"/>
              </w:rPr>
            </w:pPr>
            <w:r w:rsidRPr="004C184C">
              <w:rPr>
                <w:sz w:val="18"/>
                <w:szCs w:val="18"/>
                <w:cs/>
                <w:lang w:val="en-US"/>
              </w:rPr>
              <w:t>624 cases in 2017</w:t>
            </w:r>
          </w:p>
          <w:p w14:paraId="4BCFAA99" w14:textId="77777777" w:rsidR="00EA422B" w:rsidRPr="004C184C" w:rsidRDefault="00EA422B" w:rsidP="00211F4A">
            <w:pPr>
              <w:suppressAutoHyphens w:val="0"/>
              <w:spacing w:before="40" w:after="40" w:line="220" w:lineRule="exact"/>
              <w:ind w:right="113"/>
              <w:rPr>
                <w:sz w:val="18"/>
                <w:szCs w:val="18"/>
                <w:cs/>
                <w:lang w:val="en-US"/>
              </w:rPr>
            </w:pPr>
            <w:r w:rsidRPr="004C184C">
              <w:rPr>
                <w:sz w:val="18"/>
                <w:szCs w:val="18"/>
                <w:cs/>
                <w:lang w:val="en-US"/>
              </w:rPr>
              <w:t>595 cases in 2018</w:t>
            </w:r>
          </w:p>
          <w:p w14:paraId="78D08D2A" w14:textId="77777777" w:rsidR="00EA422B" w:rsidRPr="004C184C" w:rsidRDefault="00EA422B" w:rsidP="00211F4A">
            <w:pPr>
              <w:suppressAutoHyphens w:val="0"/>
              <w:spacing w:before="40" w:after="40" w:line="220" w:lineRule="exact"/>
              <w:ind w:right="113"/>
              <w:rPr>
                <w:sz w:val="18"/>
                <w:szCs w:val="18"/>
                <w:cs/>
                <w:lang w:val="en-US"/>
              </w:rPr>
            </w:pPr>
            <w:r w:rsidRPr="004C184C">
              <w:rPr>
                <w:sz w:val="18"/>
                <w:szCs w:val="18"/>
                <w:cs/>
                <w:lang w:val="en-US"/>
              </w:rPr>
              <w:t>576 cases in 2019</w:t>
            </w:r>
          </w:p>
          <w:p w14:paraId="73C47F70" w14:textId="77777777" w:rsidR="00EA422B" w:rsidRPr="004C184C" w:rsidRDefault="00EA422B" w:rsidP="00211F4A">
            <w:pPr>
              <w:suppressAutoHyphens w:val="0"/>
              <w:spacing w:before="40" w:after="40" w:line="220" w:lineRule="exact"/>
              <w:ind w:right="113"/>
              <w:rPr>
                <w:sz w:val="18"/>
                <w:szCs w:val="18"/>
                <w:cs/>
                <w:lang w:val="en-US"/>
              </w:rPr>
            </w:pPr>
            <w:r w:rsidRPr="004C184C">
              <w:rPr>
                <w:sz w:val="18"/>
                <w:szCs w:val="18"/>
                <w:cs/>
                <w:lang w:val="en-US"/>
              </w:rPr>
              <w:t>275 cases in 2020</w:t>
            </w:r>
          </w:p>
          <w:p w14:paraId="5459DD34" w14:textId="36750D08" w:rsidR="00EA422B" w:rsidRPr="004C184C" w:rsidRDefault="00EA422B" w:rsidP="00211F4A">
            <w:pPr>
              <w:suppressAutoHyphens w:val="0"/>
              <w:spacing w:before="40" w:after="40" w:line="220" w:lineRule="exact"/>
              <w:ind w:right="113"/>
              <w:rPr>
                <w:sz w:val="18"/>
                <w:szCs w:val="18"/>
                <w:cs/>
                <w:lang w:val="en-US"/>
              </w:rPr>
            </w:pPr>
            <w:r w:rsidRPr="004C184C">
              <w:rPr>
                <w:b/>
                <w:bCs/>
                <w:sz w:val="18"/>
                <w:szCs w:val="18"/>
                <w:lang w:val="en-US"/>
              </w:rPr>
              <w:t xml:space="preserve">Total </w:t>
            </w:r>
            <w:r w:rsidRPr="004C184C">
              <w:rPr>
                <w:b/>
                <w:bCs/>
                <w:sz w:val="18"/>
                <w:szCs w:val="18"/>
                <w:cs/>
                <w:lang w:val="en-US"/>
              </w:rPr>
              <w:t>3</w:t>
            </w:r>
            <w:r w:rsidR="00211F4A" w:rsidRPr="004C184C">
              <w:rPr>
                <w:b/>
                <w:bCs/>
                <w:sz w:val="18"/>
                <w:szCs w:val="18"/>
                <w:lang w:val="en-US"/>
              </w:rPr>
              <w:t xml:space="preserve"> </w:t>
            </w:r>
            <w:r w:rsidRPr="004C184C">
              <w:rPr>
                <w:b/>
                <w:bCs/>
                <w:sz w:val="18"/>
                <w:szCs w:val="18"/>
                <w:cs/>
                <w:lang w:val="en-US"/>
              </w:rPr>
              <w:t xml:space="preserve">571 </w:t>
            </w:r>
            <w:r w:rsidRPr="004C184C">
              <w:rPr>
                <w:b/>
                <w:bCs/>
                <w:sz w:val="18"/>
                <w:szCs w:val="18"/>
                <w:lang w:val="en-US"/>
              </w:rPr>
              <w:t>cases</w:t>
            </w:r>
            <w:r w:rsidRPr="004C184C">
              <w:rPr>
                <w:sz w:val="18"/>
                <w:szCs w:val="18"/>
                <w:lang w:val="en-US"/>
              </w:rPr>
              <w:t xml:space="preserve"> </w:t>
            </w:r>
          </w:p>
        </w:tc>
      </w:tr>
      <w:tr w:rsidR="00EA422B" w:rsidRPr="004C184C" w14:paraId="6A4E0BCA" w14:textId="77777777" w:rsidTr="00403A97">
        <w:tc>
          <w:tcPr>
            <w:tcW w:w="3625" w:type="dxa"/>
            <w:tcBorders>
              <w:top w:val="nil"/>
            </w:tcBorders>
            <w:shd w:val="clear" w:color="auto" w:fill="auto"/>
          </w:tcPr>
          <w:p w14:paraId="78CBE430" w14:textId="77777777" w:rsidR="00EA422B" w:rsidRPr="004C184C" w:rsidRDefault="00EA422B" w:rsidP="00464716">
            <w:pPr>
              <w:suppressAutoHyphens w:val="0"/>
              <w:spacing w:before="40" w:after="40" w:line="220" w:lineRule="exact"/>
              <w:ind w:right="113"/>
              <w:rPr>
                <w:sz w:val="18"/>
                <w:highlight w:val="yellow"/>
                <w:lang w:val="en-US"/>
              </w:rPr>
            </w:pPr>
            <w:r w:rsidRPr="004C184C">
              <w:rPr>
                <w:sz w:val="18"/>
                <w:lang w:val="en-US"/>
              </w:rPr>
              <w:t>Victims and</w:t>
            </w:r>
            <w:r w:rsidRPr="004C184C">
              <w:rPr>
                <w:sz w:val="18"/>
                <w:cs/>
                <w:lang w:val="en-US"/>
              </w:rPr>
              <w:t xml:space="preserve"> </w:t>
            </w:r>
            <w:r w:rsidRPr="004C184C">
              <w:rPr>
                <w:sz w:val="18"/>
                <w:lang w:val="en-US"/>
              </w:rPr>
              <w:t>the accused compensated</w:t>
            </w:r>
            <w:r w:rsidRPr="004C184C">
              <w:rPr>
                <w:rFonts w:eastAsia="Cordia New"/>
                <w:sz w:val="18"/>
                <w:lang w:val="en-US"/>
              </w:rPr>
              <w:t xml:space="preserve"> by the Compensation and Expenses for the Accused in Criminal Cases Act B</w:t>
            </w:r>
            <w:r w:rsidRPr="004C184C">
              <w:rPr>
                <w:rFonts w:eastAsia="Cordia New"/>
                <w:sz w:val="18"/>
                <w:cs/>
                <w:lang w:val="en-US"/>
              </w:rPr>
              <w:t>.</w:t>
            </w:r>
            <w:r w:rsidRPr="004C184C">
              <w:rPr>
                <w:rFonts w:eastAsia="Cordia New"/>
                <w:sz w:val="18"/>
                <w:lang w:val="en-US"/>
              </w:rPr>
              <w:t>E</w:t>
            </w:r>
            <w:r w:rsidRPr="004C184C">
              <w:rPr>
                <w:rFonts w:eastAsia="Cordia New"/>
                <w:sz w:val="18"/>
                <w:cs/>
                <w:lang w:val="en-US"/>
              </w:rPr>
              <w:t xml:space="preserve">. </w:t>
            </w:r>
            <w:r w:rsidRPr="004C184C">
              <w:rPr>
                <w:rFonts w:eastAsia="Cordia New"/>
                <w:sz w:val="18"/>
                <w:lang w:val="en-US"/>
              </w:rPr>
              <w:t xml:space="preserve">2544 </w:t>
            </w:r>
            <w:r w:rsidRPr="004C184C">
              <w:rPr>
                <w:rFonts w:eastAsia="Cordia New"/>
                <w:sz w:val="18"/>
                <w:cs/>
                <w:lang w:val="en-US"/>
              </w:rPr>
              <w:t>(</w:t>
            </w:r>
            <w:r w:rsidRPr="004C184C">
              <w:rPr>
                <w:rFonts w:eastAsia="Cordia New"/>
                <w:sz w:val="18"/>
                <w:lang w:val="en-US"/>
              </w:rPr>
              <w:t>2001</w:t>
            </w:r>
            <w:r w:rsidRPr="004C184C">
              <w:rPr>
                <w:rFonts w:eastAsia="Cordia New"/>
                <w:sz w:val="18"/>
                <w:cs/>
                <w:lang w:val="en-US"/>
              </w:rPr>
              <w:t>)</w:t>
            </w:r>
            <w:r w:rsidRPr="004C184C">
              <w:rPr>
                <w:sz w:val="18"/>
                <w:lang w:val="en-US"/>
              </w:rPr>
              <w:t xml:space="preserve"> and as amended 2016</w:t>
            </w:r>
            <w:r w:rsidRPr="004C184C">
              <w:rPr>
                <w:sz w:val="18"/>
                <w:cs/>
                <w:lang w:val="en-US"/>
              </w:rPr>
              <w:t xml:space="preserve"> </w:t>
            </w:r>
          </w:p>
        </w:tc>
        <w:tc>
          <w:tcPr>
            <w:tcW w:w="3745" w:type="dxa"/>
            <w:tcBorders>
              <w:top w:val="nil"/>
            </w:tcBorders>
            <w:shd w:val="clear" w:color="auto" w:fill="auto"/>
            <w:vAlign w:val="bottom"/>
          </w:tcPr>
          <w:p w14:paraId="40FDF934" w14:textId="756C17F1" w:rsidR="00EA422B" w:rsidRPr="004C184C" w:rsidRDefault="00EA422B" w:rsidP="00211F4A">
            <w:pPr>
              <w:suppressAutoHyphens w:val="0"/>
              <w:spacing w:before="40" w:after="40" w:line="220" w:lineRule="exact"/>
              <w:ind w:right="113"/>
              <w:rPr>
                <w:sz w:val="18"/>
                <w:cs/>
                <w:lang w:val="en-US"/>
              </w:rPr>
            </w:pPr>
            <w:r w:rsidRPr="004C184C">
              <w:rPr>
                <w:sz w:val="18"/>
                <w:lang w:val="en-US"/>
              </w:rPr>
              <w:t>THB 2,827,160,938.28 paid to 57,948 victims</w:t>
            </w:r>
            <w:r w:rsidR="00402575" w:rsidRPr="004C184C">
              <w:rPr>
                <w:sz w:val="18"/>
                <w:lang w:val="en-US"/>
              </w:rPr>
              <w:br/>
            </w:r>
            <w:r w:rsidRPr="004C184C">
              <w:rPr>
                <w:sz w:val="18"/>
                <w:lang w:val="en-US"/>
              </w:rPr>
              <w:t>and THB 77,473,528.00 paid to 438 accused</w:t>
            </w:r>
            <w:r w:rsidR="00402575" w:rsidRPr="004C184C">
              <w:rPr>
                <w:sz w:val="18"/>
                <w:lang w:val="en-US"/>
              </w:rPr>
              <w:br/>
            </w:r>
            <w:r w:rsidRPr="004C184C">
              <w:rPr>
                <w:sz w:val="18"/>
                <w:lang w:val="en-US"/>
              </w:rPr>
              <w:t>(1 October 2015–30 June 2020)</w:t>
            </w:r>
          </w:p>
        </w:tc>
      </w:tr>
    </w:tbl>
    <w:p w14:paraId="3081E009" w14:textId="77777777" w:rsidR="00EA422B" w:rsidRPr="004C184C" w:rsidRDefault="00EA422B" w:rsidP="00124546">
      <w:pPr>
        <w:pStyle w:val="SingleTxtG"/>
        <w:spacing w:before="240"/>
        <w:rPr>
          <w:lang w:val="en-US"/>
        </w:rPr>
      </w:pPr>
      <w:r w:rsidRPr="004C184C">
        <w:rPr>
          <w:lang w:val="en-US"/>
        </w:rPr>
        <w:lastRenderedPageBreak/>
        <w:t>61.</w:t>
      </w:r>
      <w:r w:rsidRPr="004C184C">
        <w:rPr>
          <w:lang w:val="en-US"/>
        </w:rPr>
        <w:tab/>
        <w:t>In 2018 Thailand enforced an execution order for the first time in nine years. It should be noted that cases involving the death penalty are given careful consideration while undergoing due process. Nonetheless, each case is unique with different circumstances. Further information can be found in paragraph 100–101.</w:t>
      </w:r>
    </w:p>
    <w:p w14:paraId="017C8E8B" w14:textId="77777777" w:rsidR="00EA422B" w:rsidRPr="004C184C" w:rsidRDefault="00EA422B" w:rsidP="000C6C14">
      <w:pPr>
        <w:pStyle w:val="H23G"/>
        <w:rPr>
          <w:lang w:val="en-US"/>
        </w:rPr>
      </w:pPr>
      <w:r w:rsidRPr="004C184C">
        <w:rPr>
          <w:lang w:val="en-US"/>
        </w:rPr>
        <w:tab/>
      </w:r>
      <w:r w:rsidRPr="004C184C">
        <w:rPr>
          <w:lang w:val="en-US"/>
        </w:rPr>
        <w:tab/>
        <w:t>Access to justice</w:t>
      </w:r>
    </w:p>
    <w:p w14:paraId="227512BC" w14:textId="77777777" w:rsidR="00EA422B" w:rsidRPr="004C184C" w:rsidRDefault="00EA422B" w:rsidP="00E0416B">
      <w:pPr>
        <w:pStyle w:val="SingleTxtG"/>
        <w:rPr>
          <w:lang w:val="en-US"/>
        </w:rPr>
      </w:pPr>
      <w:r w:rsidRPr="004C184C">
        <w:rPr>
          <w:lang w:val="en-US"/>
        </w:rPr>
        <w:t>62.</w:t>
      </w:r>
      <w:r w:rsidRPr="004C184C">
        <w:rPr>
          <w:lang w:val="en-US"/>
        </w:rPr>
        <w:tab/>
        <w:t xml:space="preserve">People and communities adversely affected by human rights abuses have a wide range of options for making complaints or seeking redress, including through hotlines, coordination centers, including </w:t>
      </w:r>
      <w:proofErr w:type="spellStart"/>
      <w:r w:rsidRPr="004C184C">
        <w:rPr>
          <w:lang w:val="en-US"/>
        </w:rPr>
        <w:t>Damrongdharma</w:t>
      </w:r>
      <w:proofErr w:type="spellEnd"/>
      <w:r w:rsidRPr="004C184C">
        <w:rPr>
          <w:lang w:val="en-US"/>
        </w:rPr>
        <w:t xml:space="preserve"> centers and those of different agencies, the National Human Rights Commission, as well as through the courts.</w:t>
      </w:r>
    </w:p>
    <w:p w14:paraId="005C7E88" w14:textId="77777777" w:rsidR="00EA422B" w:rsidRPr="004C184C" w:rsidRDefault="00EA422B" w:rsidP="00E0416B">
      <w:pPr>
        <w:pStyle w:val="SingleTxtG"/>
        <w:rPr>
          <w:lang w:val="en-US"/>
        </w:rPr>
      </w:pPr>
      <w:r w:rsidRPr="004C184C">
        <w:rPr>
          <w:lang w:val="en-US"/>
        </w:rPr>
        <w:t>63.</w:t>
      </w:r>
      <w:r w:rsidRPr="004C184C">
        <w:rPr>
          <w:lang w:val="en-US"/>
        </w:rPr>
        <w:tab/>
        <w:t>Thailand attaches great importance to ensuring access to justice for all, particularly for the vulnerable and disadvantaged groups who have disproportionately experienced legal hardships. This is reflected in the expansion of legal aid to cover all channels including online and video calls as well as line applications, as well as initiatives to create standard sign language for court proceedings and the registration and training of sign language interpreters, among others.</w:t>
      </w:r>
      <w:bookmarkStart w:id="5" w:name="_Ref40791583"/>
      <w:r w:rsidRPr="004C184C">
        <w:rPr>
          <w:lang w:val="en-US"/>
        </w:rPr>
        <w:t xml:space="preserve"> </w:t>
      </w:r>
    </w:p>
    <w:p w14:paraId="776EEA47" w14:textId="77777777" w:rsidR="00EA422B" w:rsidRPr="004C184C" w:rsidRDefault="00EA422B" w:rsidP="00E0416B">
      <w:pPr>
        <w:pStyle w:val="SingleTxtG"/>
        <w:rPr>
          <w:lang w:val="en-US"/>
        </w:rPr>
      </w:pPr>
      <w:r w:rsidRPr="004C184C">
        <w:rPr>
          <w:lang w:val="en-US"/>
        </w:rPr>
        <w:t>64.</w:t>
      </w:r>
      <w:r w:rsidRPr="004C184C">
        <w:rPr>
          <w:lang w:val="en-US"/>
        </w:rPr>
        <w:tab/>
        <w:t>The Justice Fund Act of 2015</w:t>
      </w:r>
      <w:r w:rsidRPr="004C184C">
        <w:rPr>
          <w:cs/>
          <w:lang w:val="en-US"/>
        </w:rPr>
        <w:t xml:space="preserve"> </w:t>
      </w:r>
      <w:r w:rsidRPr="004C184C">
        <w:rPr>
          <w:lang w:val="en-US"/>
        </w:rPr>
        <w:t>provides financial assistance to enhance access to legal aid, lawyers, and judicial proceedings</w:t>
      </w:r>
      <w:r w:rsidRPr="004C184C">
        <w:rPr>
          <w:cs/>
          <w:lang w:val="en-US"/>
        </w:rPr>
        <w:t xml:space="preserve">. </w:t>
      </w:r>
      <w:r w:rsidRPr="004C184C">
        <w:rPr>
          <w:lang w:val="en-US"/>
        </w:rPr>
        <w:t>This includes proofs and evidence gathering, court fees and bail, compensation for victims of human rights violations, as well as the public dissemination of basic legal knowledge</w:t>
      </w:r>
      <w:r w:rsidRPr="004C184C">
        <w:rPr>
          <w:cs/>
          <w:lang w:val="en-US"/>
        </w:rPr>
        <w:t>.</w:t>
      </w:r>
      <w:bookmarkEnd w:id="5"/>
    </w:p>
    <w:p w14:paraId="751E9732" w14:textId="559B04E3" w:rsidR="00EA422B" w:rsidRPr="004C184C" w:rsidRDefault="00EA422B" w:rsidP="00E0416B">
      <w:pPr>
        <w:pStyle w:val="SingleTxtG"/>
        <w:rPr>
          <w:lang w:val="en-US"/>
        </w:rPr>
      </w:pPr>
      <w:r w:rsidRPr="004C184C">
        <w:rPr>
          <w:lang w:val="en-US"/>
        </w:rPr>
        <w:t>65.</w:t>
      </w:r>
      <w:r w:rsidRPr="004C184C">
        <w:rPr>
          <w:lang w:val="en-US"/>
        </w:rPr>
        <w:tab/>
        <w:t xml:space="preserve">The Ministry of Justice has initiated an outreach program </w:t>
      </w:r>
      <w:r w:rsidR="00567EA4" w:rsidRPr="004C184C">
        <w:rPr>
          <w:lang w:val="en-US"/>
        </w:rPr>
        <w:t>“</w:t>
      </w:r>
      <w:r w:rsidRPr="004C184C">
        <w:rPr>
          <w:lang w:val="en-US"/>
        </w:rPr>
        <w:t>Justice Care</w:t>
      </w:r>
      <w:r w:rsidR="00567EA4" w:rsidRPr="004C184C">
        <w:rPr>
          <w:lang w:val="en-US"/>
        </w:rPr>
        <w:t>”</w:t>
      </w:r>
      <w:r w:rsidRPr="004C184C">
        <w:rPr>
          <w:lang w:val="en-US"/>
        </w:rPr>
        <w:t xml:space="preserve"> which combines several complex existing means to assist injured persons and victims of crime into one single platform</w:t>
      </w:r>
      <w:r w:rsidRPr="004C184C">
        <w:rPr>
          <w:cs/>
          <w:lang w:val="en-US"/>
        </w:rPr>
        <w:t xml:space="preserve">. </w:t>
      </w:r>
      <w:r w:rsidRPr="004C184C">
        <w:rPr>
          <w:lang w:val="en-US"/>
        </w:rPr>
        <w:t>This program deals with complaints promptly and effectively</w:t>
      </w:r>
      <w:r w:rsidRPr="004C184C">
        <w:rPr>
          <w:cs/>
          <w:lang w:val="en-US"/>
        </w:rPr>
        <w:t xml:space="preserve">. </w:t>
      </w:r>
      <w:r w:rsidRPr="004C184C">
        <w:rPr>
          <w:lang w:val="en-US"/>
        </w:rPr>
        <w:t>This service is available to everyone regardless of their race or nationality</w:t>
      </w:r>
      <w:r w:rsidRPr="004C184C">
        <w:rPr>
          <w:cs/>
          <w:lang w:val="en-US"/>
        </w:rPr>
        <w:t xml:space="preserve">. </w:t>
      </w:r>
      <w:r w:rsidRPr="004C184C">
        <w:rPr>
          <w:lang w:val="en-US"/>
        </w:rPr>
        <w:t>Through this channel, people are able to request for legal advice,</w:t>
      </w:r>
      <w:r w:rsidRPr="004C184C">
        <w:rPr>
          <w:cs/>
          <w:lang w:val="en-US"/>
        </w:rPr>
        <w:t xml:space="preserve"> </w:t>
      </w:r>
      <w:r w:rsidRPr="004C184C">
        <w:rPr>
          <w:lang w:val="en-US"/>
        </w:rPr>
        <w:t xml:space="preserve">legal assistance, restitution, state compensation, witness protection, and other forms of support pursuant to relevant legislations such as the Justice Fund Act 2015, the Damages for the Injured Person and Compensation and Expenses for the Accused in Criminal Cases Act 2001, and the Criminal Procedure Code </w:t>
      </w:r>
      <w:r w:rsidRPr="004C184C">
        <w:rPr>
          <w:cs/>
          <w:lang w:val="en-US"/>
        </w:rPr>
        <w:t>(</w:t>
      </w:r>
      <w:r w:rsidRPr="004C184C">
        <w:rPr>
          <w:lang w:val="en-US"/>
        </w:rPr>
        <w:t>Section 44</w:t>
      </w:r>
      <w:r w:rsidRPr="004C184C">
        <w:rPr>
          <w:cs/>
          <w:lang w:val="en-US"/>
        </w:rPr>
        <w:t>/</w:t>
      </w:r>
      <w:r w:rsidRPr="004C184C">
        <w:rPr>
          <w:lang w:val="en-US"/>
        </w:rPr>
        <w:t>1</w:t>
      </w:r>
      <w:r w:rsidRPr="004C184C">
        <w:rPr>
          <w:cs/>
          <w:lang w:val="en-US"/>
        </w:rPr>
        <w:t>).</w:t>
      </w:r>
    </w:p>
    <w:p w14:paraId="319B5146" w14:textId="2E97A32E" w:rsidR="00EA422B" w:rsidRPr="004C184C" w:rsidRDefault="00EA422B" w:rsidP="00E0416B">
      <w:pPr>
        <w:pStyle w:val="SingleTxtG"/>
        <w:rPr>
          <w:lang w:val="en-US"/>
        </w:rPr>
      </w:pPr>
      <w:r w:rsidRPr="004C184C">
        <w:rPr>
          <w:lang w:val="en-US"/>
        </w:rPr>
        <w:t>66.</w:t>
      </w:r>
      <w:r w:rsidRPr="004C184C">
        <w:rPr>
          <w:lang w:val="en-US"/>
        </w:rPr>
        <w:tab/>
        <w:t>To facilitate access to justice, the Courts of Justice officially launched the E</w:t>
      </w:r>
      <w:r w:rsidR="00D97E73" w:rsidRPr="004C184C">
        <w:rPr>
          <w:lang w:val="en-US"/>
        </w:rPr>
        <w:t>-</w:t>
      </w:r>
      <w:r w:rsidRPr="004C184C">
        <w:rPr>
          <w:lang w:val="en-US"/>
        </w:rPr>
        <w:t>Justice Conference Center (EJCC) in 2016. The EJCC provides an additional method for supplementing traditional in</w:t>
      </w:r>
      <w:r w:rsidR="00D97E73" w:rsidRPr="004C184C">
        <w:rPr>
          <w:lang w:val="en-US"/>
        </w:rPr>
        <w:t>-</w:t>
      </w:r>
      <w:r w:rsidRPr="004C184C">
        <w:rPr>
          <w:lang w:val="en-US"/>
        </w:rPr>
        <w:t>court witnesses and interpretation services through a videoconferencing system. This would help expedite judicial proceedings by reducing travel time and expenses for those who need to appear in court as well as protect minors and other vulnerable witnesses from confrontation with the suspect. The Courts of Justice also maintain a list of foreign language interpreters for any court wishing to examine witnesses who have difficulty communicating in Thai.</w:t>
      </w:r>
    </w:p>
    <w:p w14:paraId="2E89CADD" w14:textId="01A65967" w:rsidR="00EA422B" w:rsidRPr="004C184C" w:rsidRDefault="00EA422B" w:rsidP="00E0416B">
      <w:pPr>
        <w:pStyle w:val="SingleTxtG"/>
        <w:rPr>
          <w:lang w:val="en-US"/>
        </w:rPr>
      </w:pPr>
      <w:r w:rsidRPr="004C184C">
        <w:rPr>
          <w:lang w:val="en-US"/>
        </w:rPr>
        <w:t>67.</w:t>
      </w:r>
      <w:r w:rsidRPr="004C184C">
        <w:rPr>
          <w:lang w:val="en-US"/>
        </w:rPr>
        <w:tab/>
        <w:t xml:space="preserve">On 1 November 2018, the Courts of Justice launched the </w:t>
      </w:r>
      <w:r w:rsidR="00567EA4" w:rsidRPr="004C184C">
        <w:rPr>
          <w:lang w:val="en-US"/>
        </w:rPr>
        <w:t>“</w:t>
      </w:r>
      <w:r w:rsidRPr="004C184C">
        <w:rPr>
          <w:lang w:val="en-US"/>
        </w:rPr>
        <w:t>e</w:t>
      </w:r>
      <w:r w:rsidR="00D97E73" w:rsidRPr="004C184C">
        <w:rPr>
          <w:lang w:val="en-US"/>
        </w:rPr>
        <w:t>-</w:t>
      </w:r>
      <w:r w:rsidRPr="004C184C">
        <w:rPr>
          <w:lang w:val="en-US"/>
        </w:rPr>
        <w:t>Notice System</w:t>
      </w:r>
      <w:r w:rsidR="00567EA4" w:rsidRPr="004C184C">
        <w:rPr>
          <w:lang w:val="en-US"/>
        </w:rPr>
        <w:t>”</w:t>
      </w:r>
      <w:r w:rsidRPr="004C184C">
        <w:rPr>
          <w:lang w:val="en-US"/>
        </w:rPr>
        <w:t xml:space="preserve"> to allow online filing of court documents such as written pleadings and notices and to announce schedules for deliberations. The launch aims to use technology to save time and reduce the financial burden in the correspondence of documents. </w:t>
      </w:r>
    </w:p>
    <w:p w14:paraId="7738515B" w14:textId="2493548E" w:rsidR="00EA422B" w:rsidRPr="004C184C" w:rsidRDefault="00EA422B" w:rsidP="00E0416B">
      <w:pPr>
        <w:pStyle w:val="SingleTxtG"/>
        <w:rPr>
          <w:lang w:val="en-US"/>
        </w:rPr>
      </w:pPr>
      <w:r w:rsidRPr="004C184C">
        <w:rPr>
          <w:lang w:val="en-US"/>
        </w:rPr>
        <w:t>68.</w:t>
      </w:r>
      <w:r w:rsidRPr="004C184C">
        <w:rPr>
          <w:lang w:val="en-US"/>
        </w:rPr>
        <w:tab/>
        <w:t>The timely delivery of justice without discrimination is another area of Thailand</w:t>
      </w:r>
      <w:r w:rsidR="00567EA4" w:rsidRPr="004C184C">
        <w:rPr>
          <w:lang w:val="en-US"/>
        </w:rPr>
        <w:t>’</w:t>
      </w:r>
      <w:r w:rsidRPr="004C184C">
        <w:rPr>
          <w:lang w:val="en-US"/>
        </w:rPr>
        <w:t>s strength. Thanks to a strict case management policy with the support of the electronic litigation system and off</w:t>
      </w:r>
      <w:r w:rsidR="00D97E73" w:rsidRPr="004C184C">
        <w:rPr>
          <w:lang w:val="en-US"/>
        </w:rPr>
        <w:t>-</w:t>
      </w:r>
      <w:r w:rsidRPr="004C184C">
        <w:rPr>
          <w:lang w:val="en-US"/>
        </w:rPr>
        <w:t xml:space="preserve">hour trials, the conduct of trials has been accelerated, and most cases under the courts of first instance were adjudicated within one year. </w:t>
      </w:r>
    </w:p>
    <w:p w14:paraId="4695FE6E" w14:textId="77777777" w:rsidR="00EA422B" w:rsidRPr="004C184C" w:rsidRDefault="00EA422B" w:rsidP="000C6C14">
      <w:pPr>
        <w:pStyle w:val="H23G"/>
        <w:rPr>
          <w:lang w:val="en-US"/>
        </w:rPr>
      </w:pPr>
      <w:r w:rsidRPr="004C184C">
        <w:rPr>
          <w:lang w:val="en-US"/>
        </w:rPr>
        <w:tab/>
      </w:r>
      <w:r w:rsidRPr="004C184C">
        <w:rPr>
          <w:lang w:val="en-US"/>
        </w:rPr>
        <w:tab/>
        <w:t>Effective remedies</w:t>
      </w:r>
    </w:p>
    <w:p w14:paraId="034E8ADF" w14:textId="77777777" w:rsidR="00EA422B" w:rsidRPr="004C184C" w:rsidRDefault="00EA422B" w:rsidP="00E0416B">
      <w:pPr>
        <w:pStyle w:val="SingleTxtG"/>
        <w:rPr>
          <w:lang w:val="en-US"/>
        </w:rPr>
      </w:pPr>
      <w:r w:rsidRPr="004C184C">
        <w:rPr>
          <w:lang w:val="en-US"/>
        </w:rPr>
        <w:t>69.</w:t>
      </w:r>
      <w:r w:rsidRPr="004C184C">
        <w:rPr>
          <w:lang w:val="en-US"/>
        </w:rPr>
        <w:tab/>
        <w:t>Victims of human rights violations are entitled to receive state compensation through the Damages for the Injured Persons and Compensation and Expenses for the Accused in Criminal Cases Act B</w:t>
      </w:r>
      <w:r w:rsidRPr="004C184C">
        <w:rPr>
          <w:cs/>
          <w:lang w:val="en-US"/>
        </w:rPr>
        <w:t>.</w:t>
      </w:r>
      <w:r w:rsidRPr="004C184C">
        <w:rPr>
          <w:lang w:val="en-US"/>
        </w:rPr>
        <w:t>E</w:t>
      </w:r>
      <w:r w:rsidRPr="004C184C">
        <w:rPr>
          <w:cs/>
          <w:lang w:val="en-US"/>
        </w:rPr>
        <w:t xml:space="preserve">. </w:t>
      </w:r>
      <w:r w:rsidRPr="004C184C">
        <w:rPr>
          <w:lang w:val="en-US"/>
        </w:rPr>
        <w:t xml:space="preserve">2544 </w:t>
      </w:r>
      <w:r w:rsidRPr="004C184C">
        <w:rPr>
          <w:cs/>
          <w:lang w:val="en-US"/>
        </w:rPr>
        <w:t>(</w:t>
      </w:r>
      <w:r w:rsidRPr="004C184C">
        <w:rPr>
          <w:lang w:val="en-US"/>
        </w:rPr>
        <w:t>2001</w:t>
      </w:r>
      <w:r w:rsidRPr="004C184C">
        <w:rPr>
          <w:cs/>
          <w:lang w:val="en-US"/>
        </w:rPr>
        <w:t>)</w:t>
      </w:r>
      <w:r w:rsidRPr="004C184C">
        <w:rPr>
          <w:lang w:val="en-US"/>
        </w:rPr>
        <w:t>, which was amended in 2016</w:t>
      </w:r>
      <w:r w:rsidRPr="004C184C">
        <w:rPr>
          <w:cs/>
          <w:lang w:val="en-US"/>
        </w:rPr>
        <w:t xml:space="preserve">. </w:t>
      </w:r>
      <w:r w:rsidRPr="004C184C">
        <w:rPr>
          <w:lang w:val="en-US"/>
        </w:rPr>
        <w:t>The act aims to provide financial assistance to victims of crime such as medical fees, physical and mental rehabilitation fees, compensation for loss of income and in the case of death</w:t>
      </w:r>
      <w:r w:rsidRPr="004C184C">
        <w:rPr>
          <w:cs/>
          <w:lang w:val="en-US"/>
        </w:rPr>
        <w:t>.</w:t>
      </w:r>
      <w:r w:rsidRPr="004C184C">
        <w:rPr>
          <w:lang w:val="en-US"/>
        </w:rPr>
        <w:t xml:space="preserve"> Those accused who were detained during trial and later acquitted as they were found innocent are eligible to receive state compensation through the aforementioned Act</w:t>
      </w:r>
      <w:r w:rsidRPr="004C184C">
        <w:rPr>
          <w:cs/>
          <w:lang w:val="en-US"/>
        </w:rPr>
        <w:t>.</w:t>
      </w:r>
    </w:p>
    <w:p w14:paraId="7732365E" w14:textId="3DC22F6B" w:rsidR="00EA422B" w:rsidRPr="004C184C" w:rsidRDefault="00EA422B" w:rsidP="00E0416B">
      <w:pPr>
        <w:pStyle w:val="SingleTxtG"/>
        <w:rPr>
          <w:lang w:val="en-US"/>
        </w:rPr>
      </w:pPr>
      <w:r w:rsidRPr="004C184C">
        <w:rPr>
          <w:lang w:val="en-US"/>
        </w:rPr>
        <w:lastRenderedPageBreak/>
        <w:t>70.</w:t>
      </w:r>
      <w:r w:rsidRPr="004C184C">
        <w:rPr>
          <w:lang w:val="en-US"/>
        </w:rPr>
        <w:tab/>
        <w:t xml:space="preserve">The 2003 </w:t>
      </w:r>
      <w:r w:rsidR="00567EA4" w:rsidRPr="004C184C">
        <w:rPr>
          <w:lang w:val="en-US"/>
        </w:rPr>
        <w:t>‘</w:t>
      </w:r>
      <w:r w:rsidRPr="004C184C">
        <w:rPr>
          <w:lang w:val="en-US"/>
        </w:rPr>
        <w:t>Witness Protection Act</w:t>
      </w:r>
      <w:r w:rsidR="00567EA4" w:rsidRPr="004C184C">
        <w:rPr>
          <w:lang w:val="en-US"/>
        </w:rPr>
        <w:t>’</w:t>
      </w:r>
      <w:r w:rsidRPr="004C184C">
        <w:rPr>
          <w:lang w:val="en-US"/>
        </w:rPr>
        <w:t xml:space="preserve"> covers those who have reasonable fear or who are in jeopardy even if the case is not yet under police investigation. Since the Act came into force, all witness protected under the Act have been saved at a rate of 100%. </w:t>
      </w:r>
    </w:p>
    <w:p w14:paraId="5C5CBE8B" w14:textId="2E253200" w:rsidR="00EA422B" w:rsidRPr="004C184C" w:rsidRDefault="00EA422B" w:rsidP="00E0416B">
      <w:pPr>
        <w:pStyle w:val="SingleTxtG"/>
        <w:rPr>
          <w:lang w:val="en-US"/>
        </w:rPr>
      </w:pPr>
      <w:r w:rsidRPr="004C184C">
        <w:rPr>
          <w:lang w:val="en-US"/>
        </w:rPr>
        <w:t>71.</w:t>
      </w:r>
      <w:r w:rsidRPr="004C184C">
        <w:rPr>
          <w:lang w:val="en-US"/>
        </w:rPr>
        <w:tab/>
        <w:t>On 8 February 2019, the NLA approved the draft Mediation Act as proposed by the Ministry of Justice. Once in effect, the Mediation Act would provide an alternative dispute settlement mechanism for civil claims with relatively low monetary value and certain criminal claims. This alternative method will save time and money for parties to the dispute and at the same time reduce the caseload of the courts.</w:t>
      </w:r>
    </w:p>
    <w:p w14:paraId="6D06B7C8" w14:textId="77777777" w:rsidR="00EA422B" w:rsidRPr="004C184C" w:rsidRDefault="00EA422B" w:rsidP="00571964">
      <w:pPr>
        <w:pStyle w:val="H23G"/>
        <w:rPr>
          <w:lang w:val="en-US"/>
        </w:rPr>
      </w:pPr>
      <w:r w:rsidRPr="004C184C">
        <w:rPr>
          <w:lang w:val="en-US"/>
        </w:rPr>
        <w:tab/>
      </w:r>
      <w:r w:rsidRPr="004C184C">
        <w:rPr>
          <w:lang w:val="en-US"/>
        </w:rPr>
        <w:tab/>
        <w:t>The Justice System Reform Plan</w:t>
      </w:r>
    </w:p>
    <w:p w14:paraId="35C552F7" w14:textId="77777777" w:rsidR="00EA422B" w:rsidRPr="004C184C" w:rsidRDefault="00EA422B" w:rsidP="00E0416B">
      <w:pPr>
        <w:pStyle w:val="SingleTxtG"/>
        <w:rPr>
          <w:lang w:val="en-US"/>
        </w:rPr>
      </w:pPr>
      <w:r w:rsidRPr="004C184C">
        <w:rPr>
          <w:lang w:val="en-US"/>
        </w:rPr>
        <w:t>72.</w:t>
      </w:r>
      <w:r w:rsidRPr="004C184C">
        <w:rPr>
          <w:lang w:val="en-US"/>
        </w:rPr>
        <w:tab/>
        <w:t xml:space="preserve">The Justice System Reform Plan of 6 April 2018 established a policy framework to enhance various aspects of the judicial system, including access to justice, timely and adequate protection, improvement of physical and psychological recovery, access to remedy for victims and witnesses in criminal cases, and improvement of conditions in prisons and detention centers across the country. </w:t>
      </w:r>
    </w:p>
    <w:p w14:paraId="6E0CA95E" w14:textId="77777777" w:rsidR="00EA422B" w:rsidRPr="004C184C" w:rsidRDefault="00EA422B" w:rsidP="00571964">
      <w:pPr>
        <w:pStyle w:val="H23G"/>
        <w:rPr>
          <w:lang w:val="en-US"/>
        </w:rPr>
      </w:pPr>
      <w:r w:rsidRPr="004C184C">
        <w:rPr>
          <w:lang w:val="en-US"/>
        </w:rPr>
        <w:tab/>
      </w:r>
      <w:r w:rsidRPr="004C184C">
        <w:rPr>
          <w:lang w:val="en-US"/>
        </w:rPr>
        <w:tab/>
        <w:t>Religious law</w:t>
      </w:r>
    </w:p>
    <w:p w14:paraId="76CA5A9B" w14:textId="77777777" w:rsidR="00EA422B" w:rsidRPr="004C184C" w:rsidRDefault="00EA422B" w:rsidP="00E0416B">
      <w:pPr>
        <w:pStyle w:val="SingleTxtG"/>
        <w:rPr>
          <w:lang w:val="en-US"/>
        </w:rPr>
      </w:pPr>
      <w:r w:rsidRPr="004C184C">
        <w:rPr>
          <w:lang w:val="en-US"/>
        </w:rPr>
        <w:t>73.</w:t>
      </w:r>
      <w:r w:rsidRPr="004C184C">
        <w:rPr>
          <w:lang w:val="en-US"/>
        </w:rPr>
        <w:tab/>
        <w:t>In principle, no religious law has legally binding effect in Thailand except for the limited case of family and succession laws concerning Muslims residing</w:t>
      </w:r>
      <w:r w:rsidRPr="004C184C">
        <w:rPr>
          <w:cs/>
          <w:lang w:val="en-US"/>
        </w:rPr>
        <w:t xml:space="preserve"> </w:t>
      </w:r>
      <w:r w:rsidRPr="004C184C">
        <w:rPr>
          <w:lang w:val="en-US"/>
        </w:rPr>
        <w:t>in</w:t>
      </w:r>
      <w:r w:rsidRPr="004C184C">
        <w:rPr>
          <w:cs/>
          <w:lang w:val="en-US"/>
        </w:rPr>
        <w:t xml:space="preserve"> </w:t>
      </w:r>
      <w:r w:rsidRPr="004C184C">
        <w:rPr>
          <w:lang w:val="en-US"/>
        </w:rPr>
        <w:t xml:space="preserve">Pattani, </w:t>
      </w:r>
      <w:proofErr w:type="spellStart"/>
      <w:r w:rsidRPr="004C184C">
        <w:rPr>
          <w:lang w:val="en-US"/>
        </w:rPr>
        <w:t>Yala</w:t>
      </w:r>
      <w:proofErr w:type="spellEnd"/>
      <w:r w:rsidRPr="004C184C">
        <w:rPr>
          <w:lang w:val="en-US"/>
        </w:rPr>
        <w:t xml:space="preserve">, Narathiwat and </w:t>
      </w:r>
      <w:proofErr w:type="spellStart"/>
      <w:r w:rsidRPr="004C184C">
        <w:rPr>
          <w:lang w:val="en-US"/>
        </w:rPr>
        <w:t>Satun</w:t>
      </w:r>
      <w:proofErr w:type="spellEnd"/>
      <w:r w:rsidRPr="004C184C">
        <w:rPr>
          <w:lang w:val="en-US"/>
        </w:rPr>
        <w:t xml:space="preserve"> provinces</w:t>
      </w:r>
      <w:r w:rsidRPr="004C184C">
        <w:rPr>
          <w:cs/>
          <w:lang w:val="en-US"/>
        </w:rPr>
        <w:t>.</w:t>
      </w:r>
    </w:p>
    <w:p w14:paraId="4C02D608" w14:textId="77777777" w:rsidR="00EA422B" w:rsidRPr="004C184C" w:rsidRDefault="00EA422B" w:rsidP="00571964">
      <w:pPr>
        <w:pStyle w:val="H23G"/>
        <w:rPr>
          <w:cs/>
          <w:lang w:val="en-US"/>
        </w:rPr>
      </w:pPr>
      <w:r w:rsidRPr="004C184C">
        <w:rPr>
          <w:lang w:val="en-US"/>
        </w:rPr>
        <w:tab/>
      </w:r>
      <w:r w:rsidRPr="004C184C">
        <w:rPr>
          <w:lang w:val="en-US"/>
        </w:rPr>
        <w:tab/>
        <w:t>Customary law</w:t>
      </w:r>
    </w:p>
    <w:p w14:paraId="23D9D623" w14:textId="77777777" w:rsidR="00EA422B" w:rsidRPr="004C184C" w:rsidRDefault="00EA422B" w:rsidP="00E0416B">
      <w:pPr>
        <w:pStyle w:val="SingleTxtG"/>
        <w:rPr>
          <w:lang w:val="en-US"/>
        </w:rPr>
      </w:pPr>
      <w:r w:rsidRPr="004C184C">
        <w:rPr>
          <w:lang w:val="en-US"/>
        </w:rPr>
        <w:t>74.</w:t>
      </w:r>
      <w:r w:rsidRPr="004C184C">
        <w:rPr>
          <w:lang w:val="en-US"/>
        </w:rPr>
        <w:tab/>
        <w:t>For customary law, it will be of concern only on matters of civil disputes where no written law is applicable to the case,</w:t>
      </w:r>
      <w:r w:rsidRPr="004C184C">
        <w:rPr>
          <w:cs/>
          <w:lang w:val="en-US"/>
        </w:rPr>
        <w:t xml:space="preserve"> </w:t>
      </w:r>
      <w:r w:rsidRPr="004C184C">
        <w:rPr>
          <w:lang w:val="en-US"/>
        </w:rPr>
        <w:t>and there is no available statutory law analogy which can be used to fill the legal gap</w:t>
      </w:r>
      <w:r w:rsidRPr="004C184C">
        <w:rPr>
          <w:cs/>
          <w:lang w:val="en-US"/>
        </w:rPr>
        <w:t xml:space="preserve">. </w:t>
      </w:r>
      <w:r w:rsidRPr="004C184C">
        <w:rPr>
          <w:lang w:val="en-US"/>
        </w:rPr>
        <w:t>In the case of criminal law, Thailand strictly observes the principle of lex scripta</w:t>
      </w:r>
      <w:r w:rsidRPr="004C184C">
        <w:rPr>
          <w:cs/>
          <w:lang w:val="en-US"/>
        </w:rPr>
        <w:t>.</w:t>
      </w:r>
    </w:p>
    <w:p w14:paraId="76F8BF66" w14:textId="77777777" w:rsidR="00EA422B" w:rsidRPr="004C184C" w:rsidRDefault="00EA422B" w:rsidP="00571964">
      <w:pPr>
        <w:pStyle w:val="HChG"/>
        <w:rPr>
          <w:lang w:val="en-US"/>
        </w:rPr>
      </w:pPr>
      <w:r w:rsidRPr="004C184C">
        <w:rPr>
          <w:lang w:val="en-US"/>
        </w:rPr>
        <w:tab/>
      </w:r>
      <w:bookmarkStart w:id="6" w:name="_Toc89701535"/>
      <w:r w:rsidRPr="004C184C">
        <w:rPr>
          <w:lang w:val="en-US"/>
        </w:rPr>
        <w:t>II.</w:t>
      </w:r>
      <w:r w:rsidRPr="004C184C">
        <w:rPr>
          <w:lang w:val="en-US"/>
        </w:rPr>
        <w:tab/>
        <w:t>General framework for the protection and promotion of human rights</w:t>
      </w:r>
      <w:bookmarkEnd w:id="6"/>
    </w:p>
    <w:p w14:paraId="3FD39F38" w14:textId="525E26C3" w:rsidR="00EA422B" w:rsidRPr="004C184C" w:rsidRDefault="00EA422B" w:rsidP="00571964">
      <w:pPr>
        <w:pStyle w:val="H1G"/>
        <w:rPr>
          <w:lang w:val="en-US"/>
        </w:rPr>
      </w:pPr>
      <w:r w:rsidRPr="004C184C">
        <w:rPr>
          <w:lang w:val="en-US"/>
        </w:rPr>
        <w:tab/>
      </w:r>
      <w:bookmarkStart w:id="7" w:name="_Toc89701536"/>
      <w:r w:rsidRPr="004C184C">
        <w:rPr>
          <w:lang w:val="en-US"/>
        </w:rPr>
        <w:t>A.</w:t>
      </w:r>
      <w:r w:rsidRPr="004C184C">
        <w:rPr>
          <w:lang w:val="en-US"/>
        </w:rPr>
        <w:tab/>
        <w:t>Acceptance of international human rights norms</w:t>
      </w:r>
      <w:bookmarkEnd w:id="7"/>
    </w:p>
    <w:p w14:paraId="3490083A" w14:textId="77777777" w:rsidR="00EA422B" w:rsidRPr="004C184C" w:rsidRDefault="00EA422B" w:rsidP="00E0416B">
      <w:pPr>
        <w:pStyle w:val="SingleTxtG"/>
        <w:rPr>
          <w:lang w:val="en-US"/>
        </w:rPr>
      </w:pPr>
      <w:r w:rsidRPr="004C184C">
        <w:rPr>
          <w:lang w:val="en-US"/>
        </w:rPr>
        <w:t>75.</w:t>
      </w:r>
      <w:r w:rsidRPr="004C184C">
        <w:rPr>
          <w:lang w:val="en-US"/>
        </w:rPr>
        <w:tab/>
        <w:t>Thailand was among the first 48 countries that adopted the Universal Declaration of Human Rights on December 10, 1948. Since then, Thailand</w:t>
      </w:r>
      <w:r w:rsidRPr="004C184C">
        <w:rPr>
          <w:cs/>
          <w:lang w:val="en-US"/>
        </w:rPr>
        <w:t xml:space="preserve"> </w:t>
      </w:r>
      <w:r w:rsidRPr="004C184C">
        <w:rPr>
          <w:lang w:val="en-US"/>
        </w:rPr>
        <w:t>has been a party to a number of international instruments related, directly or indirectly, to human rights</w:t>
      </w:r>
      <w:r w:rsidRPr="004C184C">
        <w:rPr>
          <w:cs/>
          <w:lang w:val="en-US"/>
        </w:rPr>
        <w:t>.</w:t>
      </w:r>
      <w:r w:rsidRPr="004C184C">
        <w:rPr>
          <w:lang w:val="en-US"/>
        </w:rPr>
        <w:t xml:space="preserve"> </w:t>
      </w:r>
    </w:p>
    <w:p w14:paraId="14986D98" w14:textId="2D87D5E3" w:rsidR="00EA422B" w:rsidRPr="004C184C" w:rsidRDefault="00EA422B" w:rsidP="00E0416B">
      <w:pPr>
        <w:pStyle w:val="SingleTxtG"/>
        <w:rPr>
          <w:lang w:val="en-US"/>
        </w:rPr>
      </w:pPr>
      <w:r w:rsidRPr="004C184C">
        <w:rPr>
          <w:lang w:val="en-US"/>
        </w:rPr>
        <w:t>76.</w:t>
      </w:r>
      <w:r w:rsidRPr="004C184C">
        <w:rPr>
          <w:lang w:val="en-US"/>
        </w:rPr>
        <w:tab/>
        <w:t>Thailand is committed to the Universal Periodic Review (UPR) process and has been under review twice, in 2011 and 2016. Thailand has also voluntarily submitted UPR mid</w:t>
      </w:r>
      <w:r w:rsidR="00D97E73" w:rsidRPr="004C184C">
        <w:rPr>
          <w:lang w:val="en-US"/>
        </w:rPr>
        <w:t>-</w:t>
      </w:r>
      <w:r w:rsidRPr="004C184C">
        <w:rPr>
          <w:lang w:val="en-US"/>
        </w:rPr>
        <w:t>term reports in 2014 and 2019</w:t>
      </w:r>
      <w:r w:rsidRPr="004C184C">
        <w:rPr>
          <w:cs/>
          <w:lang w:val="en-US"/>
        </w:rPr>
        <w:t>.</w:t>
      </w:r>
    </w:p>
    <w:p w14:paraId="36B10F80" w14:textId="77777777" w:rsidR="00EA422B" w:rsidRPr="004C184C" w:rsidRDefault="00EA422B" w:rsidP="00571964">
      <w:pPr>
        <w:pStyle w:val="H23G"/>
        <w:rPr>
          <w:lang w:val="en-US"/>
        </w:rPr>
      </w:pPr>
      <w:r w:rsidRPr="004C184C">
        <w:rPr>
          <w:lang w:val="en-US"/>
        </w:rPr>
        <w:tab/>
      </w:r>
      <w:r w:rsidRPr="004C184C">
        <w:rPr>
          <w:lang w:val="en-US"/>
        </w:rPr>
        <w:tab/>
        <w:t>UN main human rights instruments</w:t>
      </w:r>
    </w:p>
    <w:p w14:paraId="0ECE43C2" w14:textId="5864D405" w:rsidR="00EA422B" w:rsidRPr="004C184C" w:rsidRDefault="00EA422B" w:rsidP="00571964">
      <w:pPr>
        <w:pStyle w:val="SingleTxtG"/>
        <w:spacing w:after="240"/>
        <w:rPr>
          <w:lang w:val="en-US"/>
        </w:rPr>
      </w:pPr>
      <w:r w:rsidRPr="004C184C">
        <w:rPr>
          <w:lang w:val="en-US"/>
        </w:rPr>
        <w:t>77.</w:t>
      </w:r>
      <w:r w:rsidRPr="004C184C">
        <w:rPr>
          <w:lang w:val="en-US"/>
        </w:rPr>
        <w:tab/>
        <w:t>Thailand is currently a party to seven main UN human rights treaties and a signatory to the ICCPED. Details are as follows</w:t>
      </w:r>
      <w:r w:rsidRPr="004C184C">
        <w:rPr>
          <w:cs/>
          <w:lang w:val="en-US"/>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907"/>
        <w:gridCol w:w="4463"/>
      </w:tblGrid>
      <w:tr w:rsidR="00EA422B" w:rsidRPr="004C184C" w14:paraId="485F4608" w14:textId="77777777" w:rsidTr="00571964">
        <w:trPr>
          <w:tblHeader/>
        </w:trPr>
        <w:tc>
          <w:tcPr>
            <w:tcW w:w="3017" w:type="dxa"/>
            <w:tcBorders>
              <w:top w:val="single" w:sz="4" w:space="0" w:color="auto"/>
              <w:bottom w:val="single" w:sz="12" w:space="0" w:color="auto"/>
            </w:tcBorders>
            <w:shd w:val="clear" w:color="auto" w:fill="auto"/>
            <w:vAlign w:val="bottom"/>
          </w:tcPr>
          <w:p w14:paraId="1A0A22B9" w14:textId="77777777" w:rsidR="00EA422B" w:rsidRPr="004C184C" w:rsidRDefault="00EA422B" w:rsidP="00571964">
            <w:pPr>
              <w:suppressAutoHyphens w:val="0"/>
              <w:spacing w:before="80" w:after="80" w:line="200" w:lineRule="exact"/>
              <w:ind w:right="113"/>
              <w:rPr>
                <w:i/>
                <w:sz w:val="16"/>
                <w:lang w:val="en-US"/>
              </w:rPr>
            </w:pPr>
            <w:r w:rsidRPr="004C184C">
              <w:rPr>
                <w:i/>
                <w:sz w:val="16"/>
                <w:lang w:val="en-US"/>
              </w:rPr>
              <w:t>Treaties</w:t>
            </w:r>
          </w:p>
        </w:tc>
        <w:tc>
          <w:tcPr>
            <w:tcW w:w="4633" w:type="dxa"/>
            <w:tcBorders>
              <w:top w:val="single" w:sz="4" w:space="0" w:color="auto"/>
              <w:bottom w:val="single" w:sz="12" w:space="0" w:color="auto"/>
            </w:tcBorders>
            <w:shd w:val="clear" w:color="auto" w:fill="auto"/>
            <w:vAlign w:val="bottom"/>
          </w:tcPr>
          <w:p w14:paraId="11E2E45C" w14:textId="77777777" w:rsidR="00EA422B" w:rsidRPr="004C184C" w:rsidRDefault="00EA422B" w:rsidP="00571964">
            <w:pPr>
              <w:suppressAutoHyphens w:val="0"/>
              <w:spacing w:before="80" w:after="80" w:line="200" w:lineRule="exact"/>
              <w:ind w:right="113"/>
              <w:rPr>
                <w:i/>
                <w:sz w:val="16"/>
                <w:lang w:val="en-US"/>
              </w:rPr>
            </w:pPr>
            <w:r w:rsidRPr="004C184C">
              <w:rPr>
                <w:i/>
                <w:sz w:val="16"/>
                <w:lang w:val="en-US"/>
              </w:rPr>
              <w:t>Status</w:t>
            </w:r>
          </w:p>
        </w:tc>
      </w:tr>
      <w:tr w:rsidR="00EA422B" w:rsidRPr="004C184C" w14:paraId="4E9612B1" w14:textId="77777777" w:rsidTr="00571964">
        <w:trPr>
          <w:trHeight w:hRule="exact" w:val="113"/>
          <w:tblHeader/>
        </w:trPr>
        <w:tc>
          <w:tcPr>
            <w:tcW w:w="3017" w:type="dxa"/>
            <w:tcBorders>
              <w:top w:val="single" w:sz="12" w:space="0" w:color="auto"/>
            </w:tcBorders>
            <w:shd w:val="clear" w:color="auto" w:fill="auto"/>
          </w:tcPr>
          <w:p w14:paraId="0A0E8BFB" w14:textId="77777777" w:rsidR="00EA422B" w:rsidRPr="004C184C" w:rsidRDefault="00EA422B" w:rsidP="00571964">
            <w:pPr>
              <w:suppressAutoHyphens w:val="0"/>
              <w:spacing w:before="40" w:after="120" w:line="220" w:lineRule="exact"/>
              <w:ind w:right="113"/>
              <w:rPr>
                <w:lang w:val="en-US"/>
              </w:rPr>
            </w:pPr>
          </w:p>
        </w:tc>
        <w:tc>
          <w:tcPr>
            <w:tcW w:w="4633" w:type="dxa"/>
            <w:tcBorders>
              <w:top w:val="single" w:sz="12" w:space="0" w:color="auto"/>
            </w:tcBorders>
            <w:shd w:val="clear" w:color="auto" w:fill="auto"/>
          </w:tcPr>
          <w:p w14:paraId="6B1CE550" w14:textId="77777777" w:rsidR="00EA422B" w:rsidRPr="004C184C" w:rsidRDefault="00EA422B" w:rsidP="00571964">
            <w:pPr>
              <w:suppressAutoHyphens w:val="0"/>
              <w:spacing w:before="40" w:after="120" w:line="220" w:lineRule="exact"/>
              <w:ind w:right="113"/>
              <w:rPr>
                <w:lang w:val="en-US"/>
              </w:rPr>
            </w:pPr>
          </w:p>
        </w:tc>
      </w:tr>
      <w:tr w:rsidR="00EA422B" w:rsidRPr="004C184C" w14:paraId="35E0625A" w14:textId="77777777" w:rsidTr="00571964">
        <w:tc>
          <w:tcPr>
            <w:tcW w:w="3017" w:type="dxa"/>
            <w:shd w:val="clear" w:color="auto" w:fill="auto"/>
          </w:tcPr>
          <w:p w14:paraId="6E57E80A" w14:textId="77777777" w:rsidR="00EA422B" w:rsidRPr="004C184C" w:rsidRDefault="00EA422B" w:rsidP="00571964">
            <w:pPr>
              <w:suppressAutoHyphens w:val="0"/>
              <w:spacing w:before="40" w:after="120" w:line="220" w:lineRule="exact"/>
              <w:ind w:right="113"/>
              <w:rPr>
                <w:lang w:val="en-US"/>
              </w:rPr>
            </w:pPr>
            <w:r w:rsidRPr="004C184C">
              <w:rPr>
                <w:lang w:val="en-US"/>
              </w:rPr>
              <w:t>CAT</w:t>
            </w:r>
          </w:p>
        </w:tc>
        <w:tc>
          <w:tcPr>
            <w:tcW w:w="4633" w:type="dxa"/>
            <w:shd w:val="clear" w:color="auto" w:fill="auto"/>
          </w:tcPr>
          <w:p w14:paraId="3D6DBC5F" w14:textId="77777777" w:rsidR="00EA422B" w:rsidRPr="004C184C" w:rsidRDefault="00EA422B" w:rsidP="00571964">
            <w:pPr>
              <w:suppressAutoHyphens w:val="0"/>
              <w:spacing w:before="40" w:after="120" w:line="220" w:lineRule="exact"/>
              <w:ind w:right="113"/>
              <w:rPr>
                <w:lang w:val="en-US"/>
              </w:rPr>
            </w:pPr>
            <w:r w:rsidRPr="004C184C">
              <w:rPr>
                <w:lang w:val="en-US"/>
              </w:rPr>
              <w:t>Accession on 2 October 2007</w:t>
            </w:r>
          </w:p>
        </w:tc>
      </w:tr>
      <w:tr w:rsidR="00EA422B" w:rsidRPr="004C184C" w14:paraId="7893776E" w14:textId="77777777" w:rsidTr="00571964">
        <w:tc>
          <w:tcPr>
            <w:tcW w:w="3017" w:type="dxa"/>
            <w:shd w:val="clear" w:color="auto" w:fill="auto"/>
          </w:tcPr>
          <w:p w14:paraId="7C29E85D" w14:textId="77777777" w:rsidR="00EA422B" w:rsidRPr="004C184C" w:rsidRDefault="00EA422B" w:rsidP="00571964">
            <w:pPr>
              <w:suppressAutoHyphens w:val="0"/>
              <w:spacing w:before="40" w:after="120" w:line="220" w:lineRule="exact"/>
              <w:ind w:right="113"/>
              <w:rPr>
                <w:lang w:val="en-US"/>
              </w:rPr>
            </w:pPr>
            <w:r w:rsidRPr="004C184C">
              <w:rPr>
                <w:lang w:val="en-US"/>
              </w:rPr>
              <w:t>ICCPR</w:t>
            </w:r>
          </w:p>
        </w:tc>
        <w:tc>
          <w:tcPr>
            <w:tcW w:w="4633" w:type="dxa"/>
            <w:shd w:val="clear" w:color="auto" w:fill="auto"/>
          </w:tcPr>
          <w:p w14:paraId="6EC43789" w14:textId="77777777" w:rsidR="00EA422B" w:rsidRPr="004C184C" w:rsidRDefault="00EA422B" w:rsidP="00571964">
            <w:pPr>
              <w:suppressAutoHyphens w:val="0"/>
              <w:spacing w:before="40" w:after="120" w:line="220" w:lineRule="exact"/>
              <w:ind w:right="113"/>
              <w:rPr>
                <w:lang w:val="en-US"/>
              </w:rPr>
            </w:pPr>
            <w:r w:rsidRPr="004C184C">
              <w:rPr>
                <w:lang w:val="en-US"/>
              </w:rPr>
              <w:t>Accession 29 October 1996</w:t>
            </w:r>
          </w:p>
        </w:tc>
      </w:tr>
      <w:tr w:rsidR="00EA422B" w:rsidRPr="004C184C" w14:paraId="00FD5D01" w14:textId="77777777" w:rsidTr="00571964">
        <w:tc>
          <w:tcPr>
            <w:tcW w:w="3017" w:type="dxa"/>
            <w:shd w:val="clear" w:color="auto" w:fill="auto"/>
          </w:tcPr>
          <w:p w14:paraId="4C59B01F" w14:textId="77777777" w:rsidR="00EA422B" w:rsidRPr="004C184C" w:rsidRDefault="00EA422B" w:rsidP="00571964">
            <w:pPr>
              <w:suppressAutoHyphens w:val="0"/>
              <w:spacing w:before="40" w:after="120" w:line="220" w:lineRule="exact"/>
              <w:ind w:right="113"/>
              <w:rPr>
                <w:lang w:val="en-US"/>
              </w:rPr>
            </w:pPr>
            <w:r w:rsidRPr="004C184C">
              <w:rPr>
                <w:lang w:val="en-US"/>
              </w:rPr>
              <w:t>ICCPED</w:t>
            </w:r>
          </w:p>
        </w:tc>
        <w:tc>
          <w:tcPr>
            <w:tcW w:w="4633" w:type="dxa"/>
            <w:shd w:val="clear" w:color="auto" w:fill="auto"/>
          </w:tcPr>
          <w:p w14:paraId="27C6642A" w14:textId="77777777" w:rsidR="00EA422B" w:rsidRPr="004C184C" w:rsidRDefault="00EA422B" w:rsidP="00571964">
            <w:pPr>
              <w:suppressAutoHyphens w:val="0"/>
              <w:spacing w:before="40" w:after="120" w:line="220" w:lineRule="exact"/>
              <w:ind w:right="113"/>
              <w:rPr>
                <w:lang w:val="en-US"/>
              </w:rPr>
            </w:pPr>
            <w:r w:rsidRPr="004C184C">
              <w:rPr>
                <w:lang w:val="en-US"/>
              </w:rPr>
              <w:t>Signature on 9 January 2012</w:t>
            </w:r>
          </w:p>
        </w:tc>
      </w:tr>
      <w:tr w:rsidR="00EA422B" w:rsidRPr="004C184C" w14:paraId="088DB08E" w14:textId="77777777" w:rsidTr="00571964">
        <w:tc>
          <w:tcPr>
            <w:tcW w:w="3017" w:type="dxa"/>
            <w:shd w:val="clear" w:color="auto" w:fill="auto"/>
          </w:tcPr>
          <w:p w14:paraId="12E59641" w14:textId="77777777" w:rsidR="00EA422B" w:rsidRPr="004C184C" w:rsidRDefault="00EA422B" w:rsidP="00571964">
            <w:pPr>
              <w:suppressAutoHyphens w:val="0"/>
              <w:spacing w:before="40" w:after="120" w:line="220" w:lineRule="exact"/>
              <w:ind w:right="113"/>
              <w:rPr>
                <w:lang w:val="en-US"/>
              </w:rPr>
            </w:pPr>
            <w:r w:rsidRPr="004C184C">
              <w:rPr>
                <w:lang w:val="en-US"/>
              </w:rPr>
              <w:t>CEDAW</w:t>
            </w:r>
          </w:p>
        </w:tc>
        <w:tc>
          <w:tcPr>
            <w:tcW w:w="4633" w:type="dxa"/>
            <w:shd w:val="clear" w:color="auto" w:fill="auto"/>
          </w:tcPr>
          <w:p w14:paraId="0CC1F982" w14:textId="77777777" w:rsidR="00EA422B" w:rsidRPr="004C184C" w:rsidRDefault="00EA422B" w:rsidP="00571964">
            <w:pPr>
              <w:suppressAutoHyphens w:val="0"/>
              <w:spacing w:before="40" w:after="120" w:line="220" w:lineRule="exact"/>
              <w:ind w:right="113"/>
              <w:rPr>
                <w:lang w:val="en-US"/>
              </w:rPr>
            </w:pPr>
            <w:r w:rsidRPr="004C184C">
              <w:rPr>
                <w:lang w:val="en-US"/>
              </w:rPr>
              <w:t>Accession on 9 August 1985</w:t>
            </w:r>
          </w:p>
        </w:tc>
      </w:tr>
      <w:tr w:rsidR="00EA422B" w:rsidRPr="004C184C" w14:paraId="7BD1C8ED" w14:textId="77777777" w:rsidTr="00571964">
        <w:tc>
          <w:tcPr>
            <w:tcW w:w="3017" w:type="dxa"/>
            <w:tcBorders>
              <w:bottom w:val="nil"/>
            </w:tcBorders>
            <w:shd w:val="clear" w:color="auto" w:fill="auto"/>
          </w:tcPr>
          <w:p w14:paraId="3EBAFBE2" w14:textId="609BE04B" w:rsidR="00EA422B" w:rsidRPr="004C184C" w:rsidRDefault="00EA422B" w:rsidP="00571964">
            <w:pPr>
              <w:suppressAutoHyphens w:val="0"/>
              <w:spacing w:before="40" w:after="120" w:line="220" w:lineRule="exact"/>
              <w:ind w:right="113"/>
              <w:rPr>
                <w:lang w:val="en-US"/>
              </w:rPr>
            </w:pPr>
            <w:r w:rsidRPr="004C184C">
              <w:rPr>
                <w:lang w:val="en-US"/>
              </w:rPr>
              <w:t>CEDAW</w:t>
            </w:r>
            <w:r w:rsidR="00D97E73" w:rsidRPr="004C184C">
              <w:rPr>
                <w:lang w:val="en-US"/>
              </w:rPr>
              <w:t>-</w:t>
            </w:r>
            <w:r w:rsidRPr="004C184C">
              <w:rPr>
                <w:lang w:val="en-US"/>
              </w:rPr>
              <w:t>OP</w:t>
            </w:r>
          </w:p>
        </w:tc>
        <w:tc>
          <w:tcPr>
            <w:tcW w:w="4633" w:type="dxa"/>
            <w:tcBorders>
              <w:bottom w:val="nil"/>
            </w:tcBorders>
            <w:shd w:val="clear" w:color="auto" w:fill="auto"/>
          </w:tcPr>
          <w:p w14:paraId="265DE974" w14:textId="77777777" w:rsidR="00EA422B" w:rsidRPr="004C184C" w:rsidRDefault="00EA422B" w:rsidP="00571964">
            <w:pPr>
              <w:suppressAutoHyphens w:val="0"/>
              <w:spacing w:before="40" w:after="120" w:line="220" w:lineRule="exact"/>
              <w:ind w:right="113"/>
              <w:rPr>
                <w:lang w:val="en-US"/>
              </w:rPr>
            </w:pPr>
            <w:r w:rsidRPr="004C184C">
              <w:rPr>
                <w:lang w:val="en-US"/>
              </w:rPr>
              <w:t>Ratification on 14 June 2000</w:t>
            </w:r>
          </w:p>
        </w:tc>
      </w:tr>
      <w:tr w:rsidR="00EA422B" w:rsidRPr="004C184C" w14:paraId="493E0749" w14:textId="77777777" w:rsidTr="00571964">
        <w:tc>
          <w:tcPr>
            <w:tcW w:w="3017" w:type="dxa"/>
            <w:tcBorders>
              <w:top w:val="nil"/>
              <w:bottom w:val="nil"/>
            </w:tcBorders>
            <w:shd w:val="clear" w:color="auto" w:fill="auto"/>
          </w:tcPr>
          <w:p w14:paraId="3A16185F" w14:textId="77777777" w:rsidR="00EA422B" w:rsidRPr="004C184C" w:rsidRDefault="00EA422B" w:rsidP="00571964">
            <w:pPr>
              <w:suppressAutoHyphens w:val="0"/>
              <w:spacing w:before="40" w:after="120" w:line="220" w:lineRule="exact"/>
              <w:ind w:right="113"/>
              <w:rPr>
                <w:lang w:val="en-US"/>
              </w:rPr>
            </w:pPr>
            <w:r w:rsidRPr="004C184C">
              <w:rPr>
                <w:lang w:val="en-US"/>
              </w:rPr>
              <w:t>CERD</w:t>
            </w:r>
          </w:p>
        </w:tc>
        <w:tc>
          <w:tcPr>
            <w:tcW w:w="4633" w:type="dxa"/>
            <w:tcBorders>
              <w:top w:val="nil"/>
              <w:bottom w:val="nil"/>
            </w:tcBorders>
            <w:shd w:val="clear" w:color="auto" w:fill="auto"/>
          </w:tcPr>
          <w:p w14:paraId="7CB1BA1E" w14:textId="77777777" w:rsidR="00EA422B" w:rsidRPr="004C184C" w:rsidRDefault="00EA422B" w:rsidP="00571964">
            <w:pPr>
              <w:suppressAutoHyphens w:val="0"/>
              <w:spacing w:before="40" w:after="120" w:line="220" w:lineRule="exact"/>
              <w:ind w:right="113"/>
              <w:rPr>
                <w:lang w:val="en-US"/>
              </w:rPr>
            </w:pPr>
            <w:r w:rsidRPr="004C184C">
              <w:rPr>
                <w:lang w:val="en-US"/>
              </w:rPr>
              <w:t>Accession on 28 January 2003</w:t>
            </w:r>
          </w:p>
        </w:tc>
      </w:tr>
      <w:tr w:rsidR="00EA422B" w:rsidRPr="004C184C" w14:paraId="6220D6B2" w14:textId="77777777" w:rsidTr="00571964">
        <w:tc>
          <w:tcPr>
            <w:tcW w:w="3017" w:type="dxa"/>
            <w:tcBorders>
              <w:top w:val="nil"/>
            </w:tcBorders>
            <w:shd w:val="clear" w:color="auto" w:fill="auto"/>
          </w:tcPr>
          <w:p w14:paraId="6BAA550E" w14:textId="77777777" w:rsidR="00EA422B" w:rsidRPr="004C184C" w:rsidRDefault="00EA422B" w:rsidP="00571964">
            <w:pPr>
              <w:suppressAutoHyphens w:val="0"/>
              <w:spacing w:before="40" w:after="120" w:line="220" w:lineRule="exact"/>
              <w:ind w:right="113"/>
              <w:rPr>
                <w:lang w:val="en-US"/>
              </w:rPr>
            </w:pPr>
            <w:r w:rsidRPr="004C184C">
              <w:rPr>
                <w:lang w:val="en-US"/>
              </w:rPr>
              <w:lastRenderedPageBreak/>
              <w:t>ICESCR</w:t>
            </w:r>
          </w:p>
        </w:tc>
        <w:tc>
          <w:tcPr>
            <w:tcW w:w="4633" w:type="dxa"/>
            <w:tcBorders>
              <w:top w:val="nil"/>
            </w:tcBorders>
            <w:shd w:val="clear" w:color="auto" w:fill="auto"/>
          </w:tcPr>
          <w:p w14:paraId="008DFC9D" w14:textId="77777777" w:rsidR="00EA422B" w:rsidRPr="004C184C" w:rsidRDefault="00EA422B" w:rsidP="00571964">
            <w:pPr>
              <w:suppressAutoHyphens w:val="0"/>
              <w:spacing w:before="40" w:after="120" w:line="220" w:lineRule="exact"/>
              <w:ind w:right="113"/>
              <w:rPr>
                <w:lang w:val="en-US"/>
              </w:rPr>
            </w:pPr>
            <w:r w:rsidRPr="004C184C">
              <w:rPr>
                <w:lang w:val="en-US"/>
              </w:rPr>
              <w:t>Accession on 6 September 1999</w:t>
            </w:r>
          </w:p>
        </w:tc>
      </w:tr>
      <w:tr w:rsidR="00EA422B" w:rsidRPr="004C184C" w14:paraId="67FBEC2B" w14:textId="77777777" w:rsidTr="00571964">
        <w:tc>
          <w:tcPr>
            <w:tcW w:w="3017" w:type="dxa"/>
            <w:shd w:val="clear" w:color="auto" w:fill="auto"/>
          </w:tcPr>
          <w:p w14:paraId="20D94555" w14:textId="77777777" w:rsidR="00EA422B" w:rsidRPr="004C184C" w:rsidRDefault="00EA422B" w:rsidP="00571964">
            <w:pPr>
              <w:suppressAutoHyphens w:val="0"/>
              <w:spacing w:before="40" w:after="120" w:line="220" w:lineRule="exact"/>
              <w:ind w:right="113"/>
              <w:rPr>
                <w:lang w:val="en-US"/>
              </w:rPr>
            </w:pPr>
            <w:r w:rsidRPr="004C184C">
              <w:rPr>
                <w:lang w:val="en-US"/>
              </w:rPr>
              <w:t>CRC</w:t>
            </w:r>
          </w:p>
        </w:tc>
        <w:tc>
          <w:tcPr>
            <w:tcW w:w="4633" w:type="dxa"/>
            <w:shd w:val="clear" w:color="auto" w:fill="auto"/>
          </w:tcPr>
          <w:p w14:paraId="4A458494" w14:textId="77777777" w:rsidR="00EA422B" w:rsidRPr="004C184C" w:rsidRDefault="00EA422B" w:rsidP="00571964">
            <w:pPr>
              <w:suppressAutoHyphens w:val="0"/>
              <w:spacing w:before="40" w:after="120" w:line="220" w:lineRule="exact"/>
              <w:ind w:right="113"/>
              <w:rPr>
                <w:lang w:val="en-US"/>
              </w:rPr>
            </w:pPr>
            <w:r w:rsidRPr="004C184C">
              <w:rPr>
                <w:lang w:val="en-US"/>
              </w:rPr>
              <w:t>Accession on 27 May 1992</w:t>
            </w:r>
          </w:p>
        </w:tc>
      </w:tr>
      <w:tr w:rsidR="00EA422B" w:rsidRPr="004C184C" w14:paraId="3802B3DC" w14:textId="77777777" w:rsidTr="00571964">
        <w:tc>
          <w:tcPr>
            <w:tcW w:w="3017" w:type="dxa"/>
            <w:shd w:val="clear" w:color="auto" w:fill="auto"/>
          </w:tcPr>
          <w:p w14:paraId="46A0159F" w14:textId="260FB2F5" w:rsidR="00EA422B" w:rsidRPr="004C184C" w:rsidRDefault="00EA422B" w:rsidP="00571964">
            <w:pPr>
              <w:suppressAutoHyphens w:val="0"/>
              <w:spacing w:before="40" w:after="120" w:line="220" w:lineRule="exact"/>
              <w:ind w:right="113"/>
              <w:rPr>
                <w:lang w:val="en-US"/>
              </w:rPr>
            </w:pPr>
            <w:r w:rsidRPr="004C184C">
              <w:rPr>
                <w:lang w:val="en-US"/>
              </w:rPr>
              <w:t>CRC</w:t>
            </w:r>
            <w:r w:rsidR="00D97E73" w:rsidRPr="004C184C">
              <w:rPr>
                <w:lang w:val="en-US"/>
              </w:rPr>
              <w:t>-</w:t>
            </w:r>
            <w:r w:rsidRPr="004C184C">
              <w:rPr>
                <w:lang w:val="en-US"/>
              </w:rPr>
              <w:t>OP</w:t>
            </w:r>
            <w:r w:rsidR="00D97E73" w:rsidRPr="004C184C">
              <w:rPr>
                <w:lang w:val="en-US"/>
              </w:rPr>
              <w:t>-</w:t>
            </w:r>
            <w:r w:rsidRPr="004C184C">
              <w:rPr>
                <w:lang w:val="en-US"/>
              </w:rPr>
              <w:t>AC</w:t>
            </w:r>
          </w:p>
        </w:tc>
        <w:tc>
          <w:tcPr>
            <w:tcW w:w="4633" w:type="dxa"/>
            <w:shd w:val="clear" w:color="auto" w:fill="auto"/>
          </w:tcPr>
          <w:p w14:paraId="066A531A" w14:textId="77777777" w:rsidR="00EA422B" w:rsidRPr="004C184C" w:rsidRDefault="00EA422B" w:rsidP="00571964">
            <w:pPr>
              <w:suppressAutoHyphens w:val="0"/>
              <w:spacing w:before="40" w:after="120" w:line="220" w:lineRule="exact"/>
              <w:ind w:right="113"/>
              <w:rPr>
                <w:lang w:val="en-US"/>
              </w:rPr>
            </w:pPr>
            <w:r w:rsidRPr="004C184C">
              <w:rPr>
                <w:lang w:val="en-US"/>
              </w:rPr>
              <w:t>Accession on 27 February 2006</w:t>
            </w:r>
          </w:p>
        </w:tc>
      </w:tr>
      <w:tr w:rsidR="00EA422B" w:rsidRPr="004C184C" w14:paraId="40B0EA90" w14:textId="77777777" w:rsidTr="00571964">
        <w:tc>
          <w:tcPr>
            <w:tcW w:w="3017" w:type="dxa"/>
            <w:shd w:val="clear" w:color="auto" w:fill="auto"/>
          </w:tcPr>
          <w:p w14:paraId="5ABAC73A" w14:textId="73950573" w:rsidR="00EA422B" w:rsidRPr="004C184C" w:rsidRDefault="00EA422B" w:rsidP="00571964">
            <w:pPr>
              <w:suppressAutoHyphens w:val="0"/>
              <w:spacing w:before="40" w:after="120" w:line="220" w:lineRule="exact"/>
              <w:ind w:right="113"/>
              <w:rPr>
                <w:lang w:val="en-US"/>
              </w:rPr>
            </w:pPr>
            <w:r w:rsidRPr="004C184C">
              <w:rPr>
                <w:lang w:val="en-US"/>
              </w:rPr>
              <w:t>CRC</w:t>
            </w:r>
            <w:r w:rsidR="00D97E73" w:rsidRPr="004C184C">
              <w:rPr>
                <w:lang w:val="en-US"/>
              </w:rPr>
              <w:t>-</w:t>
            </w:r>
            <w:r w:rsidRPr="004C184C">
              <w:rPr>
                <w:lang w:val="en-US"/>
              </w:rPr>
              <w:t>OP</w:t>
            </w:r>
            <w:r w:rsidR="00D97E73" w:rsidRPr="004C184C">
              <w:rPr>
                <w:lang w:val="en-US"/>
              </w:rPr>
              <w:t>-</w:t>
            </w:r>
            <w:r w:rsidRPr="004C184C">
              <w:rPr>
                <w:lang w:val="en-US"/>
              </w:rPr>
              <w:t>IC</w:t>
            </w:r>
          </w:p>
        </w:tc>
        <w:tc>
          <w:tcPr>
            <w:tcW w:w="4633" w:type="dxa"/>
            <w:shd w:val="clear" w:color="auto" w:fill="auto"/>
          </w:tcPr>
          <w:p w14:paraId="4A79E0C6" w14:textId="77777777" w:rsidR="00EA422B" w:rsidRPr="004C184C" w:rsidRDefault="00EA422B" w:rsidP="00571964">
            <w:pPr>
              <w:suppressAutoHyphens w:val="0"/>
              <w:spacing w:before="40" w:after="120" w:line="220" w:lineRule="exact"/>
              <w:ind w:right="113"/>
              <w:rPr>
                <w:lang w:val="en-US"/>
              </w:rPr>
            </w:pPr>
            <w:r w:rsidRPr="004C184C">
              <w:rPr>
                <w:lang w:val="en-US"/>
              </w:rPr>
              <w:t>Ratification on 25 September 2012</w:t>
            </w:r>
          </w:p>
        </w:tc>
      </w:tr>
      <w:tr w:rsidR="00EA422B" w:rsidRPr="004C184C" w14:paraId="3D96AD6D" w14:textId="77777777" w:rsidTr="00571964">
        <w:tc>
          <w:tcPr>
            <w:tcW w:w="3017" w:type="dxa"/>
            <w:shd w:val="clear" w:color="auto" w:fill="auto"/>
          </w:tcPr>
          <w:p w14:paraId="5E237FF6" w14:textId="68622820" w:rsidR="00EA422B" w:rsidRPr="004C184C" w:rsidRDefault="00EA422B" w:rsidP="00571964">
            <w:pPr>
              <w:suppressAutoHyphens w:val="0"/>
              <w:spacing w:before="40" w:after="120" w:line="220" w:lineRule="exact"/>
              <w:ind w:right="113"/>
              <w:rPr>
                <w:lang w:val="en-US"/>
              </w:rPr>
            </w:pPr>
            <w:r w:rsidRPr="004C184C">
              <w:rPr>
                <w:lang w:val="en-US"/>
              </w:rPr>
              <w:t>CRC</w:t>
            </w:r>
            <w:r w:rsidR="00D97E73" w:rsidRPr="004C184C">
              <w:rPr>
                <w:lang w:val="en-US"/>
              </w:rPr>
              <w:t>-</w:t>
            </w:r>
            <w:r w:rsidRPr="004C184C">
              <w:rPr>
                <w:lang w:val="en-US"/>
              </w:rPr>
              <w:t>OP</w:t>
            </w:r>
            <w:r w:rsidR="00D97E73" w:rsidRPr="004C184C">
              <w:rPr>
                <w:lang w:val="en-US"/>
              </w:rPr>
              <w:t>-</w:t>
            </w:r>
            <w:r w:rsidRPr="004C184C">
              <w:rPr>
                <w:lang w:val="en-US"/>
              </w:rPr>
              <w:t>SC</w:t>
            </w:r>
          </w:p>
        </w:tc>
        <w:tc>
          <w:tcPr>
            <w:tcW w:w="4633" w:type="dxa"/>
            <w:shd w:val="clear" w:color="auto" w:fill="auto"/>
          </w:tcPr>
          <w:p w14:paraId="12F0DE8E" w14:textId="77777777" w:rsidR="00EA422B" w:rsidRPr="004C184C" w:rsidRDefault="00EA422B" w:rsidP="00571964">
            <w:pPr>
              <w:suppressAutoHyphens w:val="0"/>
              <w:spacing w:before="40" w:after="120" w:line="220" w:lineRule="exact"/>
              <w:ind w:right="113"/>
              <w:rPr>
                <w:lang w:val="en-US"/>
              </w:rPr>
            </w:pPr>
            <w:r w:rsidRPr="004C184C">
              <w:rPr>
                <w:lang w:val="en-US"/>
              </w:rPr>
              <w:t>Accession on 11 January 2006</w:t>
            </w:r>
          </w:p>
        </w:tc>
      </w:tr>
      <w:tr w:rsidR="00EA422B" w:rsidRPr="004C184C" w14:paraId="5852925E" w14:textId="77777777" w:rsidTr="00571964">
        <w:tc>
          <w:tcPr>
            <w:tcW w:w="3017" w:type="dxa"/>
            <w:shd w:val="clear" w:color="auto" w:fill="auto"/>
          </w:tcPr>
          <w:p w14:paraId="5887FF25" w14:textId="77777777" w:rsidR="00EA422B" w:rsidRPr="004C184C" w:rsidRDefault="00EA422B" w:rsidP="00571964">
            <w:pPr>
              <w:suppressAutoHyphens w:val="0"/>
              <w:spacing w:before="40" w:after="120" w:line="220" w:lineRule="exact"/>
              <w:ind w:right="113"/>
              <w:rPr>
                <w:lang w:val="en-US"/>
              </w:rPr>
            </w:pPr>
            <w:r w:rsidRPr="004C184C">
              <w:rPr>
                <w:lang w:val="en-US"/>
              </w:rPr>
              <w:t>CRPD</w:t>
            </w:r>
          </w:p>
        </w:tc>
        <w:tc>
          <w:tcPr>
            <w:tcW w:w="4633" w:type="dxa"/>
            <w:shd w:val="clear" w:color="auto" w:fill="auto"/>
          </w:tcPr>
          <w:p w14:paraId="74541265" w14:textId="77777777" w:rsidR="00EA422B" w:rsidRPr="004C184C" w:rsidRDefault="00EA422B" w:rsidP="00571964">
            <w:pPr>
              <w:suppressAutoHyphens w:val="0"/>
              <w:spacing w:before="40" w:after="120" w:line="220" w:lineRule="exact"/>
              <w:ind w:right="113"/>
              <w:rPr>
                <w:lang w:val="en-US"/>
              </w:rPr>
            </w:pPr>
            <w:r w:rsidRPr="004C184C">
              <w:rPr>
                <w:lang w:val="en-US"/>
              </w:rPr>
              <w:t>Ratification on 29 July 2008</w:t>
            </w:r>
          </w:p>
        </w:tc>
      </w:tr>
      <w:tr w:rsidR="00EA422B" w:rsidRPr="004C184C" w14:paraId="425C062F" w14:textId="77777777" w:rsidTr="00571964">
        <w:tc>
          <w:tcPr>
            <w:tcW w:w="3017" w:type="dxa"/>
            <w:shd w:val="clear" w:color="auto" w:fill="auto"/>
          </w:tcPr>
          <w:p w14:paraId="72C60CB7" w14:textId="56EEF9C0" w:rsidR="00EA422B" w:rsidRPr="004C184C" w:rsidRDefault="00EA422B" w:rsidP="00571964">
            <w:pPr>
              <w:suppressAutoHyphens w:val="0"/>
              <w:spacing w:before="40" w:after="120" w:line="220" w:lineRule="exact"/>
              <w:ind w:right="113"/>
              <w:rPr>
                <w:lang w:val="en-US"/>
              </w:rPr>
            </w:pPr>
            <w:r w:rsidRPr="004C184C">
              <w:rPr>
                <w:lang w:val="en-US"/>
              </w:rPr>
              <w:t>CRPD</w:t>
            </w:r>
            <w:r w:rsidR="00D97E73" w:rsidRPr="004C184C">
              <w:rPr>
                <w:lang w:val="en-US"/>
              </w:rPr>
              <w:t>-</w:t>
            </w:r>
            <w:r w:rsidRPr="004C184C">
              <w:rPr>
                <w:lang w:val="en-US"/>
              </w:rPr>
              <w:t>OP</w:t>
            </w:r>
          </w:p>
        </w:tc>
        <w:tc>
          <w:tcPr>
            <w:tcW w:w="4633" w:type="dxa"/>
            <w:shd w:val="clear" w:color="auto" w:fill="auto"/>
          </w:tcPr>
          <w:p w14:paraId="32E2D040" w14:textId="77777777" w:rsidR="00EA422B" w:rsidRPr="004C184C" w:rsidRDefault="00EA422B" w:rsidP="00571964">
            <w:pPr>
              <w:suppressAutoHyphens w:val="0"/>
              <w:spacing w:before="40" w:after="120" w:line="220" w:lineRule="exact"/>
              <w:ind w:right="113"/>
              <w:rPr>
                <w:lang w:val="en-US"/>
              </w:rPr>
            </w:pPr>
            <w:r w:rsidRPr="004C184C">
              <w:rPr>
                <w:lang w:val="en-US"/>
              </w:rPr>
              <w:t>Accession on 2 September 2016</w:t>
            </w:r>
          </w:p>
        </w:tc>
      </w:tr>
    </w:tbl>
    <w:p w14:paraId="5F66183B" w14:textId="77777777" w:rsidR="00EA422B" w:rsidRPr="004C184C" w:rsidRDefault="00EA422B" w:rsidP="003A4183">
      <w:pPr>
        <w:pStyle w:val="SingleTxtG"/>
        <w:spacing w:before="240" w:after="240"/>
        <w:rPr>
          <w:lang w:val="en-US"/>
        </w:rPr>
      </w:pPr>
      <w:r w:rsidRPr="004C184C">
        <w:rPr>
          <w:lang w:val="en-US"/>
        </w:rPr>
        <w:t>78.</w:t>
      </w:r>
      <w:r w:rsidRPr="004C184C">
        <w:rPr>
          <w:lang w:val="en-US"/>
        </w:rPr>
        <w:tab/>
        <w:t>Thailand currently has reservations and declarations,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357"/>
        <w:gridCol w:w="5013"/>
      </w:tblGrid>
      <w:tr w:rsidR="00EA422B" w:rsidRPr="004C184C" w14:paraId="6AFAA891" w14:textId="77777777" w:rsidTr="0045395D">
        <w:trPr>
          <w:tblHeader/>
        </w:trPr>
        <w:tc>
          <w:tcPr>
            <w:tcW w:w="2944" w:type="dxa"/>
            <w:tcBorders>
              <w:top w:val="single" w:sz="4" w:space="0" w:color="auto"/>
              <w:bottom w:val="single" w:sz="12" w:space="0" w:color="auto"/>
            </w:tcBorders>
            <w:shd w:val="clear" w:color="auto" w:fill="auto"/>
            <w:vAlign w:val="bottom"/>
          </w:tcPr>
          <w:p w14:paraId="6ABC837F" w14:textId="77777777" w:rsidR="00EA422B" w:rsidRPr="004C184C" w:rsidRDefault="00EA422B" w:rsidP="00F22DD1">
            <w:pPr>
              <w:suppressAutoHyphens w:val="0"/>
              <w:spacing w:before="80" w:after="80" w:line="200" w:lineRule="exact"/>
              <w:ind w:right="113"/>
              <w:rPr>
                <w:i/>
                <w:sz w:val="16"/>
                <w:lang w:val="en-US"/>
              </w:rPr>
            </w:pPr>
            <w:r w:rsidRPr="004C184C">
              <w:rPr>
                <w:i/>
                <w:sz w:val="16"/>
                <w:lang w:val="en-US"/>
              </w:rPr>
              <w:t>Conventions</w:t>
            </w:r>
          </w:p>
        </w:tc>
        <w:tc>
          <w:tcPr>
            <w:tcW w:w="6269" w:type="dxa"/>
            <w:tcBorders>
              <w:top w:val="single" w:sz="4" w:space="0" w:color="auto"/>
              <w:bottom w:val="single" w:sz="12" w:space="0" w:color="auto"/>
            </w:tcBorders>
            <w:shd w:val="clear" w:color="auto" w:fill="auto"/>
            <w:vAlign w:val="bottom"/>
          </w:tcPr>
          <w:p w14:paraId="5D0D86D6" w14:textId="77777777" w:rsidR="00EA422B" w:rsidRPr="004C184C" w:rsidRDefault="00EA422B" w:rsidP="00F22DD1">
            <w:pPr>
              <w:suppressAutoHyphens w:val="0"/>
              <w:spacing w:before="80" w:after="80" w:line="200" w:lineRule="exact"/>
              <w:ind w:right="113"/>
              <w:rPr>
                <w:i/>
                <w:sz w:val="16"/>
                <w:lang w:val="en-US"/>
              </w:rPr>
            </w:pPr>
            <w:r w:rsidRPr="004C184C">
              <w:rPr>
                <w:i/>
                <w:sz w:val="16"/>
                <w:lang w:val="en-US"/>
              </w:rPr>
              <w:t>Reservations and declarations</w:t>
            </w:r>
          </w:p>
        </w:tc>
      </w:tr>
      <w:tr w:rsidR="00EA422B" w:rsidRPr="004C184C" w14:paraId="5A820BCE" w14:textId="77777777" w:rsidTr="005C04D4">
        <w:trPr>
          <w:trHeight w:hRule="exact" w:val="113"/>
          <w:tblHeader/>
        </w:trPr>
        <w:tc>
          <w:tcPr>
            <w:tcW w:w="2944" w:type="dxa"/>
            <w:tcBorders>
              <w:top w:val="single" w:sz="12" w:space="0" w:color="auto"/>
              <w:bottom w:val="nil"/>
            </w:tcBorders>
            <w:shd w:val="clear" w:color="auto" w:fill="auto"/>
          </w:tcPr>
          <w:p w14:paraId="2D21A0F0" w14:textId="77777777" w:rsidR="00EA422B" w:rsidRPr="004C184C" w:rsidRDefault="00EA422B" w:rsidP="00F22DD1">
            <w:pPr>
              <w:suppressAutoHyphens w:val="0"/>
              <w:spacing w:before="40" w:after="120" w:line="220" w:lineRule="exact"/>
              <w:ind w:right="113"/>
              <w:rPr>
                <w:lang w:val="en-US"/>
              </w:rPr>
            </w:pPr>
          </w:p>
        </w:tc>
        <w:tc>
          <w:tcPr>
            <w:tcW w:w="6269" w:type="dxa"/>
            <w:tcBorders>
              <w:top w:val="single" w:sz="12" w:space="0" w:color="auto"/>
            </w:tcBorders>
            <w:shd w:val="clear" w:color="auto" w:fill="auto"/>
          </w:tcPr>
          <w:p w14:paraId="7E27DE24" w14:textId="77777777" w:rsidR="00EA422B" w:rsidRPr="004C184C" w:rsidRDefault="00EA422B" w:rsidP="00F22DD1">
            <w:pPr>
              <w:suppressAutoHyphens w:val="0"/>
              <w:spacing w:before="40" w:after="120" w:line="220" w:lineRule="exact"/>
              <w:ind w:right="113"/>
              <w:rPr>
                <w:lang w:val="en-US"/>
              </w:rPr>
            </w:pPr>
          </w:p>
        </w:tc>
      </w:tr>
      <w:tr w:rsidR="00EA422B" w:rsidRPr="004C184C" w14:paraId="59080077" w14:textId="77777777" w:rsidTr="005C04D4">
        <w:tc>
          <w:tcPr>
            <w:tcW w:w="2944" w:type="dxa"/>
            <w:vMerge w:val="restart"/>
            <w:tcBorders>
              <w:top w:val="nil"/>
              <w:bottom w:val="nil"/>
            </w:tcBorders>
            <w:shd w:val="clear" w:color="auto" w:fill="auto"/>
          </w:tcPr>
          <w:p w14:paraId="4A0BBA13" w14:textId="77777777" w:rsidR="00EA422B" w:rsidRPr="004C184C" w:rsidRDefault="00EA422B" w:rsidP="00F22DD1">
            <w:pPr>
              <w:suppressAutoHyphens w:val="0"/>
              <w:spacing w:before="40" w:after="120" w:line="220" w:lineRule="exact"/>
              <w:ind w:right="113"/>
              <w:rPr>
                <w:lang w:val="en-US"/>
              </w:rPr>
            </w:pPr>
            <w:r w:rsidRPr="004C184C">
              <w:rPr>
                <w:lang w:val="en-US"/>
              </w:rPr>
              <w:t>CAT</w:t>
            </w:r>
          </w:p>
        </w:tc>
        <w:tc>
          <w:tcPr>
            <w:tcW w:w="6269" w:type="dxa"/>
            <w:shd w:val="clear" w:color="auto" w:fill="auto"/>
          </w:tcPr>
          <w:p w14:paraId="3EEE3562" w14:textId="77777777" w:rsidR="00EA422B" w:rsidRPr="004C184C" w:rsidRDefault="00EA422B" w:rsidP="00F22DD1">
            <w:pPr>
              <w:suppressAutoHyphens w:val="0"/>
              <w:spacing w:before="40" w:after="120" w:line="220" w:lineRule="exact"/>
              <w:ind w:right="113"/>
              <w:rPr>
                <w:lang w:val="en-US"/>
              </w:rPr>
            </w:pPr>
            <w:r w:rsidRPr="004C184C">
              <w:rPr>
                <w:lang w:val="en-US"/>
              </w:rPr>
              <w:t>Interpretative declarations</w:t>
            </w:r>
            <w:r w:rsidRPr="004C184C">
              <w:rPr>
                <w:cs/>
                <w:lang w:val="en-US"/>
              </w:rPr>
              <w:t>:</w:t>
            </w:r>
          </w:p>
          <w:p w14:paraId="5382B935" w14:textId="70D539FB" w:rsidR="00EA422B" w:rsidRPr="004C184C" w:rsidRDefault="00EA422B" w:rsidP="00F22DD1">
            <w:pPr>
              <w:suppressAutoHyphens w:val="0"/>
              <w:spacing w:before="40" w:after="120" w:line="220" w:lineRule="exact"/>
              <w:ind w:right="113"/>
              <w:rPr>
                <w:lang w:val="en-US"/>
              </w:rPr>
            </w:pPr>
            <w:r w:rsidRPr="004C184C">
              <w:rPr>
                <w:lang w:val="en-US"/>
              </w:rPr>
              <w:t>1</w:t>
            </w:r>
            <w:r w:rsidRPr="004C184C">
              <w:rPr>
                <w:cs/>
                <w:lang w:val="en-US"/>
              </w:rPr>
              <w:t xml:space="preserve">. </w:t>
            </w:r>
            <w:r w:rsidRPr="004C184C">
              <w:rPr>
                <w:lang w:val="en-US"/>
              </w:rPr>
              <w:t xml:space="preserve">With respect to the term </w:t>
            </w:r>
            <w:r w:rsidR="00567EA4" w:rsidRPr="004C184C">
              <w:rPr>
                <w:lang w:val="en-US"/>
              </w:rPr>
              <w:t>“</w:t>
            </w:r>
            <w:r w:rsidRPr="004C184C">
              <w:rPr>
                <w:lang w:val="en-US"/>
              </w:rPr>
              <w:t>torture</w:t>
            </w:r>
            <w:r w:rsidR="00567EA4" w:rsidRPr="004C184C">
              <w:rPr>
                <w:lang w:val="en-US"/>
              </w:rPr>
              <w:t>”</w:t>
            </w:r>
            <w:r w:rsidRPr="004C184C">
              <w:rPr>
                <w:cs/>
                <w:lang w:val="en-US"/>
              </w:rPr>
              <w:t xml:space="preserve"> </w:t>
            </w:r>
            <w:r w:rsidRPr="004C184C">
              <w:rPr>
                <w:lang w:val="en-US"/>
              </w:rPr>
              <w:t>under Article 1 of the Convention, although there is neither a specific definition nor particular offence under the current Thai Penal Code corresponding to the term, there are comparable provisions under the aforesaid Thai Penal Code applicable to acts under Article 1 of the Convention</w:t>
            </w:r>
            <w:r w:rsidRPr="004C184C">
              <w:rPr>
                <w:cs/>
                <w:lang w:val="en-US"/>
              </w:rPr>
              <w:t xml:space="preserve">. </w:t>
            </w:r>
            <w:r w:rsidRPr="004C184C">
              <w:rPr>
                <w:lang w:val="en-US"/>
              </w:rPr>
              <w:t xml:space="preserve">The term </w:t>
            </w:r>
            <w:r w:rsidR="00567EA4" w:rsidRPr="004C184C">
              <w:rPr>
                <w:lang w:val="en-US"/>
              </w:rPr>
              <w:t>“</w:t>
            </w:r>
            <w:r w:rsidRPr="004C184C">
              <w:rPr>
                <w:lang w:val="en-US"/>
              </w:rPr>
              <w:t>torture</w:t>
            </w:r>
            <w:r w:rsidR="00567EA4" w:rsidRPr="004C184C">
              <w:rPr>
                <w:lang w:val="en-US"/>
              </w:rPr>
              <w:t>”</w:t>
            </w:r>
            <w:r w:rsidRPr="004C184C">
              <w:rPr>
                <w:cs/>
                <w:lang w:val="en-US"/>
              </w:rPr>
              <w:t xml:space="preserve"> </w:t>
            </w:r>
            <w:r w:rsidRPr="004C184C">
              <w:rPr>
                <w:lang w:val="en-US"/>
              </w:rPr>
              <w:t>under Article 1 of the Convention shall accordingly be interpreted in conformity with the current Thai Penal Code</w:t>
            </w:r>
            <w:r w:rsidRPr="004C184C">
              <w:rPr>
                <w:cs/>
                <w:lang w:val="en-US"/>
              </w:rPr>
              <w:t xml:space="preserve">. </w:t>
            </w:r>
            <w:r w:rsidRPr="004C184C">
              <w:rPr>
                <w:lang w:val="en-US"/>
              </w:rPr>
              <w:t>The Kingdom of Thailand shall revise its domestic law to be more consistent with Article 1 of the Convention at the earliest opportunity</w:t>
            </w:r>
            <w:r w:rsidRPr="004C184C">
              <w:rPr>
                <w:cs/>
                <w:lang w:val="en-US"/>
              </w:rPr>
              <w:t xml:space="preserve">. </w:t>
            </w:r>
          </w:p>
        </w:tc>
      </w:tr>
      <w:tr w:rsidR="00EA422B" w:rsidRPr="004C184C" w14:paraId="17AD8D16" w14:textId="77777777" w:rsidTr="005C04D4">
        <w:tc>
          <w:tcPr>
            <w:tcW w:w="2944" w:type="dxa"/>
            <w:vMerge/>
            <w:tcBorders>
              <w:top w:val="single" w:sz="4" w:space="0" w:color="auto"/>
              <w:bottom w:val="nil"/>
            </w:tcBorders>
            <w:shd w:val="clear" w:color="auto" w:fill="auto"/>
          </w:tcPr>
          <w:p w14:paraId="2306C9BF" w14:textId="77777777" w:rsidR="00EA422B" w:rsidRPr="004C184C" w:rsidRDefault="00EA422B" w:rsidP="00F22DD1">
            <w:pPr>
              <w:suppressAutoHyphens w:val="0"/>
              <w:spacing w:before="40" w:after="120" w:line="220" w:lineRule="exact"/>
              <w:ind w:right="113"/>
              <w:rPr>
                <w:lang w:val="en-US"/>
              </w:rPr>
            </w:pPr>
          </w:p>
        </w:tc>
        <w:tc>
          <w:tcPr>
            <w:tcW w:w="6269" w:type="dxa"/>
            <w:tcBorders>
              <w:bottom w:val="nil"/>
            </w:tcBorders>
            <w:shd w:val="clear" w:color="auto" w:fill="auto"/>
          </w:tcPr>
          <w:p w14:paraId="5676692B" w14:textId="39F70791" w:rsidR="00EA422B" w:rsidRPr="004C184C" w:rsidRDefault="00EA422B" w:rsidP="00F22DD1">
            <w:pPr>
              <w:suppressAutoHyphens w:val="0"/>
              <w:spacing w:before="40" w:after="120" w:line="220" w:lineRule="exact"/>
              <w:ind w:right="113"/>
              <w:rPr>
                <w:lang w:val="en-US"/>
              </w:rPr>
            </w:pPr>
            <w:r w:rsidRPr="004C184C">
              <w:rPr>
                <w:lang w:val="en-US"/>
              </w:rPr>
              <w:t>2</w:t>
            </w:r>
            <w:r w:rsidRPr="004C184C">
              <w:rPr>
                <w:cs/>
                <w:lang w:val="en-US"/>
              </w:rPr>
              <w:t xml:space="preserve">. </w:t>
            </w:r>
            <w:r w:rsidRPr="004C184C">
              <w:rPr>
                <w:lang w:val="en-US"/>
              </w:rPr>
              <w:t>For the same reason as stipulated in the preceding paragraph, Article 4 of the Convention which stipulates</w:t>
            </w:r>
            <w:r w:rsidRPr="004C184C">
              <w:rPr>
                <w:cs/>
                <w:lang w:val="en-US"/>
              </w:rPr>
              <w:t xml:space="preserve">: </w:t>
            </w:r>
            <w:r w:rsidR="00567EA4" w:rsidRPr="004C184C">
              <w:rPr>
                <w:lang w:val="en-US"/>
              </w:rPr>
              <w:t>‘</w:t>
            </w:r>
            <w:r w:rsidRPr="004C184C">
              <w:rPr>
                <w:lang w:val="en-US"/>
              </w:rPr>
              <w:t>Each State Party shall ensure that all acts of torture are offences under its criminal law</w:t>
            </w:r>
            <w:r w:rsidRPr="004C184C">
              <w:rPr>
                <w:cs/>
                <w:lang w:val="en-US"/>
              </w:rPr>
              <w:t xml:space="preserve">. </w:t>
            </w:r>
            <w:r w:rsidRPr="004C184C">
              <w:rPr>
                <w:lang w:val="en-US"/>
              </w:rPr>
              <w:t>The same shall apply to an attempt to commit torture and to an act by any person which constitutes complicity or participation in torture,</w:t>
            </w:r>
            <w:r w:rsidR="00567EA4" w:rsidRPr="004C184C">
              <w:rPr>
                <w:lang w:val="en-US"/>
              </w:rPr>
              <w:t>’</w:t>
            </w:r>
            <w:r w:rsidRPr="004C184C">
              <w:rPr>
                <w:lang w:val="en-US"/>
              </w:rPr>
              <w:t xml:space="preserve"> shall be interpreted in conformity with the current Thai Penal Code</w:t>
            </w:r>
            <w:r w:rsidRPr="004C184C">
              <w:rPr>
                <w:cs/>
                <w:lang w:val="en-US"/>
              </w:rPr>
              <w:t xml:space="preserve">. </w:t>
            </w:r>
            <w:r w:rsidRPr="004C184C">
              <w:rPr>
                <w:lang w:val="en-US"/>
              </w:rPr>
              <w:t>The Kingdom of Thailand shall revise its domestic law to be more consistent with Article 4 of the Convention at the earliest opportunity</w:t>
            </w:r>
            <w:r w:rsidRPr="004C184C">
              <w:rPr>
                <w:cs/>
                <w:lang w:val="en-US"/>
              </w:rPr>
              <w:t xml:space="preserve">. </w:t>
            </w:r>
          </w:p>
        </w:tc>
      </w:tr>
      <w:tr w:rsidR="00EA422B" w:rsidRPr="004C184C" w14:paraId="718E4B6F" w14:textId="77777777" w:rsidTr="005C04D4">
        <w:tc>
          <w:tcPr>
            <w:tcW w:w="2944" w:type="dxa"/>
            <w:vMerge/>
            <w:tcBorders>
              <w:top w:val="single" w:sz="4" w:space="0" w:color="auto"/>
              <w:bottom w:val="nil"/>
            </w:tcBorders>
            <w:shd w:val="clear" w:color="auto" w:fill="auto"/>
          </w:tcPr>
          <w:p w14:paraId="780A3F22" w14:textId="77777777" w:rsidR="00EA422B" w:rsidRPr="004C184C" w:rsidRDefault="00EA422B" w:rsidP="00F22DD1">
            <w:pPr>
              <w:suppressAutoHyphens w:val="0"/>
              <w:spacing w:before="40" w:after="120" w:line="220" w:lineRule="exact"/>
              <w:ind w:right="113"/>
              <w:rPr>
                <w:lang w:val="en-US"/>
              </w:rPr>
            </w:pPr>
          </w:p>
        </w:tc>
        <w:tc>
          <w:tcPr>
            <w:tcW w:w="6269" w:type="dxa"/>
            <w:tcBorders>
              <w:top w:val="nil"/>
              <w:bottom w:val="nil"/>
            </w:tcBorders>
            <w:shd w:val="clear" w:color="auto" w:fill="auto"/>
          </w:tcPr>
          <w:p w14:paraId="3C24F9C2" w14:textId="4CB3D57E" w:rsidR="00EA422B" w:rsidRPr="004C184C" w:rsidRDefault="00EA422B" w:rsidP="00F22DD1">
            <w:pPr>
              <w:suppressAutoHyphens w:val="0"/>
              <w:spacing w:before="40" w:after="120" w:line="220" w:lineRule="exact"/>
              <w:ind w:right="113"/>
              <w:rPr>
                <w:lang w:val="en-US"/>
              </w:rPr>
            </w:pPr>
            <w:r w:rsidRPr="004C184C">
              <w:rPr>
                <w:lang w:val="en-US"/>
              </w:rPr>
              <w:t>3</w:t>
            </w:r>
            <w:r w:rsidRPr="004C184C">
              <w:rPr>
                <w:cs/>
                <w:lang w:val="en-US"/>
              </w:rPr>
              <w:t xml:space="preserve">. </w:t>
            </w:r>
            <w:r w:rsidRPr="004C184C">
              <w:rPr>
                <w:lang w:val="en-US"/>
              </w:rPr>
              <w:t>Article 5 of the Convention which provides</w:t>
            </w:r>
            <w:r w:rsidRPr="004C184C">
              <w:rPr>
                <w:cs/>
                <w:lang w:val="en-US"/>
              </w:rPr>
              <w:t xml:space="preserve">: </w:t>
            </w:r>
            <w:r w:rsidR="00567EA4" w:rsidRPr="004C184C">
              <w:rPr>
                <w:lang w:val="en-US"/>
              </w:rPr>
              <w:t>‘</w:t>
            </w:r>
            <w:r w:rsidRPr="004C184C">
              <w:rPr>
                <w:lang w:val="en-US"/>
              </w:rPr>
              <w:t>Each State Party shall take such measures as may be necessary to establish its jurisdiction over the offences referred to in Article 4</w:t>
            </w:r>
            <w:r w:rsidRPr="004C184C">
              <w:rPr>
                <w:cs/>
                <w:lang w:val="en-US"/>
              </w:rPr>
              <w:t>.....</w:t>
            </w:r>
            <w:r w:rsidR="00567EA4" w:rsidRPr="004C184C">
              <w:rPr>
                <w:lang w:val="en-US"/>
              </w:rPr>
              <w:t>’</w:t>
            </w:r>
            <w:r w:rsidRPr="004C184C">
              <w:rPr>
                <w:cs/>
                <w:lang w:val="en-US"/>
              </w:rPr>
              <w:t xml:space="preserve"> </w:t>
            </w:r>
            <w:r w:rsidRPr="004C184C">
              <w:rPr>
                <w:lang w:val="en-US"/>
              </w:rPr>
              <w:t>is interpreted by the Kingdom of Thailand to mean that the jurisdiction referred to in Article 5 shall be established in accordance with the current Thai Penal Code</w:t>
            </w:r>
            <w:r w:rsidRPr="004C184C">
              <w:rPr>
                <w:cs/>
                <w:lang w:val="en-US"/>
              </w:rPr>
              <w:t xml:space="preserve">. </w:t>
            </w:r>
            <w:r w:rsidRPr="004C184C">
              <w:rPr>
                <w:lang w:val="en-US"/>
              </w:rPr>
              <w:t>The Kingdom of Thailand shall revise its domestic law to be more consistent with Article 5 of the Convention at the earliest opportunity</w:t>
            </w:r>
            <w:r w:rsidRPr="004C184C">
              <w:rPr>
                <w:cs/>
                <w:lang w:val="en-US"/>
              </w:rPr>
              <w:t>.</w:t>
            </w:r>
          </w:p>
        </w:tc>
      </w:tr>
      <w:tr w:rsidR="00EA422B" w:rsidRPr="004C184C" w14:paraId="08B9AECB" w14:textId="77777777" w:rsidTr="005C04D4">
        <w:tc>
          <w:tcPr>
            <w:tcW w:w="2944" w:type="dxa"/>
            <w:vMerge/>
            <w:tcBorders>
              <w:top w:val="single" w:sz="4" w:space="0" w:color="auto"/>
              <w:bottom w:val="nil"/>
            </w:tcBorders>
            <w:shd w:val="clear" w:color="auto" w:fill="auto"/>
          </w:tcPr>
          <w:p w14:paraId="7AF0D7DC" w14:textId="77777777" w:rsidR="00EA422B" w:rsidRPr="004C184C" w:rsidRDefault="00EA422B" w:rsidP="00F22DD1">
            <w:pPr>
              <w:suppressAutoHyphens w:val="0"/>
              <w:spacing w:before="40" w:after="120" w:line="220" w:lineRule="exact"/>
              <w:ind w:right="113"/>
              <w:rPr>
                <w:lang w:val="en-US"/>
              </w:rPr>
            </w:pPr>
          </w:p>
        </w:tc>
        <w:tc>
          <w:tcPr>
            <w:tcW w:w="6269" w:type="dxa"/>
            <w:tcBorders>
              <w:top w:val="nil"/>
              <w:bottom w:val="nil"/>
            </w:tcBorders>
            <w:shd w:val="clear" w:color="auto" w:fill="auto"/>
          </w:tcPr>
          <w:p w14:paraId="0495FA8D" w14:textId="77777777" w:rsidR="00EA422B" w:rsidRPr="004C184C" w:rsidRDefault="00EA422B" w:rsidP="00F22DD1">
            <w:pPr>
              <w:suppressAutoHyphens w:val="0"/>
              <w:spacing w:before="40" w:after="120" w:line="220" w:lineRule="exact"/>
              <w:ind w:right="113"/>
              <w:rPr>
                <w:lang w:val="en-US"/>
              </w:rPr>
            </w:pPr>
            <w:r w:rsidRPr="004C184C">
              <w:rPr>
                <w:lang w:val="en-US"/>
              </w:rPr>
              <w:t>Reservation</w:t>
            </w:r>
            <w:r w:rsidRPr="004C184C">
              <w:rPr>
                <w:cs/>
                <w:lang w:val="en-US"/>
              </w:rPr>
              <w:t xml:space="preserve">: </w:t>
            </w:r>
            <w:r w:rsidRPr="004C184C">
              <w:rPr>
                <w:lang w:val="en-US"/>
              </w:rPr>
              <w:t>The Kingdom of Thailand does not consider itself bound by Article 30, Paragraph 1, of the Convention</w:t>
            </w:r>
            <w:r w:rsidRPr="004C184C">
              <w:rPr>
                <w:cs/>
                <w:lang w:val="en-US"/>
              </w:rPr>
              <w:t>.</w:t>
            </w:r>
          </w:p>
        </w:tc>
      </w:tr>
      <w:tr w:rsidR="00EA422B" w:rsidRPr="004C184C" w14:paraId="35B247B0" w14:textId="77777777" w:rsidTr="005C04D4">
        <w:tc>
          <w:tcPr>
            <w:tcW w:w="2944" w:type="dxa"/>
            <w:vMerge w:val="restart"/>
            <w:tcBorders>
              <w:top w:val="nil"/>
              <w:bottom w:val="nil"/>
            </w:tcBorders>
            <w:shd w:val="clear" w:color="auto" w:fill="auto"/>
          </w:tcPr>
          <w:p w14:paraId="567364BB" w14:textId="77777777" w:rsidR="00EA422B" w:rsidRPr="004C184C" w:rsidRDefault="00EA422B" w:rsidP="00F22DD1">
            <w:pPr>
              <w:suppressAutoHyphens w:val="0"/>
              <w:spacing w:before="40" w:after="120" w:line="220" w:lineRule="exact"/>
              <w:ind w:right="113"/>
              <w:rPr>
                <w:lang w:val="en-US"/>
              </w:rPr>
            </w:pPr>
            <w:r w:rsidRPr="004C184C">
              <w:rPr>
                <w:lang w:val="en-US"/>
              </w:rPr>
              <w:t>ICCPR</w:t>
            </w:r>
          </w:p>
        </w:tc>
        <w:tc>
          <w:tcPr>
            <w:tcW w:w="6269" w:type="dxa"/>
            <w:tcBorders>
              <w:top w:val="nil"/>
              <w:bottom w:val="nil"/>
            </w:tcBorders>
            <w:shd w:val="clear" w:color="auto" w:fill="auto"/>
          </w:tcPr>
          <w:p w14:paraId="23EC429C" w14:textId="77777777" w:rsidR="00EA422B" w:rsidRPr="004C184C" w:rsidRDefault="00EA422B" w:rsidP="00F22DD1">
            <w:pPr>
              <w:suppressAutoHyphens w:val="0"/>
              <w:spacing w:before="40" w:after="120" w:line="220" w:lineRule="exact"/>
              <w:ind w:right="113"/>
              <w:rPr>
                <w:lang w:val="en-US"/>
              </w:rPr>
            </w:pPr>
            <w:r w:rsidRPr="004C184C">
              <w:rPr>
                <w:lang w:val="en-US"/>
              </w:rPr>
              <w:t>Interpretative declarations</w:t>
            </w:r>
            <w:r w:rsidRPr="004C184C">
              <w:rPr>
                <w:cs/>
                <w:lang w:val="en-US"/>
              </w:rPr>
              <w:t xml:space="preserve">: </w:t>
            </w:r>
            <w:r w:rsidRPr="004C184C">
              <w:rPr>
                <w:lang w:val="en-US"/>
              </w:rPr>
              <w:t>The Government of Thailand declares that</w:t>
            </w:r>
            <w:r w:rsidRPr="004C184C">
              <w:rPr>
                <w:cs/>
                <w:lang w:val="en-US"/>
              </w:rPr>
              <w:t>:</w:t>
            </w:r>
          </w:p>
          <w:p w14:paraId="39C42AFF" w14:textId="1F0A82BE" w:rsidR="00EA422B" w:rsidRPr="004C184C" w:rsidRDefault="00EA422B" w:rsidP="00F22DD1">
            <w:pPr>
              <w:suppressAutoHyphens w:val="0"/>
              <w:spacing w:before="40" w:after="120" w:line="220" w:lineRule="exact"/>
              <w:ind w:right="113"/>
              <w:rPr>
                <w:lang w:val="en-US"/>
              </w:rPr>
            </w:pPr>
            <w:r w:rsidRPr="004C184C">
              <w:rPr>
                <w:lang w:val="en-US"/>
              </w:rPr>
              <w:t>1</w:t>
            </w:r>
            <w:r w:rsidRPr="004C184C">
              <w:rPr>
                <w:cs/>
                <w:lang w:val="en-US"/>
              </w:rPr>
              <w:t xml:space="preserve">. </w:t>
            </w:r>
            <w:r w:rsidRPr="004C184C">
              <w:rPr>
                <w:lang w:val="en-US"/>
              </w:rPr>
              <w:t xml:space="preserve">The term </w:t>
            </w:r>
            <w:r w:rsidR="00567EA4" w:rsidRPr="004C184C">
              <w:rPr>
                <w:lang w:val="en-US"/>
              </w:rPr>
              <w:t>“</w:t>
            </w:r>
            <w:r w:rsidRPr="004C184C">
              <w:rPr>
                <w:lang w:val="en-US"/>
              </w:rPr>
              <w:t>self</w:t>
            </w:r>
            <w:r w:rsidR="00D97E73" w:rsidRPr="004C184C">
              <w:rPr>
                <w:lang w:val="en-US"/>
              </w:rPr>
              <w:t>-</w:t>
            </w:r>
            <w:r w:rsidRPr="004C184C">
              <w:rPr>
                <w:lang w:val="en-US"/>
              </w:rPr>
              <w:t>determination</w:t>
            </w:r>
            <w:r w:rsidR="00567EA4" w:rsidRPr="004C184C">
              <w:rPr>
                <w:lang w:val="en-US"/>
              </w:rPr>
              <w:t>”</w:t>
            </w:r>
            <w:r w:rsidRPr="004C184C">
              <w:rPr>
                <w:cs/>
                <w:lang w:val="en-US"/>
              </w:rPr>
              <w:t xml:space="preserve"> </w:t>
            </w:r>
            <w:r w:rsidRPr="004C184C">
              <w:rPr>
                <w:lang w:val="en-US"/>
              </w:rPr>
              <w:t xml:space="preserve">as appears in Article 1, Paragraph 1, of the Covenant shall be interpreted as being compatible with that expressed in the Vienna Declaration and </w:t>
            </w:r>
            <w:proofErr w:type="spellStart"/>
            <w:r w:rsidRPr="004C184C">
              <w:rPr>
                <w:lang w:val="en-US"/>
              </w:rPr>
              <w:t>Programme</w:t>
            </w:r>
            <w:proofErr w:type="spellEnd"/>
            <w:r w:rsidRPr="004C184C">
              <w:rPr>
                <w:lang w:val="en-US"/>
              </w:rPr>
              <w:t xml:space="preserve"> of Action, adopted by the World Conference on Human Rights on 25 June 1993</w:t>
            </w:r>
            <w:r w:rsidRPr="004C184C">
              <w:rPr>
                <w:cs/>
                <w:lang w:val="en-US"/>
              </w:rPr>
              <w:t>.</w:t>
            </w:r>
          </w:p>
        </w:tc>
      </w:tr>
      <w:tr w:rsidR="00EA422B" w:rsidRPr="004C184C" w14:paraId="0AB90ACA" w14:textId="77777777" w:rsidTr="0045395D">
        <w:tc>
          <w:tcPr>
            <w:tcW w:w="2944" w:type="dxa"/>
            <w:vMerge/>
            <w:tcBorders>
              <w:top w:val="nil"/>
            </w:tcBorders>
            <w:shd w:val="clear" w:color="auto" w:fill="auto"/>
          </w:tcPr>
          <w:p w14:paraId="1374F69E" w14:textId="77777777" w:rsidR="00EA422B" w:rsidRPr="004C184C" w:rsidRDefault="00EA422B" w:rsidP="00F22DD1">
            <w:pPr>
              <w:suppressAutoHyphens w:val="0"/>
              <w:spacing w:before="40" w:after="120" w:line="220" w:lineRule="exact"/>
              <w:ind w:right="113"/>
              <w:rPr>
                <w:lang w:val="en-US"/>
              </w:rPr>
            </w:pPr>
          </w:p>
        </w:tc>
        <w:tc>
          <w:tcPr>
            <w:tcW w:w="6269" w:type="dxa"/>
            <w:tcBorders>
              <w:top w:val="nil"/>
            </w:tcBorders>
            <w:shd w:val="clear" w:color="auto" w:fill="auto"/>
          </w:tcPr>
          <w:p w14:paraId="0925D069" w14:textId="783E3489" w:rsidR="00EA422B" w:rsidRPr="004C184C" w:rsidRDefault="00EA422B" w:rsidP="00F22DD1">
            <w:pPr>
              <w:suppressAutoHyphens w:val="0"/>
              <w:spacing w:before="40" w:after="120" w:line="220" w:lineRule="exact"/>
              <w:ind w:right="113"/>
              <w:rPr>
                <w:cs/>
                <w:lang w:val="en-US"/>
              </w:rPr>
            </w:pPr>
            <w:r w:rsidRPr="004C184C">
              <w:rPr>
                <w:cs/>
                <w:lang w:val="en-US"/>
              </w:rPr>
              <w:t>2.</w:t>
            </w:r>
            <w:r w:rsidRPr="004C184C">
              <w:rPr>
                <w:lang w:val="en-US"/>
              </w:rPr>
              <w:t xml:space="preserve">With respect to Article 20 of the Covenant, the term </w:t>
            </w:r>
            <w:r w:rsidR="00567EA4" w:rsidRPr="004C184C">
              <w:rPr>
                <w:lang w:val="en-US"/>
              </w:rPr>
              <w:t>“</w:t>
            </w:r>
            <w:r w:rsidRPr="004C184C">
              <w:rPr>
                <w:lang w:val="en-US"/>
              </w:rPr>
              <w:t>war</w:t>
            </w:r>
            <w:r w:rsidR="00567EA4" w:rsidRPr="004C184C">
              <w:rPr>
                <w:lang w:val="en-US"/>
              </w:rPr>
              <w:t>”</w:t>
            </w:r>
            <w:r w:rsidRPr="004C184C">
              <w:rPr>
                <w:cs/>
                <w:lang w:val="en-US"/>
              </w:rPr>
              <w:t xml:space="preserve"> </w:t>
            </w:r>
            <w:r w:rsidRPr="004C184C">
              <w:rPr>
                <w:lang w:val="en-US"/>
              </w:rPr>
              <w:t>appearing in Paragraph 1 is understood by Thailand to mean war in contravention of international law</w:t>
            </w:r>
            <w:r w:rsidRPr="004C184C">
              <w:rPr>
                <w:cs/>
                <w:lang w:val="en-US"/>
              </w:rPr>
              <w:t>.</w:t>
            </w:r>
            <w:r w:rsidR="00567EA4" w:rsidRPr="004C184C">
              <w:rPr>
                <w:lang w:val="en-US"/>
              </w:rPr>
              <w:t>”</w:t>
            </w:r>
          </w:p>
        </w:tc>
      </w:tr>
      <w:tr w:rsidR="00EA422B" w:rsidRPr="004C184C" w14:paraId="32DCA632" w14:textId="77777777" w:rsidTr="00F22DD1">
        <w:tc>
          <w:tcPr>
            <w:tcW w:w="2944" w:type="dxa"/>
            <w:vMerge w:val="restart"/>
            <w:shd w:val="clear" w:color="auto" w:fill="auto"/>
          </w:tcPr>
          <w:p w14:paraId="22F62012" w14:textId="1CFDB25B" w:rsidR="00EA422B" w:rsidRPr="004C184C" w:rsidRDefault="00EA422B" w:rsidP="006F0338">
            <w:pPr>
              <w:suppressAutoHyphens w:val="0"/>
              <w:spacing w:before="40" w:after="120" w:line="220" w:lineRule="exact"/>
              <w:ind w:right="113"/>
              <w:rPr>
                <w:lang w:val="en-US"/>
              </w:rPr>
            </w:pPr>
            <w:r w:rsidRPr="004C184C">
              <w:rPr>
                <w:lang w:val="en-US"/>
              </w:rPr>
              <w:t>CEDAW</w:t>
            </w:r>
          </w:p>
        </w:tc>
        <w:tc>
          <w:tcPr>
            <w:tcW w:w="6269" w:type="dxa"/>
            <w:shd w:val="clear" w:color="auto" w:fill="auto"/>
          </w:tcPr>
          <w:p w14:paraId="437D240C" w14:textId="4BB00E2C" w:rsidR="00EA422B" w:rsidRPr="004C184C" w:rsidRDefault="00EA422B" w:rsidP="006F0338">
            <w:pPr>
              <w:suppressAutoHyphens w:val="0"/>
              <w:spacing w:before="40" w:after="120" w:line="220" w:lineRule="exact"/>
              <w:ind w:right="113"/>
              <w:rPr>
                <w:lang w:val="en-US"/>
              </w:rPr>
            </w:pPr>
            <w:r w:rsidRPr="004C184C">
              <w:rPr>
                <w:lang w:val="en-US"/>
              </w:rPr>
              <w:t>Declaration</w:t>
            </w:r>
            <w:r w:rsidRPr="004C184C">
              <w:rPr>
                <w:cs/>
                <w:lang w:val="en-US"/>
              </w:rPr>
              <w:t xml:space="preserve">: </w:t>
            </w:r>
            <w:r w:rsidRPr="004C184C">
              <w:rPr>
                <w:lang w:val="en-US"/>
              </w:rPr>
              <w:t>The Royal Thai Government wishes to express its understanding that the purposes of the Convention are to eliminate discrimination against women and to accord to every person, men and women alike, equality before the law, and are in accordance with the principles prescribed by the Constitution of the Kingdom of Thailand</w:t>
            </w:r>
            <w:r w:rsidRPr="004C184C">
              <w:rPr>
                <w:cs/>
                <w:lang w:val="en-US"/>
              </w:rPr>
              <w:t xml:space="preserve">. </w:t>
            </w:r>
          </w:p>
        </w:tc>
      </w:tr>
      <w:tr w:rsidR="00EA422B" w:rsidRPr="004C184C" w14:paraId="31661075" w14:textId="77777777" w:rsidTr="00F22DD1">
        <w:tc>
          <w:tcPr>
            <w:tcW w:w="2944" w:type="dxa"/>
            <w:vMerge/>
            <w:shd w:val="clear" w:color="auto" w:fill="auto"/>
          </w:tcPr>
          <w:p w14:paraId="55E08ABA" w14:textId="77777777" w:rsidR="00EA422B" w:rsidRPr="004C184C" w:rsidRDefault="00EA422B" w:rsidP="00F22DD1">
            <w:pPr>
              <w:suppressAutoHyphens w:val="0"/>
              <w:spacing w:before="40" w:after="120" w:line="220" w:lineRule="exact"/>
              <w:ind w:right="113"/>
              <w:rPr>
                <w:lang w:val="en-US"/>
              </w:rPr>
            </w:pPr>
          </w:p>
        </w:tc>
        <w:tc>
          <w:tcPr>
            <w:tcW w:w="6269" w:type="dxa"/>
            <w:shd w:val="clear" w:color="auto" w:fill="auto"/>
          </w:tcPr>
          <w:p w14:paraId="2236F51D" w14:textId="77777777" w:rsidR="00EA422B" w:rsidRPr="004C184C" w:rsidRDefault="00EA422B" w:rsidP="00F22DD1">
            <w:pPr>
              <w:suppressAutoHyphens w:val="0"/>
              <w:spacing w:before="40" w:after="120" w:line="220" w:lineRule="exact"/>
              <w:ind w:right="113"/>
              <w:rPr>
                <w:cs/>
                <w:lang w:val="en-US"/>
              </w:rPr>
            </w:pPr>
            <w:r w:rsidRPr="004C184C">
              <w:rPr>
                <w:lang w:val="en-US"/>
              </w:rPr>
              <w:t>Reservation</w:t>
            </w:r>
            <w:r w:rsidRPr="004C184C">
              <w:rPr>
                <w:cs/>
                <w:lang w:val="en-US"/>
              </w:rPr>
              <w:t xml:space="preserve">: </w:t>
            </w:r>
            <w:r w:rsidRPr="004C184C">
              <w:rPr>
                <w:lang w:val="en-US"/>
              </w:rPr>
              <w:t>The Royal Thai Government does not consider itself bound by the provisions of Article 29, Paragraph 1, of the Convention</w:t>
            </w:r>
            <w:r w:rsidRPr="004C184C">
              <w:rPr>
                <w:cs/>
                <w:lang w:val="en-US"/>
              </w:rPr>
              <w:t>.</w:t>
            </w:r>
          </w:p>
        </w:tc>
      </w:tr>
      <w:tr w:rsidR="00EA422B" w:rsidRPr="004C184C" w14:paraId="7C853DFC" w14:textId="77777777" w:rsidTr="00F22DD1">
        <w:tc>
          <w:tcPr>
            <w:tcW w:w="2944" w:type="dxa"/>
            <w:vMerge w:val="restart"/>
            <w:shd w:val="clear" w:color="auto" w:fill="auto"/>
          </w:tcPr>
          <w:p w14:paraId="339237D0" w14:textId="77777777" w:rsidR="00EA422B" w:rsidRPr="004C184C" w:rsidRDefault="00EA422B" w:rsidP="00F22DD1">
            <w:pPr>
              <w:suppressAutoHyphens w:val="0"/>
              <w:spacing w:before="40" w:after="120" w:line="220" w:lineRule="exact"/>
              <w:ind w:right="113"/>
              <w:rPr>
                <w:lang w:val="en-US"/>
              </w:rPr>
            </w:pPr>
            <w:r w:rsidRPr="004C184C">
              <w:rPr>
                <w:lang w:val="en-US"/>
              </w:rPr>
              <w:t>CERD</w:t>
            </w:r>
          </w:p>
        </w:tc>
        <w:tc>
          <w:tcPr>
            <w:tcW w:w="6269" w:type="dxa"/>
            <w:shd w:val="clear" w:color="auto" w:fill="auto"/>
          </w:tcPr>
          <w:p w14:paraId="0B740234" w14:textId="77777777" w:rsidR="00EA422B" w:rsidRPr="004C184C" w:rsidRDefault="00EA422B" w:rsidP="00F22DD1">
            <w:pPr>
              <w:suppressAutoHyphens w:val="0"/>
              <w:spacing w:before="40" w:after="120" w:line="220" w:lineRule="exact"/>
              <w:ind w:right="113"/>
              <w:rPr>
                <w:lang w:val="en-US"/>
              </w:rPr>
            </w:pPr>
            <w:r w:rsidRPr="004C184C">
              <w:rPr>
                <w:lang w:val="en-US"/>
              </w:rPr>
              <w:t>Interpretative declaration</w:t>
            </w:r>
            <w:r w:rsidRPr="004C184C">
              <w:rPr>
                <w:cs/>
                <w:lang w:val="en-US"/>
              </w:rPr>
              <w:t xml:space="preserve">: </w:t>
            </w:r>
            <w:r w:rsidRPr="004C184C">
              <w:rPr>
                <w:lang w:val="en-US"/>
              </w:rPr>
              <w:t>The Kingdom of Thailand does not interpret and apply the provisions of this Convention as imposing upon the Kingdom of Thailand any obligation beyond the confines of the Constitution and the laws of the Kingdom of Thailand</w:t>
            </w:r>
            <w:r w:rsidRPr="004C184C">
              <w:rPr>
                <w:cs/>
                <w:lang w:val="en-US"/>
              </w:rPr>
              <w:t xml:space="preserve">. </w:t>
            </w:r>
            <w:r w:rsidRPr="004C184C">
              <w:rPr>
                <w:lang w:val="en-US"/>
              </w:rPr>
              <w:t>In addition, such interpretation and application shall be limited to or consistent with the obligations under other international human rights instruments to which the Kingdom of Thailand is a party</w:t>
            </w:r>
            <w:r w:rsidRPr="004C184C">
              <w:rPr>
                <w:cs/>
                <w:lang w:val="en-US"/>
              </w:rPr>
              <w:t xml:space="preserve">. </w:t>
            </w:r>
          </w:p>
        </w:tc>
      </w:tr>
      <w:tr w:rsidR="00EA422B" w:rsidRPr="004C184C" w14:paraId="2DA92484" w14:textId="77777777" w:rsidTr="00F22DD1">
        <w:tc>
          <w:tcPr>
            <w:tcW w:w="2944" w:type="dxa"/>
            <w:vMerge/>
            <w:shd w:val="clear" w:color="auto" w:fill="auto"/>
          </w:tcPr>
          <w:p w14:paraId="1EA7D620" w14:textId="77777777" w:rsidR="00EA422B" w:rsidRPr="004C184C" w:rsidRDefault="00EA422B" w:rsidP="00F22DD1">
            <w:pPr>
              <w:suppressAutoHyphens w:val="0"/>
              <w:spacing w:before="40" w:after="120" w:line="220" w:lineRule="exact"/>
              <w:ind w:right="113"/>
              <w:rPr>
                <w:lang w:val="en-US"/>
              </w:rPr>
            </w:pPr>
          </w:p>
        </w:tc>
        <w:tc>
          <w:tcPr>
            <w:tcW w:w="6269" w:type="dxa"/>
            <w:shd w:val="clear" w:color="auto" w:fill="auto"/>
          </w:tcPr>
          <w:p w14:paraId="27CE3A8E" w14:textId="77777777" w:rsidR="00EA422B" w:rsidRPr="004C184C" w:rsidRDefault="00EA422B" w:rsidP="00F22DD1">
            <w:pPr>
              <w:suppressAutoHyphens w:val="0"/>
              <w:spacing w:before="40" w:after="120" w:line="220" w:lineRule="exact"/>
              <w:ind w:right="113"/>
              <w:rPr>
                <w:lang w:val="en-US"/>
              </w:rPr>
            </w:pPr>
            <w:r w:rsidRPr="004C184C">
              <w:rPr>
                <w:lang w:val="en-US"/>
              </w:rPr>
              <w:t>Reservation</w:t>
            </w:r>
            <w:r w:rsidRPr="004C184C">
              <w:rPr>
                <w:cs/>
                <w:lang w:val="en-US"/>
              </w:rPr>
              <w:t xml:space="preserve">: </w:t>
            </w:r>
            <w:r w:rsidRPr="004C184C">
              <w:rPr>
                <w:lang w:val="en-US"/>
              </w:rPr>
              <w:t>The Kingdom of Thailand does not consider itself bound by the provisions of Article 22 of the Convention</w:t>
            </w:r>
            <w:r w:rsidRPr="004C184C">
              <w:rPr>
                <w:cs/>
                <w:lang w:val="en-US"/>
              </w:rPr>
              <w:t>.</w:t>
            </w:r>
          </w:p>
        </w:tc>
      </w:tr>
      <w:tr w:rsidR="00EA422B" w:rsidRPr="004C184C" w14:paraId="592D0C61" w14:textId="77777777" w:rsidTr="00F22DD1">
        <w:tc>
          <w:tcPr>
            <w:tcW w:w="2944" w:type="dxa"/>
            <w:shd w:val="clear" w:color="auto" w:fill="auto"/>
          </w:tcPr>
          <w:p w14:paraId="4CEAA801" w14:textId="77777777" w:rsidR="00EA422B" w:rsidRPr="004C184C" w:rsidRDefault="00EA422B" w:rsidP="00F22DD1">
            <w:pPr>
              <w:suppressAutoHyphens w:val="0"/>
              <w:spacing w:before="40" w:after="120" w:line="220" w:lineRule="exact"/>
              <w:ind w:right="113"/>
              <w:rPr>
                <w:lang w:val="en-US"/>
              </w:rPr>
            </w:pPr>
            <w:r w:rsidRPr="004C184C">
              <w:rPr>
                <w:lang w:val="en-US"/>
              </w:rPr>
              <w:t>ICESCR</w:t>
            </w:r>
          </w:p>
        </w:tc>
        <w:tc>
          <w:tcPr>
            <w:tcW w:w="6269" w:type="dxa"/>
            <w:shd w:val="clear" w:color="auto" w:fill="auto"/>
          </w:tcPr>
          <w:p w14:paraId="613C1636" w14:textId="38048993" w:rsidR="00EA422B" w:rsidRPr="004C184C" w:rsidRDefault="00EA422B" w:rsidP="00F22DD1">
            <w:pPr>
              <w:suppressAutoHyphens w:val="0"/>
              <w:spacing w:before="40" w:after="120" w:line="220" w:lineRule="exact"/>
              <w:ind w:right="113"/>
              <w:rPr>
                <w:lang w:val="en-US"/>
              </w:rPr>
            </w:pPr>
            <w:r w:rsidRPr="004C184C">
              <w:rPr>
                <w:lang w:val="en-US"/>
              </w:rPr>
              <w:t>Interpretative declaration</w:t>
            </w:r>
            <w:r w:rsidRPr="004C184C">
              <w:rPr>
                <w:cs/>
                <w:lang w:val="en-US"/>
              </w:rPr>
              <w:t xml:space="preserve">: </w:t>
            </w:r>
            <w:r w:rsidRPr="004C184C">
              <w:rPr>
                <w:lang w:val="en-US"/>
              </w:rPr>
              <w:t xml:space="preserve">The Government of the Kingdom of Thailand declares that the term </w:t>
            </w:r>
            <w:r w:rsidR="00567EA4" w:rsidRPr="004C184C">
              <w:rPr>
                <w:lang w:val="en-US"/>
              </w:rPr>
              <w:t>“</w:t>
            </w:r>
            <w:r w:rsidRPr="004C184C">
              <w:rPr>
                <w:lang w:val="en-US"/>
              </w:rPr>
              <w:t>self</w:t>
            </w:r>
            <w:r w:rsidR="00D97E73" w:rsidRPr="004C184C">
              <w:rPr>
                <w:lang w:val="en-US"/>
              </w:rPr>
              <w:t>-</w:t>
            </w:r>
            <w:r w:rsidRPr="004C184C">
              <w:rPr>
                <w:lang w:val="en-US"/>
              </w:rPr>
              <w:t>determination</w:t>
            </w:r>
            <w:r w:rsidR="00567EA4" w:rsidRPr="004C184C">
              <w:rPr>
                <w:lang w:val="en-US"/>
              </w:rPr>
              <w:t>”</w:t>
            </w:r>
            <w:r w:rsidRPr="004C184C">
              <w:rPr>
                <w:cs/>
                <w:lang w:val="en-US"/>
              </w:rPr>
              <w:t xml:space="preserve"> </w:t>
            </w:r>
            <w:r w:rsidRPr="004C184C">
              <w:rPr>
                <w:lang w:val="en-US"/>
              </w:rPr>
              <w:t xml:space="preserve">as appears in Article 1 Paragraph 1 of the Covenant shall be interpreted as being compatible with that expressed in the Vienna Declaration and </w:t>
            </w:r>
            <w:proofErr w:type="spellStart"/>
            <w:r w:rsidRPr="004C184C">
              <w:rPr>
                <w:lang w:val="en-US"/>
              </w:rPr>
              <w:t>Programme</w:t>
            </w:r>
            <w:proofErr w:type="spellEnd"/>
            <w:r w:rsidRPr="004C184C">
              <w:rPr>
                <w:lang w:val="en-US"/>
              </w:rPr>
              <w:t xml:space="preserve"> of Action, adopted by the World Conference on Human Rights on 25 June 1993</w:t>
            </w:r>
            <w:r w:rsidRPr="004C184C">
              <w:rPr>
                <w:cs/>
                <w:lang w:val="en-US"/>
              </w:rPr>
              <w:t>.</w:t>
            </w:r>
          </w:p>
        </w:tc>
      </w:tr>
      <w:tr w:rsidR="00EA422B" w:rsidRPr="004C184C" w14:paraId="01A13F28" w14:textId="77777777" w:rsidTr="00216691">
        <w:tc>
          <w:tcPr>
            <w:tcW w:w="2944" w:type="dxa"/>
            <w:tcBorders>
              <w:bottom w:val="nil"/>
            </w:tcBorders>
            <w:shd w:val="clear" w:color="auto" w:fill="auto"/>
          </w:tcPr>
          <w:p w14:paraId="3040BB42" w14:textId="77777777" w:rsidR="00EA422B" w:rsidRPr="004C184C" w:rsidRDefault="00EA422B" w:rsidP="00F22DD1">
            <w:pPr>
              <w:suppressAutoHyphens w:val="0"/>
              <w:spacing w:before="40" w:after="120" w:line="220" w:lineRule="exact"/>
              <w:ind w:right="113"/>
              <w:rPr>
                <w:lang w:val="en-US"/>
              </w:rPr>
            </w:pPr>
            <w:r w:rsidRPr="004C184C">
              <w:rPr>
                <w:lang w:val="en-US"/>
              </w:rPr>
              <w:t>CRC</w:t>
            </w:r>
          </w:p>
        </w:tc>
        <w:tc>
          <w:tcPr>
            <w:tcW w:w="6269" w:type="dxa"/>
            <w:tcBorders>
              <w:bottom w:val="nil"/>
            </w:tcBorders>
            <w:shd w:val="clear" w:color="auto" w:fill="auto"/>
          </w:tcPr>
          <w:p w14:paraId="3E5C9A89" w14:textId="77777777" w:rsidR="00EA422B" w:rsidRPr="004C184C" w:rsidRDefault="00EA422B" w:rsidP="00F22DD1">
            <w:pPr>
              <w:suppressAutoHyphens w:val="0"/>
              <w:spacing w:before="40" w:after="120" w:line="220" w:lineRule="exact"/>
              <w:ind w:right="113"/>
              <w:rPr>
                <w:lang w:val="en-US"/>
              </w:rPr>
            </w:pPr>
            <w:r w:rsidRPr="004C184C">
              <w:rPr>
                <w:lang w:val="en-US"/>
              </w:rPr>
              <w:t>Reservation</w:t>
            </w:r>
            <w:r w:rsidRPr="004C184C">
              <w:rPr>
                <w:cs/>
                <w:lang w:val="en-US"/>
              </w:rPr>
              <w:t xml:space="preserve">: </w:t>
            </w:r>
            <w:r w:rsidRPr="004C184C">
              <w:rPr>
                <w:lang w:val="en-US"/>
              </w:rPr>
              <w:t>The application of Article 22 of the Convention on the Rights of the Child shall be subject to the national laws, regulations and prevailing practices in Thailand</w:t>
            </w:r>
            <w:r w:rsidRPr="004C184C">
              <w:rPr>
                <w:cs/>
                <w:lang w:val="en-US"/>
              </w:rPr>
              <w:t>.</w:t>
            </w:r>
          </w:p>
        </w:tc>
      </w:tr>
      <w:tr w:rsidR="00EA422B" w:rsidRPr="004C184C" w14:paraId="5BC8F1CE" w14:textId="77777777" w:rsidTr="00216691">
        <w:tc>
          <w:tcPr>
            <w:tcW w:w="2944" w:type="dxa"/>
            <w:vMerge w:val="restart"/>
            <w:tcBorders>
              <w:top w:val="nil"/>
              <w:bottom w:val="nil"/>
            </w:tcBorders>
            <w:shd w:val="clear" w:color="auto" w:fill="auto"/>
          </w:tcPr>
          <w:p w14:paraId="7CB2E855" w14:textId="2627203B" w:rsidR="00EA422B" w:rsidRPr="004C184C" w:rsidRDefault="00EA422B" w:rsidP="0045395D">
            <w:pPr>
              <w:suppressAutoHyphens w:val="0"/>
              <w:spacing w:before="40" w:after="120" w:line="220" w:lineRule="exact"/>
              <w:ind w:right="113"/>
              <w:rPr>
                <w:lang w:val="en-US"/>
              </w:rPr>
            </w:pPr>
            <w:r w:rsidRPr="004C184C">
              <w:rPr>
                <w:lang w:val="en-US"/>
              </w:rPr>
              <w:t>CRC</w:t>
            </w:r>
            <w:r w:rsidR="00D97E73" w:rsidRPr="004C184C">
              <w:rPr>
                <w:lang w:val="en-US"/>
              </w:rPr>
              <w:t>-</w:t>
            </w:r>
            <w:r w:rsidRPr="004C184C">
              <w:rPr>
                <w:lang w:val="en-US"/>
              </w:rPr>
              <w:t>OP</w:t>
            </w:r>
            <w:r w:rsidR="00D97E73" w:rsidRPr="004C184C">
              <w:rPr>
                <w:lang w:val="en-US"/>
              </w:rPr>
              <w:t>-</w:t>
            </w:r>
            <w:r w:rsidRPr="004C184C">
              <w:rPr>
                <w:lang w:val="en-US"/>
              </w:rPr>
              <w:t>AC</w:t>
            </w:r>
          </w:p>
        </w:tc>
        <w:tc>
          <w:tcPr>
            <w:tcW w:w="6269" w:type="dxa"/>
            <w:tcBorders>
              <w:top w:val="nil"/>
              <w:bottom w:val="nil"/>
            </w:tcBorders>
            <w:shd w:val="clear" w:color="auto" w:fill="auto"/>
          </w:tcPr>
          <w:p w14:paraId="768808DD" w14:textId="77777777" w:rsidR="00EA422B" w:rsidRPr="004C184C" w:rsidRDefault="00EA422B" w:rsidP="00F22DD1">
            <w:pPr>
              <w:suppressAutoHyphens w:val="0"/>
              <w:spacing w:before="40" w:after="120" w:line="220" w:lineRule="exact"/>
              <w:ind w:right="113"/>
              <w:rPr>
                <w:lang w:val="en-US"/>
              </w:rPr>
            </w:pPr>
            <w:r w:rsidRPr="004C184C">
              <w:rPr>
                <w:lang w:val="en-US"/>
              </w:rPr>
              <w:t>Declarations</w:t>
            </w:r>
            <w:r w:rsidRPr="004C184C">
              <w:rPr>
                <w:cs/>
                <w:lang w:val="en-US"/>
              </w:rPr>
              <w:t xml:space="preserve">: </w:t>
            </w:r>
            <w:r w:rsidRPr="004C184C">
              <w:rPr>
                <w:cs/>
                <w:lang w:val="en-US"/>
              </w:rPr>
              <w:br/>
            </w:r>
            <w:r w:rsidRPr="004C184C">
              <w:rPr>
                <w:lang w:val="en-US"/>
              </w:rPr>
              <w:t>1</w:t>
            </w:r>
            <w:r w:rsidRPr="004C184C">
              <w:rPr>
                <w:cs/>
                <w:lang w:val="en-US"/>
              </w:rPr>
              <w:t xml:space="preserve">. </w:t>
            </w:r>
            <w:r w:rsidRPr="004C184C">
              <w:rPr>
                <w:lang w:val="en-US"/>
              </w:rPr>
              <w:t>Military service is compulsory by law</w:t>
            </w:r>
            <w:r w:rsidRPr="004C184C">
              <w:rPr>
                <w:cs/>
                <w:lang w:val="en-US"/>
              </w:rPr>
              <w:t xml:space="preserve">. </w:t>
            </w:r>
            <w:r w:rsidRPr="004C184C">
              <w:rPr>
                <w:lang w:val="en-US"/>
              </w:rPr>
              <w:t>Thai men reaching the age of 18 have a duty to register on the inactive military personnel list</w:t>
            </w:r>
            <w:r w:rsidRPr="004C184C">
              <w:rPr>
                <w:cs/>
                <w:lang w:val="en-US"/>
              </w:rPr>
              <w:t xml:space="preserve">. </w:t>
            </w:r>
            <w:r w:rsidRPr="004C184C">
              <w:rPr>
                <w:lang w:val="en-US"/>
              </w:rPr>
              <w:t>At the age of 21, selected inactive military personnel will become active military personnel</w:t>
            </w:r>
            <w:r w:rsidRPr="004C184C">
              <w:rPr>
                <w:cs/>
                <w:lang w:val="en-US"/>
              </w:rPr>
              <w:t xml:space="preserve">. </w:t>
            </w:r>
            <w:r w:rsidRPr="004C184C">
              <w:rPr>
                <w:lang w:val="en-US"/>
              </w:rPr>
              <w:t>Inactive military personnel may also voluntarily apply to become active military personnel to serve in the national armed forces</w:t>
            </w:r>
            <w:r w:rsidRPr="004C184C">
              <w:rPr>
                <w:cs/>
                <w:lang w:val="en-US"/>
              </w:rPr>
              <w:t xml:space="preserve">. </w:t>
            </w:r>
            <w:r w:rsidRPr="004C184C">
              <w:rPr>
                <w:lang w:val="en-US"/>
              </w:rPr>
              <w:t>Women are exempt from compulsory military service both in times of peace and in times of war, but are subjected to other duties assigned by law</w:t>
            </w:r>
            <w:r w:rsidRPr="004C184C">
              <w:rPr>
                <w:cs/>
                <w:lang w:val="en-US"/>
              </w:rPr>
              <w:t xml:space="preserve">. </w:t>
            </w:r>
          </w:p>
        </w:tc>
      </w:tr>
      <w:tr w:rsidR="00EA422B" w:rsidRPr="004C184C" w14:paraId="4332F5F8" w14:textId="77777777" w:rsidTr="00216691">
        <w:tc>
          <w:tcPr>
            <w:tcW w:w="2944" w:type="dxa"/>
            <w:vMerge/>
            <w:tcBorders>
              <w:top w:val="nil"/>
              <w:bottom w:val="nil"/>
            </w:tcBorders>
            <w:shd w:val="clear" w:color="auto" w:fill="auto"/>
          </w:tcPr>
          <w:p w14:paraId="46F15EDA" w14:textId="77777777" w:rsidR="00EA422B" w:rsidRPr="004C184C" w:rsidRDefault="00EA422B" w:rsidP="00F22DD1">
            <w:pPr>
              <w:suppressAutoHyphens w:val="0"/>
              <w:spacing w:before="40" w:after="120" w:line="220" w:lineRule="exact"/>
              <w:ind w:right="113"/>
              <w:rPr>
                <w:lang w:val="en-US"/>
              </w:rPr>
            </w:pPr>
          </w:p>
        </w:tc>
        <w:tc>
          <w:tcPr>
            <w:tcW w:w="6269" w:type="dxa"/>
            <w:tcBorders>
              <w:top w:val="nil"/>
              <w:bottom w:val="nil"/>
            </w:tcBorders>
            <w:shd w:val="clear" w:color="auto" w:fill="auto"/>
          </w:tcPr>
          <w:p w14:paraId="34D0A411" w14:textId="77777777" w:rsidR="00EA422B" w:rsidRPr="004C184C" w:rsidRDefault="00EA422B" w:rsidP="00F22DD1">
            <w:pPr>
              <w:suppressAutoHyphens w:val="0"/>
              <w:spacing w:before="40" w:after="120" w:line="220" w:lineRule="exact"/>
              <w:ind w:right="113"/>
              <w:rPr>
                <w:cs/>
                <w:lang w:val="en-US"/>
              </w:rPr>
            </w:pPr>
            <w:r w:rsidRPr="004C184C">
              <w:rPr>
                <w:lang w:val="en-US"/>
              </w:rPr>
              <w:t>2</w:t>
            </w:r>
            <w:r w:rsidRPr="004C184C">
              <w:rPr>
                <w:cs/>
                <w:lang w:val="en-US"/>
              </w:rPr>
              <w:t xml:space="preserve">. </w:t>
            </w:r>
            <w:r w:rsidRPr="004C184C">
              <w:rPr>
                <w:lang w:val="en-US"/>
              </w:rPr>
              <w:t>In times of war or national crisis, inactive military personnel (men aged over 18</w:t>
            </w:r>
            <w:r w:rsidRPr="004C184C">
              <w:rPr>
                <w:cs/>
                <w:lang w:val="en-US"/>
              </w:rPr>
              <w:t xml:space="preserve">) </w:t>
            </w:r>
            <w:r w:rsidRPr="004C184C">
              <w:rPr>
                <w:lang w:val="en-US"/>
              </w:rPr>
              <w:t>may be recruited to participate in the armed forces</w:t>
            </w:r>
            <w:r w:rsidRPr="004C184C">
              <w:rPr>
                <w:cs/>
                <w:lang w:val="en-US"/>
              </w:rPr>
              <w:t>.</w:t>
            </w:r>
          </w:p>
        </w:tc>
      </w:tr>
      <w:tr w:rsidR="00EA422B" w:rsidRPr="004C184C" w14:paraId="08B252BC" w14:textId="77777777" w:rsidTr="00216691">
        <w:tc>
          <w:tcPr>
            <w:tcW w:w="2944" w:type="dxa"/>
            <w:vMerge/>
            <w:tcBorders>
              <w:top w:val="nil"/>
              <w:bottom w:val="nil"/>
            </w:tcBorders>
            <w:shd w:val="clear" w:color="auto" w:fill="auto"/>
          </w:tcPr>
          <w:p w14:paraId="1513041D" w14:textId="77777777" w:rsidR="00EA422B" w:rsidRPr="004C184C" w:rsidRDefault="00EA422B" w:rsidP="00F22DD1">
            <w:pPr>
              <w:suppressAutoHyphens w:val="0"/>
              <w:spacing w:before="40" w:after="120" w:line="220" w:lineRule="exact"/>
              <w:ind w:right="113"/>
              <w:rPr>
                <w:lang w:val="en-US"/>
              </w:rPr>
            </w:pPr>
          </w:p>
        </w:tc>
        <w:tc>
          <w:tcPr>
            <w:tcW w:w="6269" w:type="dxa"/>
            <w:tcBorders>
              <w:top w:val="nil"/>
              <w:bottom w:val="nil"/>
            </w:tcBorders>
            <w:shd w:val="clear" w:color="auto" w:fill="auto"/>
          </w:tcPr>
          <w:p w14:paraId="159177EC" w14:textId="00E518A5" w:rsidR="00EA422B" w:rsidRPr="004C184C" w:rsidRDefault="00EA422B" w:rsidP="00F22DD1">
            <w:pPr>
              <w:suppressAutoHyphens w:val="0"/>
              <w:spacing w:before="40" w:after="120" w:line="220" w:lineRule="exact"/>
              <w:ind w:right="113"/>
              <w:rPr>
                <w:lang w:val="en-US"/>
              </w:rPr>
            </w:pPr>
            <w:r w:rsidRPr="004C184C">
              <w:rPr>
                <w:lang w:val="en-US"/>
              </w:rPr>
              <w:t>3</w:t>
            </w:r>
            <w:r w:rsidRPr="004C184C">
              <w:rPr>
                <w:cs/>
                <w:lang w:val="en-US"/>
              </w:rPr>
              <w:t xml:space="preserve">. </w:t>
            </w:r>
            <w:r w:rsidRPr="004C184C">
              <w:rPr>
                <w:lang w:val="en-US"/>
              </w:rPr>
              <w:t>Admittances to military schools such as Army Non</w:t>
            </w:r>
            <w:r w:rsidR="00D97E73" w:rsidRPr="004C184C">
              <w:rPr>
                <w:lang w:val="en-US"/>
              </w:rPr>
              <w:t>-</w:t>
            </w:r>
            <w:r w:rsidRPr="004C184C">
              <w:rPr>
                <w:lang w:val="en-US"/>
              </w:rPr>
              <w:t>commissioned Officer School, Air Technical Training School, Navy Non</w:t>
            </w:r>
            <w:r w:rsidR="00D97E73" w:rsidRPr="004C184C">
              <w:rPr>
                <w:lang w:val="en-US"/>
              </w:rPr>
              <w:t>-</w:t>
            </w:r>
            <w:r w:rsidRPr="004C184C">
              <w:rPr>
                <w:lang w:val="en-US"/>
              </w:rPr>
              <w:t>Commissioned Officer School, Armed Forces Academies Preparatory School and Army, Naval, and Air Forces Academies is on a voluntary basis, depending on the success in the entrance examinations and subject to the consent of parents or legal guardians</w:t>
            </w:r>
            <w:r w:rsidRPr="004C184C">
              <w:rPr>
                <w:cs/>
                <w:lang w:val="en-US"/>
              </w:rPr>
              <w:t>.</w:t>
            </w:r>
          </w:p>
        </w:tc>
      </w:tr>
      <w:tr w:rsidR="00EA422B" w:rsidRPr="004C184C" w14:paraId="44A42A4C" w14:textId="77777777" w:rsidTr="00216691">
        <w:tc>
          <w:tcPr>
            <w:tcW w:w="2944" w:type="dxa"/>
            <w:vMerge/>
            <w:tcBorders>
              <w:top w:val="nil"/>
              <w:bottom w:val="nil"/>
            </w:tcBorders>
            <w:shd w:val="clear" w:color="auto" w:fill="auto"/>
          </w:tcPr>
          <w:p w14:paraId="3C1C9A0A" w14:textId="77777777" w:rsidR="00EA422B" w:rsidRPr="004C184C" w:rsidRDefault="00EA422B" w:rsidP="00F22DD1">
            <w:pPr>
              <w:suppressAutoHyphens w:val="0"/>
              <w:spacing w:before="40" w:after="120" w:line="220" w:lineRule="exact"/>
              <w:ind w:right="113"/>
              <w:rPr>
                <w:lang w:val="en-US"/>
              </w:rPr>
            </w:pPr>
          </w:p>
        </w:tc>
        <w:tc>
          <w:tcPr>
            <w:tcW w:w="6269" w:type="dxa"/>
            <w:tcBorders>
              <w:top w:val="nil"/>
              <w:bottom w:val="nil"/>
            </w:tcBorders>
            <w:shd w:val="clear" w:color="auto" w:fill="auto"/>
          </w:tcPr>
          <w:p w14:paraId="304E3DC3" w14:textId="12AA12AD" w:rsidR="00EA422B" w:rsidRPr="004C184C" w:rsidRDefault="00EA422B" w:rsidP="00F22DD1">
            <w:pPr>
              <w:suppressAutoHyphens w:val="0"/>
              <w:spacing w:before="40" w:after="120" w:line="220" w:lineRule="exact"/>
              <w:ind w:right="113"/>
              <w:rPr>
                <w:lang w:val="en-US"/>
              </w:rPr>
            </w:pPr>
            <w:r w:rsidRPr="004C184C">
              <w:rPr>
                <w:lang w:val="en-US"/>
              </w:rPr>
              <w:t>4</w:t>
            </w:r>
            <w:r w:rsidRPr="004C184C">
              <w:rPr>
                <w:cs/>
                <w:lang w:val="en-US"/>
              </w:rPr>
              <w:t xml:space="preserve">. </w:t>
            </w:r>
            <w:r w:rsidRPr="004C184C">
              <w:rPr>
                <w:lang w:val="en-US"/>
              </w:rPr>
              <w:t xml:space="preserve">High school and university students regardless of gender may voluntarily apply to receive military training from the Army Reserve Command, with the consent of parents or </w:t>
            </w:r>
            <w:r w:rsidRPr="004C184C">
              <w:rPr>
                <w:lang w:val="en-US"/>
              </w:rPr>
              <w:lastRenderedPageBreak/>
              <w:t>legal guardians, without any exception</w:t>
            </w:r>
            <w:r w:rsidRPr="004C184C">
              <w:rPr>
                <w:cs/>
                <w:lang w:val="en-US"/>
              </w:rPr>
              <w:t xml:space="preserve">. </w:t>
            </w:r>
            <w:r w:rsidRPr="004C184C">
              <w:rPr>
                <w:lang w:val="en-US"/>
              </w:rPr>
              <w:t>Students who complete 3 years</w:t>
            </w:r>
            <w:r w:rsidR="00567EA4" w:rsidRPr="004C184C">
              <w:rPr>
                <w:lang w:val="en-US"/>
              </w:rPr>
              <w:t>’</w:t>
            </w:r>
            <w:r w:rsidRPr="004C184C">
              <w:rPr>
                <w:lang w:val="en-US"/>
              </w:rPr>
              <w:t xml:space="preserve"> training are exempt from military service </w:t>
            </w:r>
            <w:r w:rsidRPr="004C184C">
              <w:rPr>
                <w:cs/>
                <w:lang w:val="en-US"/>
              </w:rPr>
              <w:t>(</w:t>
            </w:r>
            <w:r w:rsidRPr="004C184C">
              <w:rPr>
                <w:lang w:val="en-US"/>
              </w:rPr>
              <w:t>as active military personnel</w:t>
            </w:r>
            <w:r w:rsidRPr="004C184C">
              <w:rPr>
                <w:cs/>
                <w:lang w:val="en-US"/>
              </w:rPr>
              <w:t xml:space="preserve">) </w:t>
            </w:r>
            <w:r w:rsidRPr="004C184C">
              <w:rPr>
                <w:lang w:val="en-US"/>
              </w:rPr>
              <w:t>when they reach the age of 21</w:t>
            </w:r>
            <w:r w:rsidRPr="004C184C">
              <w:rPr>
                <w:cs/>
                <w:lang w:val="en-US"/>
              </w:rPr>
              <w:t xml:space="preserve">. </w:t>
            </w:r>
          </w:p>
        </w:tc>
      </w:tr>
      <w:tr w:rsidR="00EA422B" w:rsidRPr="004C184C" w14:paraId="5743A6F5" w14:textId="77777777" w:rsidTr="00216691">
        <w:tc>
          <w:tcPr>
            <w:tcW w:w="2944" w:type="dxa"/>
            <w:vMerge/>
            <w:tcBorders>
              <w:top w:val="nil"/>
            </w:tcBorders>
            <w:shd w:val="clear" w:color="auto" w:fill="auto"/>
          </w:tcPr>
          <w:p w14:paraId="68F771E2" w14:textId="77777777" w:rsidR="00EA422B" w:rsidRPr="004C184C" w:rsidRDefault="00EA422B" w:rsidP="00F22DD1">
            <w:pPr>
              <w:suppressAutoHyphens w:val="0"/>
              <w:spacing w:before="40" w:after="120" w:line="220" w:lineRule="exact"/>
              <w:ind w:right="113"/>
              <w:rPr>
                <w:lang w:val="en-US"/>
              </w:rPr>
            </w:pPr>
          </w:p>
        </w:tc>
        <w:tc>
          <w:tcPr>
            <w:tcW w:w="6269" w:type="dxa"/>
            <w:tcBorders>
              <w:top w:val="nil"/>
            </w:tcBorders>
            <w:shd w:val="clear" w:color="auto" w:fill="auto"/>
          </w:tcPr>
          <w:p w14:paraId="77D8E7DB" w14:textId="43A6951D" w:rsidR="00EA422B" w:rsidRPr="004C184C" w:rsidRDefault="00EA422B" w:rsidP="00F22DD1">
            <w:pPr>
              <w:suppressAutoHyphens w:val="0"/>
              <w:spacing w:before="40" w:after="120" w:line="220" w:lineRule="exact"/>
              <w:ind w:right="113"/>
              <w:rPr>
                <w:lang w:val="en-US"/>
              </w:rPr>
            </w:pPr>
            <w:r w:rsidRPr="004C184C">
              <w:rPr>
                <w:lang w:val="en-US"/>
              </w:rPr>
              <w:t>5</w:t>
            </w:r>
            <w:r w:rsidRPr="004C184C">
              <w:rPr>
                <w:cs/>
                <w:lang w:val="en-US"/>
              </w:rPr>
              <w:t xml:space="preserve">. </w:t>
            </w:r>
            <w:r w:rsidRPr="004C184C">
              <w:rPr>
                <w:lang w:val="en-US"/>
              </w:rPr>
              <w:t>Non</w:t>
            </w:r>
            <w:r w:rsidR="00D97E73" w:rsidRPr="004C184C">
              <w:rPr>
                <w:lang w:val="en-US"/>
              </w:rPr>
              <w:t>-</w:t>
            </w:r>
            <w:r w:rsidRPr="004C184C">
              <w:rPr>
                <w:lang w:val="en-US"/>
              </w:rPr>
              <w:t>governmental militias are prohibited by law, regardless of the age of persons concerned</w:t>
            </w:r>
            <w:r w:rsidRPr="004C184C">
              <w:rPr>
                <w:cs/>
                <w:lang w:val="en-US"/>
              </w:rPr>
              <w:t>.</w:t>
            </w:r>
          </w:p>
        </w:tc>
      </w:tr>
    </w:tbl>
    <w:p w14:paraId="26D25ACC" w14:textId="77777777" w:rsidR="00EA422B" w:rsidRPr="004C184C" w:rsidRDefault="00EA422B" w:rsidP="00216691">
      <w:pPr>
        <w:pStyle w:val="SingleTxtG"/>
        <w:spacing w:before="120"/>
        <w:rPr>
          <w:lang w:val="en-US"/>
        </w:rPr>
      </w:pPr>
      <w:r w:rsidRPr="004C184C">
        <w:rPr>
          <w:lang w:val="en-US"/>
        </w:rPr>
        <w:t>79.</w:t>
      </w:r>
      <w:r w:rsidRPr="004C184C">
        <w:rPr>
          <w:lang w:val="en-US"/>
        </w:rPr>
        <w:tab/>
        <w:t>Thailand is also a party to other UN human rights and related conventions</w:t>
      </w:r>
      <w:r w:rsidRPr="004C184C">
        <w:rPr>
          <w:cs/>
          <w:lang w:val="en-US"/>
        </w:rPr>
        <w:t xml:space="preserve">: </w:t>
      </w:r>
    </w:p>
    <w:p w14:paraId="6EF21867" w14:textId="77777777" w:rsidR="00EA422B" w:rsidRPr="004C184C" w:rsidRDefault="00EA422B" w:rsidP="00216691">
      <w:pPr>
        <w:pStyle w:val="SingleTxtG"/>
        <w:ind w:left="2268" w:hanging="567"/>
        <w:rPr>
          <w:lang w:val="en-US"/>
        </w:rPr>
      </w:pPr>
      <w:r w:rsidRPr="004C184C">
        <w:rPr>
          <w:lang w:val="en-US"/>
        </w:rPr>
        <w:t>1.</w:t>
      </w:r>
      <w:r w:rsidRPr="004C184C">
        <w:rPr>
          <w:lang w:val="en-US"/>
        </w:rPr>
        <w:tab/>
        <w:t xml:space="preserve">The Hague Convention on the Civil Aspects of International Child Abduction on 1 November 2002; </w:t>
      </w:r>
    </w:p>
    <w:p w14:paraId="589F0E85" w14:textId="77777777" w:rsidR="00EA422B" w:rsidRPr="004C184C" w:rsidRDefault="00EA422B" w:rsidP="00925FDF">
      <w:pPr>
        <w:pStyle w:val="SingleTxtG"/>
        <w:ind w:left="2268" w:hanging="567"/>
        <w:rPr>
          <w:lang w:val="en-US"/>
        </w:rPr>
      </w:pPr>
      <w:r w:rsidRPr="004C184C">
        <w:rPr>
          <w:lang w:val="en-US"/>
        </w:rPr>
        <w:t>2.</w:t>
      </w:r>
      <w:r w:rsidRPr="004C184C">
        <w:rPr>
          <w:lang w:val="en-US"/>
        </w:rPr>
        <w:tab/>
        <w:t xml:space="preserve">The Hague Convention on Protection of Children and Cooperation in Respect of Intercountry Adoption on 1 August 2004; </w:t>
      </w:r>
    </w:p>
    <w:p w14:paraId="68FCDBC1" w14:textId="5C179CC4" w:rsidR="00EA422B" w:rsidRPr="004C184C" w:rsidRDefault="00EA422B" w:rsidP="00925FDF">
      <w:pPr>
        <w:pStyle w:val="SingleTxtG"/>
        <w:ind w:left="2268" w:hanging="567"/>
        <w:rPr>
          <w:lang w:val="en-US"/>
        </w:rPr>
      </w:pPr>
      <w:r w:rsidRPr="004C184C">
        <w:rPr>
          <w:lang w:val="en-US"/>
        </w:rPr>
        <w:t>3.</w:t>
      </w:r>
      <w:r w:rsidRPr="004C184C">
        <w:rPr>
          <w:lang w:val="en-US"/>
        </w:rPr>
        <w:tab/>
        <w:t xml:space="preserve">ILO Conventions No. 14, 19, 29, 80, 88, 100, 105, 111, 122, 127, 138, 159, 182, 187, 188, the Maritime </w:t>
      </w:r>
      <w:proofErr w:type="spellStart"/>
      <w:r w:rsidRPr="004C184C">
        <w:rPr>
          <w:lang w:val="en-US"/>
        </w:rPr>
        <w:t>Labour</w:t>
      </w:r>
      <w:proofErr w:type="spellEnd"/>
      <w:r w:rsidRPr="004C184C">
        <w:rPr>
          <w:lang w:val="en-US"/>
        </w:rPr>
        <w:t xml:space="preserve"> Convention, 2006, and ILO</w:t>
      </w:r>
      <w:r w:rsidR="00567EA4" w:rsidRPr="004C184C">
        <w:rPr>
          <w:lang w:val="en-US"/>
        </w:rPr>
        <w:t>’</w:t>
      </w:r>
      <w:r w:rsidRPr="004C184C">
        <w:rPr>
          <w:lang w:val="en-US"/>
        </w:rPr>
        <w:t xml:space="preserve">s Protocol of 2014 to the Forced </w:t>
      </w:r>
      <w:proofErr w:type="spellStart"/>
      <w:r w:rsidRPr="004C184C">
        <w:rPr>
          <w:lang w:val="en-US"/>
        </w:rPr>
        <w:t>Labour</w:t>
      </w:r>
      <w:proofErr w:type="spellEnd"/>
      <w:r w:rsidRPr="004C184C">
        <w:rPr>
          <w:lang w:val="en-US"/>
        </w:rPr>
        <w:t xml:space="preserve"> Convention, 1930;</w:t>
      </w:r>
    </w:p>
    <w:p w14:paraId="47877A57" w14:textId="77777777" w:rsidR="00EA422B" w:rsidRPr="004C184C" w:rsidRDefault="00EA422B" w:rsidP="00925FDF">
      <w:pPr>
        <w:pStyle w:val="SingleTxtG"/>
        <w:ind w:left="2268" w:hanging="567"/>
        <w:rPr>
          <w:lang w:val="en-US"/>
        </w:rPr>
      </w:pPr>
      <w:r w:rsidRPr="004C184C">
        <w:rPr>
          <w:lang w:val="en-US"/>
        </w:rPr>
        <w:t>4.</w:t>
      </w:r>
      <w:r w:rsidRPr="004C184C">
        <w:rPr>
          <w:lang w:val="en-US"/>
        </w:rPr>
        <w:tab/>
        <w:t>The Marrakesh Treaty to Facilitate Access to Published Works for Persons Who Are Blind, Visually Impaired, or Otherwise Print Disabled on 28 April 2019.</w:t>
      </w:r>
    </w:p>
    <w:p w14:paraId="336D45C8" w14:textId="3C1C98E8" w:rsidR="00EA422B" w:rsidRPr="004C184C" w:rsidRDefault="00EA422B" w:rsidP="00925FDF">
      <w:pPr>
        <w:pStyle w:val="H23G"/>
        <w:rPr>
          <w:lang w:val="en-US"/>
        </w:rPr>
      </w:pPr>
      <w:r w:rsidRPr="004C184C">
        <w:rPr>
          <w:lang w:val="en-US"/>
        </w:rPr>
        <w:tab/>
      </w:r>
      <w:r w:rsidRPr="004C184C">
        <w:rPr>
          <w:lang w:val="en-US"/>
        </w:rPr>
        <w:tab/>
        <w:t>Derogations, restrictions or limitations</w:t>
      </w:r>
    </w:p>
    <w:p w14:paraId="021ACBE6" w14:textId="77777777" w:rsidR="00EA422B" w:rsidRPr="004C184C" w:rsidRDefault="00EA422B" w:rsidP="00216691">
      <w:pPr>
        <w:pStyle w:val="SingleTxtG"/>
        <w:rPr>
          <w:lang w:val="en-US"/>
        </w:rPr>
      </w:pPr>
      <w:r w:rsidRPr="004C184C">
        <w:rPr>
          <w:lang w:val="en-US"/>
        </w:rPr>
        <w:t>80.</w:t>
      </w:r>
      <w:r w:rsidRPr="004C184C">
        <w:rPr>
          <w:lang w:val="en-US"/>
        </w:rPr>
        <w:tab/>
        <w:t xml:space="preserve">On 4 June 2020, Thailand notified other States Party to the ICCPR via the UN Secretary General regarding the declaration of an emergency situation, by virtue of Section 5 of the Emergency Decree on Public Administration in Emergency Situations B.E. 2548 (2005), in all areas of Thailand until 30 June 2020 in response to the outbreak of the Coronavirus 2019, and thus the exercise of the right of derogation under Paragraph 1 of Article 4 of the ICCPR. </w:t>
      </w:r>
    </w:p>
    <w:p w14:paraId="590CD98C" w14:textId="454F1536" w:rsidR="00EA422B" w:rsidRPr="004C184C" w:rsidRDefault="00EA422B" w:rsidP="00216691">
      <w:pPr>
        <w:pStyle w:val="SingleTxtG"/>
        <w:rPr>
          <w:lang w:val="en-US"/>
        </w:rPr>
      </w:pPr>
      <w:r w:rsidRPr="004C184C">
        <w:rPr>
          <w:lang w:val="en-US"/>
        </w:rPr>
        <w:t>81.</w:t>
      </w:r>
      <w:r w:rsidRPr="004C184C">
        <w:rPr>
          <w:lang w:val="en-US"/>
        </w:rPr>
        <w:tab/>
        <w:t>Thailand considered it necessary to adopt temporary, urgent measures in order to protect the public health, safety and peaceful living of the people, as well as to suppress the spread of COVID</w:t>
      </w:r>
      <w:r w:rsidR="00D97E73" w:rsidRPr="004C184C">
        <w:rPr>
          <w:lang w:val="en-US"/>
        </w:rPr>
        <w:t>-</w:t>
      </w:r>
      <w:r w:rsidRPr="004C184C">
        <w:rPr>
          <w:lang w:val="en-US"/>
        </w:rPr>
        <w:t>19. Some of these temporary urgent measures may involve a derogation from some of its obligations under the ICCPR, particularly Article 12. The non</w:t>
      </w:r>
      <w:r w:rsidR="00D97E73" w:rsidRPr="004C184C">
        <w:rPr>
          <w:lang w:val="en-US"/>
        </w:rPr>
        <w:t>-</w:t>
      </w:r>
      <w:proofErr w:type="spellStart"/>
      <w:r w:rsidRPr="004C184C">
        <w:rPr>
          <w:lang w:val="en-US"/>
        </w:rPr>
        <w:t>derogable</w:t>
      </w:r>
      <w:proofErr w:type="spellEnd"/>
      <w:r w:rsidRPr="004C184C">
        <w:rPr>
          <w:lang w:val="en-US"/>
        </w:rPr>
        <w:t xml:space="preserve"> rights as set forth in Articles 6, 7, 8 (Paragraphs 1 and 2), 11, 15, 16 and 18 of the Covenant have not been affected by the said temporary urgent measures. This notification became effective since 5 June 2020. </w:t>
      </w:r>
    </w:p>
    <w:p w14:paraId="5D02A308" w14:textId="77777777" w:rsidR="00EA422B" w:rsidRPr="004C184C" w:rsidRDefault="00EA422B" w:rsidP="00925FDF">
      <w:pPr>
        <w:pStyle w:val="H1G"/>
        <w:rPr>
          <w:lang w:val="en-US"/>
        </w:rPr>
      </w:pPr>
      <w:r w:rsidRPr="004C184C">
        <w:rPr>
          <w:lang w:val="en-US"/>
        </w:rPr>
        <w:tab/>
      </w:r>
      <w:bookmarkStart w:id="8" w:name="_Toc89701537"/>
      <w:r w:rsidRPr="004C184C">
        <w:rPr>
          <w:lang w:val="en-US"/>
        </w:rPr>
        <w:t>B.</w:t>
      </w:r>
      <w:r w:rsidRPr="004C184C">
        <w:rPr>
          <w:lang w:val="en-US"/>
        </w:rPr>
        <w:tab/>
        <w:t>Legal framework for the protection of human rights at the national level</w:t>
      </w:r>
      <w:bookmarkEnd w:id="8"/>
    </w:p>
    <w:p w14:paraId="49354C36" w14:textId="77777777" w:rsidR="00EA422B" w:rsidRPr="004C184C" w:rsidRDefault="00EA422B" w:rsidP="00925FDF">
      <w:pPr>
        <w:pStyle w:val="H23G"/>
        <w:rPr>
          <w:lang w:val="en-US"/>
        </w:rPr>
      </w:pPr>
      <w:r w:rsidRPr="004C184C">
        <w:rPr>
          <w:lang w:val="en-US"/>
        </w:rPr>
        <w:tab/>
      </w:r>
      <w:r w:rsidRPr="004C184C">
        <w:rPr>
          <w:lang w:val="en-US"/>
        </w:rPr>
        <w:tab/>
        <w:t>The 2017 Constitution</w:t>
      </w:r>
    </w:p>
    <w:p w14:paraId="1CB99972" w14:textId="61B58474" w:rsidR="00EA422B" w:rsidRPr="004C184C" w:rsidRDefault="00EA422B" w:rsidP="00216691">
      <w:pPr>
        <w:pStyle w:val="SingleTxtG"/>
        <w:rPr>
          <w:lang w:val="en-US"/>
        </w:rPr>
      </w:pPr>
      <w:bookmarkStart w:id="9" w:name="_Ref43993388"/>
      <w:r w:rsidRPr="004C184C">
        <w:rPr>
          <w:lang w:val="en-US"/>
        </w:rPr>
        <w:t>82.</w:t>
      </w:r>
      <w:r w:rsidRPr="004C184C">
        <w:rPr>
          <w:lang w:val="en-US"/>
        </w:rPr>
        <w:tab/>
        <w:t>In line with its predecessors, the fundamental rights recognized</w:t>
      </w:r>
      <w:r w:rsidRPr="004C184C">
        <w:rPr>
          <w:cs/>
          <w:lang w:val="en-US"/>
        </w:rPr>
        <w:t xml:space="preserve"> </w:t>
      </w:r>
      <w:r w:rsidRPr="004C184C">
        <w:rPr>
          <w:lang w:val="en-US"/>
        </w:rPr>
        <w:t>by</w:t>
      </w:r>
      <w:r w:rsidRPr="004C184C">
        <w:rPr>
          <w:cs/>
          <w:lang w:val="en-US"/>
        </w:rPr>
        <w:t xml:space="preserve"> </w:t>
      </w:r>
      <w:r w:rsidRPr="004C184C">
        <w:rPr>
          <w:lang w:val="en-US"/>
        </w:rPr>
        <w:t>the Universal Declaration of Human Rights and international human rights treaties to which Thailand has been a party, have been enshrined by the 2017 Constitution</w:t>
      </w:r>
      <w:r w:rsidRPr="004C184C">
        <w:rPr>
          <w:cs/>
          <w:lang w:val="en-US"/>
        </w:rPr>
        <w:t xml:space="preserve">. </w:t>
      </w:r>
      <w:r w:rsidRPr="004C184C">
        <w:rPr>
          <w:lang w:val="en-US"/>
        </w:rPr>
        <w:t>It guarantees the rights and liberties of the people, focuses on equality of persons before the law and prohibits discrimination on any ground. This Constitution further guarantees the exercise of a person</w:t>
      </w:r>
      <w:r w:rsidR="00567EA4" w:rsidRPr="004C184C">
        <w:rPr>
          <w:lang w:val="en-US"/>
        </w:rPr>
        <w:t>’</w:t>
      </w:r>
      <w:r w:rsidRPr="004C184C">
        <w:rPr>
          <w:lang w:val="en-US"/>
        </w:rPr>
        <w:t>s rights and liberties, even if not explicitly listed in the Constitution, as long as they are not prohibited or restricted by the Constitution or laws, insofar as such exercise of rights and liberties does not affect national security, public order or good morals, and does not violate the rights and liberties of others.</w:t>
      </w:r>
      <w:bookmarkEnd w:id="9"/>
    </w:p>
    <w:p w14:paraId="17407E7D" w14:textId="08968778" w:rsidR="00EA422B" w:rsidRPr="004C184C" w:rsidRDefault="00EA422B" w:rsidP="00216691">
      <w:pPr>
        <w:pStyle w:val="SingleTxtG"/>
        <w:rPr>
          <w:lang w:val="en-US"/>
        </w:rPr>
      </w:pPr>
      <w:r w:rsidRPr="004C184C">
        <w:rPr>
          <w:lang w:val="en-US"/>
        </w:rPr>
        <w:t>83.</w:t>
      </w:r>
      <w:r w:rsidRPr="004C184C">
        <w:rPr>
          <w:lang w:val="en-US"/>
        </w:rPr>
        <w:tab/>
        <w:t>The 2017 Constitution has embraced the gender</w:t>
      </w:r>
      <w:r w:rsidR="00D97E73" w:rsidRPr="004C184C">
        <w:rPr>
          <w:lang w:val="en-US"/>
        </w:rPr>
        <w:t>-</w:t>
      </w:r>
      <w:r w:rsidRPr="004C184C">
        <w:rPr>
          <w:lang w:val="en-US"/>
        </w:rPr>
        <w:t>responsive budgeting principle. According to Section 71, the State should take into account the different necessities and needs with respect to gender, age and conditions of persons while allocating the budget.</w:t>
      </w:r>
    </w:p>
    <w:p w14:paraId="20412D3F" w14:textId="77777777" w:rsidR="00EA422B" w:rsidRPr="004C184C" w:rsidRDefault="00EA422B" w:rsidP="00216691">
      <w:pPr>
        <w:pStyle w:val="SingleTxtG"/>
        <w:rPr>
          <w:lang w:val="en-US"/>
        </w:rPr>
      </w:pPr>
      <w:bookmarkStart w:id="10" w:name="_Ref43993391"/>
      <w:r w:rsidRPr="004C184C">
        <w:rPr>
          <w:lang w:val="en-US"/>
        </w:rPr>
        <w:t>84.</w:t>
      </w:r>
      <w:r w:rsidRPr="004C184C">
        <w:rPr>
          <w:lang w:val="en-US"/>
        </w:rPr>
        <w:tab/>
        <w:t>Among the innovative elements, the 2017 Constitution, Section</w:t>
      </w:r>
      <w:r w:rsidRPr="004C184C">
        <w:rPr>
          <w:cs/>
          <w:lang w:val="en-US"/>
        </w:rPr>
        <w:t xml:space="preserve"> </w:t>
      </w:r>
      <w:r w:rsidRPr="004C184C">
        <w:rPr>
          <w:lang w:val="en-US"/>
        </w:rPr>
        <w:t>77, requires that prior to the enactment of every law, the State should (</w:t>
      </w:r>
      <w:proofErr w:type="spellStart"/>
      <w:r w:rsidRPr="004C184C">
        <w:rPr>
          <w:lang w:val="en-US"/>
        </w:rPr>
        <w:t>i</w:t>
      </w:r>
      <w:proofErr w:type="spellEnd"/>
      <w:r w:rsidRPr="004C184C">
        <w:rPr>
          <w:lang w:val="en-US"/>
        </w:rPr>
        <w:t xml:space="preserve">) conduct consultations with stakeholders, </w:t>
      </w:r>
      <w:r w:rsidRPr="004C184C">
        <w:rPr>
          <w:lang w:val="en-US"/>
        </w:rPr>
        <w:lastRenderedPageBreak/>
        <w:t>(ii) analyze any impacts that may occur from the law thoroughly and systematically, and (iii) disclose the results of the consultations and analysis to the public, as well as to take them into consideration at every stage of the legislative process. It requires that when a law has come into force, the State undertake a comprehensive evaluation of the implementation of the law at every specified period of time, for which consultations with stakeholders shall be conducted, with a view to ensuring that all laws are suitable to and appropriate for the changing contexts.</w:t>
      </w:r>
      <w:bookmarkEnd w:id="10"/>
      <w:r w:rsidRPr="004C184C">
        <w:rPr>
          <w:lang w:val="en-US"/>
        </w:rPr>
        <w:t xml:space="preserve"> </w:t>
      </w:r>
    </w:p>
    <w:p w14:paraId="7F718753" w14:textId="77777777" w:rsidR="00EA422B" w:rsidRPr="004C184C" w:rsidRDefault="00EA422B" w:rsidP="00925FDF">
      <w:pPr>
        <w:pStyle w:val="H23G"/>
        <w:rPr>
          <w:cs/>
          <w:lang w:val="en-US"/>
        </w:rPr>
      </w:pPr>
      <w:r w:rsidRPr="004C184C">
        <w:rPr>
          <w:lang w:val="en-US"/>
        </w:rPr>
        <w:tab/>
      </w:r>
      <w:r w:rsidRPr="004C184C">
        <w:rPr>
          <w:lang w:val="en-US"/>
        </w:rPr>
        <w:tab/>
        <w:t>The National Strategy</w:t>
      </w:r>
    </w:p>
    <w:p w14:paraId="41617942" w14:textId="35B740EF" w:rsidR="00EA422B" w:rsidRPr="004C184C" w:rsidRDefault="00EA422B" w:rsidP="00216691">
      <w:pPr>
        <w:pStyle w:val="SingleTxtG"/>
        <w:rPr>
          <w:lang w:val="en-US"/>
        </w:rPr>
      </w:pPr>
      <w:bookmarkStart w:id="11" w:name="_Ref45066033"/>
      <w:bookmarkStart w:id="12" w:name="_Ref51770082"/>
      <w:r w:rsidRPr="004C184C">
        <w:rPr>
          <w:lang w:val="en-US"/>
        </w:rPr>
        <w:t>85.</w:t>
      </w:r>
      <w:r w:rsidRPr="004C184C">
        <w:rPr>
          <w:lang w:val="en-US"/>
        </w:rPr>
        <w:tab/>
        <w:t>The 20</w:t>
      </w:r>
      <w:r w:rsidR="00D97E73" w:rsidRPr="004C184C">
        <w:rPr>
          <w:lang w:val="en-US"/>
        </w:rPr>
        <w:t>-</w:t>
      </w:r>
      <w:r w:rsidRPr="004C184C">
        <w:rPr>
          <w:lang w:val="en-US"/>
        </w:rPr>
        <w:t xml:space="preserve">year National Strategy </w:t>
      </w:r>
      <w:r w:rsidRPr="004C184C">
        <w:rPr>
          <w:cs/>
          <w:lang w:val="en-US"/>
        </w:rPr>
        <w:t>(2018</w:t>
      </w:r>
      <w:r w:rsidRPr="004C184C">
        <w:rPr>
          <w:lang w:val="en-US"/>
        </w:rPr>
        <w:t>–</w:t>
      </w:r>
      <w:r w:rsidRPr="004C184C">
        <w:rPr>
          <w:cs/>
          <w:lang w:val="en-US"/>
        </w:rPr>
        <w:t xml:space="preserve">2037) </w:t>
      </w:r>
      <w:r w:rsidRPr="004C184C">
        <w:rPr>
          <w:lang w:val="en-US"/>
        </w:rPr>
        <w:t>is the country</w:t>
      </w:r>
      <w:r w:rsidR="00567EA4" w:rsidRPr="004C184C">
        <w:rPr>
          <w:lang w:val="en-US"/>
        </w:rPr>
        <w:t>’</w:t>
      </w:r>
      <w:r w:rsidRPr="004C184C">
        <w:rPr>
          <w:lang w:val="en-US"/>
        </w:rPr>
        <w:t>s first national long</w:t>
      </w:r>
      <w:r w:rsidR="00D97E73" w:rsidRPr="004C184C">
        <w:rPr>
          <w:lang w:val="en-US"/>
        </w:rPr>
        <w:t>-</w:t>
      </w:r>
      <w:r w:rsidRPr="004C184C">
        <w:rPr>
          <w:lang w:val="en-US"/>
        </w:rPr>
        <w:t xml:space="preserve">term strategy developed pursuant to Section </w:t>
      </w:r>
      <w:r w:rsidRPr="004C184C">
        <w:rPr>
          <w:cs/>
          <w:lang w:val="en-US"/>
        </w:rPr>
        <w:t xml:space="preserve">65 </w:t>
      </w:r>
      <w:r w:rsidRPr="004C184C">
        <w:rPr>
          <w:lang w:val="en-US"/>
        </w:rPr>
        <w:t>of the 2017 Constitution</w:t>
      </w:r>
      <w:r w:rsidRPr="004C184C">
        <w:rPr>
          <w:cs/>
          <w:lang w:val="en-US"/>
        </w:rPr>
        <w:t xml:space="preserve">. </w:t>
      </w:r>
      <w:r w:rsidRPr="004C184C">
        <w:rPr>
          <w:lang w:val="en-US"/>
        </w:rPr>
        <w:t xml:space="preserve">It shall be pursued to ensure that the country achieves its vision of becoming </w:t>
      </w:r>
      <w:r w:rsidR="00567EA4" w:rsidRPr="004C184C">
        <w:rPr>
          <w:lang w:val="en-US"/>
        </w:rPr>
        <w:t>“</w:t>
      </w:r>
      <w:r w:rsidRPr="004C184C">
        <w:rPr>
          <w:lang w:val="en-US"/>
        </w:rPr>
        <w:t>a developed country with security, prosperity and sustainability in accordance with the Sufficiency Economy Philosophy</w:t>
      </w:r>
      <w:r w:rsidR="00567EA4" w:rsidRPr="004C184C">
        <w:rPr>
          <w:lang w:val="en-US"/>
        </w:rPr>
        <w:t>”</w:t>
      </w:r>
      <w:r w:rsidRPr="004C184C">
        <w:rPr>
          <w:lang w:val="en-US"/>
        </w:rPr>
        <w:t>.</w:t>
      </w:r>
      <w:r w:rsidRPr="004C184C">
        <w:rPr>
          <w:cs/>
          <w:lang w:val="en-US"/>
        </w:rPr>
        <w:t xml:space="preserve"> </w:t>
      </w:r>
      <w:r w:rsidRPr="004C184C">
        <w:rPr>
          <w:lang w:val="en-US"/>
        </w:rPr>
        <w:t>The Thai people</w:t>
      </w:r>
      <w:r w:rsidR="00567EA4" w:rsidRPr="004C184C">
        <w:rPr>
          <w:lang w:val="en-US"/>
        </w:rPr>
        <w:t>’</w:t>
      </w:r>
      <w:r w:rsidRPr="004C184C">
        <w:rPr>
          <w:lang w:val="en-US"/>
        </w:rPr>
        <w:t>s happiness and well</w:t>
      </w:r>
      <w:r w:rsidR="00D97E73" w:rsidRPr="004C184C">
        <w:rPr>
          <w:lang w:val="en-US"/>
        </w:rPr>
        <w:t>-</w:t>
      </w:r>
      <w:r w:rsidRPr="004C184C">
        <w:rPr>
          <w:lang w:val="en-US"/>
        </w:rPr>
        <w:t>being are the main and ultimate goal of the National Strategy</w:t>
      </w:r>
      <w:r w:rsidRPr="004C184C">
        <w:rPr>
          <w:cs/>
          <w:lang w:val="en-US"/>
        </w:rPr>
        <w:t>.</w:t>
      </w:r>
      <w:bookmarkEnd w:id="11"/>
      <w:bookmarkEnd w:id="12"/>
    </w:p>
    <w:p w14:paraId="5375A76D" w14:textId="6A76A158" w:rsidR="00EA422B" w:rsidRPr="004C184C" w:rsidRDefault="00EA422B" w:rsidP="00216691">
      <w:pPr>
        <w:pStyle w:val="SingleTxtG"/>
        <w:rPr>
          <w:lang w:val="en-US"/>
        </w:rPr>
      </w:pPr>
      <w:bookmarkStart w:id="13" w:name="_Ref45066182"/>
      <w:r w:rsidRPr="004C184C">
        <w:rPr>
          <w:lang w:val="en-US"/>
        </w:rPr>
        <w:t>86.</w:t>
      </w:r>
      <w:r w:rsidRPr="004C184C">
        <w:rPr>
          <w:lang w:val="en-US"/>
        </w:rPr>
        <w:tab/>
        <w:t>Six groups of indicators will be used to evaluate the National Strategy</w:t>
      </w:r>
      <w:r w:rsidR="00567EA4" w:rsidRPr="004C184C">
        <w:rPr>
          <w:lang w:val="en-US"/>
        </w:rPr>
        <w:t>’</w:t>
      </w:r>
      <w:r w:rsidRPr="004C184C">
        <w:rPr>
          <w:lang w:val="en-US"/>
        </w:rPr>
        <w:t>s success</w:t>
      </w:r>
      <w:r w:rsidRPr="004C184C">
        <w:rPr>
          <w:cs/>
          <w:lang w:val="en-US"/>
        </w:rPr>
        <w:t xml:space="preserve">. </w:t>
      </w:r>
      <w:r w:rsidRPr="004C184C">
        <w:rPr>
          <w:lang w:val="en-US"/>
        </w:rPr>
        <w:t>These include</w:t>
      </w:r>
      <w:r w:rsidRPr="004C184C">
        <w:rPr>
          <w:cs/>
          <w:lang w:val="en-US"/>
        </w:rPr>
        <w:t xml:space="preserve"> </w:t>
      </w:r>
      <w:r w:rsidRPr="004C184C">
        <w:rPr>
          <w:lang w:val="en-US"/>
        </w:rPr>
        <w:t>(1</w:t>
      </w:r>
      <w:r w:rsidRPr="004C184C">
        <w:rPr>
          <w:cs/>
          <w:lang w:val="en-US"/>
        </w:rPr>
        <w:t xml:space="preserve">) </w:t>
      </w:r>
      <w:r w:rsidRPr="004C184C">
        <w:rPr>
          <w:lang w:val="en-US"/>
        </w:rPr>
        <w:t>the well</w:t>
      </w:r>
      <w:r w:rsidR="00D97E73" w:rsidRPr="004C184C">
        <w:rPr>
          <w:lang w:val="en-US"/>
        </w:rPr>
        <w:t>-</w:t>
      </w:r>
      <w:r w:rsidRPr="004C184C">
        <w:rPr>
          <w:lang w:val="en-US"/>
        </w:rPr>
        <w:t>being of the Thai people and society, (2</w:t>
      </w:r>
      <w:r w:rsidRPr="004C184C">
        <w:rPr>
          <w:cs/>
          <w:lang w:val="en-US"/>
        </w:rPr>
        <w:t xml:space="preserve">) </w:t>
      </w:r>
      <w:r w:rsidRPr="004C184C">
        <w:rPr>
          <w:lang w:val="en-US"/>
        </w:rPr>
        <w:t>national competitiveness, economic growth and income distribution, (3</w:t>
      </w:r>
      <w:r w:rsidRPr="004C184C">
        <w:rPr>
          <w:cs/>
          <w:lang w:val="en-US"/>
        </w:rPr>
        <w:t xml:space="preserve">) </w:t>
      </w:r>
      <w:r w:rsidRPr="004C184C">
        <w:rPr>
          <w:lang w:val="en-US"/>
        </w:rPr>
        <w:t>the development of human capital, (4</w:t>
      </w:r>
      <w:r w:rsidRPr="004C184C">
        <w:rPr>
          <w:cs/>
          <w:lang w:val="en-US"/>
        </w:rPr>
        <w:t xml:space="preserve">) </w:t>
      </w:r>
      <w:r w:rsidRPr="004C184C">
        <w:rPr>
          <w:lang w:val="en-US"/>
        </w:rPr>
        <w:t>social equality and equity, (5</w:t>
      </w:r>
      <w:r w:rsidRPr="004C184C">
        <w:rPr>
          <w:cs/>
          <w:lang w:val="en-US"/>
        </w:rPr>
        <w:t xml:space="preserve">) </w:t>
      </w:r>
      <w:r w:rsidRPr="004C184C">
        <w:rPr>
          <w:lang w:val="en-US"/>
        </w:rPr>
        <w:t>the sustainability of national biodiversity, environmental quality and natural resources, and (6</w:t>
      </w:r>
      <w:r w:rsidRPr="004C184C">
        <w:rPr>
          <w:cs/>
          <w:lang w:val="en-US"/>
        </w:rPr>
        <w:t xml:space="preserve">) </w:t>
      </w:r>
      <w:r w:rsidRPr="004C184C">
        <w:rPr>
          <w:lang w:val="en-US"/>
        </w:rPr>
        <w:t>Government efficiency and better access to public services</w:t>
      </w:r>
      <w:r w:rsidRPr="004C184C">
        <w:rPr>
          <w:cs/>
          <w:lang w:val="en-US"/>
        </w:rPr>
        <w:t>.</w:t>
      </w:r>
      <w:bookmarkEnd w:id="13"/>
    </w:p>
    <w:p w14:paraId="63A4E141" w14:textId="45ABCCCC" w:rsidR="00EA422B" w:rsidRPr="004C184C" w:rsidRDefault="00EA422B" w:rsidP="00216691">
      <w:pPr>
        <w:pStyle w:val="SingleTxtG"/>
        <w:rPr>
          <w:lang w:val="en-US"/>
        </w:rPr>
      </w:pPr>
      <w:bookmarkStart w:id="14" w:name="_Ref45066037"/>
      <w:r w:rsidRPr="004C184C">
        <w:rPr>
          <w:lang w:val="en-US"/>
        </w:rPr>
        <w:t>87.</w:t>
      </w:r>
      <w:r w:rsidRPr="004C184C">
        <w:rPr>
          <w:lang w:val="en-US"/>
        </w:rPr>
        <w:tab/>
        <w:t>National development during the Strategy</w:t>
      </w:r>
      <w:r w:rsidR="00567EA4" w:rsidRPr="004C184C">
        <w:rPr>
          <w:lang w:val="en-US"/>
        </w:rPr>
        <w:t>’</w:t>
      </w:r>
      <w:r w:rsidRPr="004C184C">
        <w:rPr>
          <w:lang w:val="en-US"/>
        </w:rPr>
        <w:t>s time</w:t>
      </w:r>
      <w:r w:rsidR="00D97E73" w:rsidRPr="004C184C">
        <w:rPr>
          <w:lang w:val="en-US"/>
        </w:rPr>
        <w:t>-</w:t>
      </w:r>
      <w:r w:rsidRPr="004C184C">
        <w:rPr>
          <w:lang w:val="en-US"/>
        </w:rPr>
        <w:t>frame shall focus on an appropriate balance between social and economic development and environmental stewardship</w:t>
      </w:r>
      <w:r w:rsidRPr="004C184C">
        <w:rPr>
          <w:cs/>
          <w:lang w:val="en-US"/>
        </w:rPr>
        <w:t xml:space="preserve">. </w:t>
      </w:r>
      <w:r w:rsidRPr="004C184C">
        <w:rPr>
          <w:lang w:val="en-US"/>
        </w:rPr>
        <w:t>The six key strategies are</w:t>
      </w:r>
      <w:r w:rsidRPr="004C184C">
        <w:rPr>
          <w:cs/>
          <w:lang w:val="en-US"/>
        </w:rPr>
        <w:t xml:space="preserve"> (</w:t>
      </w:r>
      <w:r w:rsidRPr="004C184C">
        <w:rPr>
          <w:lang w:val="en-US"/>
        </w:rPr>
        <w:t>1</w:t>
      </w:r>
      <w:r w:rsidRPr="004C184C">
        <w:rPr>
          <w:cs/>
          <w:lang w:val="en-US"/>
        </w:rPr>
        <w:t xml:space="preserve">) </w:t>
      </w:r>
      <w:r w:rsidRPr="004C184C">
        <w:rPr>
          <w:lang w:val="en-US"/>
        </w:rPr>
        <w:t xml:space="preserve">national security, </w:t>
      </w:r>
      <w:r w:rsidRPr="004C184C">
        <w:rPr>
          <w:cs/>
          <w:lang w:val="en-US"/>
        </w:rPr>
        <w:t>(</w:t>
      </w:r>
      <w:r w:rsidRPr="004C184C">
        <w:rPr>
          <w:lang w:val="en-US"/>
        </w:rPr>
        <w:t>2</w:t>
      </w:r>
      <w:r w:rsidRPr="004C184C">
        <w:rPr>
          <w:cs/>
          <w:lang w:val="en-US"/>
        </w:rPr>
        <w:t xml:space="preserve">) </w:t>
      </w:r>
      <w:r w:rsidRPr="004C184C">
        <w:rPr>
          <w:lang w:val="en-US"/>
        </w:rPr>
        <w:t xml:space="preserve">national competitiveness enhancement, </w:t>
      </w:r>
      <w:r w:rsidRPr="004C184C">
        <w:rPr>
          <w:cs/>
          <w:lang w:val="en-US"/>
        </w:rPr>
        <w:t>(</w:t>
      </w:r>
      <w:r w:rsidRPr="004C184C">
        <w:rPr>
          <w:lang w:val="en-US"/>
        </w:rPr>
        <w:t>3</w:t>
      </w:r>
      <w:r w:rsidRPr="004C184C">
        <w:rPr>
          <w:cs/>
          <w:lang w:val="en-US"/>
        </w:rPr>
        <w:t xml:space="preserve">) </w:t>
      </w:r>
      <w:r w:rsidRPr="004C184C">
        <w:rPr>
          <w:lang w:val="en-US"/>
        </w:rPr>
        <w:t xml:space="preserve">human capital development and strengthening, </w:t>
      </w:r>
      <w:r w:rsidRPr="004C184C">
        <w:rPr>
          <w:cs/>
          <w:lang w:val="en-US"/>
        </w:rPr>
        <w:t>(</w:t>
      </w:r>
      <w:r w:rsidRPr="004C184C">
        <w:rPr>
          <w:lang w:val="en-US"/>
        </w:rPr>
        <w:t>4</w:t>
      </w:r>
      <w:r w:rsidRPr="004C184C">
        <w:rPr>
          <w:cs/>
          <w:lang w:val="en-US"/>
        </w:rPr>
        <w:t xml:space="preserve">) </w:t>
      </w:r>
      <w:r w:rsidRPr="004C184C">
        <w:rPr>
          <w:lang w:val="en-US"/>
        </w:rPr>
        <w:t xml:space="preserve">social cohesion and just society, </w:t>
      </w:r>
      <w:r w:rsidRPr="004C184C">
        <w:rPr>
          <w:cs/>
          <w:lang w:val="en-US"/>
        </w:rPr>
        <w:t>(</w:t>
      </w:r>
      <w:r w:rsidRPr="004C184C">
        <w:rPr>
          <w:lang w:val="en-US"/>
        </w:rPr>
        <w:t>5</w:t>
      </w:r>
      <w:r w:rsidRPr="004C184C">
        <w:rPr>
          <w:cs/>
          <w:lang w:val="en-US"/>
        </w:rPr>
        <w:t xml:space="preserve">) </w:t>
      </w:r>
      <w:r w:rsidRPr="004C184C">
        <w:rPr>
          <w:lang w:val="en-US"/>
        </w:rPr>
        <w:t>eco</w:t>
      </w:r>
      <w:r w:rsidR="00D97E73" w:rsidRPr="004C184C">
        <w:rPr>
          <w:lang w:val="en-US"/>
        </w:rPr>
        <w:t>-</w:t>
      </w:r>
      <w:r w:rsidRPr="004C184C">
        <w:rPr>
          <w:lang w:val="en-US"/>
        </w:rPr>
        <w:t xml:space="preserve">friendly development and growth, and </w:t>
      </w:r>
      <w:r w:rsidRPr="004C184C">
        <w:rPr>
          <w:cs/>
          <w:lang w:val="en-US"/>
        </w:rPr>
        <w:t>(</w:t>
      </w:r>
      <w:r w:rsidRPr="004C184C">
        <w:rPr>
          <w:lang w:val="en-US"/>
        </w:rPr>
        <w:t>6</w:t>
      </w:r>
      <w:r w:rsidRPr="004C184C">
        <w:rPr>
          <w:cs/>
          <w:lang w:val="en-US"/>
        </w:rPr>
        <w:t xml:space="preserve">) </w:t>
      </w:r>
      <w:r w:rsidRPr="004C184C">
        <w:rPr>
          <w:lang w:val="en-US"/>
        </w:rPr>
        <w:t>public sector rebalancing and development</w:t>
      </w:r>
      <w:r w:rsidRPr="004C184C">
        <w:rPr>
          <w:cs/>
          <w:lang w:val="en-US"/>
        </w:rPr>
        <w:t>.</w:t>
      </w:r>
      <w:bookmarkEnd w:id="14"/>
    </w:p>
    <w:p w14:paraId="47626097" w14:textId="77777777" w:rsidR="00EA422B" w:rsidRPr="004C184C" w:rsidRDefault="00EA422B" w:rsidP="00925FDF">
      <w:pPr>
        <w:pStyle w:val="H23G"/>
        <w:rPr>
          <w:lang w:val="en-US"/>
        </w:rPr>
      </w:pPr>
      <w:r w:rsidRPr="004C184C">
        <w:rPr>
          <w:lang w:val="en-US"/>
        </w:rPr>
        <w:tab/>
      </w:r>
      <w:r w:rsidRPr="004C184C">
        <w:rPr>
          <w:lang w:val="en-US"/>
        </w:rPr>
        <w:tab/>
        <w:t>The National Reform Plans</w:t>
      </w:r>
    </w:p>
    <w:p w14:paraId="242062DD" w14:textId="70BA9836" w:rsidR="00EA422B" w:rsidRPr="004C184C" w:rsidRDefault="00EA422B" w:rsidP="00216691">
      <w:pPr>
        <w:pStyle w:val="SingleTxtG"/>
        <w:rPr>
          <w:lang w:val="en-US"/>
        </w:rPr>
      </w:pPr>
      <w:r w:rsidRPr="004C184C">
        <w:rPr>
          <w:lang w:val="en-US"/>
        </w:rPr>
        <w:t>88.</w:t>
      </w:r>
      <w:r w:rsidRPr="004C184C">
        <w:rPr>
          <w:lang w:val="en-US"/>
        </w:rPr>
        <w:tab/>
        <w:t>The 2017 Constitution has prompted the promulgation of national reform plans covering 11 areas, including politics, public administration, laws, justice system, economy, natural resources and environment, public health, mass media and IT, social issues, energy and anti</w:t>
      </w:r>
      <w:r w:rsidR="00D97E73" w:rsidRPr="004C184C">
        <w:rPr>
          <w:lang w:val="en-US"/>
        </w:rPr>
        <w:t>-</w:t>
      </w:r>
      <w:r w:rsidRPr="004C184C">
        <w:rPr>
          <w:lang w:val="en-US"/>
        </w:rPr>
        <w:t>corruption</w:t>
      </w:r>
      <w:r w:rsidRPr="004C184C">
        <w:rPr>
          <w:cs/>
          <w:lang w:val="en-US"/>
        </w:rPr>
        <w:t xml:space="preserve">. </w:t>
      </w:r>
      <w:r w:rsidRPr="004C184C">
        <w:rPr>
          <w:lang w:val="en-US"/>
        </w:rPr>
        <w:t>The plans provide guidelines for the country to move forward in line with the innovation</w:t>
      </w:r>
      <w:r w:rsidR="00D97E73" w:rsidRPr="004C184C">
        <w:rPr>
          <w:lang w:val="en-US"/>
        </w:rPr>
        <w:t>-</w:t>
      </w:r>
      <w:r w:rsidRPr="004C184C">
        <w:rPr>
          <w:lang w:val="en-US"/>
        </w:rPr>
        <w:t xml:space="preserve">driven </w:t>
      </w:r>
      <w:r w:rsidR="00567EA4" w:rsidRPr="004C184C">
        <w:rPr>
          <w:lang w:val="en-US"/>
        </w:rPr>
        <w:t>‘</w:t>
      </w:r>
      <w:r w:rsidRPr="004C184C">
        <w:rPr>
          <w:lang w:val="en-US"/>
        </w:rPr>
        <w:t>Thailand 4</w:t>
      </w:r>
      <w:r w:rsidRPr="004C184C">
        <w:rPr>
          <w:cs/>
          <w:lang w:val="en-US"/>
        </w:rPr>
        <w:t>.</w:t>
      </w:r>
      <w:r w:rsidRPr="004C184C">
        <w:rPr>
          <w:lang w:val="en-US"/>
        </w:rPr>
        <w:t>0</w:t>
      </w:r>
      <w:r w:rsidR="00567EA4" w:rsidRPr="004C184C">
        <w:rPr>
          <w:lang w:val="en-US"/>
        </w:rPr>
        <w:t>’</w:t>
      </w:r>
      <w:r w:rsidRPr="004C184C">
        <w:rPr>
          <w:lang w:val="en-US"/>
        </w:rPr>
        <w:t xml:space="preserve"> agenda and the 2030 Agenda for Sustainable Development</w:t>
      </w:r>
      <w:r w:rsidRPr="004C184C">
        <w:rPr>
          <w:cs/>
          <w:lang w:val="en-US"/>
        </w:rPr>
        <w:t xml:space="preserve">. </w:t>
      </w:r>
      <w:r w:rsidRPr="004C184C">
        <w:rPr>
          <w:lang w:val="en-US"/>
        </w:rPr>
        <w:t>The plans are legally binding for government agencies to implement</w:t>
      </w:r>
      <w:r w:rsidRPr="004C184C">
        <w:rPr>
          <w:cs/>
          <w:lang w:val="en-US"/>
        </w:rPr>
        <w:t xml:space="preserve">. </w:t>
      </w:r>
    </w:p>
    <w:p w14:paraId="097D823E" w14:textId="77777777" w:rsidR="00EA422B" w:rsidRPr="004C184C" w:rsidRDefault="00EA422B" w:rsidP="00216691">
      <w:pPr>
        <w:pStyle w:val="SingleTxtG"/>
        <w:rPr>
          <w:lang w:val="en-US"/>
        </w:rPr>
      </w:pPr>
      <w:r w:rsidRPr="004C184C">
        <w:rPr>
          <w:lang w:val="en-US"/>
        </w:rPr>
        <w:t>89.</w:t>
      </w:r>
      <w:r w:rsidRPr="004C184C">
        <w:rPr>
          <w:lang w:val="en-US"/>
        </w:rPr>
        <w:tab/>
        <w:t>The national reform plans have addressed a wide range of human rights issues. For example, the National Reform Plan on Social Issues focuses on unlocking barriers and obstacles of the disadvantaged groups in all aspects in order to create social inclusion</w:t>
      </w:r>
      <w:r w:rsidRPr="004C184C">
        <w:rPr>
          <w:cs/>
          <w:lang w:val="en-US"/>
        </w:rPr>
        <w:t xml:space="preserve">. </w:t>
      </w:r>
      <w:r w:rsidRPr="004C184C">
        <w:rPr>
          <w:lang w:val="en-US"/>
        </w:rPr>
        <w:t>The target groups include children, women, persons with disabilities, older persons, persons with low income, incapacitated persons and persons without nationality or legal status under the law on civil registration, former prisoners and persons living with HIV</w:t>
      </w:r>
      <w:r w:rsidRPr="004C184C">
        <w:rPr>
          <w:cs/>
          <w:lang w:val="en-US"/>
        </w:rPr>
        <w:t>/</w:t>
      </w:r>
      <w:r w:rsidRPr="004C184C">
        <w:rPr>
          <w:lang w:val="en-US"/>
        </w:rPr>
        <w:t>AIDS</w:t>
      </w:r>
      <w:r w:rsidRPr="004C184C">
        <w:rPr>
          <w:cs/>
          <w:lang w:val="en-US"/>
        </w:rPr>
        <w:t>.</w:t>
      </w:r>
    </w:p>
    <w:p w14:paraId="2EFA42B7" w14:textId="77777777" w:rsidR="00EA422B" w:rsidRPr="004C184C" w:rsidRDefault="00EA422B" w:rsidP="00925FDF">
      <w:pPr>
        <w:pStyle w:val="H23G"/>
        <w:rPr>
          <w:lang w:val="en-US"/>
        </w:rPr>
      </w:pPr>
      <w:r w:rsidRPr="004C184C">
        <w:rPr>
          <w:lang w:val="en-US"/>
        </w:rPr>
        <w:tab/>
      </w:r>
      <w:r w:rsidRPr="004C184C">
        <w:rPr>
          <w:lang w:val="en-US"/>
        </w:rPr>
        <w:tab/>
        <w:t>The National Economic and Social Development Plan</w:t>
      </w:r>
    </w:p>
    <w:p w14:paraId="51DE372D" w14:textId="3B69F18B" w:rsidR="00EA422B" w:rsidRPr="004C184C" w:rsidRDefault="00EA422B" w:rsidP="00216691">
      <w:pPr>
        <w:pStyle w:val="SingleTxtG"/>
        <w:rPr>
          <w:lang w:val="en-US"/>
        </w:rPr>
      </w:pPr>
      <w:r w:rsidRPr="004C184C">
        <w:rPr>
          <w:lang w:val="en-US"/>
        </w:rPr>
        <w:t>90.</w:t>
      </w:r>
      <w:r w:rsidRPr="004C184C">
        <w:rPr>
          <w:lang w:val="en-US"/>
        </w:rPr>
        <w:tab/>
        <w:t>The country</w:t>
      </w:r>
      <w:r w:rsidR="00567EA4" w:rsidRPr="004C184C">
        <w:rPr>
          <w:lang w:val="en-US"/>
        </w:rPr>
        <w:t>’</w:t>
      </w:r>
      <w:r w:rsidRPr="004C184C">
        <w:rPr>
          <w:lang w:val="en-US"/>
        </w:rPr>
        <w:t>s development is guided primarily by a series of five</w:t>
      </w:r>
      <w:r w:rsidR="00D97E73" w:rsidRPr="004C184C">
        <w:rPr>
          <w:lang w:val="en-US"/>
        </w:rPr>
        <w:t>-</w:t>
      </w:r>
      <w:r w:rsidRPr="004C184C">
        <w:rPr>
          <w:lang w:val="en-US"/>
        </w:rPr>
        <w:t>year National Economic and Social Development Plans, first adopted in 1961</w:t>
      </w:r>
      <w:r w:rsidRPr="004C184C">
        <w:rPr>
          <w:cs/>
          <w:lang w:val="en-US"/>
        </w:rPr>
        <w:t xml:space="preserve">. </w:t>
      </w:r>
      <w:r w:rsidRPr="004C184C">
        <w:rPr>
          <w:lang w:val="en-US"/>
        </w:rPr>
        <w:t xml:space="preserve">The current one is the twelfth National Economic and Social Development Plan </w:t>
      </w:r>
      <w:r w:rsidRPr="004C184C">
        <w:rPr>
          <w:cs/>
          <w:lang w:val="en-US"/>
        </w:rPr>
        <w:t>(</w:t>
      </w:r>
      <w:r w:rsidRPr="004C184C">
        <w:rPr>
          <w:lang w:val="en-US"/>
        </w:rPr>
        <w:t>2017–2021</w:t>
      </w:r>
      <w:r w:rsidRPr="004C184C">
        <w:rPr>
          <w:cs/>
          <w:lang w:val="en-US"/>
        </w:rPr>
        <w:t>).</w:t>
      </w:r>
    </w:p>
    <w:p w14:paraId="54F7AB3D" w14:textId="21061245" w:rsidR="00EA422B" w:rsidRPr="004C184C" w:rsidRDefault="00EA422B" w:rsidP="00216691">
      <w:pPr>
        <w:pStyle w:val="SingleTxtG"/>
        <w:rPr>
          <w:lang w:val="en-US"/>
        </w:rPr>
      </w:pPr>
      <w:r w:rsidRPr="004C184C">
        <w:rPr>
          <w:lang w:val="en-US"/>
        </w:rPr>
        <w:t>91.</w:t>
      </w:r>
      <w:r w:rsidRPr="004C184C">
        <w:rPr>
          <w:lang w:val="en-US"/>
        </w:rPr>
        <w:tab/>
        <w:t>The development objectives of the Plan over the next five years, which is linked cumulatively with the 20</w:t>
      </w:r>
      <w:r w:rsidR="00D97E73" w:rsidRPr="004C184C">
        <w:rPr>
          <w:lang w:val="en-US"/>
        </w:rPr>
        <w:t>-</w:t>
      </w:r>
      <w:r w:rsidRPr="004C184C">
        <w:rPr>
          <w:lang w:val="en-US"/>
        </w:rPr>
        <w:t>year National Strategy</w:t>
      </w:r>
      <w:r w:rsidRPr="004C184C">
        <w:rPr>
          <w:cs/>
          <w:lang w:val="en-US"/>
        </w:rPr>
        <w:t xml:space="preserve"> (</w:t>
      </w:r>
      <w:r w:rsidRPr="004C184C">
        <w:rPr>
          <w:lang w:val="en-US"/>
        </w:rPr>
        <w:t>see paragraph 85–87</w:t>
      </w:r>
      <w:r w:rsidRPr="004C184C">
        <w:rPr>
          <w:cs/>
          <w:lang w:val="en-US"/>
        </w:rPr>
        <w:t>)</w:t>
      </w:r>
      <w:r w:rsidRPr="004C184C">
        <w:rPr>
          <w:lang w:val="en-US"/>
        </w:rPr>
        <w:t>, have adopted the following core principles/direction</w:t>
      </w:r>
      <w:r w:rsidRPr="004C184C">
        <w:rPr>
          <w:cs/>
          <w:lang w:val="en-US"/>
        </w:rPr>
        <w:t>:</w:t>
      </w:r>
    </w:p>
    <w:p w14:paraId="3C712099" w14:textId="78F9FE1A" w:rsidR="00EA422B" w:rsidRPr="004C184C" w:rsidRDefault="00EA422B" w:rsidP="00925FDF">
      <w:pPr>
        <w:pStyle w:val="SingleTxtG"/>
        <w:ind w:left="2268" w:hanging="567"/>
        <w:rPr>
          <w:lang w:val="en-US"/>
        </w:rPr>
      </w:pPr>
      <w:r w:rsidRPr="004C184C">
        <w:rPr>
          <w:lang w:val="en-US"/>
        </w:rPr>
        <w:t>1.</w:t>
      </w:r>
      <w:r w:rsidRPr="004C184C">
        <w:rPr>
          <w:lang w:val="en-US"/>
        </w:rPr>
        <w:tab/>
        <w:t xml:space="preserve">The Twelfth Plan is based on the principles of the </w:t>
      </w:r>
      <w:r w:rsidR="00567EA4" w:rsidRPr="004C184C">
        <w:rPr>
          <w:lang w:val="en-US"/>
        </w:rPr>
        <w:t>“</w:t>
      </w:r>
      <w:r w:rsidRPr="004C184C">
        <w:rPr>
          <w:lang w:val="en-US"/>
        </w:rPr>
        <w:t>Sufficiency Economy Philosophy</w:t>
      </w:r>
      <w:r w:rsidR="00567EA4" w:rsidRPr="004C184C">
        <w:rPr>
          <w:lang w:val="en-US"/>
        </w:rPr>
        <w:t>”</w:t>
      </w:r>
      <w:r w:rsidRPr="004C184C">
        <w:rPr>
          <w:lang w:val="en-US"/>
        </w:rPr>
        <w:t>, which has been a vital foundation since the Ninth Plan</w:t>
      </w:r>
      <w:r w:rsidRPr="004C184C">
        <w:rPr>
          <w:cs/>
          <w:lang w:val="en-US"/>
        </w:rPr>
        <w:t xml:space="preserve">. </w:t>
      </w:r>
      <w:r w:rsidRPr="004C184C">
        <w:rPr>
          <w:lang w:val="en-US"/>
        </w:rPr>
        <w:t>The Philosophy promotes balanced development by embracing the concepts of</w:t>
      </w:r>
      <w:r w:rsidRPr="004C184C">
        <w:rPr>
          <w:cs/>
          <w:lang w:val="en-US"/>
        </w:rPr>
        <w:t xml:space="preserve"> </w:t>
      </w:r>
      <w:r w:rsidRPr="004C184C">
        <w:rPr>
          <w:lang w:val="en-US"/>
        </w:rPr>
        <w:t>moderation, reasonableness and resilience or risk management</w:t>
      </w:r>
      <w:r w:rsidRPr="004C184C">
        <w:rPr>
          <w:cs/>
          <w:lang w:val="en-US"/>
        </w:rPr>
        <w:t>;</w:t>
      </w:r>
    </w:p>
    <w:p w14:paraId="5AFC5476" w14:textId="3A48CDC6" w:rsidR="00EA422B" w:rsidRPr="004C184C" w:rsidRDefault="00EA422B" w:rsidP="00925FDF">
      <w:pPr>
        <w:pStyle w:val="SingleTxtG"/>
        <w:ind w:left="2268" w:hanging="567"/>
        <w:rPr>
          <w:lang w:val="en-US"/>
        </w:rPr>
      </w:pPr>
      <w:r w:rsidRPr="004C184C">
        <w:rPr>
          <w:lang w:val="en-US"/>
        </w:rPr>
        <w:t>2.</w:t>
      </w:r>
      <w:r w:rsidRPr="004C184C">
        <w:rPr>
          <w:lang w:val="en-US"/>
        </w:rPr>
        <w:tab/>
      </w:r>
      <w:r w:rsidR="00567EA4" w:rsidRPr="004C184C">
        <w:rPr>
          <w:lang w:val="en-US"/>
        </w:rPr>
        <w:t>“</w:t>
      </w:r>
      <w:r w:rsidRPr="004C184C">
        <w:rPr>
          <w:lang w:val="en-US"/>
        </w:rPr>
        <w:t>People</w:t>
      </w:r>
      <w:r w:rsidR="00D97E73" w:rsidRPr="004C184C">
        <w:rPr>
          <w:lang w:val="en-US"/>
        </w:rPr>
        <w:t>-</w:t>
      </w:r>
      <w:r w:rsidRPr="004C184C">
        <w:rPr>
          <w:lang w:val="en-US"/>
        </w:rPr>
        <w:t>Centered Development</w:t>
      </w:r>
      <w:r w:rsidR="00567EA4" w:rsidRPr="004C184C">
        <w:rPr>
          <w:lang w:val="en-US"/>
        </w:rPr>
        <w:t>”</w:t>
      </w:r>
      <w:r w:rsidRPr="004C184C">
        <w:rPr>
          <w:cs/>
          <w:lang w:val="en-US"/>
        </w:rPr>
        <w:t xml:space="preserve"> </w:t>
      </w:r>
      <w:r w:rsidRPr="004C184C">
        <w:rPr>
          <w:lang w:val="en-US"/>
        </w:rPr>
        <w:t>seeks to create a sustainable quality of life and health conditions for Thais</w:t>
      </w:r>
      <w:r w:rsidRPr="004C184C">
        <w:rPr>
          <w:cs/>
          <w:lang w:val="en-US"/>
        </w:rPr>
        <w:t xml:space="preserve">. </w:t>
      </w:r>
      <w:r w:rsidRPr="004C184C">
        <w:rPr>
          <w:lang w:val="en-US"/>
        </w:rPr>
        <w:t>It aims to develop quality citizens who are disciplined, receptive to learning, knowledgeable, skillful and creative</w:t>
      </w:r>
      <w:r w:rsidRPr="004C184C">
        <w:rPr>
          <w:cs/>
          <w:lang w:val="en-US"/>
        </w:rPr>
        <w:t xml:space="preserve">. </w:t>
      </w:r>
      <w:r w:rsidRPr="004C184C">
        <w:rPr>
          <w:lang w:val="en-US"/>
        </w:rPr>
        <w:t>They should also have a good attitude, social responsibility, morality and ethics</w:t>
      </w:r>
      <w:r w:rsidRPr="004C184C">
        <w:rPr>
          <w:cs/>
          <w:lang w:val="en-US"/>
        </w:rPr>
        <w:t xml:space="preserve">. </w:t>
      </w:r>
      <w:r w:rsidRPr="004C184C">
        <w:rPr>
          <w:lang w:val="en-US"/>
        </w:rPr>
        <w:lastRenderedPageBreak/>
        <w:t>People of all ages are developed and well prepared for an ageing society</w:t>
      </w:r>
      <w:r w:rsidRPr="004C184C">
        <w:rPr>
          <w:cs/>
          <w:lang w:val="en-US"/>
        </w:rPr>
        <w:t xml:space="preserve">. </w:t>
      </w:r>
      <w:r w:rsidRPr="004C184C">
        <w:rPr>
          <w:lang w:val="en-US"/>
        </w:rPr>
        <w:t>They can live with and make use of their environment harmoniously, as well as preserve and rehabilitate natural resources</w:t>
      </w:r>
      <w:r w:rsidRPr="004C184C">
        <w:rPr>
          <w:cs/>
          <w:lang w:val="en-US"/>
        </w:rPr>
        <w:t>;</w:t>
      </w:r>
    </w:p>
    <w:p w14:paraId="1D412CA1" w14:textId="3DD71479" w:rsidR="00EA422B" w:rsidRPr="004C184C" w:rsidRDefault="00EA422B" w:rsidP="0027570A">
      <w:pPr>
        <w:pStyle w:val="SingleTxtG"/>
        <w:ind w:left="2268" w:hanging="567"/>
        <w:rPr>
          <w:lang w:val="en-US"/>
        </w:rPr>
      </w:pPr>
      <w:r w:rsidRPr="004C184C">
        <w:rPr>
          <w:lang w:val="en-US"/>
        </w:rPr>
        <w:t>3.</w:t>
      </w:r>
      <w:r w:rsidRPr="004C184C">
        <w:rPr>
          <w:lang w:val="en-US"/>
        </w:rPr>
        <w:tab/>
        <w:t>The Vision of the 20</w:t>
      </w:r>
      <w:r w:rsidR="00D97E73" w:rsidRPr="004C184C">
        <w:rPr>
          <w:lang w:val="en-US"/>
        </w:rPr>
        <w:t>-</w:t>
      </w:r>
      <w:r w:rsidRPr="004C184C">
        <w:rPr>
          <w:lang w:val="en-US"/>
        </w:rPr>
        <w:t xml:space="preserve">Year National Strategy is </w:t>
      </w:r>
      <w:r w:rsidR="00567EA4" w:rsidRPr="004C184C">
        <w:rPr>
          <w:lang w:val="en-US"/>
        </w:rPr>
        <w:t>“</w:t>
      </w:r>
      <w:r w:rsidRPr="004C184C">
        <w:rPr>
          <w:lang w:val="en-US"/>
        </w:rPr>
        <w:t>Thailand as a developed country with security, prosperity and sustainability in accordance with the principles of the Sufficiency Economy Philosophy</w:t>
      </w:r>
      <w:r w:rsidR="00567EA4" w:rsidRPr="004C184C">
        <w:rPr>
          <w:lang w:val="en-US"/>
        </w:rPr>
        <w:t>”</w:t>
      </w:r>
      <w:r w:rsidRPr="004C184C">
        <w:rPr>
          <w:lang w:val="en-US"/>
        </w:rPr>
        <w:t xml:space="preserve">. Together with the national slogan of </w:t>
      </w:r>
      <w:r w:rsidR="00567EA4" w:rsidRPr="004C184C">
        <w:rPr>
          <w:lang w:val="en-US"/>
        </w:rPr>
        <w:t>“</w:t>
      </w:r>
      <w:r w:rsidRPr="004C184C">
        <w:rPr>
          <w:lang w:val="en-US"/>
        </w:rPr>
        <w:t>Security, Prosperity and Sustainability</w:t>
      </w:r>
      <w:r w:rsidR="00567EA4" w:rsidRPr="004C184C">
        <w:rPr>
          <w:lang w:val="en-US"/>
        </w:rPr>
        <w:t>”</w:t>
      </w:r>
      <w:r w:rsidRPr="004C184C">
        <w:rPr>
          <w:lang w:val="en-US"/>
        </w:rPr>
        <w:t>, they are a framework underpinning the Twelfth Plan</w:t>
      </w:r>
      <w:r w:rsidRPr="004C184C">
        <w:rPr>
          <w:cs/>
          <w:lang w:val="en-US"/>
        </w:rPr>
        <w:t>;</w:t>
      </w:r>
    </w:p>
    <w:p w14:paraId="6859D655" w14:textId="4FC1E444" w:rsidR="00EA422B" w:rsidRPr="004C184C" w:rsidRDefault="00EA422B" w:rsidP="0027570A">
      <w:pPr>
        <w:pStyle w:val="SingleTxtG"/>
        <w:ind w:left="2268" w:hanging="567"/>
        <w:rPr>
          <w:lang w:val="en-US"/>
        </w:rPr>
      </w:pPr>
      <w:r w:rsidRPr="004C184C">
        <w:rPr>
          <w:lang w:val="en-US"/>
        </w:rPr>
        <w:t>4.</w:t>
      </w:r>
      <w:r w:rsidRPr="004C184C">
        <w:rPr>
          <w:lang w:val="en-US"/>
        </w:rPr>
        <w:tab/>
      </w:r>
      <w:r w:rsidR="00567EA4" w:rsidRPr="004C184C">
        <w:rPr>
          <w:lang w:val="en-US"/>
        </w:rPr>
        <w:t>“</w:t>
      </w:r>
      <w:r w:rsidRPr="004C184C">
        <w:rPr>
          <w:lang w:val="en-US"/>
        </w:rPr>
        <w:t>The Targets of Thailand in 2036</w:t>
      </w:r>
      <w:r w:rsidR="00567EA4" w:rsidRPr="004C184C">
        <w:rPr>
          <w:lang w:val="en-US"/>
        </w:rPr>
        <w:t>”</w:t>
      </w:r>
      <w:r w:rsidRPr="004C184C">
        <w:rPr>
          <w:lang w:val="en-US"/>
        </w:rPr>
        <w:t xml:space="preserve"> are targets of the 20</w:t>
      </w:r>
      <w:r w:rsidR="00D97E73" w:rsidRPr="004C184C">
        <w:rPr>
          <w:lang w:val="en-US"/>
        </w:rPr>
        <w:t>-</w:t>
      </w:r>
      <w:r w:rsidRPr="004C184C">
        <w:rPr>
          <w:lang w:val="en-US"/>
        </w:rPr>
        <w:t>year National Strategy and they are used as a benchmark in setting major and minor targets for the first five years</w:t>
      </w:r>
      <w:r w:rsidRPr="004C184C">
        <w:rPr>
          <w:cs/>
          <w:lang w:val="en-US"/>
        </w:rPr>
        <w:t xml:space="preserve">. </w:t>
      </w:r>
      <w:r w:rsidRPr="004C184C">
        <w:rPr>
          <w:lang w:val="en-US"/>
        </w:rPr>
        <w:t>Each target and indicator is consistent with the 2030 Agenda for Sustainable Development and has been derived</w:t>
      </w:r>
      <w:r w:rsidRPr="004C184C">
        <w:rPr>
          <w:cs/>
          <w:lang w:val="en-US"/>
        </w:rPr>
        <w:t xml:space="preserve"> </w:t>
      </w:r>
      <w:r w:rsidRPr="004C184C">
        <w:rPr>
          <w:lang w:val="en-US"/>
        </w:rPr>
        <w:t>from an assessment of the major issues found in development, the patterns of development and the nature and trends in main production and services sectors in Thailand</w:t>
      </w:r>
      <w:r w:rsidRPr="004C184C">
        <w:rPr>
          <w:cs/>
          <w:lang w:val="en-US"/>
        </w:rPr>
        <w:t xml:space="preserve">; </w:t>
      </w:r>
    </w:p>
    <w:p w14:paraId="59805D69" w14:textId="41552C18" w:rsidR="00EA422B" w:rsidRPr="004C184C" w:rsidRDefault="00EA422B" w:rsidP="0027570A">
      <w:pPr>
        <w:pStyle w:val="SingleTxtG"/>
        <w:ind w:left="2268" w:hanging="567"/>
        <w:rPr>
          <w:lang w:val="en-US"/>
        </w:rPr>
      </w:pPr>
      <w:r w:rsidRPr="004C184C">
        <w:rPr>
          <w:lang w:val="en-US"/>
        </w:rPr>
        <w:t>5.</w:t>
      </w:r>
      <w:r w:rsidRPr="004C184C">
        <w:rPr>
          <w:lang w:val="en-US"/>
        </w:rPr>
        <w:tab/>
        <w:t xml:space="preserve">The Twelfth Plan encourages </w:t>
      </w:r>
      <w:r w:rsidR="00567EA4" w:rsidRPr="004C184C">
        <w:rPr>
          <w:lang w:val="en-US"/>
        </w:rPr>
        <w:t>“</w:t>
      </w:r>
      <w:r w:rsidRPr="004C184C">
        <w:rPr>
          <w:lang w:val="en-US"/>
        </w:rPr>
        <w:t>a form of economic growth that contributes to the reduction of inequality and promotes a greater level of productivity based on local wisdom and innovation</w:t>
      </w:r>
      <w:r w:rsidRPr="004C184C">
        <w:rPr>
          <w:cs/>
          <w:lang w:val="en-US"/>
        </w:rPr>
        <w:t>.</w:t>
      </w:r>
      <w:r w:rsidR="00567EA4" w:rsidRPr="004C184C">
        <w:rPr>
          <w:lang w:val="en-US"/>
        </w:rPr>
        <w:t>”</w:t>
      </w:r>
      <w:r w:rsidRPr="004C184C">
        <w:rPr>
          <w:cs/>
          <w:lang w:val="en-US"/>
        </w:rPr>
        <w:t xml:space="preserve"> </w:t>
      </w:r>
      <w:r w:rsidRPr="004C184C">
        <w:rPr>
          <w:lang w:val="en-US"/>
        </w:rPr>
        <w:t>The Plan focuses on inclusive growth to expand the middle</w:t>
      </w:r>
      <w:r w:rsidR="00D97E73" w:rsidRPr="004C184C">
        <w:rPr>
          <w:lang w:val="en-US"/>
        </w:rPr>
        <w:t>-</w:t>
      </w:r>
      <w:r w:rsidRPr="004C184C">
        <w:rPr>
          <w:lang w:val="en-US"/>
        </w:rPr>
        <w:t>class population group</w:t>
      </w:r>
      <w:r w:rsidRPr="004C184C">
        <w:rPr>
          <w:cs/>
          <w:lang w:val="en-US"/>
        </w:rPr>
        <w:t xml:space="preserve">. </w:t>
      </w:r>
      <w:r w:rsidRPr="004C184C">
        <w:rPr>
          <w:lang w:val="en-US"/>
        </w:rPr>
        <w:t>It sets a goal of increasing economic opportunity, social opportunity and incomes of the bottom 40% of the population with the lowest income</w:t>
      </w:r>
      <w:r w:rsidRPr="004C184C">
        <w:rPr>
          <w:cs/>
          <w:lang w:val="en-US"/>
        </w:rPr>
        <w:t xml:space="preserve">; </w:t>
      </w:r>
    </w:p>
    <w:p w14:paraId="2C8C5984" w14:textId="3D28E07C" w:rsidR="00EA422B" w:rsidRPr="004C184C" w:rsidRDefault="00EA422B" w:rsidP="0027570A">
      <w:pPr>
        <w:pStyle w:val="SingleTxtG"/>
        <w:ind w:left="2268" w:hanging="567"/>
        <w:rPr>
          <w:lang w:val="en-US"/>
        </w:rPr>
      </w:pPr>
      <w:r w:rsidRPr="004C184C">
        <w:rPr>
          <w:lang w:val="en-US"/>
        </w:rPr>
        <w:t>6.</w:t>
      </w:r>
      <w:r w:rsidRPr="004C184C">
        <w:rPr>
          <w:lang w:val="en-US"/>
        </w:rPr>
        <w:tab/>
        <w:t xml:space="preserve">The Twelfth Plan will be brought </w:t>
      </w:r>
      <w:r w:rsidR="00567EA4" w:rsidRPr="004C184C">
        <w:rPr>
          <w:lang w:val="en-US"/>
        </w:rPr>
        <w:t>“</w:t>
      </w:r>
      <w:r w:rsidRPr="004C184C">
        <w:rPr>
          <w:lang w:val="en-US"/>
        </w:rPr>
        <w:t>into action in order to achieve long</w:t>
      </w:r>
      <w:r w:rsidR="00D97E73" w:rsidRPr="004C184C">
        <w:rPr>
          <w:lang w:val="en-US"/>
        </w:rPr>
        <w:t>-</w:t>
      </w:r>
      <w:r w:rsidRPr="004C184C">
        <w:rPr>
          <w:lang w:val="en-US"/>
        </w:rPr>
        <w:t>term development goals</w:t>
      </w:r>
      <w:r w:rsidRPr="004C184C">
        <w:rPr>
          <w:cs/>
          <w:lang w:val="en-US"/>
        </w:rPr>
        <w:t>.</w:t>
      </w:r>
      <w:r w:rsidR="00567EA4" w:rsidRPr="004C184C">
        <w:rPr>
          <w:lang w:val="en-US"/>
        </w:rPr>
        <w:t>”</w:t>
      </w:r>
      <w:r w:rsidRPr="004C184C">
        <w:rPr>
          <w:cs/>
          <w:lang w:val="en-US"/>
        </w:rPr>
        <w:t xml:space="preserve"> </w:t>
      </w:r>
      <w:r w:rsidRPr="004C184C">
        <w:rPr>
          <w:lang w:val="en-US"/>
        </w:rPr>
        <w:t>The Plan is the mechanism that connects, oversees and takes the development directions and goals of the 20</w:t>
      </w:r>
      <w:r w:rsidR="00D97E73" w:rsidRPr="004C184C">
        <w:rPr>
          <w:lang w:val="en-US"/>
        </w:rPr>
        <w:t>-</w:t>
      </w:r>
      <w:r w:rsidRPr="004C184C">
        <w:rPr>
          <w:lang w:val="en-US"/>
        </w:rPr>
        <w:t>year National Strategy through to implementation at all levels and involving all aspects, harmoniously</w:t>
      </w:r>
      <w:r w:rsidRPr="004C184C">
        <w:rPr>
          <w:cs/>
          <w:lang w:val="en-US"/>
        </w:rPr>
        <w:t xml:space="preserve">; </w:t>
      </w:r>
    </w:p>
    <w:p w14:paraId="1F52E4A9" w14:textId="68C15CDC" w:rsidR="00EA422B" w:rsidRPr="004C184C" w:rsidRDefault="00EA422B" w:rsidP="0027570A">
      <w:pPr>
        <w:pStyle w:val="SingleTxtG"/>
        <w:ind w:left="2268" w:hanging="567"/>
        <w:rPr>
          <w:lang w:val="en-US"/>
        </w:rPr>
      </w:pPr>
      <w:r w:rsidRPr="004C184C">
        <w:rPr>
          <w:lang w:val="en-US"/>
        </w:rPr>
        <w:t>7.</w:t>
      </w:r>
      <w:r w:rsidRPr="004C184C">
        <w:rPr>
          <w:lang w:val="en-US"/>
        </w:rPr>
        <w:tab/>
        <w:t>The Twelfth Plan also determines high</w:t>
      </w:r>
      <w:r w:rsidR="00D97E73" w:rsidRPr="004C184C">
        <w:rPr>
          <w:lang w:val="en-US"/>
        </w:rPr>
        <w:t>-</w:t>
      </w:r>
      <w:r w:rsidRPr="004C184C">
        <w:rPr>
          <w:lang w:val="en-US"/>
        </w:rPr>
        <w:t>priority development issues that require integrated implementation, sets programs and projects that effectively correspond to development targets and sets targets and indicators that cover a wider range and scope of issues other than those outlined in the previous National Economic and Social Development Plans</w:t>
      </w:r>
      <w:r w:rsidRPr="004C184C">
        <w:rPr>
          <w:cs/>
          <w:lang w:val="en-US"/>
        </w:rPr>
        <w:t xml:space="preserve">. </w:t>
      </w:r>
      <w:r w:rsidRPr="004C184C">
        <w:rPr>
          <w:lang w:val="en-US"/>
        </w:rPr>
        <w:t>Target</w:t>
      </w:r>
      <w:r w:rsidR="00D97E73" w:rsidRPr="004C184C">
        <w:rPr>
          <w:lang w:val="en-US"/>
        </w:rPr>
        <w:t>-</w:t>
      </w:r>
      <w:r w:rsidRPr="004C184C">
        <w:rPr>
          <w:lang w:val="en-US"/>
        </w:rPr>
        <w:t>setting brings many factors into consideration, including congruence with the targets of the long</w:t>
      </w:r>
      <w:r w:rsidR="00D97E73" w:rsidRPr="004C184C">
        <w:rPr>
          <w:lang w:val="en-US"/>
        </w:rPr>
        <w:t>-</w:t>
      </w:r>
      <w:r w:rsidRPr="004C184C">
        <w:rPr>
          <w:lang w:val="en-US"/>
        </w:rPr>
        <w:t>term 20</w:t>
      </w:r>
      <w:r w:rsidR="00D97E73" w:rsidRPr="004C184C">
        <w:rPr>
          <w:lang w:val="en-US"/>
        </w:rPr>
        <w:t>-</w:t>
      </w:r>
      <w:r w:rsidRPr="004C184C">
        <w:rPr>
          <w:lang w:val="en-US"/>
        </w:rPr>
        <w:t>year National Strategy, which provides the structure for setting minor targets and indicators which are to be exercised within the budgetary framework; and the monitoring and evaluation of the public sector in terms of its spending, performance and development which should be consistent with and reinforce one another</w:t>
      </w:r>
      <w:r w:rsidRPr="004C184C">
        <w:rPr>
          <w:cs/>
          <w:lang w:val="en-US"/>
        </w:rPr>
        <w:t>.</w:t>
      </w:r>
    </w:p>
    <w:p w14:paraId="4A1AFAB7" w14:textId="77777777" w:rsidR="00EA422B" w:rsidRPr="004C184C" w:rsidRDefault="00EA422B" w:rsidP="0027570A">
      <w:pPr>
        <w:pStyle w:val="H23G"/>
        <w:rPr>
          <w:lang w:val="en-US"/>
        </w:rPr>
      </w:pPr>
      <w:r w:rsidRPr="004C184C">
        <w:rPr>
          <w:lang w:val="en-US"/>
        </w:rPr>
        <w:tab/>
      </w:r>
      <w:r w:rsidRPr="004C184C">
        <w:rPr>
          <w:lang w:val="en-US"/>
        </w:rPr>
        <w:tab/>
        <w:t>The national human rights agenda</w:t>
      </w:r>
    </w:p>
    <w:p w14:paraId="081117B9" w14:textId="6F91B0FB" w:rsidR="00EA422B" w:rsidRPr="004C184C" w:rsidRDefault="00EA422B" w:rsidP="00216691">
      <w:pPr>
        <w:pStyle w:val="SingleTxtG"/>
        <w:rPr>
          <w:lang w:val="en-US"/>
        </w:rPr>
      </w:pPr>
      <w:r w:rsidRPr="004C184C">
        <w:rPr>
          <w:lang w:val="en-US"/>
        </w:rPr>
        <w:t>92.</w:t>
      </w:r>
      <w:r w:rsidRPr="004C184C">
        <w:rPr>
          <w:lang w:val="en-US"/>
        </w:rPr>
        <w:tab/>
        <w:t>To mainstream human rights in all its policies, the Government designated human rights as a national agenda for the first time for the years 2018–2019, linking it with the innovation</w:t>
      </w:r>
      <w:r w:rsidR="00D97E73" w:rsidRPr="004C184C">
        <w:rPr>
          <w:lang w:val="en-US"/>
        </w:rPr>
        <w:t>-</w:t>
      </w:r>
      <w:r w:rsidRPr="004C184C">
        <w:rPr>
          <w:lang w:val="en-US"/>
        </w:rPr>
        <w:t xml:space="preserve">driven </w:t>
      </w:r>
      <w:r w:rsidR="00567EA4" w:rsidRPr="004C184C">
        <w:rPr>
          <w:lang w:val="en-US"/>
        </w:rPr>
        <w:t>‘</w:t>
      </w:r>
      <w:r w:rsidRPr="004C184C">
        <w:rPr>
          <w:lang w:val="en-US"/>
        </w:rPr>
        <w:t>Thailand 4.0</w:t>
      </w:r>
      <w:r w:rsidR="00567EA4" w:rsidRPr="004C184C">
        <w:rPr>
          <w:lang w:val="en-US"/>
        </w:rPr>
        <w:t>’</w:t>
      </w:r>
      <w:r w:rsidRPr="004C184C">
        <w:rPr>
          <w:lang w:val="en-US"/>
        </w:rPr>
        <w:t xml:space="preserve"> policy and its efforts to achieve sustainable development. </w:t>
      </w:r>
    </w:p>
    <w:p w14:paraId="12C7D480" w14:textId="70FE0D07" w:rsidR="00EA422B" w:rsidRPr="004C184C" w:rsidRDefault="00EA422B" w:rsidP="00216691">
      <w:pPr>
        <w:pStyle w:val="SingleTxtG"/>
        <w:rPr>
          <w:lang w:val="en-US"/>
        </w:rPr>
      </w:pPr>
      <w:r w:rsidRPr="004C184C">
        <w:rPr>
          <w:lang w:val="en-US"/>
        </w:rPr>
        <w:t>93.</w:t>
      </w:r>
      <w:r w:rsidRPr="004C184C">
        <w:rPr>
          <w:lang w:val="en-US"/>
        </w:rPr>
        <w:tab/>
        <w:t xml:space="preserve">The agenda decodes the </w:t>
      </w:r>
      <w:r w:rsidR="00567EA4" w:rsidRPr="004C184C">
        <w:rPr>
          <w:lang w:val="en-US"/>
        </w:rPr>
        <w:t>“</w:t>
      </w:r>
      <w:r w:rsidRPr="004C184C">
        <w:rPr>
          <w:lang w:val="en-US"/>
        </w:rPr>
        <w:t>4+3+2+1=Goal</w:t>
      </w:r>
      <w:r w:rsidR="00567EA4" w:rsidRPr="004C184C">
        <w:rPr>
          <w:lang w:val="en-US"/>
        </w:rPr>
        <w:t>”</w:t>
      </w:r>
      <w:r w:rsidRPr="004C184C">
        <w:rPr>
          <w:lang w:val="en-US"/>
        </w:rPr>
        <w:t xml:space="preserve"> policy framework, i.e., </w:t>
      </w:r>
      <w:r w:rsidR="00567EA4" w:rsidRPr="004C184C">
        <w:rPr>
          <w:lang w:val="en-US"/>
        </w:rPr>
        <w:t>“</w:t>
      </w:r>
      <w:r w:rsidRPr="004C184C">
        <w:rPr>
          <w:lang w:val="en-US"/>
        </w:rPr>
        <w:t>four</w:t>
      </w:r>
      <w:r w:rsidR="00567EA4" w:rsidRPr="004C184C">
        <w:rPr>
          <w:lang w:val="en-US"/>
        </w:rPr>
        <w:t>”</w:t>
      </w:r>
      <w:r w:rsidRPr="004C184C">
        <w:rPr>
          <w:lang w:val="en-US"/>
        </w:rPr>
        <w:t xml:space="preserve"> policies to create a conducive environment, </w:t>
      </w:r>
      <w:r w:rsidR="00567EA4" w:rsidRPr="004C184C">
        <w:rPr>
          <w:lang w:val="en-US"/>
        </w:rPr>
        <w:t>“</w:t>
      </w:r>
      <w:r w:rsidRPr="004C184C">
        <w:rPr>
          <w:lang w:val="en-US"/>
        </w:rPr>
        <w:t>three</w:t>
      </w:r>
      <w:r w:rsidR="00567EA4" w:rsidRPr="004C184C">
        <w:rPr>
          <w:lang w:val="en-US"/>
        </w:rPr>
        <w:t>”</w:t>
      </w:r>
      <w:r w:rsidRPr="004C184C">
        <w:rPr>
          <w:lang w:val="en-US"/>
        </w:rPr>
        <w:t xml:space="preserve"> to improve the existing human rights system in the country, </w:t>
      </w:r>
      <w:r w:rsidR="00567EA4" w:rsidRPr="004C184C">
        <w:rPr>
          <w:lang w:val="en-US"/>
        </w:rPr>
        <w:t>“</w:t>
      </w:r>
      <w:r w:rsidRPr="004C184C">
        <w:rPr>
          <w:lang w:val="en-US"/>
        </w:rPr>
        <w:t>two</w:t>
      </w:r>
      <w:r w:rsidR="00567EA4" w:rsidRPr="004C184C">
        <w:rPr>
          <w:lang w:val="en-US"/>
        </w:rPr>
        <w:t>”</w:t>
      </w:r>
      <w:r w:rsidRPr="004C184C">
        <w:rPr>
          <w:lang w:val="en-US"/>
        </w:rPr>
        <w:t xml:space="preserve"> to drive institutions and plans to promote human rights work, </w:t>
      </w:r>
      <w:r w:rsidR="00567EA4" w:rsidRPr="004C184C">
        <w:rPr>
          <w:lang w:val="en-US"/>
        </w:rPr>
        <w:t>“</w:t>
      </w:r>
      <w:r w:rsidRPr="004C184C">
        <w:rPr>
          <w:lang w:val="en-US"/>
        </w:rPr>
        <w:t>one</w:t>
      </w:r>
      <w:r w:rsidR="00567EA4" w:rsidRPr="004C184C">
        <w:rPr>
          <w:lang w:val="en-US"/>
        </w:rPr>
        <w:t>”</w:t>
      </w:r>
      <w:r w:rsidRPr="004C184C">
        <w:rPr>
          <w:lang w:val="en-US"/>
        </w:rPr>
        <w:t xml:space="preserve"> to reduce the problem of human rights infringements, and </w:t>
      </w:r>
      <w:r w:rsidR="00567EA4" w:rsidRPr="004C184C">
        <w:rPr>
          <w:lang w:val="en-US"/>
        </w:rPr>
        <w:t>“</w:t>
      </w:r>
      <w:r w:rsidRPr="004C184C">
        <w:rPr>
          <w:lang w:val="en-US"/>
        </w:rPr>
        <w:t>Goal,</w:t>
      </w:r>
      <w:r w:rsidR="00567EA4" w:rsidRPr="004C184C">
        <w:rPr>
          <w:lang w:val="en-US"/>
        </w:rPr>
        <w:t>”</w:t>
      </w:r>
      <w:r w:rsidRPr="004C184C">
        <w:rPr>
          <w:lang w:val="en-US"/>
        </w:rPr>
        <w:t xml:space="preserve"> which is the key to a peaceful society. </w:t>
      </w:r>
    </w:p>
    <w:p w14:paraId="172FE022" w14:textId="74236E8B" w:rsidR="00EA422B" w:rsidRPr="004C184C" w:rsidRDefault="00EA422B" w:rsidP="00216691">
      <w:pPr>
        <w:pStyle w:val="SingleTxtG"/>
        <w:rPr>
          <w:lang w:val="en-US"/>
        </w:rPr>
      </w:pPr>
      <w:r w:rsidRPr="004C184C">
        <w:rPr>
          <w:lang w:val="en-US"/>
        </w:rPr>
        <w:t>94.</w:t>
      </w:r>
      <w:r w:rsidRPr="004C184C">
        <w:rPr>
          <w:lang w:val="en-US"/>
        </w:rPr>
        <w:tab/>
        <w:t>The Government has set up the National Committee on Human Rights since December 2018. The Committee, chaired by the Deputy Prime Minister and Minister of Justice and</w:t>
      </w:r>
      <w:r w:rsidRPr="004C184C">
        <w:rPr>
          <w:cs/>
          <w:lang w:val="en-US"/>
        </w:rPr>
        <w:t xml:space="preserve"> </w:t>
      </w:r>
      <w:r w:rsidRPr="004C184C">
        <w:rPr>
          <w:lang w:val="en-US"/>
        </w:rPr>
        <w:t>comprising government agencies and civil society representatives as Committee members, is tasked with pushing forward the National Agenda on Human Rights, the National Human Rights Plan and other related matters in a cross</w:t>
      </w:r>
      <w:r w:rsidR="00D97E73" w:rsidRPr="004C184C">
        <w:rPr>
          <w:lang w:val="en-US"/>
        </w:rPr>
        <w:t>-</w:t>
      </w:r>
      <w:r w:rsidRPr="004C184C">
        <w:rPr>
          <w:lang w:val="en-US"/>
        </w:rPr>
        <w:t>cutting and integrated manner.</w:t>
      </w:r>
    </w:p>
    <w:p w14:paraId="22B64395" w14:textId="77777777" w:rsidR="00EA422B" w:rsidRPr="004C184C" w:rsidRDefault="00EA422B" w:rsidP="00216691">
      <w:pPr>
        <w:pStyle w:val="SingleTxtG"/>
        <w:rPr>
          <w:lang w:val="en-US"/>
        </w:rPr>
      </w:pPr>
      <w:r w:rsidRPr="004C184C">
        <w:rPr>
          <w:lang w:val="en-US"/>
        </w:rPr>
        <w:t>95.</w:t>
      </w:r>
      <w:r w:rsidRPr="004C184C">
        <w:rPr>
          <w:lang w:val="en-US"/>
        </w:rPr>
        <w:tab/>
        <w:t xml:space="preserve">According to the said national agenda, Thailand views that human rights are key to the attainment of Sustainable Development Goals, ensuring that no one, especially the most </w:t>
      </w:r>
      <w:r w:rsidRPr="004C184C">
        <w:rPr>
          <w:lang w:val="en-US"/>
        </w:rPr>
        <w:lastRenderedPageBreak/>
        <w:t>vulnerable, is left behind. Thailand emphasizes the complementarities and mutually reinforcing linkages between human rights and the SDGs in both directions.</w:t>
      </w:r>
    </w:p>
    <w:p w14:paraId="454B6CB1" w14:textId="77777777" w:rsidR="00EA422B" w:rsidRPr="004C184C" w:rsidRDefault="00EA422B" w:rsidP="00216691">
      <w:pPr>
        <w:pStyle w:val="SingleTxtG"/>
        <w:rPr>
          <w:lang w:val="en-US"/>
        </w:rPr>
      </w:pPr>
      <w:r w:rsidRPr="004C184C">
        <w:rPr>
          <w:lang w:val="en-US"/>
        </w:rPr>
        <w:t>96.</w:t>
      </w:r>
      <w:r w:rsidRPr="004C184C">
        <w:rPr>
          <w:lang w:val="en-US"/>
        </w:rPr>
        <w:tab/>
        <w:t>The Ministry of Justice is currently working on the renewal of the national human rights agenda, tentatively for the years 2021–2022.</w:t>
      </w:r>
    </w:p>
    <w:p w14:paraId="799599AA" w14:textId="77777777" w:rsidR="00EA422B" w:rsidRPr="004C184C" w:rsidRDefault="00EA422B" w:rsidP="0027570A">
      <w:pPr>
        <w:pStyle w:val="H23G"/>
        <w:rPr>
          <w:lang w:val="en-US"/>
        </w:rPr>
      </w:pPr>
      <w:r w:rsidRPr="004C184C">
        <w:rPr>
          <w:lang w:val="en-US"/>
        </w:rPr>
        <w:tab/>
      </w:r>
      <w:r w:rsidRPr="004C184C">
        <w:rPr>
          <w:lang w:val="en-US"/>
        </w:rPr>
        <w:tab/>
        <w:t>The National Human Rights Plan</w:t>
      </w:r>
    </w:p>
    <w:p w14:paraId="7B350704" w14:textId="1D359D0C" w:rsidR="00EA422B" w:rsidRPr="004C184C" w:rsidRDefault="00EA422B" w:rsidP="00216691">
      <w:pPr>
        <w:pStyle w:val="SingleTxtG"/>
        <w:rPr>
          <w:lang w:val="en-US"/>
        </w:rPr>
      </w:pPr>
      <w:r w:rsidRPr="004C184C">
        <w:rPr>
          <w:lang w:val="en-US"/>
        </w:rPr>
        <w:t>97.</w:t>
      </w:r>
      <w:r w:rsidRPr="004C184C">
        <w:rPr>
          <w:lang w:val="en-US"/>
        </w:rPr>
        <w:tab/>
        <w:t>As the 3rd National Human Rights Plan (2014–2018) came to completion, the Ministry of Justice, as the focal point, conducted an evaluation of the Plan</w:t>
      </w:r>
      <w:r w:rsidR="00567EA4" w:rsidRPr="004C184C">
        <w:rPr>
          <w:lang w:val="en-US"/>
        </w:rPr>
        <w:t>’</w:t>
      </w:r>
      <w:r w:rsidRPr="004C184C">
        <w:rPr>
          <w:lang w:val="en-US"/>
        </w:rPr>
        <w:t xml:space="preserve">s implementation and worked on the 4th National Human Rights Plan (2019–2023). The 4th Plan was put through a series of public consultations, revised and considered by relevant agencies and endorsed by the Cabinet on 30 June 2020. </w:t>
      </w:r>
    </w:p>
    <w:p w14:paraId="3C5B12D3" w14:textId="66A61EB3" w:rsidR="00EA422B" w:rsidRPr="004C184C" w:rsidRDefault="00EA422B" w:rsidP="00216691">
      <w:pPr>
        <w:pStyle w:val="SingleTxtG"/>
        <w:rPr>
          <w:lang w:val="en-US"/>
        </w:rPr>
      </w:pPr>
      <w:r w:rsidRPr="004C184C">
        <w:rPr>
          <w:lang w:val="en-US"/>
        </w:rPr>
        <w:t>98.</w:t>
      </w:r>
      <w:r w:rsidRPr="004C184C">
        <w:rPr>
          <w:lang w:val="en-US"/>
        </w:rPr>
        <w:tab/>
        <w:t>The key elements of the 4th Plan address ongoing issues leading to a proposed action framework, which is divided into 22 sub</w:t>
      </w:r>
      <w:r w:rsidR="00D97E73" w:rsidRPr="004C184C">
        <w:rPr>
          <w:lang w:val="en-US"/>
        </w:rPr>
        <w:t>-</w:t>
      </w:r>
      <w:r w:rsidRPr="004C184C">
        <w:rPr>
          <w:lang w:val="en-US"/>
        </w:rPr>
        <w:t xml:space="preserve">plans based on 10 thematic issues and 12 vulnerable groups: </w:t>
      </w:r>
    </w:p>
    <w:p w14:paraId="0CEDF190" w14:textId="09F61AE2" w:rsidR="00EA422B" w:rsidRPr="004C184C" w:rsidRDefault="00A032A3" w:rsidP="00A032A3">
      <w:pPr>
        <w:pStyle w:val="Bullet1G"/>
        <w:numPr>
          <w:ilvl w:val="0"/>
          <w:numId w:val="0"/>
        </w:numPr>
        <w:tabs>
          <w:tab w:val="left" w:pos="1701"/>
        </w:tabs>
        <w:ind w:left="1701" w:hanging="170"/>
        <w:rPr>
          <w:lang w:val="en-US"/>
        </w:rPr>
      </w:pPr>
      <w:r w:rsidRPr="004C184C">
        <w:rPr>
          <w:lang w:val="en-US"/>
        </w:rPr>
        <w:t>•</w:t>
      </w:r>
      <w:r w:rsidRPr="004C184C">
        <w:rPr>
          <w:lang w:val="en-US"/>
        </w:rPr>
        <w:tab/>
      </w:r>
      <w:r w:rsidR="00EA422B" w:rsidRPr="004C184C">
        <w:rPr>
          <w:lang w:val="en-US"/>
        </w:rPr>
        <w:t>The 10 issue</w:t>
      </w:r>
      <w:r w:rsidR="00D97E73" w:rsidRPr="004C184C">
        <w:rPr>
          <w:lang w:val="en-US"/>
        </w:rPr>
        <w:t>-</w:t>
      </w:r>
      <w:r w:rsidR="00EA422B" w:rsidRPr="004C184C">
        <w:rPr>
          <w:lang w:val="en-US"/>
        </w:rPr>
        <w:t>based plans include plans on (1) public health, (2) education, (3) natural resources and environment, (4) housing, (5) transportation, (6) economic and business</w:t>
      </w:r>
      <w:r w:rsidR="00D97E73" w:rsidRPr="004C184C">
        <w:rPr>
          <w:lang w:val="en-US"/>
        </w:rPr>
        <w:t>-</w:t>
      </w:r>
      <w:r w:rsidR="00EA422B" w:rsidRPr="004C184C">
        <w:rPr>
          <w:lang w:val="en-US"/>
        </w:rPr>
        <w:t>related rights, (7) civil, political and security</w:t>
      </w:r>
      <w:r w:rsidR="00D97E73" w:rsidRPr="004C184C">
        <w:rPr>
          <w:lang w:val="en-US"/>
        </w:rPr>
        <w:t>-</w:t>
      </w:r>
      <w:r w:rsidR="00EA422B" w:rsidRPr="004C184C">
        <w:rPr>
          <w:lang w:val="en-US"/>
        </w:rPr>
        <w:t>related rights, (8) community rights, cultural rights and rights concerning religions, (9) data, information and information technology and (10) the judicial process;</w:t>
      </w:r>
    </w:p>
    <w:p w14:paraId="1F58CAAD" w14:textId="7959ED6B" w:rsidR="00EA422B" w:rsidRPr="004C184C" w:rsidRDefault="00A032A3" w:rsidP="00A032A3">
      <w:pPr>
        <w:pStyle w:val="Bullet1G"/>
        <w:numPr>
          <w:ilvl w:val="0"/>
          <w:numId w:val="0"/>
        </w:numPr>
        <w:tabs>
          <w:tab w:val="left" w:pos="1701"/>
        </w:tabs>
        <w:ind w:left="1701" w:hanging="170"/>
        <w:rPr>
          <w:lang w:val="en-US"/>
        </w:rPr>
      </w:pPr>
      <w:r w:rsidRPr="004C184C">
        <w:rPr>
          <w:lang w:val="en-US"/>
        </w:rPr>
        <w:t>•</w:t>
      </w:r>
      <w:r w:rsidRPr="004C184C">
        <w:rPr>
          <w:lang w:val="en-US"/>
        </w:rPr>
        <w:tab/>
      </w:r>
      <w:r w:rsidR="00EA422B" w:rsidRPr="004C184C">
        <w:rPr>
          <w:lang w:val="en-US"/>
        </w:rPr>
        <w:t>The 12 groups</w:t>
      </w:r>
      <w:r w:rsidR="00D97E73" w:rsidRPr="004C184C">
        <w:rPr>
          <w:lang w:val="en-US"/>
        </w:rPr>
        <w:t>-</w:t>
      </w:r>
      <w:r w:rsidR="00EA422B" w:rsidRPr="004C184C">
        <w:rPr>
          <w:lang w:val="en-US"/>
        </w:rPr>
        <w:t>based plans include plans on (1) children and youth, (2) the elderly, (3) women, (4) persons with disabilities, (5) farmers and workers, (6) patients, including people living with HIV/AIDS and narcotics addicts, (7) ethnic groups, stateless persons, and asylum seekers, (8) LGBTs, (9) human rights defenders, (10) inmates, including the accused, alleged offenders and prisoners, (11) former inmates and persons having served their terms and (12) injured persons and victims, including crime victims, human trafficking victims, victims of human rights violations, victims of domestic violence, etc. and witnesses.</w:t>
      </w:r>
    </w:p>
    <w:p w14:paraId="2C640C84" w14:textId="77777777" w:rsidR="00EA422B" w:rsidRPr="004C184C" w:rsidRDefault="00EA422B" w:rsidP="0027570A">
      <w:pPr>
        <w:pStyle w:val="H23G"/>
        <w:rPr>
          <w:lang w:val="en-US"/>
        </w:rPr>
      </w:pPr>
      <w:r w:rsidRPr="004C184C">
        <w:rPr>
          <w:lang w:val="en-US"/>
        </w:rPr>
        <w:tab/>
      </w:r>
      <w:r w:rsidRPr="004C184C">
        <w:rPr>
          <w:lang w:val="en-US"/>
        </w:rPr>
        <w:tab/>
        <w:t>Right to life</w:t>
      </w:r>
    </w:p>
    <w:p w14:paraId="1540EA3D" w14:textId="77777777" w:rsidR="00EA422B" w:rsidRPr="004C184C" w:rsidRDefault="00EA422B" w:rsidP="00216691">
      <w:pPr>
        <w:pStyle w:val="SingleTxtG"/>
        <w:rPr>
          <w:lang w:val="en-US"/>
        </w:rPr>
      </w:pPr>
      <w:bookmarkStart w:id="15" w:name="_Ref43992964"/>
      <w:r w:rsidRPr="004C184C">
        <w:rPr>
          <w:lang w:val="en-US"/>
        </w:rPr>
        <w:t>99.</w:t>
      </w:r>
      <w:r w:rsidRPr="004C184C">
        <w:rPr>
          <w:lang w:val="en-US"/>
        </w:rPr>
        <w:tab/>
        <w:t>The arbitrary deprivation of life is criminalized under Thai law such as the Penal Code, Sections 288</w:t>
      </w:r>
      <w:r w:rsidRPr="004C184C">
        <w:rPr>
          <w:cs/>
          <w:lang w:val="en-US"/>
        </w:rPr>
        <w:t xml:space="preserve"> (</w:t>
      </w:r>
      <w:r w:rsidRPr="004C184C">
        <w:rPr>
          <w:lang w:val="en-US"/>
        </w:rPr>
        <w:t>murder</w:t>
      </w:r>
      <w:r w:rsidRPr="004C184C">
        <w:rPr>
          <w:cs/>
          <w:lang w:val="en-US"/>
        </w:rPr>
        <w:t>)</w:t>
      </w:r>
      <w:r w:rsidRPr="004C184C">
        <w:rPr>
          <w:lang w:val="en-US"/>
        </w:rPr>
        <w:t>, 289</w:t>
      </w:r>
      <w:r w:rsidRPr="004C184C">
        <w:rPr>
          <w:cs/>
          <w:lang w:val="en-US"/>
        </w:rPr>
        <w:t xml:space="preserve"> (</w:t>
      </w:r>
      <w:r w:rsidRPr="004C184C">
        <w:rPr>
          <w:lang w:val="en-US"/>
        </w:rPr>
        <w:t>aggravated murder</w:t>
      </w:r>
      <w:r w:rsidRPr="004C184C">
        <w:rPr>
          <w:cs/>
          <w:lang w:val="en-US"/>
        </w:rPr>
        <w:t>)</w:t>
      </w:r>
      <w:r w:rsidRPr="004C184C">
        <w:rPr>
          <w:lang w:val="en-US"/>
        </w:rPr>
        <w:t>, 290</w:t>
      </w:r>
      <w:r w:rsidRPr="004C184C">
        <w:rPr>
          <w:cs/>
          <w:lang w:val="en-US"/>
        </w:rPr>
        <w:t xml:space="preserve"> (</w:t>
      </w:r>
      <w:r w:rsidRPr="004C184C">
        <w:rPr>
          <w:lang w:val="en-US"/>
        </w:rPr>
        <w:t>assault causing</w:t>
      </w:r>
      <w:bookmarkEnd w:id="15"/>
      <w:r w:rsidRPr="004C184C">
        <w:rPr>
          <w:lang w:val="en-US"/>
        </w:rPr>
        <w:t xml:space="preserve"> death</w:t>
      </w:r>
      <w:r w:rsidRPr="004C184C">
        <w:rPr>
          <w:cs/>
          <w:lang w:val="en-US"/>
        </w:rPr>
        <w:t>)</w:t>
      </w:r>
      <w:r w:rsidRPr="004C184C">
        <w:rPr>
          <w:lang w:val="en-US"/>
        </w:rPr>
        <w:t xml:space="preserve"> and 291</w:t>
      </w:r>
      <w:r w:rsidRPr="004C184C">
        <w:rPr>
          <w:cs/>
          <w:lang w:val="en-US"/>
        </w:rPr>
        <w:t xml:space="preserve"> (</w:t>
      </w:r>
      <w:r w:rsidRPr="004C184C">
        <w:rPr>
          <w:lang w:val="en-US"/>
        </w:rPr>
        <w:t>negligent killing</w:t>
      </w:r>
      <w:r w:rsidRPr="004C184C">
        <w:rPr>
          <w:cs/>
          <w:lang w:val="en-US"/>
        </w:rPr>
        <w:t>).</w:t>
      </w:r>
    </w:p>
    <w:p w14:paraId="7666E82B" w14:textId="77777777" w:rsidR="00EA422B" w:rsidRPr="004C184C" w:rsidRDefault="00EA422B" w:rsidP="00216691">
      <w:pPr>
        <w:pStyle w:val="SingleTxtG"/>
        <w:rPr>
          <w:lang w:val="en-US"/>
        </w:rPr>
      </w:pPr>
      <w:r w:rsidRPr="004C184C">
        <w:rPr>
          <w:lang w:val="en-US"/>
        </w:rPr>
        <w:t>100.</w:t>
      </w:r>
      <w:r w:rsidRPr="004C184C">
        <w:rPr>
          <w:lang w:val="en-US"/>
        </w:rPr>
        <w:tab/>
        <w:t>According to the Penal Code, Section 18, Paragraph 2 and the Criminal Procedure Code, Sections 247 and 248, the death penalty shall not be imposed on an offender</w:t>
      </w:r>
      <w:r w:rsidRPr="004C184C">
        <w:rPr>
          <w:cs/>
          <w:lang w:val="en-US"/>
        </w:rPr>
        <w:t xml:space="preserve"> </w:t>
      </w:r>
      <w:r w:rsidRPr="004C184C">
        <w:rPr>
          <w:lang w:val="en-US"/>
        </w:rPr>
        <w:t>who is not yet eighteen years of age at material time and a convicted person who is pregnant or mentally unstable, respectively</w:t>
      </w:r>
      <w:r w:rsidRPr="004C184C">
        <w:rPr>
          <w:cs/>
          <w:lang w:val="en-US"/>
        </w:rPr>
        <w:t>.</w:t>
      </w:r>
    </w:p>
    <w:p w14:paraId="64E5BACC" w14:textId="50BFC027" w:rsidR="00EA422B" w:rsidRPr="004C184C" w:rsidRDefault="00EA422B" w:rsidP="00216691">
      <w:pPr>
        <w:pStyle w:val="SingleTxtG"/>
        <w:rPr>
          <w:lang w:val="en-US"/>
        </w:rPr>
      </w:pPr>
      <w:r w:rsidRPr="004C184C">
        <w:rPr>
          <w:lang w:val="en-US"/>
        </w:rPr>
        <w:t>101.</w:t>
      </w:r>
      <w:r w:rsidRPr="004C184C">
        <w:rPr>
          <w:lang w:val="en-US"/>
        </w:rPr>
        <w:tab/>
        <w:t>Related Thai agencies have undertaken a step</w:t>
      </w:r>
      <w:r w:rsidR="00D97E73" w:rsidRPr="004C184C">
        <w:rPr>
          <w:lang w:val="en-US"/>
        </w:rPr>
        <w:t>-</w:t>
      </w:r>
      <w:r w:rsidRPr="004C184C">
        <w:rPr>
          <w:lang w:val="en-US"/>
        </w:rPr>
        <w:t>by</w:t>
      </w:r>
      <w:r w:rsidR="00D97E73" w:rsidRPr="004C184C">
        <w:rPr>
          <w:lang w:val="en-US"/>
        </w:rPr>
        <w:t>-</w:t>
      </w:r>
      <w:r w:rsidRPr="004C184C">
        <w:rPr>
          <w:lang w:val="en-US"/>
        </w:rPr>
        <w:t xml:space="preserve">step approach to reforming laws on capital punishment in compliance with human rights principles. Such commitment has been reflected in the successive National Human Rights Plans since 2009. With public sentiment strongly in </w:t>
      </w:r>
      <w:bookmarkStart w:id="16" w:name="_Ref43992969"/>
      <w:r w:rsidRPr="004C184C">
        <w:rPr>
          <w:lang w:val="en-US"/>
        </w:rPr>
        <w:t>favor of the death penalty, the Government is working to increase public awareness and understanding of the ongoing debate on capital punishment.</w:t>
      </w:r>
      <w:bookmarkEnd w:id="16"/>
      <w:r w:rsidRPr="004C184C">
        <w:rPr>
          <w:lang w:val="en-US"/>
        </w:rPr>
        <w:t xml:space="preserve"> </w:t>
      </w:r>
    </w:p>
    <w:p w14:paraId="5C3C03A4" w14:textId="5D4C286C" w:rsidR="00EA422B" w:rsidRPr="004C184C" w:rsidRDefault="00EA422B" w:rsidP="0027570A">
      <w:pPr>
        <w:pStyle w:val="H23G"/>
        <w:rPr>
          <w:lang w:val="en-US"/>
        </w:rPr>
      </w:pPr>
      <w:r w:rsidRPr="004C184C">
        <w:rPr>
          <w:lang w:val="en-US"/>
        </w:rPr>
        <w:tab/>
      </w:r>
      <w:r w:rsidRPr="004C184C">
        <w:rPr>
          <w:lang w:val="en-US"/>
        </w:rPr>
        <w:tab/>
        <w:t>Right to be free from torture and ill</w:t>
      </w:r>
      <w:r w:rsidR="00D97E73" w:rsidRPr="004C184C">
        <w:rPr>
          <w:lang w:val="en-US"/>
        </w:rPr>
        <w:t>-</w:t>
      </w:r>
      <w:r w:rsidRPr="004C184C">
        <w:rPr>
          <w:lang w:val="en-US"/>
        </w:rPr>
        <w:t>treatment</w:t>
      </w:r>
    </w:p>
    <w:p w14:paraId="05649B20" w14:textId="173C8C74" w:rsidR="00EA422B" w:rsidRPr="004C184C" w:rsidRDefault="00EA422B" w:rsidP="00216691">
      <w:pPr>
        <w:pStyle w:val="SingleTxtG"/>
        <w:rPr>
          <w:lang w:val="en-US"/>
        </w:rPr>
      </w:pPr>
      <w:r w:rsidRPr="004C184C">
        <w:rPr>
          <w:lang w:val="en-US"/>
        </w:rPr>
        <w:t>102.</w:t>
      </w:r>
      <w:r w:rsidRPr="004C184C">
        <w:rPr>
          <w:lang w:val="en-US"/>
        </w:rPr>
        <w:tab/>
        <w:t>An act of torture or ill</w:t>
      </w:r>
      <w:r w:rsidR="00D97E73" w:rsidRPr="004C184C">
        <w:rPr>
          <w:lang w:val="en-US"/>
        </w:rPr>
        <w:t>-</w:t>
      </w:r>
      <w:r w:rsidRPr="004C184C">
        <w:rPr>
          <w:lang w:val="en-US"/>
        </w:rPr>
        <w:t>treatment is absolutely prohibited by both the Constitution</w:t>
      </w:r>
      <w:r w:rsidRPr="004C184C">
        <w:rPr>
          <w:cs/>
          <w:lang w:val="en-US"/>
        </w:rPr>
        <w:t xml:space="preserve"> (</w:t>
      </w:r>
      <w:r w:rsidRPr="004C184C">
        <w:rPr>
          <w:lang w:val="en-US"/>
        </w:rPr>
        <w:t>Section 29</w:t>
      </w:r>
      <w:r w:rsidRPr="004C184C">
        <w:rPr>
          <w:cs/>
          <w:lang w:val="en-US"/>
        </w:rPr>
        <w:t>)</w:t>
      </w:r>
      <w:r w:rsidRPr="004C184C">
        <w:rPr>
          <w:lang w:val="en-US"/>
        </w:rPr>
        <w:t xml:space="preserve"> and several sections of the Penal Code such as Sections 157, 200, 295, 296, 297, 298, 288, 289, </w:t>
      </w:r>
      <w:proofErr w:type="spellStart"/>
      <w:r w:rsidRPr="004C184C">
        <w:rPr>
          <w:lang w:val="en-US"/>
        </w:rPr>
        <w:t>etc</w:t>
      </w:r>
      <w:proofErr w:type="spellEnd"/>
      <w:r w:rsidRPr="004C184C">
        <w:rPr>
          <w:cs/>
          <w:lang w:val="en-US"/>
        </w:rPr>
        <w:t>.</w:t>
      </w:r>
    </w:p>
    <w:p w14:paraId="7F9FC75B" w14:textId="3FEA0D48" w:rsidR="00EA422B" w:rsidRPr="004C184C" w:rsidRDefault="00EA422B" w:rsidP="00216691">
      <w:pPr>
        <w:pStyle w:val="SingleTxtG"/>
        <w:rPr>
          <w:lang w:val="en-US"/>
        </w:rPr>
      </w:pPr>
      <w:r w:rsidRPr="004C184C">
        <w:rPr>
          <w:lang w:val="en-US"/>
        </w:rPr>
        <w:t>103.</w:t>
      </w:r>
      <w:r w:rsidRPr="004C184C">
        <w:rPr>
          <w:lang w:val="en-US"/>
        </w:rPr>
        <w:tab/>
        <w:t>The draft Act on the Prevention and Suppression of Torture and Enforced Disappearance has been approved in principle by the Cabinet in May 2016 and deliberated by the National Legislative Assembly in March 2017. Since the NLA had yet to finish the deliberations before its dissolution, due to technical difficulties, the Ministry of Justice withdrew the draft Act and conducted public consultations anew according to Section 77 of the Constitution. The revised draft was subsequently resubmitted for the Cabinet</w:t>
      </w:r>
      <w:r w:rsidR="00567EA4" w:rsidRPr="004C184C">
        <w:rPr>
          <w:lang w:val="en-US"/>
        </w:rPr>
        <w:t>’</w:t>
      </w:r>
      <w:r w:rsidRPr="004C184C">
        <w:rPr>
          <w:lang w:val="en-US"/>
        </w:rPr>
        <w:t xml:space="preserve">s consideration in April 2020. </w:t>
      </w:r>
    </w:p>
    <w:p w14:paraId="2FAFD8C2" w14:textId="5F1BB18C" w:rsidR="00EA422B" w:rsidRPr="004C184C" w:rsidRDefault="00EA422B" w:rsidP="00216691">
      <w:pPr>
        <w:pStyle w:val="SingleTxtG"/>
        <w:rPr>
          <w:lang w:val="en-US"/>
        </w:rPr>
      </w:pPr>
      <w:r w:rsidRPr="004C184C">
        <w:rPr>
          <w:lang w:val="en-US"/>
        </w:rPr>
        <w:lastRenderedPageBreak/>
        <w:t>104.</w:t>
      </w:r>
      <w:r w:rsidRPr="004C184C">
        <w:rPr>
          <w:lang w:val="en-US"/>
        </w:rPr>
        <w:tab/>
        <w:t>While the draft Act on Prevention and Suppression of Torture and Enforced Disappearance is under consideration, the Prime Minister has issued Orders No. 131/2560 dated 23 May 2017, No. 198/2560 dated 18 August 2017 (additional members), and No. 338/2562 dated 15 November 2019 (renewed) to establish the National Committee for Managing Cases Relating to Torture and Enforced Disappearance, chaired by the Minister of Justice and comprising representatives from related agencies as the Committee</w:t>
      </w:r>
      <w:r w:rsidR="00567EA4" w:rsidRPr="004C184C">
        <w:rPr>
          <w:lang w:val="en-US"/>
        </w:rPr>
        <w:t>’</w:t>
      </w:r>
      <w:r w:rsidRPr="004C184C">
        <w:rPr>
          <w:lang w:val="en-US"/>
        </w:rPr>
        <w:t>s members, in order to address alleged cases of torture and enforced disappearance and to prevent future occurrences of such cases. The Committee is supported by four sub</w:t>
      </w:r>
      <w:r w:rsidR="00D97E73" w:rsidRPr="004C184C">
        <w:rPr>
          <w:lang w:val="en-US"/>
        </w:rPr>
        <w:t>-</w:t>
      </w:r>
      <w:r w:rsidRPr="004C184C">
        <w:rPr>
          <w:lang w:val="en-US"/>
        </w:rPr>
        <w:t>committees on (1) follow</w:t>
      </w:r>
      <w:r w:rsidR="00D97E73" w:rsidRPr="004C184C">
        <w:rPr>
          <w:lang w:val="en-US"/>
        </w:rPr>
        <w:t>-</w:t>
      </w:r>
      <w:r w:rsidRPr="004C184C">
        <w:rPr>
          <w:lang w:val="en-US"/>
        </w:rPr>
        <w:t>up and monitoring, (2) assistance and remedy, (3) prevention and training and (4) case screening. Any public officer who is found to have been involved in torture and/or enforced disappearance will be prosecuted in accordance with the law.</w:t>
      </w:r>
    </w:p>
    <w:p w14:paraId="081B5722" w14:textId="77777777" w:rsidR="00EA422B" w:rsidRPr="004C184C" w:rsidRDefault="00EA422B" w:rsidP="0027570A">
      <w:pPr>
        <w:pStyle w:val="H23G"/>
        <w:rPr>
          <w:lang w:val="en-US"/>
        </w:rPr>
      </w:pPr>
      <w:r w:rsidRPr="004C184C">
        <w:rPr>
          <w:lang w:val="en-US"/>
        </w:rPr>
        <w:tab/>
      </w:r>
      <w:r w:rsidRPr="004C184C">
        <w:rPr>
          <w:lang w:val="en-US"/>
        </w:rPr>
        <w:tab/>
        <w:t>Right to freedom of expression</w:t>
      </w:r>
    </w:p>
    <w:p w14:paraId="1BEA5FDD" w14:textId="77777777" w:rsidR="00EA422B" w:rsidRPr="004C184C" w:rsidRDefault="00EA422B" w:rsidP="00216691">
      <w:pPr>
        <w:pStyle w:val="SingleTxtG"/>
        <w:rPr>
          <w:lang w:val="en-US"/>
        </w:rPr>
      </w:pPr>
      <w:r w:rsidRPr="004C184C">
        <w:rPr>
          <w:lang w:val="en-US"/>
        </w:rPr>
        <w:t>105.</w:t>
      </w:r>
      <w:r w:rsidRPr="004C184C">
        <w:rPr>
          <w:lang w:val="en-US"/>
        </w:rPr>
        <w:tab/>
        <w:t xml:space="preserve">The right to freedom of expression is guaranteed under the Thai Constitution, in line with international laws in particular Article 19 of the ICCPR. Thailand recognizes these freedoms as enablers of all other human rights and the foundation of our democracy. </w:t>
      </w:r>
    </w:p>
    <w:p w14:paraId="096C50B8" w14:textId="0F251517" w:rsidR="00EA422B" w:rsidRPr="004C184C" w:rsidRDefault="00EA422B" w:rsidP="00216691">
      <w:pPr>
        <w:pStyle w:val="SingleTxtG"/>
        <w:rPr>
          <w:lang w:val="en-US"/>
        </w:rPr>
      </w:pPr>
      <w:r w:rsidRPr="004C184C">
        <w:rPr>
          <w:lang w:val="en-US"/>
        </w:rPr>
        <w:t>106.</w:t>
      </w:r>
      <w:r w:rsidRPr="004C184C">
        <w:rPr>
          <w:lang w:val="en-US"/>
        </w:rPr>
        <w:tab/>
        <w:t>Section 35 of the 2017 Constitution lays down the guarantees on the freedom of the press and media, including the following:</w:t>
      </w:r>
    </w:p>
    <w:p w14:paraId="1B61557F" w14:textId="77777777" w:rsidR="00EA422B" w:rsidRPr="004C184C" w:rsidRDefault="00EA422B" w:rsidP="001B157D">
      <w:pPr>
        <w:pStyle w:val="SingleTxtG"/>
        <w:ind w:left="2268" w:hanging="567"/>
        <w:rPr>
          <w:lang w:val="en-US"/>
        </w:rPr>
      </w:pPr>
      <w:r w:rsidRPr="004C184C">
        <w:rPr>
          <w:lang w:val="en-US"/>
        </w:rPr>
        <w:t>1.</w:t>
      </w:r>
      <w:r w:rsidRPr="004C184C">
        <w:rPr>
          <w:lang w:val="en-US"/>
        </w:rPr>
        <w:tab/>
        <w:t>Media professionals shall enjoy the liberty to present news or express opinions in accordance with professional ethics;</w:t>
      </w:r>
    </w:p>
    <w:p w14:paraId="76235075" w14:textId="77777777" w:rsidR="00EA422B" w:rsidRPr="004C184C" w:rsidRDefault="00EA422B" w:rsidP="001B157D">
      <w:pPr>
        <w:pStyle w:val="SingleTxtG"/>
        <w:ind w:left="2268" w:hanging="567"/>
        <w:rPr>
          <w:lang w:val="en-US"/>
        </w:rPr>
      </w:pPr>
      <w:r w:rsidRPr="004C184C">
        <w:rPr>
          <w:lang w:val="en-US"/>
        </w:rPr>
        <w:t>2.</w:t>
      </w:r>
      <w:r w:rsidRPr="004C184C">
        <w:rPr>
          <w:lang w:val="en-US"/>
        </w:rPr>
        <w:tab/>
        <w:t>The closure of a newspaper or other mass media in deprivation of the liberty under paragraph one shall not be permitted. Censorship by a competent official of any news or statements made by a media professional prior to the publication in a newspaper or other media shall not be permitted, except during the time when the country is in a state of war;</w:t>
      </w:r>
    </w:p>
    <w:p w14:paraId="7EDD924B" w14:textId="77777777" w:rsidR="00EA422B" w:rsidRPr="004C184C" w:rsidRDefault="00EA422B" w:rsidP="001B157D">
      <w:pPr>
        <w:pStyle w:val="SingleTxtG"/>
        <w:ind w:left="2268" w:hanging="567"/>
        <w:rPr>
          <w:lang w:val="en-US"/>
        </w:rPr>
      </w:pPr>
      <w:r w:rsidRPr="004C184C">
        <w:rPr>
          <w:lang w:val="en-US"/>
        </w:rPr>
        <w:t>3.</w:t>
      </w:r>
      <w:r w:rsidRPr="004C184C">
        <w:rPr>
          <w:lang w:val="en-US"/>
        </w:rPr>
        <w:tab/>
        <w:t>No grant of money or other properties shall be made by the State as subsidies to private newspapers or other private mass media.</w:t>
      </w:r>
    </w:p>
    <w:p w14:paraId="15423F49" w14:textId="77777777" w:rsidR="00EA422B" w:rsidRPr="004C184C" w:rsidRDefault="00EA422B" w:rsidP="001B157D">
      <w:pPr>
        <w:pStyle w:val="H23G"/>
        <w:rPr>
          <w:lang w:val="en-US"/>
        </w:rPr>
      </w:pPr>
      <w:r w:rsidRPr="004C184C">
        <w:rPr>
          <w:lang w:val="en-US"/>
        </w:rPr>
        <w:tab/>
      </w:r>
      <w:r w:rsidRPr="004C184C">
        <w:rPr>
          <w:lang w:val="en-US"/>
        </w:rPr>
        <w:tab/>
        <w:t>Right to be free from slavery</w:t>
      </w:r>
    </w:p>
    <w:p w14:paraId="298286B2" w14:textId="2B88085A" w:rsidR="00EA422B" w:rsidRPr="004C184C" w:rsidRDefault="00EA422B" w:rsidP="00216691">
      <w:pPr>
        <w:pStyle w:val="SingleTxtG"/>
        <w:rPr>
          <w:lang w:val="en-US"/>
        </w:rPr>
      </w:pPr>
      <w:r w:rsidRPr="004C184C">
        <w:rPr>
          <w:lang w:val="en-US"/>
        </w:rPr>
        <w:t>107.</w:t>
      </w:r>
      <w:r w:rsidRPr="004C184C">
        <w:rPr>
          <w:lang w:val="en-US"/>
        </w:rPr>
        <w:tab/>
        <w:t>Slavery is contrary to Section 312 of the Penal Code and the Anti</w:t>
      </w:r>
      <w:r w:rsidR="00D97E73" w:rsidRPr="004C184C">
        <w:rPr>
          <w:lang w:val="en-US"/>
        </w:rPr>
        <w:t>-</w:t>
      </w:r>
      <w:r w:rsidRPr="004C184C">
        <w:rPr>
          <w:lang w:val="en-US"/>
        </w:rPr>
        <w:t>Human Trafficking Act B.E. 2551 (2008). The latter piece of legislation has recently been amended in 2015 to further intensify the country</w:t>
      </w:r>
      <w:r w:rsidR="00567EA4" w:rsidRPr="004C184C">
        <w:rPr>
          <w:lang w:val="en-US"/>
        </w:rPr>
        <w:t>’</w:t>
      </w:r>
      <w:r w:rsidRPr="004C184C">
        <w:rPr>
          <w:lang w:val="en-US"/>
        </w:rPr>
        <w:t>s efforts to combat trafficking in persons by granting the power to authorities to temporarily close business establishments or factories,</w:t>
      </w:r>
      <w:r w:rsidRPr="004C184C">
        <w:rPr>
          <w:cs/>
          <w:lang w:val="en-US"/>
        </w:rPr>
        <w:t xml:space="preserve"> </w:t>
      </w:r>
      <w:r w:rsidRPr="004C184C">
        <w:rPr>
          <w:lang w:val="en-US"/>
        </w:rPr>
        <w:t xml:space="preserve">as well as protect persons who notify, in good faith, officials of the offences committed under this Act from both civil and criminal liability. The Act has also been further amended in 2017 and 2019 to deal with the issue more effectively by giving a clearer definition of </w:t>
      </w:r>
      <w:r w:rsidR="00567EA4" w:rsidRPr="004C184C">
        <w:rPr>
          <w:lang w:val="en-US"/>
        </w:rPr>
        <w:t>“</w:t>
      </w:r>
      <w:r w:rsidRPr="004C184C">
        <w:rPr>
          <w:lang w:val="en-US"/>
        </w:rPr>
        <w:t>trafficking in persons</w:t>
      </w:r>
      <w:r w:rsidR="00567EA4" w:rsidRPr="004C184C">
        <w:rPr>
          <w:lang w:val="en-US"/>
        </w:rPr>
        <w:t>”</w:t>
      </w:r>
      <w:r w:rsidRPr="004C184C">
        <w:rPr>
          <w:lang w:val="en-US"/>
        </w:rPr>
        <w:t xml:space="preserve"> and, by focusing on the prevention and suppression of forced </w:t>
      </w:r>
      <w:proofErr w:type="spellStart"/>
      <w:r w:rsidRPr="004C184C">
        <w:rPr>
          <w:lang w:val="en-US"/>
        </w:rPr>
        <w:t>labour</w:t>
      </w:r>
      <w:proofErr w:type="spellEnd"/>
      <w:r w:rsidRPr="004C184C">
        <w:rPr>
          <w:lang w:val="en-US"/>
        </w:rPr>
        <w:t xml:space="preserve"> and protection and remedy for victims, respectively.</w:t>
      </w:r>
    </w:p>
    <w:p w14:paraId="0F7636D4" w14:textId="6FCB23D6" w:rsidR="00EA422B" w:rsidRPr="004C184C" w:rsidRDefault="00EA422B" w:rsidP="00216691">
      <w:pPr>
        <w:pStyle w:val="SingleTxtG"/>
        <w:rPr>
          <w:lang w:val="en-US"/>
        </w:rPr>
      </w:pPr>
      <w:r w:rsidRPr="004C184C">
        <w:rPr>
          <w:lang w:val="en-US"/>
        </w:rPr>
        <w:t>108.</w:t>
      </w:r>
      <w:r w:rsidRPr="004C184C">
        <w:rPr>
          <w:lang w:val="en-US"/>
        </w:rPr>
        <w:tab/>
        <w:t xml:space="preserve">As a country of origin, transit and destination, Thailand attracts many migrants, particularly from </w:t>
      </w:r>
      <w:proofErr w:type="spellStart"/>
      <w:r w:rsidRPr="004C184C">
        <w:rPr>
          <w:lang w:val="en-US"/>
        </w:rPr>
        <w:t>neighbouring</w:t>
      </w:r>
      <w:proofErr w:type="spellEnd"/>
      <w:r w:rsidRPr="004C184C">
        <w:rPr>
          <w:lang w:val="en-US"/>
        </w:rPr>
        <w:t xml:space="preserve"> countries, some of whom are at risk of being subject to exploitation and trafficking. Tremendous efforts have been made to fight against trafficking in persons and assist those who fall prey, be they Thai nationals or migrants. All victims of trafficking in persons will be allowed to temporarily reside in Thailand during relevant legal procedures. They can choose to stay either in the Ministry of Social Development and Human Security</w:t>
      </w:r>
      <w:r w:rsidR="00567EA4" w:rsidRPr="004C184C">
        <w:rPr>
          <w:lang w:val="en-US"/>
        </w:rPr>
        <w:t>’</w:t>
      </w:r>
      <w:r w:rsidRPr="004C184C">
        <w:rPr>
          <w:lang w:val="en-US"/>
        </w:rPr>
        <w:t>s shelters or NGO</w:t>
      </w:r>
      <w:r w:rsidR="00D97E73" w:rsidRPr="004C184C">
        <w:rPr>
          <w:lang w:val="en-US"/>
        </w:rPr>
        <w:t>-</w:t>
      </w:r>
      <w:r w:rsidRPr="004C184C">
        <w:rPr>
          <w:lang w:val="en-US"/>
        </w:rPr>
        <w:t xml:space="preserve">run shelters, and will be provided with an opportunity to earn income. Thailand continues to attach importance to collaboration with countries of origin and other international partners in providing protection for victims and promoting their reintegration to society. Thailand has been working very closely with respective embassies and international organizations to safely repatriate victims of human trafficking. Thailand also uses bilateral meetings on repatriation and reintegration of victims with our </w:t>
      </w:r>
      <w:proofErr w:type="spellStart"/>
      <w:r w:rsidRPr="004C184C">
        <w:rPr>
          <w:lang w:val="en-US"/>
        </w:rPr>
        <w:t>neighbouring</w:t>
      </w:r>
      <w:proofErr w:type="spellEnd"/>
      <w:r w:rsidRPr="004C184C">
        <w:rPr>
          <w:lang w:val="en-US"/>
        </w:rPr>
        <w:t xml:space="preserve"> countries to serve as a mechanism to effectively protect victims through exchanges of information and coordination on prosecution. Thailand has also collaborated with the private sector, international organizations and NGOs to enhance protection for victims of human trafficking.</w:t>
      </w:r>
    </w:p>
    <w:p w14:paraId="45222687" w14:textId="77777777" w:rsidR="00EA422B" w:rsidRPr="004C184C" w:rsidRDefault="00EA422B" w:rsidP="001B157D">
      <w:pPr>
        <w:pStyle w:val="H23G"/>
        <w:rPr>
          <w:lang w:val="en-US"/>
        </w:rPr>
      </w:pPr>
      <w:r w:rsidRPr="004C184C">
        <w:rPr>
          <w:lang w:val="en-US"/>
        </w:rPr>
        <w:lastRenderedPageBreak/>
        <w:tab/>
      </w:r>
      <w:r w:rsidRPr="004C184C">
        <w:rPr>
          <w:lang w:val="en-US"/>
        </w:rPr>
        <w:tab/>
        <w:t>Business and human rights</w:t>
      </w:r>
    </w:p>
    <w:p w14:paraId="4A2CD5C5" w14:textId="77777777" w:rsidR="00EA422B" w:rsidRPr="004C184C" w:rsidRDefault="00EA422B" w:rsidP="001B157D">
      <w:pPr>
        <w:pStyle w:val="SingleTxtG"/>
        <w:rPr>
          <w:lang w:val="en-US"/>
        </w:rPr>
      </w:pPr>
      <w:r w:rsidRPr="004C184C">
        <w:rPr>
          <w:lang w:val="en-US"/>
        </w:rPr>
        <w:t>109.</w:t>
      </w:r>
      <w:r w:rsidRPr="004C184C">
        <w:rPr>
          <w:lang w:val="en-US"/>
        </w:rPr>
        <w:tab/>
        <w:t>On 31 May 2017, the Declaration on Cooperation to Promote the United Nations Guiding Principles on Business and Human Rights (UNGP) was signed by the relevant ministries, business chambers, the National Human Rights Commission and the UN Global Compact Network Thailand.</w:t>
      </w:r>
    </w:p>
    <w:p w14:paraId="3511C068" w14:textId="672675A0" w:rsidR="00EA422B" w:rsidRPr="004C184C" w:rsidRDefault="00EA422B" w:rsidP="001B157D">
      <w:pPr>
        <w:pStyle w:val="SingleTxtG"/>
        <w:rPr>
          <w:lang w:val="en-US"/>
        </w:rPr>
      </w:pPr>
      <w:r w:rsidRPr="004C184C">
        <w:rPr>
          <w:lang w:val="en-US"/>
        </w:rPr>
        <w:t>110.</w:t>
      </w:r>
      <w:r w:rsidRPr="004C184C">
        <w:rPr>
          <w:lang w:val="en-US"/>
        </w:rPr>
        <w:tab/>
        <w:t xml:space="preserve">Thailand adopted as the first country in Asia, a National Action Plan on Business and Human Rights (NAP) on 29 October 2019. It has 4 priority areas: (1) </w:t>
      </w:r>
      <w:proofErr w:type="spellStart"/>
      <w:r w:rsidRPr="004C184C">
        <w:rPr>
          <w:lang w:val="en-US"/>
        </w:rPr>
        <w:t>labour</w:t>
      </w:r>
      <w:proofErr w:type="spellEnd"/>
      <w:r w:rsidRPr="004C184C">
        <w:rPr>
          <w:lang w:val="en-US"/>
        </w:rPr>
        <w:t>, (2) land, environment and natural resources, (3) human rights defenders, and (4) cross</w:t>
      </w:r>
      <w:r w:rsidR="00D97E73" w:rsidRPr="004C184C">
        <w:rPr>
          <w:lang w:val="en-US"/>
        </w:rPr>
        <w:t>-</w:t>
      </w:r>
      <w:r w:rsidRPr="004C184C">
        <w:rPr>
          <w:lang w:val="en-US"/>
        </w:rPr>
        <w:t>border investment and multi</w:t>
      </w:r>
      <w:r w:rsidR="00D97E73" w:rsidRPr="004C184C">
        <w:rPr>
          <w:lang w:val="en-US"/>
        </w:rPr>
        <w:t>-</w:t>
      </w:r>
      <w:r w:rsidRPr="004C184C">
        <w:rPr>
          <w:lang w:val="en-US"/>
        </w:rPr>
        <w:t>national enterprises. A multi</w:t>
      </w:r>
      <w:r w:rsidR="00D97E73" w:rsidRPr="004C184C">
        <w:rPr>
          <w:lang w:val="en-US"/>
        </w:rPr>
        <w:t>-</w:t>
      </w:r>
      <w:r w:rsidRPr="004C184C">
        <w:rPr>
          <w:lang w:val="en-US"/>
        </w:rPr>
        <w:t>stakeholder committee has been established to prescribe, prepare, monitor and analyze the implementation of the NAP.</w:t>
      </w:r>
    </w:p>
    <w:p w14:paraId="050F2775" w14:textId="199A112A" w:rsidR="00EA422B" w:rsidRPr="004C184C" w:rsidRDefault="00EA422B" w:rsidP="001B157D">
      <w:pPr>
        <w:pStyle w:val="SingleTxtG"/>
        <w:rPr>
          <w:lang w:val="en-US"/>
        </w:rPr>
      </w:pPr>
      <w:r w:rsidRPr="004C184C">
        <w:rPr>
          <w:lang w:val="en-US"/>
        </w:rPr>
        <w:t>111.</w:t>
      </w:r>
      <w:r w:rsidRPr="004C184C">
        <w:rPr>
          <w:lang w:val="en-US"/>
        </w:rPr>
        <w:tab/>
        <w:t>In addition, the implementation of the NAP will be supported by, among others, Thailand and the OECD co</w:t>
      </w:r>
      <w:r w:rsidR="00D97E73" w:rsidRPr="004C184C">
        <w:rPr>
          <w:lang w:val="en-US"/>
        </w:rPr>
        <w:t>-</w:t>
      </w:r>
      <w:r w:rsidRPr="004C184C">
        <w:rPr>
          <w:lang w:val="en-US"/>
        </w:rPr>
        <w:t xml:space="preserve">operation </w:t>
      </w:r>
      <w:proofErr w:type="spellStart"/>
      <w:r w:rsidRPr="004C184C">
        <w:rPr>
          <w:lang w:val="en-US"/>
        </w:rPr>
        <w:t>programme</w:t>
      </w:r>
      <w:proofErr w:type="spellEnd"/>
      <w:r w:rsidRPr="004C184C">
        <w:rPr>
          <w:lang w:val="en-US"/>
        </w:rPr>
        <w:t xml:space="preserve"> in promoting and enabling Responsible Business Conduct, with a two</w:t>
      </w:r>
      <w:r w:rsidR="00D97E73" w:rsidRPr="004C184C">
        <w:rPr>
          <w:lang w:val="en-US"/>
        </w:rPr>
        <w:t>-</w:t>
      </w:r>
      <w:r w:rsidRPr="004C184C">
        <w:rPr>
          <w:lang w:val="en-US"/>
        </w:rPr>
        <w:t>year RBC cooperation work plan being developed.</w:t>
      </w:r>
    </w:p>
    <w:p w14:paraId="31696688" w14:textId="77777777" w:rsidR="00EA422B" w:rsidRPr="004C184C" w:rsidRDefault="00EA422B" w:rsidP="001B157D">
      <w:pPr>
        <w:pStyle w:val="H23G"/>
        <w:rPr>
          <w:lang w:val="en-US"/>
        </w:rPr>
      </w:pPr>
      <w:r w:rsidRPr="004C184C">
        <w:rPr>
          <w:lang w:val="en-US"/>
        </w:rPr>
        <w:tab/>
      </w:r>
      <w:r w:rsidRPr="004C184C">
        <w:rPr>
          <w:lang w:val="en-US"/>
        </w:rPr>
        <w:tab/>
        <w:t>Rights of specific groups</w:t>
      </w:r>
    </w:p>
    <w:p w14:paraId="338F3DA2" w14:textId="77777777" w:rsidR="00EA422B" w:rsidRPr="004C184C" w:rsidRDefault="00EA422B" w:rsidP="001B157D">
      <w:pPr>
        <w:pStyle w:val="H4G"/>
        <w:rPr>
          <w:lang w:val="en-US"/>
        </w:rPr>
      </w:pPr>
      <w:r w:rsidRPr="004C184C">
        <w:rPr>
          <w:lang w:val="en-US"/>
        </w:rPr>
        <w:tab/>
      </w:r>
      <w:r w:rsidRPr="004C184C">
        <w:rPr>
          <w:lang w:val="en-US"/>
        </w:rPr>
        <w:tab/>
        <w:t>Children</w:t>
      </w:r>
    </w:p>
    <w:p w14:paraId="193C3B9B" w14:textId="3EDD5B67" w:rsidR="00EA422B" w:rsidRPr="004C184C" w:rsidRDefault="00EA422B" w:rsidP="001B157D">
      <w:pPr>
        <w:pStyle w:val="SingleTxtG"/>
        <w:rPr>
          <w:lang w:val="en-US"/>
        </w:rPr>
      </w:pPr>
      <w:r w:rsidRPr="004C184C">
        <w:rPr>
          <w:lang w:val="en-US"/>
        </w:rPr>
        <w:t>112.</w:t>
      </w:r>
      <w:r w:rsidRPr="004C184C">
        <w:rPr>
          <w:lang w:val="en-US"/>
        </w:rPr>
        <w:tab/>
        <w:t>The National Child and Youth Development Promotion Act B.E. 2550 (2007) promotes the best interest of the child and guarantees a child</w:t>
      </w:r>
      <w:r w:rsidR="00567EA4" w:rsidRPr="004C184C">
        <w:rPr>
          <w:lang w:val="en-US"/>
        </w:rPr>
        <w:t>’</w:t>
      </w:r>
      <w:r w:rsidRPr="004C184C">
        <w:rPr>
          <w:lang w:val="en-US"/>
        </w:rPr>
        <w:t xml:space="preserve">s basic rights without discrimination. The Act also promotes and instills in children, ethics and values, e.g., a familial bond, national pride and democratic values, freedom of expression and participation in public life. It also reaffirms the rights of children to the highest available standard of health care and the rights to play and to participate in cultural and social affairs. </w:t>
      </w:r>
    </w:p>
    <w:p w14:paraId="36C77549" w14:textId="77777777" w:rsidR="00EA422B" w:rsidRPr="004C184C" w:rsidRDefault="00EA422B" w:rsidP="001B157D">
      <w:pPr>
        <w:pStyle w:val="SingleTxtG"/>
        <w:rPr>
          <w:lang w:val="en-US"/>
        </w:rPr>
      </w:pPr>
      <w:r w:rsidRPr="004C184C">
        <w:rPr>
          <w:lang w:val="en-US"/>
        </w:rPr>
        <w:t>113.</w:t>
      </w:r>
      <w:r w:rsidRPr="004C184C">
        <w:rPr>
          <w:lang w:val="en-US"/>
        </w:rPr>
        <w:tab/>
        <w:t xml:space="preserve">The National Child and Youth Development Plan B.E. 2560–2564 (2017–2021) provides a framework for the development of programs and activities for children and youth consistent with the 12th National Economic and Social Development Plan. The main goal of the plan is to ensure that children and youth lead safe and secure lives; are physically and mentally healthy; have good ethics and morals and a sense of civic duty; are able to express themselves creatively; and are fundamentally happy. </w:t>
      </w:r>
    </w:p>
    <w:p w14:paraId="1CEB5267" w14:textId="369D0D00" w:rsidR="00EA422B" w:rsidRPr="004C184C" w:rsidRDefault="00EA422B" w:rsidP="001B157D">
      <w:pPr>
        <w:pStyle w:val="SingleTxtG"/>
        <w:rPr>
          <w:lang w:val="en-US"/>
        </w:rPr>
      </w:pPr>
      <w:bookmarkStart w:id="17" w:name="_Ref51771110"/>
      <w:r w:rsidRPr="004C184C">
        <w:rPr>
          <w:lang w:val="en-US"/>
        </w:rPr>
        <w:t>114.</w:t>
      </w:r>
      <w:r w:rsidRPr="004C184C">
        <w:rPr>
          <w:lang w:val="en-US"/>
        </w:rPr>
        <w:tab/>
        <w:t xml:space="preserve">By a Cabinet Resolution of 2005, all children shall receive fifteen years of basic education without discrimination, regardless of nationality or the ability to present official documents confirming any other type of status, according to the </w:t>
      </w:r>
      <w:r w:rsidR="00567EA4" w:rsidRPr="004C184C">
        <w:rPr>
          <w:lang w:val="en-US"/>
        </w:rPr>
        <w:t>‘</w:t>
      </w:r>
      <w:r w:rsidRPr="004C184C">
        <w:rPr>
          <w:lang w:val="en-US"/>
        </w:rPr>
        <w:t>Education for All</w:t>
      </w:r>
      <w:r w:rsidR="00567EA4" w:rsidRPr="004C184C">
        <w:rPr>
          <w:lang w:val="en-US"/>
        </w:rPr>
        <w:t>’</w:t>
      </w:r>
      <w:r w:rsidRPr="004C184C">
        <w:rPr>
          <w:lang w:val="en-US"/>
        </w:rPr>
        <w:t xml:space="preserve"> policy</w:t>
      </w:r>
      <w:r w:rsidRPr="004C184C">
        <w:rPr>
          <w:cs/>
          <w:lang w:val="en-US"/>
        </w:rPr>
        <w:t xml:space="preserve">. </w:t>
      </w:r>
      <w:r w:rsidRPr="004C184C">
        <w:rPr>
          <w:lang w:val="en-US"/>
        </w:rPr>
        <w:t>The State shall subsidize per head expenditure to the educational institutions concerned in facilitating such action</w:t>
      </w:r>
      <w:r w:rsidRPr="004C184C">
        <w:rPr>
          <w:cs/>
          <w:lang w:val="en-US"/>
        </w:rPr>
        <w:t>.</w:t>
      </w:r>
      <w:bookmarkEnd w:id="17"/>
    </w:p>
    <w:p w14:paraId="0AC50DF1" w14:textId="77777777" w:rsidR="00EA422B" w:rsidRPr="004C184C" w:rsidRDefault="00EA422B" w:rsidP="001B157D">
      <w:pPr>
        <w:pStyle w:val="SingleTxtG"/>
        <w:rPr>
          <w:lang w:val="en-US"/>
        </w:rPr>
      </w:pPr>
      <w:bookmarkStart w:id="18" w:name="_Ref51770753"/>
      <w:r w:rsidRPr="004C184C">
        <w:rPr>
          <w:lang w:val="en-US"/>
        </w:rPr>
        <w:t>115.</w:t>
      </w:r>
      <w:r w:rsidRPr="004C184C">
        <w:rPr>
          <w:lang w:val="en-US"/>
        </w:rPr>
        <w:tab/>
        <w:t xml:space="preserve">The Equitable Education Fund (EEF) was established under the 2018 Education Equality Fund Act, effective from 14 May 2018. The Fund is an important tool in reducing inequality and increasing educational opportunities. It responds to the needs of the disadvantaged to receive education together, as well as to enhance and improve teacher quality and efficiency. In addition, the EEF provides subsidies for activities to develop vocational skills and life skills. </w:t>
      </w:r>
      <w:bookmarkEnd w:id="18"/>
    </w:p>
    <w:p w14:paraId="44B485D5" w14:textId="77777777" w:rsidR="00EA422B" w:rsidRPr="004C184C" w:rsidRDefault="00EA422B" w:rsidP="001B157D">
      <w:pPr>
        <w:pStyle w:val="SingleTxtG"/>
        <w:rPr>
          <w:lang w:val="en-US"/>
        </w:rPr>
      </w:pPr>
      <w:r w:rsidRPr="004C184C">
        <w:rPr>
          <w:lang w:val="en-US"/>
        </w:rPr>
        <w:t>116.</w:t>
      </w:r>
      <w:r w:rsidRPr="004C184C">
        <w:rPr>
          <w:lang w:val="en-US"/>
        </w:rPr>
        <w:tab/>
        <w:t>According to Section 287</w:t>
      </w:r>
      <w:r w:rsidRPr="004C184C">
        <w:rPr>
          <w:cs/>
          <w:lang w:val="en-US"/>
        </w:rPr>
        <w:t>/</w:t>
      </w:r>
      <w:r w:rsidRPr="004C184C">
        <w:rPr>
          <w:lang w:val="en-US"/>
        </w:rPr>
        <w:t>1 of the Penal Code, child pornography is a specific offence under Thai law punishing whoever has it in his or her possession</w:t>
      </w:r>
      <w:r w:rsidRPr="004C184C">
        <w:rPr>
          <w:cs/>
          <w:lang w:val="en-US"/>
        </w:rPr>
        <w:t>.</w:t>
      </w:r>
    </w:p>
    <w:p w14:paraId="5C7F0775" w14:textId="60885B99" w:rsidR="00EA422B" w:rsidRPr="004C184C" w:rsidRDefault="00EA422B" w:rsidP="001B157D">
      <w:pPr>
        <w:pStyle w:val="SingleTxtG"/>
        <w:rPr>
          <w:lang w:val="en-US"/>
        </w:rPr>
      </w:pPr>
      <w:r w:rsidRPr="004C184C">
        <w:rPr>
          <w:lang w:val="en-US"/>
        </w:rPr>
        <w:t>117.</w:t>
      </w:r>
      <w:r w:rsidRPr="004C184C">
        <w:rPr>
          <w:lang w:val="en-US"/>
        </w:rPr>
        <w:tab/>
        <w:t>On 21 January 2019, 7 Thai agencies concerned signed an MoU on the Determination of Measures and Approaches Alternative to the Detention of Children in Immigration Detention Centers (IDCs). The MoU aims to determine responsibilities and provide common guidelines to integrate procedures on the non</w:t>
      </w:r>
      <w:r w:rsidR="00D97E73" w:rsidRPr="004C184C">
        <w:rPr>
          <w:lang w:val="en-US"/>
        </w:rPr>
        <w:t>-</w:t>
      </w:r>
      <w:r w:rsidRPr="004C184C">
        <w:rPr>
          <w:lang w:val="en-US"/>
        </w:rPr>
        <w:t>detention of migrant children under the age of 18. Instead of staying in an IDC, the children and their mothers or guardians will be placed either under the care of the Ministry of Social Development and Human Security, private organizations, or civil society organizations while awaiting long</w:t>
      </w:r>
      <w:r w:rsidR="00D97E73" w:rsidRPr="004C184C">
        <w:rPr>
          <w:lang w:val="en-US"/>
        </w:rPr>
        <w:t>-</w:t>
      </w:r>
      <w:r w:rsidRPr="004C184C">
        <w:rPr>
          <w:lang w:val="en-US"/>
        </w:rPr>
        <w:t>term solutions.</w:t>
      </w:r>
    </w:p>
    <w:p w14:paraId="104DED7F" w14:textId="77777777" w:rsidR="00EA422B" w:rsidRPr="004C184C" w:rsidRDefault="00EA422B" w:rsidP="006D1D92">
      <w:pPr>
        <w:pStyle w:val="H4G"/>
        <w:rPr>
          <w:lang w:val="en-US"/>
        </w:rPr>
      </w:pPr>
      <w:r w:rsidRPr="004C184C">
        <w:rPr>
          <w:lang w:val="en-US"/>
        </w:rPr>
        <w:tab/>
      </w:r>
      <w:r w:rsidRPr="004C184C">
        <w:rPr>
          <w:lang w:val="en-US"/>
        </w:rPr>
        <w:tab/>
        <w:t>Women</w:t>
      </w:r>
      <w:bookmarkStart w:id="19" w:name="_Ref45066190"/>
    </w:p>
    <w:p w14:paraId="189CDA62" w14:textId="3FB0C181" w:rsidR="00EA422B" w:rsidRPr="004C184C" w:rsidRDefault="00EA422B" w:rsidP="001B157D">
      <w:pPr>
        <w:pStyle w:val="SingleTxtG"/>
        <w:rPr>
          <w:lang w:val="en-US"/>
        </w:rPr>
      </w:pPr>
      <w:r w:rsidRPr="004C184C">
        <w:rPr>
          <w:lang w:val="en-US"/>
        </w:rPr>
        <w:t>118.</w:t>
      </w:r>
      <w:r w:rsidRPr="004C184C">
        <w:rPr>
          <w:lang w:val="en-US"/>
        </w:rPr>
        <w:tab/>
        <w:t xml:space="preserve">The Government has strengthened relevant legislation and policies to promote equal economic rights and opportunities, such as the Gender Equality Act (2015), the Social Security Act (1990) and the amendment to the </w:t>
      </w:r>
      <w:r w:rsidR="00CD7579" w:rsidRPr="004C184C">
        <w:rPr>
          <w:lang w:val="en-US"/>
        </w:rPr>
        <w:t>Labor</w:t>
      </w:r>
      <w:r w:rsidRPr="004C184C">
        <w:rPr>
          <w:lang w:val="en-US"/>
        </w:rPr>
        <w:t xml:space="preserve"> Protection Act (2008) to ensure equal </w:t>
      </w:r>
      <w:r w:rsidRPr="004C184C">
        <w:rPr>
          <w:lang w:val="en-US"/>
        </w:rPr>
        <w:lastRenderedPageBreak/>
        <w:t>pay for equal work. In addition, Thailand has established the Thai Women</w:t>
      </w:r>
      <w:r w:rsidR="00567EA4" w:rsidRPr="004C184C">
        <w:rPr>
          <w:lang w:val="en-US"/>
        </w:rPr>
        <w:t>’</w:t>
      </w:r>
      <w:r w:rsidRPr="004C184C">
        <w:rPr>
          <w:lang w:val="en-US"/>
        </w:rPr>
        <w:t xml:space="preserve">s Empowerment Fund, as well as eight Women and Family Development Learning Centers across the country. </w:t>
      </w:r>
    </w:p>
    <w:p w14:paraId="5472B2BF" w14:textId="05CEB627" w:rsidR="00EA422B" w:rsidRPr="004C184C" w:rsidRDefault="00EA422B" w:rsidP="001B157D">
      <w:pPr>
        <w:pStyle w:val="SingleTxtG"/>
        <w:rPr>
          <w:lang w:val="en-US"/>
        </w:rPr>
      </w:pPr>
      <w:r w:rsidRPr="004C184C">
        <w:rPr>
          <w:lang w:val="en-US"/>
        </w:rPr>
        <w:t>119.</w:t>
      </w:r>
      <w:r w:rsidRPr="004C184C">
        <w:rPr>
          <w:lang w:val="en-US"/>
        </w:rPr>
        <w:tab/>
        <w:t>All the National Human Rights Plans have identified women and girls as a target group with strategies and obligations to promote and protect their rights. The National Women</w:t>
      </w:r>
      <w:r w:rsidR="00567EA4" w:rsidRPr="004C184C">
        <w:rPr>
          <w:lang w:val="en-US"/>
        </w:rPr>
        <w:t>’</w:t>
      </w:r>
      <w:r w:rsidRPr="004C184C">
        <w:rPr>
          <w:lang w:val="en-US"/>
        </w:rPr>
        <w:t>s Development Strategy (2017–2021) lays down a roadmap for advancing gender equality and women</w:t>
      </w:r>
      <w:r w:rsidR="00567EA4" w:rsidRPr="004C184C">
        <w:rPr>
          <w:lang w:val="en-US"/>
        </w:rPr>
        <w:t>’</w:t>
      </w:r>
      <w:r w:rsidRPr="004C184C">
        <w:rPr>
          <w:lang w:val="en-US"/>
        </w:rPr>
        <w:t>s empowerment, integrating principles and standards from the Convention on the Elimination of All Forms of Discrimination against Women (CEDAW), the Beijing Declaration and Platform for Action, and the 2030 Agenda for Sustainable Development.</w:t>
      </w:r>
      <w:bookmarkEnd w:id="19"/>
      <w:r w:rsidRPr="004C184C">
        <w:rPr>
          <w:lang w:val="en-US"/>
        </w:rPr>
        <w:t xml:space="preserve"> </w:t>
      </w:r>
    </w:p>
    <w:p w14:paraId="4F403EB9" w14:textId="77777777" w:rsidR="00EA422B" w:rsidRPr="004C184C" w:rsidRDefault="00EA422B" w:rsidP="006D1D92">
      <w:pPr>
        <w:pStyle w:val="H4G"/>
        <w:rPr>
          <w:lang w:val="en-US"/>
        </w:rPr>
      </w:pPr>
      <w:r w:rsidRPr="004C184C">
        <w:rPr>
          <w:lang w:val="en-US"/>
        </w:rPr>
        <w:tab/>
      </w:r>
      <w:r w:rsidRPr="004C184C">
        <w:rPr>
          <w:lang w:val="en-US"/>
        </w:rPr>
        <w:tab/>
        <w:t>LGBTs</w:t>
      </w:r>
    </w:p>
    <w:p w14:paraId="6EB32A47" w14:textId="674F8D67" w:rsidR="00EA422B" w:rsidRPr="004C184C" w:rsidRDefault="00EA422B" w:rsidP="001B157D">
      <w:pPr>
        <w:pStyle w:val="SingleTxtG"/>
        <w:rPr>
          <w:lang w:val="en-US"/>
        </w:rPr>
      </w:pPr>
      <w:r w:rsidRPr="004C184C">
        <w:rPr>
          <w:lang w:val="en-US"/>
        </w:rPr>
        <w:t>120.</w:t>
      </w:r>
      <w:r w:rsidRPr="004C184C">
        <w:rPr>
          <w:lang w:val="en-US"/>
        </w:rPr>
        <w:tab/>
        <w:t>The Gender Equality Act of 2015 is a milestone piece of legislation to address gender discrimination whether such person is male, female or expresses themselves differently from their inborn gender. The Act also establishes national mechanisms to streamline related policies, oversee petitions and provide remedies for persons who are discriminated against based on their gender.</w:t>
      </w:r>
    </w:p>
    <w:p w14:paraId="6A69D549" w14:textId="3795F80A" w:rsidR="00EA422B" w:rsidRPr="004C184C" w:rsidRDefault="00EA422B" w:rsidP="001B157D">
      <w:pPr>
        <w:pStyle w:val="SingleTxtG"/>
        <w:rPr>
          <w:lang w:val="en-US"/>
        </w:rPr>
      </w:pPr>
      <w:r w:rsidRPr="004C184C">
        <w:rPr>
          <w:lang w:val="en-US"/>
        </w:rPr>
        <w:t>121.</w:t>
      </w:r>
      <w:r w:rsidRPr="004C184C">
        <w:rPr>
          <w:lang w:val="en-US"/>
        </w:rPr>
        <w:tab/>
        <w:t>The 4th National Human Rights Plan (2019–2023) ensures that all actors are committed to promoting human rights and gender equality, which is fundamental to achieving sustainable development.</w:t>
      </w:r>
    </w:p>
    <w:p w14:paraId="79283625" w14:textId="0F5969AF" w:rsidR="00EA422B" w:rsidRPr="004C184C" w:rsidRDefault="00EA422B" w:rsidP="001B157D">
      <w:pPr>
        <w:pStyle w:val="SingleTxtG"/>
        <w:rPr>
          <w:lang w:val="en-US"/>
        </w:rPr>
      </w:pPr>
      <w:r w:rsidRPr="004C184C">
        <w:rPr>
          <w:lang w:val="en-US"/>
        </w:rPr>
        <w:t>122.</w:t>
      </w:r>
      <w:r w:rsidRPr="004C184C">
        <w:rPr>
          <w:lang w:val="en-US"/>
        </w:rPr>
        <w:tab/>
        <w:t>Thailand is currently drafting the Civil Partnership Act to guarantee legal rights to LGBT persons who wish to join in a civil partnership, which covers issues such as the legal relationship, property rights and inheritance.</w:t>
      </w:r>
    </w:p>
    <w:p w14:paraId="16B22779" w14:textId="77777777" w:rsidR="00EA422B" w:rsidRPr="004C184C" w:rsidRDefault="00EA422B" w:rsidP="006D1D92">
      <w:pPr>
        <w:pStyle w:val="H4G"/>
        <w:rPr>
          <w:lang w:val="en-US"/>
        </w:rPr>
      </w:pPr>
      <w:r w:rsidRPr="004C184C">
        <w:rPr>
          <w:lang w:val="en-US"/>
        </w:rPr>
        <w:tab/>
      </w:r>
      <w:r w:rsidRPr="004C184C">
        <w:rPr>
          <w:lang w:val="en-US"/>
        </w:rPr>
        <w:tab/>
        <w:t>Persons with disabilities</w:t>
      </w:r>
    </w:p>
    <w:p w14:paraId="4BA11483" w14:textId="528E8A6B" w:rsidR="00EA422B" w:rsidRPr="004C184C" w:rsidRDefault="00EA422B" w:rsidP="001B157D">
      <w:pPr>
        <w:pStyle w:val="SingleTxtG"/>
        <w:rPr>
          <w:lang w:val="en-US"/>
        </w:rPr>
      </w:pPr>
      <w:r w:rsidRPr="004C184C">
        <w:rPr>
          <w:lang w:val="en-US"/>
        </w:rPr>
        <w:t>123.</w:t>
      </w:r>
      <w:r w:rsidRPr="004C184C">
        <w:rPr>
          <w:lang w:val="en-US"/>
        </w:rPr>
        <w:tab/>
        <w:t>The Persons with Disabilities Empowerment Act B.E. 2550 (2007) and its amendment in 2013 ensures that persons with disabilities fully enjoy equal fundamental human rights and freedoms. It also protects persons with disabilities from all means of unfair discrimination. It also guarantees that persons with disabilities have the right to access and utilize public facilities and services including medical care, education, employment, disability allowance, sign language interpreters, personal assistants, home modification, information accessibility, and assistive technology.</w:t>
      </w:r>
    </w:p>
    <w:p w14:paraId="7D9CD155" w14:textId="77777777" w:rsidR="00EA422B" w:rsidRPr="004C184C" w:rsidRDefault="00EA422B" w:rsidP="001B157D">
      <w:pPr>
        <w:pStyle w:val="SingleTxtG"/>
        <w:rPr>
          <w:lang w:val="en-US"/>
        </w:rPr>
      </w:pPr>
      <w:r w:rsidRPr="004C184C">
        <w:rPr>
          <w:lang w:val="en-US"/>
        </w:rPr>
        <w:t>124.</w:t>
      </w:r>
      <w:r w:rsidRPr="004C184C">
        <w:rPr>
          <w:lang w:val="en-US"/>
        </w:rPr>
        <w:tab/>
        <w:t>The current 5th National Plan on the Empowerment of Persons with Disabilities (2017–2020) serves as a comprehensive framework for all relevant government agencies in promoting and protecting the rights of persons with disabilities. It highlights sustainable capacity building for persons with disabilities and their organization to fully and fairly have access to their rights, and accessible environment, technology and Development Disability Services Centers in rural and remote areas.</w:t>
      </w:r>
    </w:p>
    <w:p w14:paraId="0417B1BA" w14:textId="77777777" w:rsidR="00EA422B" w:rsidRPr="004C184C" w:rsidRDefault="00EA422B" w:rsidP="001B157D">
      <w:pPr>
        <w:pStyle w:val="SingleTxtG"/>
        <w:rPr>
          <w:lang w:val="en-US"/>
        </w:rPr>
      </w:pPr>
      <w:r w:rsidRPr="004C184C">
        <w:rPr>
          <w:lang w:val="en-US"/>
        </w:rPr>
        <w:t>125.</w:t>
      </w:r>
      <w:r w:rsidRPr="004C184C">
        <w:rPr>
          <w:lang w:val="en-US"/>
        </w:rPr>
        <w:tab/>
        <w:t xml:space="preserve">In the field of employment, the Cabinet Resolution on 27 October B.E. 2558 (2015) requires that government agencies with 100 or more employees hire persons with disabilities as per the ratio stipulated by the law. </w:t>
      </w:r>
    </w:p>
    <w:p w14:paraId="1C09EC30" w14:textId="77777777" w:rsidR="00EA422B" w:rsidRPr="004C184C" w:rsidRDefault="00EA422B" w:rsidP="006D1D92">
      <w:pPr>
        <w:pStyle w:val="H4G"/>
        <w:rPr>
          <w:lang w:val="en-US"/>
        </w:rPr>
      </w:pPr>
      <w:r w:rsidRPr="004C184C">
        <w:rPr>
          <w:lang w:val="en-US"/>
        </w:rPr>
        <w:tab/>
      </w:r>
      <w:r w:rsidRPr="004C184C">
        <w:rPr>
          <w:lang w:val="en-US"/>
        </w:rPr>
        <w:tab/>
        <w:t>Prisoners and persons in detention</w:t>
      </w:r>
    </w:p>
    <w:p w14:paraId="43B6A915" w14:textId="69112303" w:rsidR="00EA422B" w:rsidRPr="004C184C" w:rsidRDefault="00EA422B" w:rsidP="001B157D">
      <w:pPr>
        <w:pStyle w:val="SingleTxtG"/>
        <w:rPr>
          <w:lang w:val="en-US"/>
        </w:rPr>
      </w:pPr>
      <w:r w:rsidRPr="004C184C">
        <w:rPr>
          <w:lang w:val="en-US"/>
        </w:rPr>
        <w:t>126.</w:t>
      </w:r>
      <w:r w:rsidRPr="004C184C">
        <w:rPr>
          <w:lang w:val="en-US"/>
        </w:rPr>
        <w:tab/>
        <w:t xml:space="preserve">The new Corrections Act of </w:t>
      </w:r>
      <w:r w:rsidRPr="004C184C">
        <w:rPr>
          <w:rtl/>
          <w:lang w:val="en-US"/>
        </w:rPr>
        <w:t>201</w:t>
      </w:r>
      <w:r w:rsidRPr="004C184C">
        <w:rPr>
          <w:lang w:val="en-US"/>
        </w:rPr>
        <w:t>7, among others, ensures the protection of detainees</w:t>
      </w:r>
      <w:r w:rsidR="00567EA4" w:rsidRPr="004C184C">
        <w:rPr>
          <w:lang w:val="en-US"/>
        </w:rPr>
        <w:t>’</w:t>
      </w:r>
      <w:r w:rsidRPr="004C184C">
        <w:rPr>
          <w:lang w:val="en-US"/>
        </w:rPr>
        <w:t xml:space="preserve"> rights in line with the United Nations Standard Minimum Rules for the Treatment of Prisoners, or the </w:t>
      </w:r>
      <w:r w:rsidR="00567EA4" w:rsidRPr="004C184C">
        <w:rPr>
          <w:lang w:val="en-US"/>
        </w:rPr>
        <w:t>“</w:t>
      </w:r>
      <w:r w:rsidRPr="004C184C">
        <w:rPr>
          <w:lang w:val="en-US"/>
        </w:rPr>
        <w:t>Mandela Rules,</w:t>
      </w:r>
      <w:r w:rsidR="00567EA4" w:rsidRPr="004C184C">
        <w:rPr>
          <w:lang w:val="en-US"/>
        </w:rPr>
        <w:t>”</w:t>
      </w:r>
      <w:r w:rsidRPr="004C184C">
        <w:rPr>
          <w:lang w:val="en-US"/>
        </w:rPr>
        <w:t xml:space="preserve"> and related international standards. In July 2016, a pilot project to implement the Mandela Rules was launched at Thonburi Remand Prison and is being expanded to other prisons and correctional facilities throughout Thailand. </w:t>
      </w:r>
    </w:p>
    <w:p w14:paraId="51815495" w14:textId="45E36B0A" w:rsidR="00EA422B" w:rsidRPr="004C184C" w:rsidRDefault="00EA422B" w:rsidP="001B157D">
      <w:pPr>
        <w:pStyle w:val="SingleTxtG"/>
        <w:rPr>
          <w:lang w:val="en-US"/>
        </w:rPr>
      </w:pPr>
      <w:bookmarkStart w:id="20" w:name="_Ref41082581"/>
      <w:r w:rsidRPr="004C184C">
        <w:rPr>
          <w:lang w:val="en-US"/>
        </w:rPr>
        <w:t>127.</w:t>
      </w:r>
      <w:r w:rsidRPr="004C184C">
        <w:rPr>
          <w:lang w:val="en-US"/>
        </w:rPr>
        <w:tab/>
        <w:t>Thailand has played a major role in establishing the United Nations Rules for the Treatment of Women Prisoners and Non</w:t>
      </w:r>
      <w:r w:rsidR="00D97E73" w:rsidRPr="004C184C">
        <w:rPr>
          <w:lang w:val="en-US"/>
        </w:rPr>
        <w:t>-</w:t>
      </w:r>
      <w:r w:rsidRPr="004C184C">
        <w:rPr>
          <w:lang w:val="en-US"/>
        </w:rPr>
        <w:t>custodial Measures for Women Offenders or the Bangkok Rules, which originated from the concept of Thailand</w:t>
      </w:r>
      <w:r w:rsidR="00567EA4" w:rsidRPr="004C184C">
        <w:rPr>
          <w:lang w:val="en-US"/>
        </w:rPr>
        <w:t>’</w:t>
      </w:r>
      <w:r w:rsidRPr="004C184C">
        <w:rPr>
          <w:lang w:val="en-US"/>
        </w:rPr>
        <w:t>s Enhancing Lives of Female Inmates or ELFI</w:t>
      </w:r>
      <w:r w:rsidRPr="004C184C">
        <w:rPr>
          <w:cs/>
          <w:lang w:val="en-US"/>
        </w:rPr>
        <w:t xml:space="preserve"> </w:t>
      </w:r>
      <w:r w:rsidRPr="004C184C">
        <w:rPr>
          <w:lang w:val="en-US"/>
        </w:rPr>
        <w:t xml:space="preserve">Project initiated by Her Royal Highness Princess Bajrakitiyabha </w:t>
      </w:r>
      <w:proofErr w:type="spellStart"/>
      <w:r w:rsidRPr="004C184C">
        <w:rPr>
          <w:lang w:val="en-US"/>
        </w:rPr>
        <w:t>Narendira</w:t>
      </w:r>
      <w:proofErr w:type="spellEnd"/>
      <w:r w:rsidRPr="004C184C">
        <w:rPr>
          <w:lang w:val="en-US"/>
        </w:rPr>
        <w:t xml:space="preserve"> </w:t>
      </w:r>
      <w:proofErr w:type="spellStart"/>
      <w:r w:rsidRPr="004C184C">
        <w:rPr>
          <w:lang w:val="en-US"/>
        </w:rPr>
        <w:t>Debyavati</w:t>
      </w:r>
      <w:proofErr w:type="spellEnd"/>
      <w:r w:rsidRPr="004C184C">
        <w:rPr>
          <w:lang w:val="en-US"/>
        </w:rPr>
        <w:t xml:space="preserve"> and endorsed at the sixty</w:t>
      </w:r>
      <w:r w:rsidR="00D97E73" w:rsidRPr="004C184C">
        <w:rPr>
          <w:lang w:val="en-US"/>
        </w:rPr>
        <w:t>-</w:t>
      </w:r>
      <w:r w:rsidRPr="004C184C">
        <w:rPr>
          <w:lang w:val="en-US"/>
        </w:rPr>
        <w:t>fifth</w:t>
      </w:r>
      <w:r w:rsidRPr="004C184C">
        <w:rPr>
          <w:cs/>
          <w:lang w:val="en-US"/>
        </w:rPr>
        <w:t xml:space="preserve"> </w:t>
      </w:r>
      <w:r w:rsidRPr="004C184C">
        <w:rPr>
          <w:lang w:val="en-US"/>
        </w:rPr>
        <w:t>session of the United Nations General Assembly on 21 December 2010</w:t>
      </w:r>
      <w:r w:rsidRPr="004C184C">
        <w:rPr>
          <w:cs/>
          <w:lang w:val="en-US"/>
        </w:rPr>
        <w:t xml:space="preserve">. </w:t>
      </w:r>
      <w:r w:rsidRPr="004C184C">
        <w:rPr>
          <w:lang w:val="en-US"/>
        </w:rPr>
        <w:t>This serves as a guideline on the treatment of female inmates for prisons across nations, with regard to gender differences and the specific needs</w:t>
      </w:r>
      <w:bookmarkEnd w:id="20"/>
      <w:r w:rsidRPr="004C184C">
        <w:rPr>
          <w:lang w:val="en-US"/>
        </w:rPr>
        <w:t xml:space="preserve"> of women</w:t>
      </w:r>
      <w:r w:rsidRPr="004C184C">
        <w:rPr>
          <w:cs/>
          <w:lang w:val="en-US"/>
        </w:rPr>
        <w:t>.</w:t>
      </w:r>
    </w:p>
    <w:p w14:paraId="6996BCAE" w14:textId="77777777" w:rsidR="00EA422B" w:rsidRPr="004C184C" w:rsidRDefault="00EA422B" w:rsidP="001B157D">
      <w:pPr>
        <w:pStyle w:val="SingleTxtG"/>
        <w:rPr>
          <w:lang w:val="en-US"/>
        </w:rPr>
      </w:pPr>
      <w:bookmarkStart w:id="21" w:name="_Ref41082606"/>
      <w:r w:rsidRPr="004C184C">
        <w:rPr>
          <w:lang w:val="en-US"/>
        </w:rPr>
        <w:lastRenderedPageBreak/>
        <w:t>128.</w:t>
      </w:r>
      <w:r w:rsidRPr="004C184C">
        <w:rPr>
          <w:lang w:val="en-US"/>
        </w:rPr>
        <w:tab/>
        <w:t>The Department of Corrections and the Thailand Institute of Justice (TIJ) have been working together to implement the Bangkok Rules. Since 2015, there have been six model prisons across Thailand that have adopted the Bangkok Rules.</w:t>
      </w:r>
      <w:bookmarkEnd w:id="21"/>
    </w:p>
    <w:p w14:paraId="56D15645" w14:textId="77777777" w:rsidR="00EA422B" w:rsidRPr="004C184C" w:rsidRDefault="00EA422B" w:rsidP="001B157D">
      <w:pPr>
        <w:pStyle w:val="SingleTxtG"/>
        <w:rPr>
          <w:lang w:val="en-US"/>
        </w:rPr>
      </w:pPr>
      <w:r w:rsidRPr="004C184C">
        <w:rPr>
          <w:lang w:val="en-US"/>
        </w:rPr>
        <w:t>129.</w:t>
      </w:r>
      <w:r w:rsidRPr="004C184C">
        <w:rPr>
          <w:lang w:val="en-US"/>
        </w:rPr>
        <w:tab/>
        <w:t>Recognizing the problem of overcrowding in places of detention under the supervision of the Department of Corrections, the Ministry of Justice is currently drafting a ministerial regulation under the 2017 Corrections Act to specify six alternative criminal sanctions to imprisonment, including (</w:t>
      </w:r>
      <w:proofErr w:type="spellStart"/>
      <w:r w:rsidRPr="004C184C">
        <w:rPr>
          <w:lang w:val="en-US"/>
        </w:rPr>
        <w:t>i</w:t>
      </w:r>
      <w:proofErr w:type="spellEnd"/>
      <w:r w:rsidRPr="004C184C">
        <w:rPr>
          <w:lang w:val="en-US"/>
        </w:rPr>
        <w:t xml:space="preserve">) intermittent detention, (ii) detention during specified hours, (iii) detention within a specified place of detention, (iv) community service, (v) travel restrictions in accordance with Section 89/2 of the Criminal Procedure Code, and (vi) any other sanction specified by the Department of Corrections. </w:t>
      </w:r>
    </w:p>
    <w:p w14:paraId="37E786F5" w14:textId="28BDBDCB" w:rsidR="00EA422B" w:rsidRPr="004C184C" w:rsidRDefault="00EA422B" w:rsidP="006D1D92">
      <w:pPr>
        <w:pStyle w:val="SingleTxtG"/>
        <w:rPr>
          <w:lang w:val="en-US"/>
        </w:rPr>
      </w:pPr>
      <w:r w:rsidRPr="004C184C">
        <w:rPr>
          <w:lang w:val="en-US"/>
        </w:rPr>
        <w:t>130.</w:t>
      </w:r>
      <w:r w:rsidRPr="004C184C">
        <w:rPr>
          <w:lang w:val="en-US"/>
        </w:rPr>
        <w:tab/>
        <w:t>On 1 March 2018, the Court of Justice and the Department of Probation introduced the Electronic Monitoring (EM) system as an alternative to detention for prisoners who have been granted temporary release instead of posting bail money. The Electronic Monitoring Center launched in September 2017 has made it possible to release the accused or defendants who cannot afford monetary bail. This will reduce the number of inmates and, more importantly, social disparity and the overrepresentation of the poor in pre</w:t>
      </w:r>
      <w:r w:rsidR="00D97E73" w:rsidRPr="004C184C">
        <w:rPr>
          <w:lang w:val="en-US"/>
        </w:rPr>
        <w:t>-</w:t>
      </w:r>
      <w:r w:rsidRPr="004C184C">
        <w:rPr>
          <w:lang w:val="en-US"/>
        </w:rPr>
        <w:t>trial detention. To ensure that the liberty of defendants in criminal cases are affected only as much as necessary and as little as possible, it is now the court</w:t>
      </w:r>
      <w:r w:rsidR="00567EA4" w:rsidRPr="004C184C">
        <w:rPr>
          <w:lang w:val="en-US"/>
        </w:rPr>
        <w:t>’</w:t>
      </w:r>
      <w:r w:rsidRPr="004C184C">
        <w:rPr>
          <w:lang w:val="en-US"/>
        </w:rPr>
        <w:t xml:space="preserve">s practice that it must finish with criminal cases in which defendants are being detained, within 6 months from the starting date of detention. </w:t>
      </w:r>
    </w:p>
    <w:p w14:paraId="48314270" w14:textId="77777777" w:rsidR="00EA422B" w:rsidRPr="004C184C" w:rsidRDefault="00EA422B" w:rsidP="006D1D92">
      <w:pPr>
        <w:pStyle w:val="SingleTxtG"/>
        <w:rPr>
          <w:lang w:val="en-US"/>
        </w:rPr>
      </w:pPr>
      <w:r w:rsidRPr="004C184C">
        <w:rPr>
          <w:lang w:val="en-US"/>
        </w:rPr>
        <w:t>131.</w:t>
      </w:r>
      <w:r w:rsidRPr="004C184C">
        <w:rPr>
          <w:lang w:val="en-US"/>
        </w:rPr>
        <w:tab/>
        <w:t xml:space="preserve">On 22 January 2019, the Ministry of Health, the Department of </w:t>
      </w:r>
      <w:proofErr w:type="gramStart"/>
      <w:r w:rsidRPr="004C184C">
        <w:rPr>
          <w:lang w:val="en-US"/>
        </w:rPr>
        <w:t>Corrections</w:t>
      </w:r>
      <w:proofErr w:type="gramEnd"/>
      <w:r w:rsidRPr="004C184C">
        <w:rPr>
          <w:lang w:val="en-US"/>
        </w:rPr>
        <w:t xml:space="preserve"> and the National Health Security Office concluded an MoU to improve the health service system for prisoners. This is in accordance with the Cabinet resolution of 17 November 2015 which requested relevant authorities to assign health personnel from local hospitals to provide services in prisons, establish a special ward for prisoners requiring treatment outside of prison facilities and improve the</w:t>
      </w:r>
      <w:r w:rsidRPr="004C184C">
        <w:rPr>
          <w:cs/>
          <w:lang w:val="en-US"/>
        </w:rPr>
        <w:t xml:space="preserve"> </w:t>
      </w:r>
      <w:r w:rsidRPr="004C184C">
        <w:rPr>
          <w:lang w:val="en-US"/>
        </w:rPr>
        <w:t xml:space="preserve">overall health services system for prisoners. </w:t>
      </w:r>
    </w:p>
    <w:p w14:paraId="24CEAFEF" w14:textId="77777777" w:rsidR="00EA422B" w:rsidRPr="004C184C" w:rsidRDefault="00EA422B" w:rsidP="00AB7141">
      <w:pPr>
        <w:pStyle w:val="H4G"/>
        <w:rPr>
          <w:lang w:val="en-US"/>
        </w:rPr>
      </w:pPr>
      <w:r w:rsidRPr="004C184C">
        <w:rPr>
          <w:lang w:val="en-US"/>
        </w:rPr>
        <w:tab/>
      </w:r>
      <w:r w:rsidRPr="004C184C">
        <w:rPr>
          <w:lang w:val="en-US"/>
        </w:rPr>
        <w:tab/>
        <w:t>Stateless persons</w:t>
      </w:r>
    </w:p>
    <w:p w14:paraId="28403739" w14:textId="77777777" w:rsidR="00EA422B" w:rsidRPr="004C184C" w:rsidRDefault="00EA422B" w:rsidP="006D1D92">
      <w:pPr>
        <w:pStyle w:val="SingleTxtG"/>
        <w:rPr>
          <w:lang w:val="en-US"/>
        </w:rPr>
      </w:pPr>
      <w:r w:rsidRPr="004C184C">
        <w:rPr>
          <w:lang w:val="en-US"/>
        </w:rPr>
        <w:t>132.</w:t>
      </w:r>
      <w:r w:rsidRPr="004C184C">
        <w:rPr>
          <w:lang w:val="en-US"/>
        </w:rPr>
        <w:tab/>
        <w:t xml:space="preserve">The Civil Registration Act (No.2) B.E. 2551 (2008) provides registration for all stateless persons born in Thailand. The amendment of the Nationality Act, through Nationality Act (No.4) B.E. 2551 (2008), enables stateless persons born in Thailand to apply for Thai nationality under the conditions designated by the Cabinet. Moreover, to prevent children of foreign or stateless parents from becoming persons without legal status or illegal migrants, the Cabinet approved two resolutions on 7 December 2016 to (1) grant foreign children born in Thailand the right to legally stay in Thailand and prevent them from being criminalized as illegal migrants and (2) provide a legal pathway for foreign children born in Thailand to apply for Thai nationality. </w:t>
      </w:r>
    </w:p>
    <w:p w14:paraId="42933F8D" w14:textId="2B2497DB" w:rsidR="00EA422B" w:rsidRPr="004C184C" w:rsidRDefault="00EA422B" w:rsidP="006D1D92">
      <w:pPr>
        <w:pStyle w:val="SingleTxtG"/>
        <w:rPr>
          <w:lang w:val="en-US"/>
        </w:rPr>
      </w:pPr>
      <w:r w:rsidRPr="004C184C">
        <w:rPr>
          <w:lang w:val="en-US"/>
        </w:rPr>
        <w:t>133.</w:t>
      </w:r>
      <w:r w:rsidRPr="004C184C">
        <w:rPr>
          <w:lang w:val="en-US"/>
        </w:rPr>
        <w:tab/>
        <w:t>Thailand has been addressing the issue of statelessness in the country for more than three decades by implementing a step</w:t>
      </w:r>
      <w:r w:rsidR="00D97E73" w:rsidRPr="004C184C">
        <w:rPr>
          <w:lang w:val="en-US"/>
        </w:rPr>
        <w:t>-</w:t>
      </w:r>
      <w:r w:rsidRPr="004C184C">
        <w:rPr>
          <w:lang w:val="en-US"/>
        </w:rPr>
        <w:t>by</w:t>
      </w:r>
      <w:r w:rsidR="00D97E73" w:rsidRPr="004C184C">
        <w:rPr>
          <w:lang w:val="en-US"/>
        </w:rPr>
        <w:t>-</w:t>
      </w:r>
      <w:r w:rsidRPr="004C184C">
        <w:rPr>
          <w:lang w:val="en-US"/>
        </w:rPr>
        <w:t>step approach. The first step is to register all stateless persons born in Thailand with the aim of granting them legal status and rights while residing in the country and undergoing an application process for Thai nationality. As the next step, the amendment of the Nationality Act in B.E. 2551 (2008) facilitates the nationalization pathway for specific groups of non</w:t>
      </w:r>
      <w:r w:rsidR="00D97E73" w:rsidRPr="004C184C">
        <w:rPr>
          <w:lang w:val="en-US"/>
        </w:rPr>
        <w:t>-</w:t>
      </w:r>
      <w:r w:rsidRPr="004C184C">
        <w:rPr>
          <w:lang w:val="en-US"/>
        </w:rPr>
        <w:t>Thai citizens, such as immigrants who have fled to Thailand and have been residing in the country for a long time and who cannot return to their countries of origin, stateless and rootless persons. The Government also issues identification cards to the above</w:t>
      </w:r>
      <w:r w:rsidR="00D97E73" w:rsidRPr="004C184C">
        <w:rPr>
          <w:lang w:val="en-US"/>
        </w:rPr>
        <w:t>-</w:t>
      </w:r>
      <w:r w:rsidRPr="004C184C">
        <w:rPr>
          <w:lang w:val="en-US"/>
        </w:rPr>
        <w:t>mentioned groups which would allow them to work and access public services such as healthcare and education, enabling them to lead a normal life in Thai society and take part in the development of the country.</w:t>
      </w:r>
    </w:p>
    <w:p w14:paraId="25F9E6C1" w14:textId="77777777" w:rsidR="00EA422B" w:rsidRPr="004C184C" w:rsidRDefault="00EA422B" w:rsidP="00AB7141">
      <w:pPr>
        <w:pStyle w:val="H4G"/>
        <w:rPr>
          <w:lang w:val="en-US"/>
        </w:rPr>
      </w:pPr>
      <w:r w:rsidRPr="004C184C">
        <w:rPr>
          <w:lang w:val="en-US"/>
        </w:rPr>
        <w:tab/>
      </w:r>
      <w:r w:rsidRPr="004C184C">
        <w:rPr>
          <w:lang w:val="en-US"/>
        </w:rPr>
        <w:tab/>
        <w:t>Human rights defenders</w:t>
      </w:r>
    </w:p>
    <w:p w14:paraId="7F164E7B" w14:textId="77777777" w:rsidR="00EA422B" w:rsidRPr="004C184C" w:rsidRDefault="00EA422B" w:rsidP="006D1D92">
      <w:pPr>
        <w:pStyle w:val="SingleTxtG"/>
        <w:rPr>
          <w:lang w:val="en-US"/>
        </w:rPr>
      </w:pPr>
      <w:r w:rsidRPr="004C184C">
        <w:rPr>
          <w:lang w:val="en-US"/>
        </w:rPr>
        <w:t>134.</w:t>
      </w:r>
      <w:r w:rsidRPr="004C184C">
        <w:rPr>
          <w:lang w:val="en-US"/>
        </w:rPr>
        <w:tab/>
        <w:t>Thailand recognizes the role of human rights defenders and respects their rights in accordance with the UN Declaration on Human Rights Defenders. The 4th National Human Rights Plan (2019–2023) includes human rights defenders as a target group with specific measures to protect and promote their rights.</w:t>
      </w:r>
    </w:p>
    <w:p w14:paraId="15CDB2C2" w14:textId="4DA6F019" w:rsidR="00EA422B" w:rsidRPr="004C184C" w:rsidRDefault="00EA422B" w:rsidP="006D1D92">
      <w:pPr>
        <w:pStyle w:val="SingleTxtG"/>
        <w:rPr>
          <w:lang w:val="en-US"/>
        </w:rPr>
      </w:pPr>
      <w:r w:rsidRPr="004C184C">
        <w:rPr>
          <w:lang w:val="en-US"/>
        </w:rPr>
        <w:t>135.</w:t>
      </w:r>
      <w:r w:rsidRPr="004C184C">
        <w:rPr>
          <w:lang w:val="en-US"/>
        </w:rPr>
        <w:tab/>
        <w:t>The Ministry of Justice has implemented a series of measures regarding human rights defenders, including jointly developing a human rights defenders</w:t>
      </w:r>
      <w:r w:rsidR="00567EA4" w:rsidRPr="004C184C">
        <w:rPr>
          <w:lang w:val="en-US"/>
        </w:rPr>
        <w:t>’</w:t>
      </w:r>
      <w:r w:rsidRPr="004C184C">
        <w:rPr>
          <w:lang w:val="en-US"/>
        </w:rPr>
        <w:t xml:space="preserve"> manual with the Office of </w:t>
      </w:r>
      <w:r w:rsidRPr="004C184C">
        <w:rPr>
          <w:lang w:val="en-US"/>
        </w:rPr>
        <w:lastRenderedPageBreak/>
        <w:t>the United Nations High Commissioner for Human Rights, Regional Office for South</w:t>
      </w:r>
      <w:r w:rsidR="00D97E73" w:rsidRPr="004C184C">
        <w:rPr>
          <w:lang w:val="en-US"/>
        </w:rPr>
        <w:t>-</w:t>
      </w:r>
      <w:r w:rsidRPr="004C184C">
        <w:rPr>
          <w:lang w:val="en-US"/>
        </w:rPr>
        <w:t>East Asia.</w:t>
      </w:r>
    </w:p>
    <w:p w14:paraId="0F4F6983" w14:textId="2971C4FC" w:rsidR="00EA422B" w:rsidRPr="004C184C" w:rsidRDefault="00EA422B" w:rsidP="006D1D92">
      <w:pPr>
        <w:pStyle w:val="SingleTxtG"/>
        <w:rPr>
          <w:lang w:val="en-US"/>
        </w:rPr>
      </w:pPr>
      <w:r w:rsidRPr="004C184C">
        <w:rPr>
          <w:lang w:val="en-US"/>
        </w:rPr>
        <w:t>136.</w:t>
      </w:r>
      <w:r w:rsidRPr="004C184C">
        <w:rPr>
          <w:lang w:val="en-US"/>
        </w:rPr>
        <w:tab/>
        <w:t>In an effort to establish an overarching tool to protect the right to freedom of expression against the invocation of Strategic Litigation against Public Participation (SLAPP), the Court of Justice has added two new sections to the Criminal Procedure Code. Section 161/1 provides the court with the power to dismiss any criminal case at the filing stage of the lawsuit if it appears to the Court that the cause of the legal action arises from ill intention to harass or take advantage of another person. Section 165/2 allows the Court to play a more active role by having the power to summon witnesses and evidence proposed by the accused as the Court</w:t>
      </w:r>
      <w:r w:rsidR="00567EA4" w:rsidRPr="004C184C">
        <w:rPr>
          <w:lang w:val="en-US"/>
        </w:rPr>
        <w:t>’</w:t>
      </w:r>
      <w:r w:rsidRPr="004C184C">
        <w:rPr>
          <w:lang w:val="en-US"/>
        </w:rPr>
        <w:t xml:space="preserve">s witness. </w:t>
      </w:r>
    </w:p>
    <w:p w14:paraId="748F806E" w14:textId="77777777" w:rsidR="00EA422B" w:rsidRPr="004C184C" w:rsidRDefault="00EA422B" w:rsidP="00AB7141">
      <w:pPr>
        <w:pStyle w:val="H23G"/>
        <w:rPr>
          <w:lang w:val="en-US"/>
        </w:rPr>
      </w:pPr>
      <w:r w:rsidRPr="004C184C">
        <w:rPr>
          <w:lang w:val="en-US"/>
        </w:rPr>
        <w:tab/>
      </w:r>
      <w:r w:rsidRPr="004C184C">
        <w:rPr>
          <w:lang w:val="en-US"/>
        </w:rPr>
        <w:tab/>
        <w:t>Human rights instruments directly invoked</w:t>
      </w:r>
      <w:r w:rsidRPr="004C184C">
        <w:rPr>
          <w:cs/>
          <w:lang w:val="en-US"/>
        </w:rPr>
        <w:t>/</w:t>
      </w:r>
      <w:r w:rsidRPr="004C184C">
        <w:rPr>
          <w:lang w:val="en-US"/>
        </w:rPr>
        <w:t>enforced by the courts</w:t>
      </w:r>
      <w:r w:rsidRPr="004C184C">
        <w:rPr>
          <w:cs/>
          <w:lang w:val="en-US"/>
        </w:rPr>
        <w:t>/</w:t>
      </w:r>
      <w:r w:rsidRPr="004C184C">
        <w:rPr>
          <w:lang w:val="en-US"/>
        </w:rPr>
        <w:t>administrative authorities</w:t>
      </w:r>
    </w:p>
    <w:p w14:paraId="403F04DB" w14:textId="77777777" w:rsidR="00EA422B" w:rsidRPr="004C184C" w:rsidRDefault="00EA422B" w:rsidP="006D1D92">
      <w:pPr>
        <w:pStyle w:val="SingleTxtG"/>
        <w:rPr>
          <w:lang w:val="en-US"/>
        </w:rPr>
      </w:pPr>
      <w:r w:rsidRPr="004C184C">
        <w:rPr>
          <w:lang w:val="en-US"/>
        </w:rPr>
        <w:t>137.</w:t>
      </w:r>
      <w:r w:rsidRPr="004C184C">
        <w:rPr>
          <w:lang w:val="en-US"/>
        </w:rPr>
        <w:tab/>
        <w:t>As a dualist country, Thailand implements its international human rights obligations through the development of appropriate legislation and administrative measures since international instruments do not apply directly to Thai domestic law</w:t>
      </w:r>
      <w:r w:rsidRPr="004C184C">
        <w:rPr>
          <w:cs/>
          <w:lang w:val="en-US"/>
        </w:rPr>
        <w:t>.</w:t>
      </w:r>
    </w:p>
    <w:p w14:paraId="4CAA1A01" w14:textId="2EADB009" w:rsidR="00EA422B" w:rsidRPr="004C184C" w:rsidRDefault="00EA422B" w:rsidP="006D1D92">
      <w:pPr>
        <w:pStyle w:val="SingleTxtG"/>
        <w:rPr>
          <w:lang w:val="en-US"/>
        </w:rPr>
      </w:pPr>
      <w:r w:rsidRPr="004C184C">
        <w:rPr>
          <w:lang w:val="en-US"/>
        </w:rPr>
        <w:t>138.</w:t>
      </w:r>
      <w:r w:rsidRPr="004C184C">
        <w:rPr>
          <w:lang w:val="en-US"/>
        </w:rPr>
        <w:tab/>
        <w:t>The rights enshrined in the core international human rights</w:t>
      </w:r>
      <w:r w:rsidRPr="004C184C">
        <w:rPr>
          <w:cs/>
          <w:lang w:val="en-US"/>
        </w:rPr>
        <w:t xml:space="preserve"> </w:t>
      </w:r>
      <w:r w:rsidRPr="004C184C">
        <w:rPr>
          <w:lang w:val="en-US"/>
        </w:rPr>
        <w:t>treaties to which Thailand has been a party are protected either by the Constitution or statutes</w:t>
      </w:r>
      <w:r w:rsidRPr="004C184C">
        <w:rPr>
          <w:cs/>
          <w:lang w:val="en-US"/>
        </w:rPr>
        <w:t xml:space="preserve">. </w:t>
      </w:r>
      <w:r w:rsidRPr="004C184C">
        <w:rPr>
          <w:lang w:val="en-US"/>
        </w:rPr>
        <w:t>The details as to which piece of legislation guarantees which rights have been highlighted in relevant treaty</w:t>
      </w:r>
      <w:r w:rsidR="00D97E73" w:rsidRPr="004C184C">
        <w:rPr>
          <w:lang w:val="en-US"/>
        </w:rPr>
        <w:t>-</w:t>
      </w:r>
      <w:r w:rsidRPr="004C184C">
        <w:rPr>
          <w:lang w:val="en-US"/>
        </w:rPr>
        <w:t>specific periodic reports</w:t>
      </w:r>
      <w:r w:rsidRPr="004C184C">
        <w:rPr>
          <w:cs/>
          <w:lang w:val="en-US"/>
        </w:rPr>
        <w:t xml:space="preserve">. </w:t>
      </w:r>
    </w:p>
    <w:p w14:paraId="34B4670A" w14:textId="241E0AA9" w:rsidR="00EA422B" w:rsidRPr="004C184C" w:rsidRDefault="00EA422B" w:rsidP="006D1D92">
      <w:pPr>
        <w:pStyle w:val="SingleTxtG"/>
        <w:rPr>
          <w:lang w:val="en-US"/>
        </w:rPr>
      </w:pPr>
      <w:r w:rsidRPr="004C184C">
        <w:rPr>
          <w:lang w:val="en-US"/>
        </w:rPr>
        <w:t>139.</w:t>
      </w:r>
      <w:r w:rsidRPr="004C184C">
        <w:rPr>
          <w:lang w:val="en-US"/>
        </w:rPr>
        <w:tab/>
        <w:t>There have been examples of cases in which human rights instruments are directly invoked or enforced by the courts and administrative authorities. In deciding whether the Office of the Prime Minister needs to pay compensation to the victim of torture committed by an official, the Supreme Administrative Court in 1350</w:t>
      </w:r>
      <w:r w:rsidRPr="004C184C">
        <w:rPr>
          <w:cs/>
          <w:lang w:val="en-US"/>
        </w:rPr>
        <w:t>/</w:t>
      </w:r>
      <w:r w:rsidRPr="004C184C">
        <w:rPr>
          <w:lang w:val="en-US"/>
        </w:rPr>
        <w:t>2559 ruled that,</w:t>
      </w:r>
      <w:r w:rsidRPr="004C184C">
        <w:rPr>
          <w:cs/>
          <w:lang w:val="en-US"/>
        </w:rPr>
        <w:t xml:space="preserve"> </w:t>
      </w:r>
      <w:r w:rsidR="00567EA4" w:rsidRPr="004C184C">
        <w:rPr>
          <w:lang w:val="en-US"/>
        </w:rPr>
        <w:t>“</w:t>
      </w:r>
      <w:r w:rsidRPr="004C184C">
        <w:rPr>
          <w:lang w:val="en-US"/>
        </w:rPr>
        <w:t>as Thailand has been a party to the Convention against Torture and Other Cruel, Inhuman or Degrading Treatment or Punishment by accession since</w:t>
      </w:r>
      <w:r w:rsidRPr="004C184C">
        <w:rPr>
          <w:cs/>
          <w:lang w:val="en-US"/>
        </w:rPr>
        <w:t xml:space="preserve"> </w:t>
      </w:r>
      <w:r w:rsidRPr="004C184C">
        <w:rPr>
          <w:lang w:val="en-US"/>
        </w:rPr>
        <w:t>2 October 2007</w:t>
      </w:r>
      <w:r w:rsidRPr="004C184C">
        <w:rPr>
          <w:cs/>
          <w:lang w:val="en-US"/>
        </w:rPr>
        <w:t>…</w:t>
      </w:r>
      <w:r w:rsidRPr="004C184C">
        <w:rPr>
          <w:lang w:val="en-US"/>
        </w:rPr>
        <w:t>, Thailand shall be obliged to conform itself to the Convention […].</w:t>
      </w:r>
      <w:r w:rsidR="00567EA4" w:rsidRPr="004C184C">
        <w:rPr>
          <w:lang w:val="en-US"/>
        </w:rPr>
        <w:t>”</w:t>
      </w:r>
    </w:p>
    <w:p w14:paraId="07E1B9D6" w14:textId="3B5463C5" w:rsidR="00EA422B" w:rsidRPr="004C184C" w:rsidRDefault="00EA422B" w:rsidP="006D1D92">
      <w:pPr>
        <w:pStyle w:val="SingleTxtG"/>
        <w:rPr>
          <w:lang w:val="en-US"/>
        </w:rPr>
      </w:pPr>
      <w:bookmarkStart w:id="22" w:name="_Ref45066201"/>
      <w:r w:rsidRPr="004C184C">
        <w:rPr>
          <w:lang w:val="en-US"/>
        </w:rPr>
        <w:t>140.</w:t>
      </w:r>
      <w:r w:rsidRPr="004C184C">
        <w:rPr>
          <w:lang w:val="en-US"/>
        </w:rPr>
        <w:tab/>
        <w:t xml:space="preserve">Another example can be found in a case in 2019 where the Court of Appeals </w:t>
      </w:r>
      <w:r w:rsidRPr="004C184C">
        <w:rPr>
          <w:cs/>
          <w:lang w:val="en-US"/>
        </w:rPr>
        <w:t>(</w:t>
      </w:r>
      <w:r w:rsidRPr="004C184C">
        <w:rPr>
          <w:lang w:val="en-US"/>
        </w:rPr>
        <w:t>18776</w:t>
      </w:r>
      <w:r w:rsidRPr="004C184C">
        <w:rPr>
          <w:cs/>
          <w:lang w:val="en-US"/>
        </w:rPr>
        <w:t>/</w:t>
      </w:r>
      <w:r w:rsidRPr="004C184C">
        <w:rPr>
          <w:lang w:val="en-US"/>
        </w:rPr>
        <w:t>2561</w:t>
      </w:r>
      <w:r w:rsidRPr="004C184C">
        <w:rPr>
          <w:cs/>
          <w:lang w:val="en-US"/>
        </w:rPr>
        <w:t xml:space="preserve">) </w:t>
      </w:r>
      <w:r w:rsidRPr="004C184C">
        <w:rPr>
          <w:lang w:val="en-US"/>
        </w:rPr>
        <w:t xml:space="preserve">decided that even if the civil partnership registered in the UK between the deceased and the plaintiff </w:t>
      </w:r>
      <w:r w:rsidRPr="004C184C">
        <w:rPr>
          <w:cs/>
          <w:lang w:val="en-US"/>
        </w:rPr>
        <w:t>(</w:t>
      </w:r>
      <w:r w:rsidRPr="004C184C">
        <w:rPr>
          <w:lang w:val="en-US"/>
        </w:rPr>
        <w:t>who asked to be appointed by the Court as the deceased</w:t>
      </w:r>
      <w:r w:rsidR="00567EA4" w:rsidRPr="004C184C">
        <w:rPr>
          <w:lang w:val="en-US"/>
        </w:rPr>
        <w:t>’</w:t>
      </w:r>
      <w:r w:rsidRPr="004C184C">
        <w:rPr>
          <w:lang w:val="en-US"/>
        </w:rPr>
        <w:t>s estate executor</w:t>
      </w:r>
      <w:r w:rsidRPr="004C184C">
        <w:rPr>
          <w:cs/>
          <w:lang w:val="en-US"/>
        </w:rPr>
        <w:t xml:space="preserve">) </w:t>
      </w:r>
      <w:r w:rsidRPr="004C184C">
        <w:rPr>
          <w:lang w:val="en-US"/>
        </w:rPr>
        <w:t>was not yet recognized under Thai law, the agreement per se was not in contrary to the maintenance of public order or good morals in Thailand</w:t>
      </w:r>
      <w:r w:rsidRPr="004C184C">
        <w:rPr>
          <w:cs/>
          <w:lang w:val="en-US"/>
        </w:rPr>
        <w:t xml:space="preserve">. </w:t>
      </w:r>
      <w:r w:rsidRPr="004C184C">
        <w:rPr>
          <w:lang w:val="en-US"/>
        </w:rPr>
        <w:t>This was partly because Thailand respected the principle of equality under the law and non</w:t>
      </w:r>
      <w:r w:rsidR="00D97E73" w:rsidRPr="004C184C">
        <w:rPr>
          <w:lang w:val="en-US"/>
        </w:rPr>
        <w:t>-</w:t>
      </w:r>
      <w:r w:rsidRPr="004C184C">
        <w:rPr>
          <w:lang w:val="en-US"/>
        </w:rPr>
        <w:t>discrimination</w:t>
      </w:r>
      <w:bookmarkEnd w:id="22"/>
      <w:r w:rsidRPr="004C184C">
        <w:rPr>
          <w:lang w:val="en-US"/>
        </w:rPr>
        <w:t xml:space="preserve"> based on gender according to the Universal Declaration of Human Rights</w:t>
      </w:r>
      <w:r w:rsidRPr="004C184C">
        <w:rPr>
          <w:cs/>
          <w:lang w:val="en-US"/>
        </w:rPr>
        <w:t>.</w:t>
      </w:r>
    </w:p>
    <w:p w14:paraId="79A2F9FD" w14:textId="77777777" w:rsidR="00EA422B" w:rsidRPr="004C184C" w:rsidRDefault="00EA422B" w:rsidP="00D15534">
      <w:pPr>
        <w:pStyle w:val="H1G"/>
        <w:rPr>
          <w:lang w:val="en-US"/>
        </w:rPr>
      </w:pPr>
      <w:r w:rsidRPr="004C184C">
        <w:rPr>
          <w:lang w:val="en-US"/>
        </w:rPr>
        <w:tab/>
      </w:r>
      <w:bookmarkStart w:id="23" w:name="_Toc89701538"/>
      <w:r w:rsidRPr="004C184C">
        <w:rPr>
          <w:lang w:val="en-US"/>
        </w:rPr>
        <w:t>C.</w:t>
      </w:r>
      <w:r w:rsidRPr="004C184C">
        <w:rPr>
          <w:lang w:val="en-US"/>
        </w:rPr>
        <w:tab/>
        <w:t>Framework within which human rights are promoted at the national level</w:t>
      </w:r>
      <w:bookmarkEnd w:id="23"/>
    </w:p>
    <w:p w14:paraId="7C5D6866" w14:textId="77777777" w:rsidR="00EA422B" w:rsidRPr="004C184C" w:rsidRDefault="00EA422B" w:rsidP="00D15534">
      <w:pPr>
        <w:pStyle w:val="H23G"/>
        <w:rPr>
          <w:lang w:val="en-US"/>
        </w:rPr>
      </w:pPr>
      <w:r w:rsidRPr="004C184C">
        <w:rPr>
          <w:lang w:val="en-US"/>
        </w:rPr>
        <w:tab/>
      </w:r>
      <w:r w:rsidRPr="004C184C">
        <w:rPr>
          <w:lang w:val="en-US"/>
        </w:rPr>
        <w:tab/>
        <w:t>National and regional parliaments and assemblies</w:t>
      </w:r>
    </w:p>
    <w:p w14:paraId="267B1D3F" w14:textId="77777777" w:rsidR="00EA422B" w:rsidRPr="004C184C" w:rsidRDefault="00EA422B" w:rsidP="006D1D92">
      <w:pPr>
        <w:pStyle w:val="SingleTxtG"/>
        <w:rPr>
          <w:rFonts w:eastAsia="Cordia New"/>
          <w:lang w:val="en-US"/>
        </w:rPr>
      </w:pPr>
      <w:r w:rsidRPr="004C184C">
        <w:rPr>
          <w:rFonts w:eastAsia="Cordia New"/>
          <w:lang w:val="en-US"/>
        </w:rPr>
        <w:t>141.</w:t>
      </w:r>
      <w:r w:rsidRPr="004C184C">
        <w:rPr>
          <w:rFonts w:eastAsia="Cordia New"/>
          <w:lang w:val="en-US"/>
        </w:rPr>
        <w:tab/>
        <w:t>The Parliament is the key organ in the Thai legislative process (see paragraph 37</w:t>
      </w:r>
      <w:r w:rsidRPr="004C184C">
        <w:rPr>
          <w:lang w:val="en-US"/>
        </w:rPr>
        <w:t>–</w:t>
      </w:r>
      <w:r w:rsidRPr="004C184C">
        <w:rPr>
          <w:rFonts w:eastAsia="Cordia New"/>
          <w:lang w:val="en-US"/>
        </w:rPr>
        <w:t>40). The process has entitled bills that promote and protect human rights in Thailand. The cabinet, members of the Houses and eligible voters are empowered to lodge a bill to the Parliament for consideration.</w:t>
      </w:r>
    </w:p>
    <w:p w14:paraId="5C1DCE08" w14:textId="7F812D27" w:rsidR="00EA422B" w:rsidRPr="004C184C" w:rsidRDefault="00EA422B" w:rsidP="006D1D92">
      <w:pPr>
        <w:pStyle w:val="SingleTxtG"/>
        <w:rPr>
          <w:rFonts w:eastAsia="Cordia New"/>
          <w:lang w:val="en-US"/>
        </w:rPr>
      </w:pPr>
      <w:r w:rsidRPr="004C184C">
        <w:rPr>
          <w:rFonts w:eastAsia="Cordia New"/>
          <w:lang w:val="en-US"/>
        </w:rPr>
        <w:t>142.</w:t>
      </w:r>
      <w:r w:rsidRPr="004C184C">
        <w:rPr>
          <w:rFonts w:eastAsia="Cordia New"/>
          <w:lang w:val="en-US"/>
        </w:rPr>
        <w:tab/>
        <w:t>As mentioned in paragraph 84, Section 77 of the 2017 Constitution establishes a new mechanism for public consultation with stakeholders in the law</w:t>
      </w:r>
      <w:r w:rsidR="00D97E73" w:rsidRPr="004C184C">
        <w:rPr>
          <w:lang w:val="en-US"/>
        </w:rPr>
        <w:t>-</w:t>
      </w:r>
      <w:r w:rsidRPr="004C184C">
        <w:rPr>
          <w:rFonts w:eastAsia="Cordia New"/>
          <w:lang w:val="en-US"/>
        </w:rPr>
        <w:t>making process. Such consultations must take place before the enactment of every law as well as after the law comes into force as an evaluation of the suitability of the law amidst the changing social contexts.</w:t>
      </w:r>
    </w:p>
    <w:p w14:paraId="7E75E211" w14:textId="5A853424" w:rsidR="00EA422B" w:rsidRPr="004C184C" w:rsidRDefault="00EA422B" w:rsidP="00D15534">
      <w:pPr>
        <w:pStyle w:val="H23G"/>
        <w:rPr>
          <w:lang w:val="en-US"/>
        </w:rPr>
      </w:pPr>
      <w:r w:rsidRPr="004C184C">
        <w:rPr>
          <w:lang w:val="en-US"/>
        </w:rPr>
        <w:tab/>
      </w:r>
      <w:r w:rsidRPr="004C184C">
        <w:rPr>
          <w:lang w:val="en-US"/>
        </w:rPr>
        <w:tab/>
        <w:t>National human rights institutions</w:t>
      </w:r>
    </w:p>
    <w:p w14:paraId="0B6EAC3A" w14:textId="77777777" w:rsidR="00EA422B" w:rsidRPr="004C184C" w:rsidRDefault="00EA422B" w:rsidP="006D1D92">
      <w:pPr>
        <w:pStyle w:val="SingleTxtG"/>
        <w:rPr>
          <w:lang w:val="en-US"/>
        </w:rPr>
      </w:pPr>
      <w:r w:rsidRPr="004C184C">
        <w:rPr>
          <w:lang w:val="en-US"/>
        </w:rPr>
        <w:t>143.</w:t>
      </w:r>
      <w:r w:rsidRPr="004C184C">
        <w:rPr>
          <w:lang w:val="en-US"/>
        </w:rPr>
        <w:tab/>
        <w:t xml:space="preserve">The duties and powers of the National Human Rights Commission to promote and protect human rights are in accordance with the 2017 Constitution, Section 247, Paragraph 1, and the Organic Act, Sections 26–27 and 34–46 (see also paragraph 55). </w:t>
      </w:r>
    </w:p>
    <w:p w14:paraId="2FD1DEE6" w14:textId="024315FA" w:rsidR="00EA422B" w:rsidRPr="004C184C" w:rsidRDefault="00EA422B" w:rsidP="006D1D92">
      <w:pPr>
        <w:pStyle w:val="SingleTxtG"/>
        <w:rPr>
          <w:lang w:val="en-US"/>
        </w:rPr>
      </w:pPr>
      <w:r w:rsidRPr="004C184C">
        <w:rPr>
          <w:lang w:val="en-US"/>
        </w:rPr>
        <w:lastRenderedPageBreak/>
        <w:t>144.</w:t>
      </w:r>
      <w:r w:rsidRPr="004C184C">
        <w:rPr>
          <w:lang w:val="en-US"/>
        </w:rPr>
        <w:tab/>
        <w:t>The Commission</w:t>
      </w:r>
      <w:r w:rsidR="00567EA4" w:rsidRPr="004C184C">
        <w:rPr>
          <w:lang w:val="en-US"/>
        </w:rPr>
        <w:t>’</w:t>
      </w:r>
      <w:r w:rsidRPr="004C184C">
        <w:rPr>
          <w:lang w:val="en-US"/>
        </w:rPr>
        <w:t>s promotional functions are implemented by raising awareness on human rights norms and issues, as well as through programs for teaching and research and by addressing public opinion.</w:t>
      </w:r>
    </w:p>
    <w:p w14:paraId="2160EF61" w14:textId="77777777" w:rsidR="00EA422B" w:rsidRPr="004C184C" w:rsidRDefault="00EA422B" w:rsidP="00D15534">
      <w:pPr>
        <w:pStyle w:val="H23G"/>
        <w:rPr>
          <w:lang w:val="en-US"/>
        </w:rPr>
      </w:pPr>
      <w:r w:rsidRPr="004C184C">
        <w:rPr>
          <w:lang w:val="en-US"/>
        </w:rPr>
        <w:tab/>
      </w:r>
      <w:r w:rsidRPr="004C184C">
        <w:rPr>
          <w:lang w:val="en-US"/>
        </w:rPr>
        <w:tab/>
        <w:t>Dissemination of human rights instruments</w:t>
      </w:r>
    </w:p>
    <w:p w14:paraId="1ECC1D34" w14:textId="77777777" w:rsidR="00EA422B" w:rsidRPr="004C184C" w:rsidRDefault="00EA422B" w:rsidP="006D1D92">
      <w:pPr>
        <w:pStyle w:val="SingleTxtG"/>
        <w:rPr>
          <w:lang w:val="en-US"/>
        </w:rPr>
      </w:pPr>
      <w:r w:rsidRPr="004C184C">
        <w:rPr>
          <w:lang w:val="en-US"/>
        </w:rPr>
        <w:t>145.</w:t>
      </w:r>
      <w:r w:rsidRPr="004C184C">
        <w:rPr>
          <w:lang w:val="en-US"/>
        </w:rPr>
        <w:tab/>
        <w:t>All international human rights instruments to which Thailand is party have been translated, published and disseminated to the general public.</w:t>
      </w:r>
    </w:p>
    <w:p w14:paraId="178919E0" w14:textId="432E33B4" w:rsidR="00EA422B" w:rsidRPr="004C184C" w:rsidRDefault="00EA422B" w:rsidP="00D15534">
      <w:pPr>
        <w:pStyle w:val="H23G"/>
        <w:rPr>
          <w:lang w:val="en-US"/>
        </w:rPr>
      </w:pPr>
      <w:r w:rsidRPr="004C184C">
        <w:rPr>
          <w:lang w:val="en-US"/>
        </w:rPr>
        <w:tab/>
      </w:r>
      <w:r w:rsidRPr="004C184C">
        <w:rPr>
          <w:lang w:val="en-US"/>
        </w:rPr>
        <w:tab/>
        <w:t>Raising human rights awareness among public officials and other professionals</w:t>
      </w:r>
    </w:p>
    <w:p w14:paraId="01B272E2" w14:textId="77777777" w:rsidR="00EA422B" w:rsidRPr="004C184C" w:rsidRDefault="00EA422B" w:rsidP="006D1D92">
      <w:pPr>
        <w:pStyle w:val="SingleTxtG"/>
        <w:rPr>
          <w:lang w:val="en-US"/>
        </w:rPr>
      </w:pPr>
      <w:r w:rsidRPr="004C184C">
        <w:rPr>
          <w:lang w:val="en-US"/>
        </w:rPr>
        <w:t>146.</w:t>
      </w:r>
      <w:r w:rsidRPr="004C184C">
        <w:rPr>
          <w:lang w:val="en-US"/>
        </w:rPr>
        <w:tab/>
        <w:t xml:space="preserve">Various agencies and institutions have worked to raise human rights awareness among public officials including law enforcement officers, public prosecutors, judges, corrections officials, and child protection personnel, as well as other professionals in Thailand. Meetings, workshops, training, seminars, lectures and publications have been organized to disseminate information on and promote international human rights standards and norms and facilitate the sharing of experiences among Thai agencies, the private sector, CSOs including academics and the media, relevant international organizations and the general public. The international community (e.g. UN Women, UNICEF, UNDP and ICRC) also assisted in shaping the programs in accordance with international standards. </w:t>
      </w:r>
    </w:p>
    <w:p w14:paraId="35EDE6AC" w14:textId="4A77FD88" w:rsidR="00EA422B" w:rsidRPr="004C184C" w:rsidRDefault="00EA422B" w:rsidP="006D1D92">
      <w:pPr>
        <w:pStyle w:val="SingleTxtG"/>
        <w:rPr>
          <w:lang w:val="en-US"/>
        </w:rPr>
      </w:pPr>
      <w:r w:rsidRPr="004C184C">
        <w:rPr>
          <w:lang w:val="en-US"/>
        </w:rPr>
        <w:t>147.</w:t>
      </w:r>
      <w:r w:rsidRPr="004C184C">
        <w:rPr>
          <w:lang w:val="en-US"/>
        </w:rPr>
        <w:tab/>
        <w:t>Examples of awareness</w:t>
      </w:r>
      <w:r w:rsidR="00D97E73" w:rsidRPr="004C184C">
        <w:rPr>
          <w:lang w:val="en-US"/>
        </w:rPr>
        <w:t>-</w:t>
      </w:r>
      <w:r w:rsidRPr="004C184C">
        <w:rPr>
          <w:lang w:val="en-US"/>
        </w:rPr>
        <w:t>raising programs are as follows:</w:t>
      </w:r>
    </w:p>
    <w:p w14:paraId="02B73287" w14:textId="7497A9CC" w:rsidR="00EA422B" w:rsidRPr="004C184C" w:rsidRDefault="00A032A3" w:rsidP="00A032A3">
      <w:pPr>
        <w:pStyle w:val="Bullet1G"/>
        <w:numPr>
          <w:ilvl w:val="0"/>
          <w:numId w:val="0"/>
        </w:numPr>
        <w:tabs>
          <w:tab w:val="left" w:pos="1701"/>
        </w:tabs>
        <w:ind w:left="1701" w:hanging="170"/>
        <w:rPr>
          <w:lang w:val="en-US"/>
        </w:rPr>
      </w:pPr>
      <w:r w:rsidRPr="004C184C">
        <w:rPr>
          <w:lang w:val="en-US"/>
        </w:rPr>
        <w:t>•</w:t>
      </w:r>
      <w:r w:rsidRPr="004C184C">
        <w:rPr>
          <w:lang w:val="en-US"/>
        </w:rPr>
        <w:tab/>
      </w:r>
      <w:r w:rsidR="00EA422B" w:rsidRPr="004C184C">
        <w:rPr>
          <w:lang w:val="en-US"/>
        </w:rPr>
        <w:t>Between 2015–2019, the Rights and Liberties Protection Department of the Ministry of Justice organized training on human rights principles related to law enforcement which were organized for concerned government officials to promote their understanding of human rights, including Thailand</w:t>
      </w:r>
      <w:r w:rsidR="00567EA4" w:rsidRPr="004C184C">
        <w:rPr>
          <w:lang w:val="en-US"/>
        </w:rPr>
        <w:t>’</w:t>
      </w:r>
      <w:r w:rsidR="00EA422B" w:rsidRPr="004C184C">
        <w:rPr>
          <w:lang w:val="en-US"/>
        </w:rPr>
        <w:t>s obligations under international human rights treaties, in order to minimize the risk of human rights violations while discharging their official duties and to enhance the effectiveness of implementation and the application of laws and regulations;</w:t>
      </w:r>
    </w:p>
    <w:p w14:paraId="491A0796" w14:textId="67D1BEF5" w:rsidR="00EA422B" w:rsidRPr="004C184C" w:rsidRDefault="00A032A3" w:rsidP="00A032A3">
      <w:pPr>
        <w:pStyle w:val="Bullet1G"/>
        <w:numPr>
          <w:ilvl w:val="0"/>
          <w:numId w:val="0"/>
        </w:numPr>
        <w:tabs>
          <w:tab w:val="left" w:pos="1701"/>
        </w:tabs>
        <w:ind w:left="1701" w:hanging="170"/>
        <w:rPr>
          <w:lang w:val="en-US"/>
        </w:rPr>
      </w:pPr>
      <w:r w:rsidRPr="004C184C">
        <w:rPr>
          <w:lang w:val="en-US"/>
        </w:rPr>
        <w:t>•</w:t>
      </w:r>
      <w:r w:rsidRPr="004C184C">
        <w:rPr>
          <w:lang w:val="en-US"/>
        </w:rPr>
        <w:tab/>
      </w:r>
      <w:r w:rsidR="00EA422B" w:rsidRPr="004C184C">
        <w:rPr>
          <w:lang w:val="en-US"/>
        </w:rPr>
        <w:t>Since 2018, the Ministry of Foreign Affairs, in collaboration with the OHCHR, has organized an annual capacity</w:t>
      </w:r>
      <w:r w:rsidR="00D97E73" w:rsidRPr="004C184C">
        <w:rPr>
          <w:lang w:val="en-US"/>
        </w:rPr>
        <w:t>-</w:t>
      </w:r>
      <w:r w:rsidR="00EA422B" w:rsidRPr="004C184C">
        <w:rPr>
          <w:lang w:val="en-US"/>
        </w:rPr>
        <w:t>building workshop on human rights treaty body reporting for government officials in charge of preparing national reports under the country</w:t>
      </w:r>
      <w:r w:rsidR="00567EA4" w:rsidRPr="004C184C">
        <w:rPr>
          <w:lang w:val="en-US"/>
        </w:rPr>
        <w:t>’</w:t>
      </w:r>
      <w:r w:rsidR="00EA422B" w:rsidRPr="004C184C">
        <w:rPr>
          <w:lang w:val="en-US"/>
        </w:rPr>
        <w:t xml:space="preserve">s core international human rights instruments. The objectives of the workshops include enhancing personnel capacities, particularly through raising awareness and understanding and developing skills necessary for drafting and presenting a national </w:t>
      </w:r>
      <w:proofErr w:type="gramStart"/>
      <w:r w:rsidR="00EA422B" w:rsidRPr="004C184C">
        <w:rPr>
          <w:lang w:val="en-US"/>
        </w:rPr>
        <w:t>report;</w:t>
      </w:r>
      <w:proofErr w:type="gramEnd"/>
    </w:p>
    <w:p w14:paraId="06A1D539" w14:textId="44E6DDA4" w:rsidR="00EA422B" w:rsidRPr="004C184C" w:rsidRDefault="00A032A3" w:rsidP="00A032A3">
      <w:pPr>
        <w:pStyle w:val="Bullet1G"/>
        <w:numPr>
          <w:ilvl w:val="0"/>
          <w:numId w:val="0"/>
        </w:numPr>
        <w:tabs>
          <w:tab w:val="left" w:pos="1701"/>
        </w:tabs>
        <w:ind w:left="1701" w:hanging="170"/>
        <w:rPr>
          <w:lang w:val="en-US"/>
        </w:rPr>
      </w:pPr>
      <w:r w:rsidRPr="004C184C">
        <w:rPr>
          <w:lang w:val="en-US"/>
        </w:rPr>
        <w:t>•</w:t>
      </w:r>
      <w:r w:rsidRPr="004C184C">
        <w:rPr>
          <w:lang w:val="en-US"/>
        </w:rPr>
        <w:tab/>
      </w:r>
      <w:r w:rsidR="00EA422B" w:rsidRPr="004C184C">
        <w:rPr>
          <w:lang w:val="en-US"/>
        </w:rPr>
        <w:t>The Office of the Civil Service Commission offers a two</w:t>
      </w:r>
      <w:r w:rsidR="00D97E73" w:rsidRPr="004C184C">
        <w:rPr>
          <w:lang w:val="en-US"/>
        </w:rPr>
        <w:t>-</w:t>
      </w:r>
      <w:r w:rsidR="00EA422B" w:rsidRPr="004C184C">
        <w:rPr>
          <w:lang w:val="en-US"/>
        </w:rPr>
        <w:t>month self</w:t>
      </w:r>
      <w:r w:rsidR="00D97E73" w:rsidRPr="004C184C">
        <w:rPr>
          <w:lang w:val="en-US"/>
        </w:rPr>
        <w:t>-</w:t>
      </w:r>
      <w:r w:rsidR="00EA422B" w:rsidRPr="004C184C">
        <w:rPr>
          <w:lang w:val="en-US"/>
        </w:rPr>
        <w:t>taught basic human rights course through an e</w:t>
      </w:r>
      <w:r w:rsidR="00D97E73" w:rsidRPr="004C184C">
        <w:rPr>
          <w:lang w:val="en-US"/>
        </w:rPr>
        <w:t>-</w:t>
      </w:r>
      <w:r w:rsidR="00EA422B" w:rsidRPr="004C184C">
        <w:rPr>
          <w:lang w:val="en-US"/>
        </w:rPr>
        <w:t xml:space="preserve">learning platform for civil servants and staff members. Each year, about 600 participants attend this training course. </w:t>
      </w:r>
    </w:p>
    <w:p w14:paraId="097D9A04" w14:textId="24B4D4DF" w:rsidR="00EA422B" w:rsidRPr="004C184C" w:rsidRDefault="00EA422B" w:rsidP="006D1D92">
      <w:pPr>
        <w:pStyle w:val="SingleTxtG"/>
        <w:rPr>
          <w:lang w:val="en-US"/>
        </w:rPr>
      </w:pPr>
      <w:r w:rsidRPr="004C184C">
        <w:rPr>
          <w:lang w:val="en-US"/>
        </w:rPr>
        <w:t>148.</w:t>
      </w:r>
      <w:r w:rsidRPr="004C184C">
        <w:rPr>
          <w:lang w:val="en-US"/>
        </w:rPr>
        <w:tab/>
      </w:r>
      <w:proofErr w:type="gramStart"/>
      <w:r w:rsidRPr="004C184C">
        <w:rPr>
          <w:lang w:val="en-US"/>
        </w:rPr>
        <w:t>With regard to</w:t>
      </w:r>
      <w:proofErr w:type="gramEnd"/>
      <w:r w:rsidRPr="004C184C">
        <w:rPr>
          <w:lang w:val="en-US"/>
        </w:rPr>
        <w:t xml:space="preserve"> legal professionals, the human rights module is a compulsory subject for those who attend the Bar exam</w:t>
      </w:r>
      <w:r w:rsidRPr="004C184C">
        <w:rPr>
          <w:cs/>
          <w:lang w:val="en-US"/>
        </w:rPr>
        <w:t xml:space="preserve">. </w:t>
      </w:r>
      <w:r w:rsidRPr="004C184C">
        <w:rPr>
          <w:lang w:val="en-US"/>
        </w:rPr>
        <w:t>The subject is also available in most law schools across the country</w:t>
      </w:r>
      <w:r w:rsidRPr="004C184C">
        <w:rPr>
          <w:cs/>
          <w:lang w:val="en-US"/>
        </w:rPr>
        <w:t>.</w:t>
      </w:r>
    </w:p>
    <w:p w14:paraId="328A48AC" w14:textId="63AAA2FD" w:rsidR="00EA422B" w:rsidRPr="004C184C" w:rsidRDefault="00EA422B" w:rsidP="00D60CA7">
      <w:pPr>
        <w:pStyle w:val="H23G"/>
        <w:rPr>
          <w:lang w:val="en-US"/>
        </w:rPr>
      </w:pPr>
      <w:r w:rsidRPr="004C184C">
        <w:rPr>
          <w:lang w:val="en-US"/>
        </w:rPr>
        <w:tab/>
      </w:r>
      <w:r w:rsidRPr="004C184C">
        <w:rPr>
          <w:lang w:val="en-US"/>
        </w:rPr>
        <w:tab/>
        <w:t>Promotion of human rights awareness through educational programs and Government</w:t>
      </w:r>
      <w:r w:rsidR="00D97E73" w:rsidRPr="004C184C">
        <w:rPr>
          <w:lang w:val="en-US"/>
        </w:rPr>
        <w:t>-</w:t>
      </w:r>
      <w:r w:rsidRPr="004C184C">
        <w:rPr>
          <w:lang w:val="en-US"/>
        </w:rPr>
        <w:t>sponsored</w:t>
      </w:r>
      <w:r w:rsidRPr="004C184C">
        <w:rPr>
          <w:cs/>
          <w:lang w:val="en-US"/>
        </w:rPr>
        <w:t xml:space="preserve"> </w:t>
      </w:r>
      <w:r w:rsidRPr="004C184C">
        <w:rPr>
          <w:lang w:val="en-US"/>
        </w:rPr>
        <w:t>public information</w:t>
      </w:r>
    </w:p>
    <w:p w14:paraId="7E12B151" w14:textId="238C01F6" w:rsidR="00EA422B" w:rsidRPr="004C184C" w:rsidRDefault="00EA422B" w:rsidP="00D60CA7">
      <w:pPr>
        <w:pStyle w:val="SingleTxtG"/>
        <w:rPr>
          <w:lang w:val="en-US"/>
        </w:rPr>
      </w:pPr>
      <w:r w:rsidRPr="004C184C">
        <w:rPr>
          <w:lang w:val="en-US"/>
        </w:rPr>
        <w:t>149.</w:t>
      </w:r>
      <w:r w:rsidRPr="004C184C">
        <w:rPr>
          <w:lang w:val="en-US"/>
        </w:rPr>
        <w:tab/>
        <w:t>Public education on human rights has been organized through formal and non</w:t>
      </w:r>
      <w:r w:rsidR="00D97E73" w:rsidRPr="004C184C">
        <w:rPr>
          <w:lang w:val="en-US"/>
        </w:rPr>
        <w:t>-</w:t>
      </w:r>
      <w:r w:rsidRPr="004C184C">
        <w:rPr>
          <w:lang w:val="en-US"/>
        </w:rPr>
        <w:t>formal learning, training and seminars</w:t>
      </w:r>
      <w:r w:rsidRPr="004C184C">
        <w:rPr>
          <w:cs/>
          <w:lang w:val="en-US"/>
        </w:rPr>
        <w:t xml:space="preserve">. </w:t>
      </w:r>
      <w:r w:rsidRPr="004C184C">
        <w:rPr>
          <w:lang w:val="en-US"/>
        </w:rPr>
        <w:t>Teaching and learning curricula have been developed to sensitize teachers and educational personnel, officials from local administrative organizations and human rights volunteers</w:t>
      </w:r>
      <w:r w:rsidRPr="004C184C">
        <w:rPr>
          <w:cs/>
          <w:lang w:val="en-US"/>
        </w:rPr>
        <w:t xml:space="preserve">. </w:t>
      </w:r>
    </w:p>
    <w:p w14:paraId="2E297187" w14:textId="5CD0A249" w:rsidR="00EA422B" w:rsidRPr="004C184C" w:rsidRDefault="00EA422B" w:rsidP="00D60CA7">
      <w:pPr>
        <w:pStyle w:val="SingleTxtG"/>
        <w:rPr>
          <w:lang w:val="en-US"/>
        </w:rPr>
      </w:pPr>
      <w:r w:rsidRPr="004C184C">
        <w:rPr>
          <w:lang w:val="en-US"/>
        </w:rPr>
        <w:t>150.</w:t>
      </w:r>
      <w:r w:rsidRPr="004C184C">
        <w:rPr>
          <w:lang w:val="en-US"/>
        </w:rPr>
        <w:tab/>
        <w:t>The Ministry of Education plays a key role in promoting and cultivating social values such as care, respect, responsibility, peace, harmony and peaceful co</w:t>
      </w:r>
      <w:r w:rsidR="00D97E73" w:rsidRPr="004C184C">
        <w:rPr>
          <w:lang w:val="en-US"/>
        </w:rPr>
        <w:t>-</w:t>
      </w:r>
      <w:r w:rsidRPr="004C184C">
        <w:rPr>
          <w:lang w:val="en-US"/>
        </w:rPr>
        <w:t>existence in schools. Its education policies emphasize the importance of disseminating knowledge on human rights and related information and education. Such policies are reflected in the schools</w:t>
      </w:r>
      <w:r w:rsidR="00567EA4" w:rsidRPr="004C184C">
        <w:rPr>
          <w:lang w:val="en-US"/>
        </w:rPr>
        <w:t>’</w:t>
      </w:r>
      <w:r w:rsidRPr="004C184C">
        <w:rPr>
          <w:lang w:val="en-US"/>
        </w:rPr>
        <w:t xml:space="preserve"> academic curriculum, particularly in social studies. To guard against the development of harmful prejudices and stereotypes, students are taught to respect and celebrate multiculturalism, including through learning platforms such as games, student projects, school camps and field trips to museums and heritage sites. </w:t>
      </w:r>
    </w:p>
    <w:p w14:paraId="06F520B0" w14:textId="137168D5" w:rsidR="00EA422B" w:rsidRPr="004C184C" w:rsidRDefault="00EA422B" w:rsidP="00D60CA7">
      <w:pPr>
        <w:pStyle w:val="SingleTxtG"/>
        <w:rPr>
          <w:lang w:val="en-US"/>
        </w:rPr>
      </w:pPr>
      <w:r w:rsidRPr="004C184C">
        <w:rPr>
          <w:lang w:val="en-US"/>
        </w:rPr>
        <w:lastRenderedPageBreak/>
        <w:t>151.</w:t>
      </w:r>
      <w:r w:rsidRPr="004C184C">
        <w:rPr>
          <w:lang w:val="en-US"/>
        </w:rPr>
        <w:tab/>
        <w:t xml:space="preserve">In addition, the Ministry of Education has implemented specific strategies, plans and projects to address the specific needs of ethnic children and people in Thailand in a holistic manner, such as the </w:t>
      </w:r>
      <w:r w:rsidR="00567EA4" w:rsidRPr="004C184C">
        <w:rPr>
          <w:lang w:val="en-US"/>
        </w:rPr>
        <w:t>‘</w:t>
      </w:r>
      <w:r w:rsidRPr="004C184C">
        <w:rPr>
          <w:lang w:val="en-US"/>
        </w:rPr>
        <w:t>Educational Development Plan in Border Area (2017–2021)</w:t>
      </w:r>
      <w:r w:rsidR="00567EA4" w:rsidRPr="004C184C">
        <w:rPr>
          <w:lang w:val="en-US"/>
        </w:rPr>
        <w:t>’</w:t>
      </w:r>
      <w:r w:rsidRPr="004C184C">
        <w:rPr>
          <w:lang w:val="en-US"/>
        </w:rPr>
        <w:t>, which aims to improve education and the quality of life of students, university students and people living in the border areas connected to Myanmar, Lao PDR and Cambodia.</w:t>
      </w:r>
    </w:p>
    <w:p w14:paraId="04F3AED9" w14:textId="5898FDEA" w:rsidR="00EA422B" w:rsidRPr="004C184C" w:rsidRDefault="00EA422B" w:rsidP="00D60CA7">
      <w:pPr>
        <w:pStyle w:val="SingleTxtG"/>
        <w:rPr>
          <w:lang w:val="en-US"/>
        </w:rPr>
      </w:pPr>
      <w:r w:rsidRPr="004C184C">
        <w:rPr>
          <w:lang w:val="en-US"/>
        </w:rPr>
        <w:t>152.</w:t>
      </w:r>
      <w:r w:rsidRPr="004C184C">
        <w:rPr>
          <w:lang w:val="en-US"/>
        </w:rPr>
        <w:tab/>
        <w:t xml:space="preserve">The Government has initiated the </w:t>
      </w:r>
      <w:r w:rsidR="00567EA4" w:rsidRPr="004C184C">
        <w:rPr>
          <w:lang w:val="en-US"/>
        </w:rPr>
        <w:t>‘</w:t>
      </w:r>
      <w:r w:rsidRPr="004C184C">
        <w:rPr>
          <w:lang w:val="en-US"/>
        </w:rPr>
        <w:t>Public</w:t>
      </w:r>
      <w:r w:rsidR="00185480" w:rsidRPr="004C184C">
        <w:rPr>
          <w:lang w:val="en-US"/>
        </w:rPr>
        <w:t>-</w:t>
      </w:r>
      <w:r w:rsidRPr="004C184C">
        <w:rPr>
          <w:lang w:val="en-US"/>
        </w:rPr>
        <w:t>Private Partnership School Project</w:t>
      </w:r>
      <w:r w:rsidR="00567EA4" w:rsidRPr="004C184C">
        <w:rPr>
          <w:lang w:val="en-US"/>
        </w:rPr>
        <w:t>’</w:t>
      </w:r>
      <w:r w:rsidRPr="004C184C">
        <w:rPr>
          <w:lang w:val="en-US"/>
        </w:rPr>
        <w:t xml:space="preserve"> using a comprehensive and integrated approach for children, especially low</w:t>
      </w:r>
      <w:r w:rsidR="00185480" w:rsidRPr="004C184C">
        <w:rPr>
          <w:lang w:val="en-US"/>
        </w:rPr>
        <w:t>-</w:t>
      </w:r>
      <w:r w:rsidRPr="004C184C">
        <w:rPr>
          <w:lang w:val="en-US"/>
        </w:rPr>
        <w:t>income, disadvantaged or vulnerable children, as well as orphans.</w:t>
      </w:r>
    </w:p>
    <w:p w14:paraId="13876312" w14:textId="218A6D1D" w:rsidR="00EA422B" w:rsidRPr="004C184C" w:rsidRDefault="00EA422B" w:rsidP="00D60CA7">
      <w:pPr>
        <w:pStyle w:val="SingleTxtG"/>
        <w:rPr>
          <w:lang w:val="en-US"/>
        </w:rPr>
      </w:pPr>
      <w:r w:rsidRPr="004C184C">
        <w:rPr>
          <w:lang w:val="en-US"/>
        </w:rPr>
        <w:t>153.</w:t>
      </w:r>
      <w:r w:rsidRPr="004C184C">
        <w:rPr>
          <w:lang w:val="en-US"/>
        </w:rPr>
        <w:tab/>
        <w:t>The Ministry of Justice has continuously organized workshops to promote human rights principles among the youth. The workshops have focused on principles of equality, non</w:t>
      </w:r>
      <w:r w:rsidR="00185480" w:rsidRPr="004C184C">
        <w:rPr>
          <w:lang w:val="en-US"/>
        </w:rPr>
        <w:t>-</w:t>
      </w:r>
      <w:r w:rsidRPr="004C184C">
        <w:rPr>
          <w:lang w:val="en-US"/>
        </w:rPr>
        <w:t>discrimination, cultural diversity and multiculturalism, including through learning strategies such as facilitated discussions, interactive dialogues, arts, music and games. In addition, the Ministry of Justice in partnership with government and non</w:t>
      </w:r>
      <w:r w:rsidR="00185480" w:rsidRPr="004C184C">
        <w:rPr>
          <w:lang w:val="en-US"/>
        </w:rPr>
        <w:t>-</w:t>
      </w:r>
      <w:r w:rsidRPr="004C184C">
        <w:rPr>
          <w:lang w:val="en-US"/>
        </w:rPr>
        <w:t xml:space="preserve">government agencies has initiated the </w:t>
      </w:r>
      <w:r w:rsidR="00567EA4" w:rsidRPr="004C184C">
        <w:rPr>
          <w:lang w:val="en-US"/>
        </w:rPr>
        <w:t>‘</w:t>
      </w:r>
      <w:r w:rsidRPr="004C184C">
        <w:rPr>
          <w:lang w:val="en-US"/>
        </w:rPr>
        <w:t>Justice Supported School Project</w:t>
      </w:r>
      <w:r w:rsidR="00567EA4" w:rsidRPr="004C184C">
        <w:rPr>
          <w:lang w:val="en-US"/>
        </w:rPr>
        <w:t>’</w:t>
      </w:r>
      <w:r w:rsidRPr="004C184C">
        <w:rPr>
          <w:lang w:val="en-US"/>
        </w:rPr>
        <w:t>, which is an extra</w:t>
      </w:r>
      <w:r w:rsidR="00185480" w:rsidRPr="004C184C">
        <w:rPr>
          <w:lang w:val="en-US"/>
        </w:rPr>
        <w:t>-</w:t>
      </w:r>
      <w:r w:rsidRPr="004C184C">
        <w:rPr>
          <w:lang w:val="en-US"/>
        </w:rPr>
        <w:t>curricular program for the youth to promote their participation in drafting the rules affecting their daily lives at schools, including the rules to tackle issues of bullying and drug abuse. The students learn to respect the rights of others and abide by the rules they have created. Currently, over 850 pilot primary and secondary schools across the country have participated in this project.</w:t>
      </w:r>
    </w:p>
    <w:p w14:paraId="4BF071C5" w14:textId="10CEC790" w:rsidR="00EA422B" w:rsidRPr="004C184C" w:rsidRDefault="00EA422B" w:rsidP="00D60CA7">
      <w:pPr>
        <w:pStyle w:val="SingleTxtG"/>
        <w:rPr>
          <w:lang w:val="en-US"/>
        </w:rPr>
      </w:pPr>
      <w:r w:rsidRPr="004C184C">
        <w:rPr>
          <w:lang w:val="en-US"/>
        </w:rPr>
        <w:t>154.</w:t>
      </w:r>
      <w:r w:rsidRPr="004C184C">
        <w:rPr>
          <w:lang w:val="en-US"/>
        </w:rPr>
        <w:tab/>
        <w:t>Further human rights programs</w:t>
      </w:r>
      <w:r w:rsidRPr="004C184C">
        <w:rPr>
          <w:cs/>
          <w:lang w:val="en-US"/>
        </w:rPr>
        <w:t xml:space="preserve"> </w:t>
      </w:r>
      <w:r w:rsidRPr="004C184C">
        <w:rPr>
          <w:lang w:val="en-US"/>
        </w:rPr>
        <w:t>have been offered by government agencies to the public in order to increase awareness of human rights issues in Thai society</w:t>
      </w:r>
      <w:r w:rsidRPr="004C184C">
        <w:rPr>
          <w:cs/>
          <w:lang w:val="en-US"/>
        </w:rPr>
        <w:t>.</w:t>
      </w:r>
      <w:r w:rsidRPr="004C184C">
        <w:rPr>
          <w:lang w:val="en-US"/>
        </w:rPr>
        <w:t xml:space="preserve"> These programs include, but are not limited to: (</w:t>
      </w:r>
      <w:proofErr w:type="spellStart"/>
      <w:r w:rsidRPr="004C184C">
        <w:rPr>
          <w:lang w:val="en-US"/>
        </w:rPr>
        <w:t>i</w:t>
      </w:r>
      <w:proofErr w:type="spellEnd"/>
      <w:r w:rsidRPr="004C184C">
        <w:rPr>
          <w:lang w:val="en-US"/>
        </w:rPr>
        <w:t xml:space="preserve">) the Human Rights Executive </w:t>
      </w:r>
      <w:proofErr w:type="spellStart"/>
      <w:r w:rsidRPr="004C184C">
        <w:rPr>
          <w:lang w:val="en-US"/>
        </w:rPr>
        <w:t>Programme</w:t>
      </w:r>
      <w:proofErr w:type="spellEnd"/>
      <w:r w:rsidRPr="004C184C">
        <w:rPr>
          <w:lang w:val="en-US"/>
        </w:rPr>
        <w:t xml:space="preserve"> by King Prajadhipok</w:t>
      </w:r>
      <w:r w:rsidR="00567EA4" w:rsidRPr="004C184C">
        <w:rPr>
          <w:lang w:val="en-US"/>
        </w:rPr>
        <w:t>’</w:t>
      </w:r>
      <w:r w:rsidRPr="004C184C">
        <w:rPr>
          <w:lang w:val="en-US"/>
        </w:rPr>
        <w:t>s Institute and the National Human Rights Commission; (ii) the Human Rights Certificate by several universities; and (iii) human rights training by the Rights and Liberties Department.</w:t>
      </w:r>
    </w:p>
    <w:p w14:paraId="6249704D" w14:textId="652ADD78" w:rsidR="00EA422B" w:rsidRPr="004C184C" w:rsidRDefault="00EA422B" w:rsidP="00D60CA7">
      <w:pPr>
        <w:pStyle w:val="SingleTxtG"/>
        <w:rPr>
          <w:lang w:val="en-US"/>
        </w:rPr>
      </w:pPr>
      <w:r w:rsidRPr="004C184C">
        <w:rPr>
          <w:lang w:val="en-US"/>
        </w:rPr>
        <w:t>155.</w:t>
      </w:r>
      <w:r w:rsidRPr="004C184C">
        <w:rPr>
          <w:lang w:val="en-US"/>
        </w:rPr>
        <w:tab/>
        <w:t>The National Human Rights Commission (NHRC</w:t>
      </w:r>
      <w:r w:rsidRPr="004C184C">
        <w:rPr>
          <w:cs/>
          <w:lang w:val="en-US"/>
        </w:rPr>
        <w:t xml:space="preserve">) </w:t>
      </w:r>
      <w:r w:rsidRPr="004C184C">
        <w:rPr>
          <w:lang w:val="en-US"/>
        </w:rPr>
        <w:t xml:space="preserve">has held a series of </w:t>
      </w:r>
      <w:r w:rsidR="00567EA4" w:rsidRPr="004C184C">
        <w:rPr>
          <w:lang w:val="en-US"/>
        </w:rPr>
        <w:t>‘</w:t>
      </w:r>
      <w:r w:rsidRPr="004C184C">
        <w:rPr>
          <w:lang w:val="en-US"/>
        </w:rPr>
        <w:t>train the trainers</w:t>
      </w:r>
      <w:r w:rsidR="00567EA4" w:rsidRPr="004C184C">
        <w:rPr>
          <w:lang w:val="en-US"/>
        </w:rPr>
        <w:t>’</w:t>
      </w:r>
      <w:r w:rsidRPr="004C184C">
        <w:rPr>
          <w:lang w:val="en-US"/>
        </w:rPr>
        <w:t xml:space="preserve"> programs on human rights education and related issues for instructors and educational personnel at the university level. It has concluded memoranda of understanding with more than 50 institutions of higher education in the country since 2016. With these programs, the NHRC aims – through instructors and educational personnel who have attended them – to disseminate knowledge and build up awareness on human rights among children and youth in order for them to drive forward the promotion and protection of human rights in the society.</w:t>
      </w:r>
    </w:p>
    <w:p w14:paraId="36661CBB" w14:textId="1B553892" w:rsidR="00EA422B" w:rsidRPr="004C184C" w:rsidRDefault="00EA422B" w:rsidP="00D60CA7">
      <w:pPr>
        <w:pStyle w:val="SingleTxtG"/>
        <w:rPr>
          <w:lang w:val="en-US"/>
        </w:rPr>
      </w:pPr>
      <w:r w:rsidRPr="004C184C">
        <w:rPr>
          <w:lang w:val="en-US"/>
        </w:rPr>
        <w:t>156.</w:t>
      </w:r>
      <w:r w:rsidRPr="004C184C">
        <w:rPr>
          <w:lang w:val="en-US"/>
        </w:rPr>
        <w:tab/>
        <w:t>Institutions of higher education, including universities, in Bangkok and other provinces increasingly offer courses on human rights for students at various levels, as well as the general public. For example, Mahidol University offers human rights courses at the Bachelor</w:t>
      </w:r>
      <w:r w:rsidR="00567EA4" w:rsidRPr="004C184C">
        <w:rPr>
          <w:lang w:val="en-US"/>
        </w:rPr>
        <w:t>’</w:t>
      </w:r>
      <w:r w:rsidRPr="004C184C">
        <w:rPr>
          <w:lang w:val="en-US"/>
        </w:rPr>
        <w:t>s, Master</w:t>
      </w:r>
      <w:r w:rsidR="00567EA4" w:rsidRPr="004C184C">
        <w:rPr>
          <w:lang w:val="en-US"/>
        </w:rPr>
        <w:t>’</w:t>
      </w:r>
      <w:r w:rsidRPr="004C184C">
        <w:rPr>
          <w:lang w:val="en-US"/>
        </w:rPr>
        <w:t>s and Doctoral degrees. Chulalongkorn University runs a three</w:t>
      </w:r>
      <w:r w:rsidR="00185480" w:rsidRPr="004C184C">
        <w:rPr>
          <w:lang w:val="en-US"/>
        </w:rPr>
        <w:t>-</w:t>
      </w:r>
      <w:r w:rsidRPr="004C184C">
        <w:rPr>
          <w:lang w:val="en-US"/>
        </w:rPr>
        <w:t>week training course on human rights, justice in society and the rule of law. Thammasat University has a seven</w:t>
      </w:r>
      <w:r w:rsidR="00185480" w:rsidRPr="004C184C">
        <w:rPr>
          <w:lang w:val="en-US"/>
        </w:rPr>
        <w:t>-</w:t>
      </w:r>
      <w:r w:rsidRPr="004C184C">
        <w:rPr>
          <w:lang w:val="en-US"/>
        </w:rPr>
        <w:t xml:space="preserve">week training program on human rights and civil rights laws. Other universities such as Sukhothai </w:t>
      </w:r>
      <w:proofErr w:type="spellStart"/>
      <w:r w:rsidRPr="004C184C">
        <w:rPr>
          <w:lang w:val="en-US"/>
        </w:rPr>
        <w:t>Thammathirat</w:t>
      </w:r>
      <w:proofErr w:type="spellEnd"/>
      <w:r w:rsidRPr="004C184C">
        <w:rPr>
          <w:lang w:val="en-US"/>
        </w:rPr>
        <w:t xml:space="preserve"> University, </w:t>
      </w:r>
      <w:proofErr w:type="spellStart"/>
      <w:r w:rsidRPr="004C184C">
        <w:rPr>
          <w:lang w:val="en-US"/>
        </w:rPr>
        <w:t>Ubon</w:t>
      </w:r>
      <w:proofErr w:type="spellEnd"/>
      <w:r w:rsidRPr="004C184C">
        <w:rPr>
          <w:lang w:val="en-US"/>
        </w:rPr>
        <w:t xml:space="preserve"> </w:t>
      </w:r>
      <w:proofErr w:type="spellStart"/>
      <w:r w:rsidRPr="004C184C">
        <w:rPr>
          <w:lang w:val="en-US"/>
        </w:rPr>
        <w:t>Ratchathani</w:t>
      </w:r>
      <w:proofErr w:type="spellEnd"/>
      <w:r w:rsidRPr="004C184C">
        <w:rPr>
          <w:lang w:val="en-US"/>
        </w:rPr>
        <w:t xml:space="preserve"> University, </w:t>
      </w:r>
      <w:proofErr w:type="spellStart"/>
      <w:r w:rsidRPr="004C184C">
        <w:rPr>
          <w:lang w:val="en-US"/>
        </w:rPr>
        <w:t>Maha</w:t>
      </w:r>
      <w:proofErr w:type="spellEnd"/>
      <w:r w:rsidRPr="004C184C">
        <w:rPr>
          <w:lang w:val="en-US"/>
        </w:rPr>
        <w:t xml:space="preserve"> </w:t>
      </w:r>
      <w:proofErr w:type="spellStart"/>
      <w:r w:rsidRPr="004C184C">
        <w:rPr>
          <w:lang w:val="en-US"/>
        </w:rPr>
        <w:t>Sarakham</w:t>
      </w:r>
      <w:proofErr w:type="spellEnd"/>
      <w:r w:rsidRPr="004C184C">
        <w:rPr>
          <w:lang w:val="en-US"/>
        </w:rPr>
        <w:t xml:space="preserve"> University, Chiang Mai University, Mae Fa </w:t>
      </w:r>
      <w:proofErr w:type="spellStart"/>
      <w:r w:rsidRPr="004C184C">
        <w:rPr>
          <w:lang w:val="en-US"/>
        </w:rPr>
        <w:t>Luang</w:t>
      </w:r>
      <w:proofErr w:type="spellEnd"/>
      <w:r w:rsidRPr="004C184C">
        <w:rPr>
          <w:lang w:val="en-US"/>
        </w:rPr>
        <w:t xml:space="preserve"> University, </w:t>
      </w:r>
      <w:proofErr w:type="spellStart"/>
      <w:r w:rsidRPr="004C184C">
        <w:rPr>
          <w:lang w:val="en-US"/>
        </w:rPr>
        <w:t>Payap</w:t>
      </w:r>
      <w:proofErr w:type="spellEnd"/>
      <w:r w:rsidRPr="004C184C">
        <w:rPr>
          <w:lang w:val="en-US"/>
        </w:rPr>
        <w:t xml:space="preserve"> University, as well as several Rajabhat Universities also offer human rights</w:t>
      </w:r>
      <w:r w:rsidR="00185480" w:rsidRPr="004C184C">
        <w:rPr>
          <w:lang w:val="en-US"/>
        </w:rPr>
        <w:t>-</w:t>
      </w:r>
      <w:r w:rsidRPr="004C184C">
        <w:rPr>
          <w:lang w:val="en-US"/>
        </w:rPr>
        <w:t>related courses or house a department of human rights.</w:t>
      </w:r>
    </w:p>
    <w:p w14:paraId="0668F4D9" w14:textId="5BEB3629" w:rsidR="00EA422B" w:rsidRPr="004C184C" w:rsidRDefault="00EA422B" w:rsidP="00D60CA7">
      <w:pPr>
        <w:pStyle w:val="SingleTxtG"/>
        <w:rPr>
          <w:lang w:val="en-US"/>
        </w:rPr>
      </w:pPr>
      <w:r w:rsidRPr="004C184C">
        <w:rPr>
          <w:lang w:val="en-US"/>
        </w:rPr>
        <w:t>157.</w:t>
      </w:r>
      <w:r w:rsidRPr="004C184C">
        <w:rPr>
          <w:lang w:val="en-US"/>
        </w:rPr>
        <w:tab/>
        <w:t>The Ministry of Foreign Affairs initiated the Ministry</w:t>
      </w:r>
      <w:r w:rsidR="00567EA4" w:rsidRPr="004C184C">
        <w:rPr>
          <w:lang w:val="en-US"/>
        </w:rPr>
        <w:t>’</w:t>
      </w:r>
      <w:r w:rsidRPr="004C184C">
        <w:rPr>
          <w:lang w:val="en-US"/>
        </w:rPr>
        <w:t xml:space="preserve">s </w:t>
      </w:r>
      <w:r w:rsidR="00567EA4" w:rsidRPr="004C184C">
        <w:rPr>
          <w:lang w:val="en-US"/>
        </w:rPr>
        <w:t>‘</w:t>
      </w:r>
      <w:r w:rsidRPr="004C184C">
        <w:rPr>
          <w:lang w:val="en-US"/>
        </w:rPr>
        <w:t>Human Rights Education Series</w:t>
      </w:r>
      <w:r w:rsidR="00567EA4" w:rsidRPr="004C184C">
        <w:rPr>
          <w:lang w:val="en-US"/>
        </w:rPr>
        <w:t>’</w:t>
      </w:r>
      <w:r w:rsidRPr="004C184C">
        <w:rPr>
          <w:lang w:val="en-US"/>
        </w:rPr>
        <w:t xml:space="preserve"> in 2017. Two children books </w:t>
      </w:r>
      <w:r w:rsidR="00567EA4" w:rsidRPr="004C184C">
        <w:rPr>
          <w:lang w:val="en-US"/>
        </w:rPr>
        <w:t>‘</w:t>
      </w:r>
      <w:r w:rsidRPr="004C184C">
        <w:rPr>
          <w:lang w:val="en-US"/>
        </w:rPr>
        <w:t>Little Chick and Little Duck. We are different, we are friends.</w:t>
      </w:r>
      <w:r w:rsidR="00567EA4" w:rsidRPr="004C184C">
        <w:rPr>
          <w:lang w:val="en-US"/>
        </w:rPr>
        <w:t>’</w:t>
      </w:r>
      <w:r w:rsidRPr="004C184C">
        <w:rPr>
          <w:lang w:val="en-US"/>
        </w:rPr>
        <w:t xml:space="preserve"> and </w:t>
      </w:r>
      <w:r w:rsidR="00567EA4" w:rsidRPr="004C184C">
        <w:rPr>
          <w:lang w:val="en-US"/>
        </w:rPr>
        <w:t>‘</w:t>
      </w:r>
      <w:proofErr w:type="spellStart"/>
      <w:r w:rsidRPr="004C184C">
        <w:rPr>
          <w:lang w:val="en-US"/>
        </w:rPr>
        <w:t>Konmek</w:t>
      </w:r>
      <w:r w:rsidR="00567EA4" w:rsidRPr="004C184C">
        <w:rPr>
          <w:lang w:val="en-US"/>
        </w:rPr>
        <w:t>’</w:t>
      </w:r>
      <w:r w:rsidRPr="004C184C">
        <w:rPr>
          <w:lang w:val="en-US"/>
        </w:rPr>
        <w:t>s</w:t>
      </w:r>
      <w:proofErr w:type="spellEnd"/>
      <w:r w:rsidRPr="004C184C">
        <w:rPr>
          <w:lang w:val="en-US"/>
        </w:rPr>
        <w:t xml:space="preserve"> Dream</w:t>
      </w:r>
      <w:r w:rsidR="00567EA4" w:rsidRPr="004C184C">
        <w:rPr>
          <w:lang w:val="en-US"/>
        </w:rPr>
        <w:t>’</w:t>
      </w:r>
      <w:r w:rsidRPr="004C184C">
        <w:rPr>
          <w:lang w:val="en-US"/>
        </w:rPr>
        <w:t>, aiming to raise awareness of human rights principles among children and youth and to promote the respect for and acceptance of differences, non</w:t>
      </w:r>
      <w:r w:rsidR="00185480" w:rsidRPr="004C184C">
        <w:rPr>
          <w:lang w:val="en-US"/>
        </w:rPr>
        <w:t>-</w:t>
      </w:r>
      <w:r w:rsidRPr="004C184C">
        <w:rPr>
          <w:lang w:val="en-US"/>
        </w:rPr>
        <w:t>discrimination, human dignity, equal opportunity, the inclusion of those vulnerable as well as peaceful co</w:t>
      </w:r>
      <w:r w:rsidR="00185480" w:rsidRPr="004C184C">
        <w:rPr>
          <w:lang w:val="en-US"/>
        </w:rPr>
        <w:t>-</w:t>
      </w:r>
      <w:r w:rsidRPr="004C184C">
        <w:rPr>
          <w:lang w:val="en-US"/>
        </w:rPr>
        <w:t xml:space="preserve">existence in the pluralistic society, have been launched as part of the series. </w:t>
      </w:r>
    </w:p>
    <w:p w14:paraId="0385E42E" w14:textId="77777777" w:rsidR="00EA422B" w:rsidRPr="004C184C" w:rsidRDefault="00EA422B" w:rsidP="00D60CA7">
      <w:pPr>
        <w:pStyle w:val="H23G"/>
        <w:rPr>
          <w:lang w:val="en-US"/>
        </w:rPr>
      </w:pPr>
      <w:r w:rsidRPr="004C184C">
        <w:rPr>
          <w:lang w:val="en-US"/>
        </w:rPr>
        <w:tab/>
      </w:r>
      <w:r w:rsidRPr="004C184C">
        <w:rPr>
          <w:lang w:val="en-US"/>
        </w:rPr>
        <w:tab/>
        <w:t>Promotion of human rights awareness through the mass media</w:t>
      </w:r>
    </w:p>
    <w:p w14:paraId="428F66CB" w14:textId="2C7DE437" w:rsidR="00EA422B" w:rsidRPr="004C184C" w:rsidRDefault="00EA422B" w:rsidP="00D60CA7">
      <w:pPr>
        <w:pStyle w:val="SingleTxtG"/>
        <w:rPr>
          <w:lang w:val="en-US"/>
        </w:rPr>
      </w:pPr>
      <w:r w:rsidRPr="004C184C">
        <w:rPr>
          <w:lang w:val="en-US"/>
        </w:rPr>
        <w:t>158.</w:t>
      </w:r>
      <w:r w:rsidRPr="004C184C">
        <w:rPr>
          <w:lang w:val="en-US"/>
        </w:rPr>
        <w:tab/>
        <w:t>The dissemination of human rights information through the media has involved various forms, namely: (</w:t>
      </w:r>
      <w:proofErr w:type="spellStart"/>
      <w:r w:rsidRPr="004C184C">
        <w:rPr>
          <w:lang w:val="en-US"/>
        </w:rPr>
        <w:t>i</w:t>
      </w:r>
      <w:proofErr w:type="spellEnd"/>
      <w:r w:rsidRPr="004C184C">
        <w:rPr>
          <w:lang w:val="en-US"/>
        </w:rPr>
        <w:t>) publications, such as books, pamphlets and journals; (ii) human rights research, such as on prisoners and children in the justice system, children</w:t>
      </w:r>
      <w:r w:rsidR="00567EA4" w:rsidRPr="004C184C">
        <w:rPr>
          <w:lang w:val="en-US"/>
        </w:rPr>
        <w:t>’</w:t>
      </w:r>
      <w:r w:rsidRPr="004C184C">
        <w:rPr>
          <w:lang w:val="en-US"/>
        </w:rPr>
        <w:t>s rights, violence and children, etc.; (iii) monitoring and evaluation of human rights curriculum in educational institutes lower than tertiary level; (iv) research and development on teaching and learning and training curriculum; (v) public education campaigns through audio</w:t>
      </w:r>
      <w:r w:rsidR="00185480" w:rsidRPr="004C184C">
        <w:rPr>
          <w:lang w:val="en-US"/>
        </w:rPr>
        <w:t>-</w:t>
      </w:r>
      <w:r w:rsidRPr="004C184C">
        <w:rPr>
          <w:lang w:val="en-US"/>
        </w:rPr>
        <w:t xml:space="preserve">visual </w:t>
      </w:r>
      <w:r w:rsidRPr="004C184C">
        <w:rPr>
          <w:lang w:val="en-US"/>
        </w:rPr>
        <w:lastRenderedPageBreak/>
        <w:t>media, such as radio, television info</w:t>
      </w:r>
      <w:r w:rsidR="00185480" w:rsidRPr="004C184C">
        <w:rPr>
          <w:lang w:val="en-US"/>
        </w:rPr>
        <w:t>-</w:t>
      </w:r>
      <w:r w:rsidRPr="004C184C">
        <w:rPr>
          <w:lang w:val="en-US"/>
        </w:rPr>
        <w:t>graphic media, and video presentation; and (vi) electronic media, such as the internet, e</w:t>
      </w:r>
      <w:r w:rsidR="00185480" w:rsidRPr="004C184C">
        <w:rPr>
          <w:lang w:val="en-US"/>
        </w:rPr>
        <w:t>-</w:t>
      </w:r>
      <w:r w:rsidRPr="004C184C">
        <w:rPr>
          <w:lang w:val="en-US"/>
        </w:rPr>
        <w:t>learning, social media, and e</w:t>
      </w:r>
      <w:r w:rsidR="00185480" w:rsidRPr="004C184C">
        <w:rPr>
          <w:lang w:val="en-US"/>
        </w:rPr>
        <w:t>-</w:t>
      </w:r>
      <w:r w:rsidRPr="004C184C">
        <w:rPr>
          <w:lang w:val="en-US"/>
        </w:rPr>
        <w:t>mails</w:t>
      </w:r>
      <w:r w:rsidRPr="004C184C">
        <w:rPr>
          <w:cs/>
          <w:lang w:val="en-US"/>
        </w:rPr>
        <w:t>.</w:t>
      </w:r>
    </w:p>
    <w:p w14:paraId="1267486D" w14:textId="184B4506" w:rsidR="00EA422B" w:rsidRPr="004C184C" w:rsidRDefault="00EA422B" w:rsidP="00D60CA7">
      <w:pPr>
        <w:pStyle w:val="SingleTxtG"/>
        <w:rPr>
          <w:lang w:val="en-US"/>
        </w:rPr>
      </w:pPr>
      <w:r w:rsidRPr="004C184C">
        <w:rPr>
          <w:lang w:val="en-US"/>
        </w:rPr>
        <w:t>159.</w:t>
      </w:r>
      <w:r w:rsidRPr="004C184C">
        <w:rPr>
          <w:lang w:val="en-US"/>
        </w:rPr>
        <w:tab/>
        <w:t xml:space="preserve">On the occasion of the 70th anniversary of the Universal Declaration of Human Rights, </w:t>
      </w:r>
      <w:r w:rsidR="00567EA4" w:rsidRPr="004C184C">
        <w:rPr>
          <w:lang w:val="en-US"/>
        </w:rPr>
        <w:t>‘</w:t>
      </w:r>
      <w:r w:rsidRPr="004C184C">
        <w:rPr>
          <w:lang w:val="en-US"/>
        </w:rPr>
        <w:t>Thailand</w:t>
      </w:r>
      <w:r w:rsidR="00567EA4" w:rsidRPr="004C184C">
        <w:rPr>
          <w:lang w:val="en-US"/>
        </w:rPr>
        <w:t>’</w:t>
      </w:r>
      <w:r w:rsidRPr="004C184C">
        <w:rPr>
          <w:lang w:val="en-US"/>
        </w:rPr>
        <w:t>s Human Rights Month</w:t>
      </w:r>
      <w:r w:rsidR="00567EA4" w:rsidRPr="004C184C">
        <w:rPr>
          <w:lang w:val="en-US"/>
        </w:rPr>
        <w:t>’</w:t>
      </w:r>
      <w:r w:rsidRPr="004C184C">
        <w:rPr>
          <w:lang w:val="en-US"/>
        </w:rPr>
        <w:t xml:space="preserve"> was co</w:t>
      </w:r>
      <w:r w:rsidR="00185480" w:rsidRPr="004C184C">
        <w:rPr>
          <w:lang w:val="en-US"/>
        </w:rPr>
        <w:t>-</w:t>
      </w:r>
      <w:r w:rsidRPr="004C184C">
        <w:rPr>
          <w:lang w:val="en-US"/>
        </w:rPr>
        <w:t>organized by concerned government agencies, international organizations, foreign embassies in Thailand and CSOs in December 2018. As part of the activities, the Ministry of Foreign Affairs, the Ministry of Justice, the Office of the High Commissioner for Human Rights (OHCHR), Regional Office for South</w:t>
      </w:r>
      <w:r w:rsidR="00185480" w:rsidRPr="004C184C">
        <w:rPr>
          <w:lang w:val="en-US"/>
        </w:rPr>
        <w:t>-</w:t>
      </w:r>
      <w:r w:rsidRPr="004C184C">
        <w:rPr>
          <w:lang w:val="en-US"/>
        </w:rPr>
        <w:t>East Asia, and the United Nations High Commissioner for Refugees (UNHCR) co</w:t>
      </w:r>
      <w:r w:rsidR="00185480" w:rsidRPr="004C184C">
        <w:rPr>
          <w:lang w:val="en-US"/>
        </w:rPr>
        <w:t>-</w:t>
      </w:r>
      <w:r w:rsidRPr="004C184C">
        <w:rPr>
          <w:lang w:val="en-US"/>
        </w:rPr>
        <w:t xml:space="preserve">organized an event entitled </w:t>
      </w:r>
      <w:r w:rsidR="00567EA4" w:rsidRPr="004C184C">
        <w:rPr>
          <w:lang w:val="en-US"/>
        </w:rPr>
        <w:t>‘</w:t>
      </w:r>
      <w:r w:rsidRPr="004C184C">
        <w:rPr>
          <w:lang w:val="en-US"/>
        </w:rPr>
        <w:t>The 70th Anniversary of the Universal Declaration of Human Rights and the 1st Anniversary of Thailand</w:t>
      </w:r>
      <w:r w:rsidR="00567EA4" w:rsidRPr="004C184C">
        <w:rPr>
          <w:lang w:val="en-US"/>
        </w:rPr>
        <w:t>’</w:t>
      </w:r>
      <w:r w:rsidRPr="004C184C">
        <w:rPr>
          <w:lang w:val="en-US"/>
        </w:rPr>
        <w:t>s Human Rights National Agenda: Towards a Caring and Sharing Society</w:t>
      </w:r>
      <w:r w:rsidR="00567EA4" w:rsidRPr="004C184C">
        <w:rPr>
          <w:lang w:val="en-US"/>
        </w:rPr>
        <w:t>’</w:t>
      </w:r>
      <w:r w:rsidRPr="004C184C">
        <w:rPr>
          <w:lang w:val="en-US"/>
        </w:rPr>
        <w:t xml:space="preserve"> at the Bangkok Art and Culture Centre, Bangkok, Thailand. Over 200 representatives from government agencies, diplomatic corps, international organizations, the private sector, civil society organizations, as well as the general public, including the youth attended the event. The event was publicized through various media channels aimed at strengthening awareness and understanding of human rights in the Thai society, supporting the ongoing efforts to enhance the human rights work at the national and international levels, and reaffirming the Government</w:t>
      </w:r>
      <w:r w:rsidR="00567EA4" w:rsidRPr="004C184C">
        <w:rPr>
          <w:lang w:val="en-US"/>
        </w:rPr>
        <w:t>’</w:t>
      </w:r>
      <w:r w:rsidRPr="004C184C">
        <w:rPr>
          <w:lang w:val="en-US"/>
        </w:rPr>
        <w:t xml:space="preserve">s commitments to promoting and protecting human rights in Thailand and beyond. </w:t>
      </w:r>
    </w:p>
    <w:p w14:paraId="1F522670" w14:textId="77777777" w:rsidR="00EA422B" w:rsidRPr="004C184C" w:rsidRDefault="00EA422B" w:rsidP="00D60CA7">
      <w:pPr>
        <w:pStyle w:val="H23G"/>
        <w:rPr>
          <w:lang w:val="en-US"/>
        </w:rPr>
      </w:pPr>
      <w:r w:rsidRPr="004C184C">
        <w:rPr>
          <w:lang w:val="en-US"/>
        </w:rPr>
        <w:tab/>
      </w:r>
      <w:r w:rsidRPr="004C184C">
        <w:rPr>
          <w:lang w:val="en-US"/>
        </w:rPr>
        <w:tab/>
        <w:t>Roles of civil society</w:t>
      </w:r>
    </w:p>
    <w:p w14:paraId="2D9949F1" w14:textId="7BA7EAF3" w:rsidR="00EA422B" w:rsidRPr="004C184C" w:rsidRDefault="00EA422B" w:rsidP="00D60CA7">
      <w:pPr>
        <w:pStyle w:val="SingleTxtG"/>
        <w:rPr>
          <w:lang w:val="en-US"/>
        </w:rPr>
      </w:pPr>
      <w:r w:rsidRPr="004C184C">
        <w:rPr>
          <w:lang w:val="en-US"/>
        </w:rPr>
        <w:t>160.</w:t>
      </w:r>
      <w:r w:rsidRPr="004C184C">
        <w:rPr>
          <w:lang w:val="en-US"/>
        </w:rPr>
        <w:tab/>
        <w:t xml:space="preserve">Civil society has played active roles in the promotion and protection of human rights in Thailand. In general, their roles are recognized among others in mobilizing human development and social intervention and reform, monitoring the human rights situation, assuming a </w:t>
      </w:r>
      <w:r w:rsidR="00567EA4" w:rsidRPr="004C184C">
        <w:rPr>
          <w:lang w:val="en-US"/>
        </w:rPr>
        <w:t>‘</w:t>
      </w:r>
      <w:r w:rsidRPr="004C184C">
        <w:rPr>
          <w:lang w:val="en-US"/>
        </w:rPr>
        <w:t>checks and balances</w:t>
      </w:r>
      <w:r w:rsidR="00567EA4" w:rsidRPr="004C184C">
        <w:rPr>
          <w:lang w:val="en-US"/>
        </w:rPr>
        <w:t>’</w:t>
      </w:r>
      <w:r w:rsidRPr="004C184C">
        <w:rPr>
          <w:lang w:val="en-US"/>
        </w:rPr>
        <w:t xml:space="preserve"> function, partaking in the preparation of national reports, as well as the drafting of several laws and related documents such as the National Human Rights Plans, as mentioned in paragraphs 97–98.</w:t>
      </w:r>
    </w:p>
    <w:p w14:paraId="6CB65F51" w14:textId="6FEDA66D" w:rsidR="00EA422B" w:rsidRPr="004C184C" w:rsidRDefault="00EA422B" w:rsidP="00D60CA7">
      <w:pPr>
        <w:pStyle w:val="SingleTxtG"/>
        <w:rPr>
          <w:lang w:val="en-US"/>
        </w:rPr>
      </w:pPr>
      <w:r w:rsidRPr="004C184C">
        <w:rPr>
          <w:lang w:val="en-US"/>
        </w:rPr>
        <w:t>161.</w:t>
      </w:r>
      <w:r w:rsidRPr="004C184C">
        <w:rPr>
          <w:lang w:val="en-US"/>
        </w:rPr>
        <w:tab/>
        <w:t>The Government sets out a coordinated whole</w:t>
      </w:r>
      <w:r w:rsidR="00185480" w:rsidRPr="004C184C">
        <w:rPr>
          <w:lang w:val="en-US"/>
        </w:rPr>
        <w:t>-</w:t>
      </w:r>
      <w:r w:rsidRPr="004C184C">
        <w:rPr>
          <w:lang w:val="en-US"/>
        </w:rPr>
        <w:t>of</w:t>
      </w:r>
      <w:r w:rsidR="00185480" w:rsidRPr="004C184C">
        <w:rPr>
          <w:lang w:val="en-US"/>
        </w:rPr>
        <w:t>-</w:t>
      </w:r>
      <w:r w:rsidRPr="004C184C">
        <w:rPr>
          <w:lang w:val="en-US"/>
        </w:rPr>
        <w:t>government and whole</w:t>
      </w:r>
      <w:r w:rsidR="00185480" w:rsidRPr="004C184C">
        <w:rPr>
          <w:lang w:val="en-US"/>
        </w:rPr>
        <w:t>-</w:t>
      </w:r>
      <w:r w:rsidRPr="004C184C">
        <w:rPr>
          <w:lang w:val="en-US"/>
        </w:rPr>
        <w:t>of</w:t>
      </w:r>
      <w:r w:rsidR="00185480" w:rsidRPr="004C184C">
        <w:rPr>
          <w:lang w:val="en-US"/>
        </w:rPr>
        <w:t>-</w:t>
      </w:r>
      <w:r w:rsidRPr="004C184C">
        <w:rPr>
          <w:lang w:val="en-US"/>
        </w:rPr>
        <w:t>society approach and attaches importance to strengthening partnership with civil society. Regular dialogues and consultations with CSOs have been individually or jointly organized by concerned agencies. For example, the Ministry of Foreign Affairs has held regular consultations and meetings with CSOs in the field of human rights since 2017.</w:t>
      </w:r>
    </w:p>
    <w:p w14:paraId="2B738C2E" w14:textId="76CF596E" w:rsidR="00EA422B" w:rsidRPr="004C184C" w:rsidRDefault="00EA422B" w:rsidP="00D60CA7">
      <w:pPr>
        <w:pStyle w:val="SingleTxtG"/>
        <w:rPr>
          <w:lang w:val="en-US"/>
        </w:rPr>
      </w:pPr>
      <w:r w:rsidRPr="004C184C">
        <w:rPr>
          <w:lang w:val="en-US"/>
        </w:rPr>
        <w:t>162.</w:t>
      </w:r>
      <w:r w:rsidRPr="004C184C">
        <w:rPr>
          <w:lang w:val="en-US"/>
        </w:rPr>
        <w:tab/>
        <w:t>As specified in Thailand</w:t>
      </w:r>
      <w:r w:rsidR="00567EA4" w:rsidRPr="004C184C">
        <w:rPr>
          <w:lang w:val="en-US"/>
        </w:rPr>
        <w:t>’</w:t>
      </w:r>
      <w:r w:rsidRPr="004C184C">
        <w:rPr>
          <w:lang w:val="en-US"/>
        </w:rPr>
        <w:t>s country reports, civil society has</w:t>
      </w:r>
      <w:r w:rsidRPr="004C184C">
        <w:rPr>
          <w:cs/>
          <w:lang w:val="en-US"/>
        </w:rPr>
        <w:t xml:space="preserve"> </w:t>
      </w:r>
      <w:r w:rsidRPr="004C184C">
        <w:rPr>
          <w:lang w:val="en-US"/>
        </w:rPr>
        <w:t>been engaged in the process of preparing the country</w:t>
      </w:r>
      <w:r w:rsidR="00567EA4" w:rsidRPr="004C184C">
        <w:rPr>
          <w:lang w:val="en-US"/>
        </w:rPr>
        <w:t>’</w:t>
      </w:r>
      <w:r w:rsidRPr="004C184C">
        <w:rPr>
          <w:lang w:val="en-US"/>
        </w:rPr>
        <w:t>s respective reports under core international human rights treaties that Thailand is a party to and the UPR. The participation of all sectors including the public sector,</w:t>
      </w:r>
      <w:r w:rsidRPr="004C184C">
        <w:rPr>
          <w:cs/>
          <w:lang w:val="en-US"/>
        </w:rPr>
        <w:t xml:space="preserve"> </w:t>
      </w:r>
      <w:r w:rsidRPr="004C184C">
        <w:rPr>
          <w:lang w:val="en-US"/>
        </w:rPr>
        <w:t>the private sector, civil society, ethnic groups, as well as all persons concerned across the country has been proved constructive and fruitful.</w:t>
      </w:r>
    </w:p>
    <w:p w14:paraId="0AD58DF7" w14:textId="77777777" w:rsidR="00EA422B" w:rsidRPr="004C184C" w:rsidRDefault="00EA422B" w:rsidP="00D60CA7">
      <w:pPr>
        <w:pStyle w:val="SingleTxtG"/>
        <w:rPr>
          <w:lang w:val="en-US"/>
        </w:rPr>
      </w:pPr>
      <w:r w:rsidRPr="004C184C">
        <w:rPr>
          <w:lang w:val="en-US"/>
        </w:rPr>
        <w:t>163.</w:t>
      </w:r>
      <w:r w:rsidRPr="004C184C">
        <w:rPr>
          <w:lang w:val="en-US"/>
        </w:rPr>
        <w:tab/>
        <w:t xml:space="preserve">On the ground, the Government has also worked with civil society organizations in a wide range of areas. For example, the Association of Women for Peace has worked on assisting and empowering women and children affected by the situation in the South of Thailand and raised their needs to decision makers. The Association of Children and Youth for Peace in the Southern Border Provinces of Thailand (Luuk </w:t>
      </w:r>
      <w:proofErr w:type="spellStart"/>
      <w:r w:rsidRPr="004C184C">
        <w:rPr>
          <w:lang w:val="en-US"/>
        </w:rPr>
        <w:t>Rieng</w:t>
      </w:r>
      <w:proofErr w:type="spellEnd"/>
      <w:r w:rsidRPr="004C184C">
        <w:rPr>
          <w:lang w:val="en-US"/>
        </w:rPr>
        <w:t xml:space="preserve"> Group) also worked with Save the Children on a disaster risk reduction project in the local schools.</w:t>
      </w:r>
    </w:p>
    <w:p w14:paraId="3DB3FA9F" w14:textId="77777777" w:rsidR="00EA422B" w:rsidRPr="004C184C" w:rsidRDefault="00EA422B" w:rsidP="00D60CA7">
      <w:pPr>
        <w:pStyle w:val="SingleTxtG"/>
        <w:rPr>
          <w:lang w:val="en-US"/>
        </w:rPr>
      </w:pPr>
      <w:r w:rsidRPr="004C184C">
        <w:rPr>
          <w:lang w:val="en-US"/>
        </w:rPr>
        <w:t>164.</w:t>
      </w:r>
      <w:r w:rsidRPr="004C184C">
        <w:rPr>
          <w:lang w:val="en-US"/>
        </w:rPr>
        <w:tab/>
        <w:t>Many government agencies, such as the Ministry of Foreign Affairs, the Ministry of Justice, the Ministry of Social Development and Human Security and the Office of the Judiciary, in collaboration with relevant civil society and international organizations, continue to provide human rights training programs to concerned officials, including police officers, military personnel, corrections officers and judicial personnel.</w:t>
      </w:r>
    </w:p>
    <w:p w14:paraId="3CA280F3" w14:textId="3655B472" w:rsidR="00EA422B" w:rsidRPr="004C184C" w:rsidRDefault="00EA422B" w:rsidP="00F251C1">
      <w:pPr>
        <w:pStyle w:val="SingleTxtG"/>
        <w:rPr>
          <w:lang w:val="en-US"/>
        </w:rPr>
      </w:pPr>
      <w:r w:rsidRPr="004C184C">
        <w:rPr>
          <w:lang w:val="en-US"/>
        </w:rPr>
        <w:t>165.</w:t>
      </w:r>
      <w:r w:rsidRPr="004C184C">
        <w:rPr>
          <w:lang w:val="en-US"/>
        </w:rPr>
        <w:tab/>
        <w:t xml:space="preserve">As an example in the field of human rights research, the Faculty of Communication Arts of Chulalongkorn University with the support of the Ministry of Foreign Affairs worked on a research project </w:t>
      </w:r>
      <w:r w:rsidR="00567EA4" w:rsidRPr="004C184C">
        <w:rPr>
          <w:lang w:val="en-US"/>
        </w:rPr>
        <w:t>‘</w:t>
      </w:r>
      <w:r w:rsidRPr="004C184C">
        <w:rPr>
          <w:lang w:val="en-US"/>
        </w:rPr>
        <w:t>Media and the Promotion and Protection of Human Rights of Those in Vulnerable Situations</w:t>
      </w:r>
      <w:r w:rsidR="00567EA4" w:rsidRPr="004C184C">
        <w:rPr>
          <w:lang w:val="en-US"/>
        </w:rPr>
        <w:t>’</w:t>
      </w:r>
      <w:r w:rsidRPr="004C184C">
        <w:rPr>
          <w:lang w:val="en-US"/>
        </w:rPr>
        <w:t xml:space="preserve">. The target groups under research were ethnic minorities, persons with disabilities, older persons and LGBTs. The research outcomes were published in 2019 (in Thai, accessible at </w:t>
      </w:r>
      <w:hyperlink r:id="rId10" w:history="1">
        <w:r w:rsidR="008732BE" w:rsidRPr="004C184C">
          <w:rPr>
            <w:lang w:val="en-US"/>
          </w:rPr>
          <w:t>http://humanrights.mfa.go.th/en/humanrightsinmedia.pdf</w:t>
        </w:r>
      </w:hyperlink>
      <w:r w:rsidRPr="004C184C">
        <w:rPr>
          <w:lang w:val="en-US"/>
        </w:rPr>
        <w:t>).</w:t>
      </w:r>
    </w:p>
    <w:p w14:paraId="4139C64A" w14:textId="77777777" w:rsidR="00EA422B" w:rsidRPr="004C184C" w:rsidRDefault="00EA422B" w:rsidP="0045148E">
      <w:pPr>
        <w:pStyle w:val="H23G"/>
        <w:rPr>
          <w:lang w:val="en-US"/>
        </w:rPr>
      </w:pPr>
      <w:r w:rsidRPr="004C184C">
        <w:rPr>
          <w:lang w:val="en-US"/>
        </w:rPr>
        <w:lastRenderedPageBreak/>
        <w:tab/>
      </w:r>
      <w:r w:rsidRPr="004C184C">
        <w:rPr>
          <w:lang w:val="en-US"/>
        </w:rPr>
        <w:tab/>
        <w:t>Development cooperation and assistance</w:t>
      </w:r>
    </w:p>
    <w:p w14:paraId="6078E0D1" w14:textId="76EB2C2E" w:rsidR="00EA422B" w:rsidRPr="004C184C" w:rsidRDefault="00EA422B" w:rsidP="00F251C1">
      <w:pPr>
        <w:pStyle w:val="SingleTxtG"/>
        <w:rPr>
          <w:lang w:val="en-US"/>
        </w:rPr>
      </w:pPr>
      <w:r w:rsidRPr="004C184C">
        <w:rPr>
          <w:lang w:val="en-US"/>
        </w:rPr>
        <w:t>166.</w:t>
      </w:r>
      <w:r w:rsidRPr="004C184C">
        <w:rPr>
          <w:lang w:val="en-US"/>
        </w:rPr>
        <w:tab/>
        <w:t>Thailand posits that technical cooperation and capacity</w:t>
      </w:r>
      <w:r w:rsidR="00185480" w:rsidRPr="004C184C">
        <w:rPr>
          <w:lang w:val="en-US"/>
        </w:rPr>
        <w:t>-</w:t>
      </w:r>
      <w:r w:rsidRPr="004C184C">
        <w:rPr>
          <w:lang w:val="en-US"/>
        </w:rPr>
        <w:t>building are crucial to support other States in translating their human rights obligations into tangible results on the ground and that technical cooperation efforts are demand</w:t>
      </w:r>
      <w:r w:rsidR="00185480" w:rsidRPr="004C184C">
        <w:rPr>
          <w:lang w:val="en-US"/>
        </w:rPr>
        <w:t>-</w:t>
      </w:r>
      <w:r w:rsidRPr="004C184C">
        <w:rPr>
          <w:lang w:val="en-US"/>
        </w:rPr>
        <w:t>driven based on a genuine dialogue with requesting States.</w:t>
      </w:r>
    </w:p>
    <w:p w14:paraId="1855AD43" w14:textId="550A5283" w:rsidR="00EA422B" w:rsidRPr="004C184C" w:rsidRDefault="00EA422B" w:rsidP="00F251C1">
      <w:pPr>
        <w:pStyle w:val="SingleTxtG"/>
        <w:rPr>
          <w:lang w:val="en-US"/>
        </w:rPr>
      </w:pPr>
      <w:r w:rsidRPr="004C184C">
        <w:rPr>
          <w:lang w:val="en-US"/>
        </w:rPr>
        <w:t>167.</w:t>
      </w:r>
      <w:r w:rsidRPr="004C184C">
        <w:rPr>
          <w:lang w:val="en-US"/>
        </w:rPr>
        <w:tab/>
        <w:t>The Thailand International Cooperation Agency (TICA) of the Ministry of Foreign Affairs has actively promoted international cooperation</w:t>
      </w:r>
      <w:r w:rsidRPr="004C184C">
        <w:rPr>
          <w:cs/>
          <w:lang w:val="en-US"/>
        </w:rPr>
        <w:t xml:space="preserve"> </w:t>
      </w:r>
      <w:r w:rsidRPr="004C184C">
        <w:rPr>
          <w:lang w:val="en-US"/>
        </w:rPr>
        <w:t>with interested countries and relevant international organizations and NGOs. It takes on different forms of bilateral and South</w:t>
      </w:r>
      <w:r w:rsidR="00185480" w:rsidRPr="004C184C">
        <w:rPr>
          <w:lang w:val="en-US"/>
        </w:rPr>
        <w:t>-</w:t>
      </w:r>
      <w:r w:rsidRPr="004C184C">
        <w:rPr>
          <w:lang w:val="en-US"/>
        </w:rPr>
        <w:t>South, North</w:t>
      </w:r>
      <w:r w:rsidR="00185480" w:rsidRPr="004C184C">
        <w:rPr>
          <w:lang w:val="en-US"/>
        </w:rPr>
        <w:t>-</w:t>
      </w:r>
      <w:r w:rsidRPr="004C184C">
        <w:rPr>
          <w:lang w:val="en-US"/>
        </w:rPr>
        <w:t>South</w:t>
      </w:r>
      <w:r w:rsidR="00185480" w:rsidRPr="004C184C">
        <w:rPr>
          <w:lang w:val="en-US"/>
        </w:rPr>
        <w:t>-</w:t>
      </w:r>
      <w:r w:rsidRPr="004C184C">
        <w:rPr>
          <w:lang w:val="en-US"/>
        </w:rPr>
        <w:t>South and South</w:t>
      </w:r>
      <w:r w:rsidR="00185480" w:rsidRPr="004C184C">
        <w:rPr>
          <w:lang w:val="en-US"/>
        </w:rPr>
        <w:t>-</w:t>
      </w:r>
      <w:r w:rsidRPr="004C184C">
        <w:rPr>
          <w:lang w:val="en-US"/>
        </w:rPr>
        <w:t>South</w:t>
      </w:r>
      <w:r w:rsidR="00185480" w:rsidRPr="004C184C">
        <w:rPr>
          <w:lang w:val="en-US"/>
        </w:rPr>
        <w:t>-</w:t>
      </w:r>
      <w:r w:rsidRPr="004C184C">
        <w:rPr>
          <w:lang w:val="en-US"/>
        </w:rPr>
        <w:t>South triangular cooperation. Currently, several international cooperation projects are related to the promotion of human rights, particularly the rights of people in vulnerable situations, economic and social rights including the right to health (maternal health and children</w:t>
      </w:r>
      <w:r w:rsidR="00567EA4" w:rsidRPr="004C184C">
        <w:rPr>
          <w:lang w:val="en-US"/>
        </w:rPr>
        <w:t>’</w:t>
      </w:r>
      <w:r w:rsidRPr="004C184C">
        <w:rPr>
          <w:lang w:val="en-US"/>
        </w:rPr>
        <w:t>s health) and the right to education, linking them with the achievement of sustainable development while leaving no one behind. Such cooperation is aimed at enhancing national capacities to build synergies between human rights and SDG implementation.</w:t>
      </w:r>
    </w:p>
    <w:p w14:paraId="29E49611" w14:textId="4A6E0C1F" w:rsidR="00EA422B" w:rsidRPr="004C184C" w:rsidRDefault="00EA422B" w:rsidP="00F251C1">
      <w:pPr>
        <w:pStyle w:val="SingleTxtG"/>
        <w:rPr>
          <w:lang w:val="en-US"/>
        </w:rPr>
      </w:pPr>
      <w:r w:rsidRPr="004C184C">
        <w:rPr>
          <w:lang w:val="en-US"/>
        </w:rPr>
        <w:t>168.</w:t>
      </w:r>
      <w:r w:rsidRPr="004C184C">
        <w:rPr>
          <w:lang w:val="en-US"/>
        </w:rPr>
        <w:tab/>
        <w:t>On the right to education, TICA has implemented teacher training projects, short</w:t>
      </w:r>
      <w:r w:rsidR="00185480" w:rsidRPr="004C184C">
        <w:rPr>
          <w:lang w:val="en-US"/>
        </w:rPr>
        <w:t>-</w:t>
      </w:r>
      <w:r w:rsidRPr="004C184C">
        <w:rPr>
          <w:lang w:val="en-US"/>
        </w:rPr>
        <w:t>term scholarships for studies and training, as well as projects to establish and/or develop educational institutions and schools. On children</w:t>
      </w:r>
      <w:r w:rsidR="00567EA4" w:rsidRPr="004C184C">
        <w:rPr>
          <w:lang w:val="en-US"/>
        </w:rPr>
        <w:t>’</w:t>
      </w:r>
      <w:r w:rsidRPr="004C184C">
        <w:rPr>
          <w:lang w:val="en-US"/>
        </w:rPr>
        <w:t xml:space="preserve">s rights, the </w:t>
      </w:r>
      <w:r w:rsidR="00567EA4" w:rsidRPr="004C184C">
        <w:rPr>
          <w:lang w:val="en-US"/>
        </w:rPr>
        <w:t>‘</w:t>
      </w:r>
      <w:r w:rsidRPr="004C184C">
        <w:rPr>
          <w:lang w:val="en-US"/>
        </w:rPr>
        <w:t>Children and Youth Development Project</w:t>
      </w:r>
      <w:r w:rsidR="00567EA4" w:rsidRPr="004C184C">
        <w:rPr>
          <w:lang w:val="en-US"/>
        </w:rPr>
        <w:t>’</w:t>
      </w:r>
      <w:r w:rsidRPr="004C184C">
        <w:rPr>
          <w:lang w:val="en-US"/>
        </w:rPr>
        <w:t xml:space="preserve"> in Cambodia and the </w:t>
      </w:r>
      <w:r w:rsidR="00567EA4" w:rsidRPr="004C184C">
        <w:rPr>
          <w:lang w:val="en-US"/>
        </w:rPr>
        <w:t>‘</w:t>
      </w:r>
      <w:r w:rsidRPr="004C184C">
        <w:rPr>
          <w:lang w:val="en-US"/>
        </w:rPr>
        <w:t>Children</w:t>
      </w:r>
      <w:r w:rsidR="00567EA4" w:rsidRPr="004C184C">
        <w:rPr>
          <w:lang w:val="en-US"/>
        </w:rPr>
        <w:t>’</w:t>
      </w:r>
      <w:r w:rsidRPr="004C184C">
        <w:rPr>
          <w:lang w:val="en-US"/>
        </w:rPr>
        <w:t>s Quality of Life Development Project</w:t>
      </w:r>
      <w:r w:rsidR="00567EA4" w:rsidRPr="004C184C">
        <w:rPr>
          <w:lang w:val="en-US"/>
        </w:rPr>
        <w:t>’</w:t>
      </w:r>
      <w:r w:rsidRPr="004C184C">
        <w:rPr>
          <w:lang w:val="en-US"/>
        </w:rPr>
        <w:t xml:space="preserve"> in the Philippines and Bhutan have been initiated. On physical and mental health, Thailand has provided a public health assistance program in Cambodia and projects to develop hospitals and medical faculties (including an emergency department in </w:t>
      </w:r>
      <w:proofErr w:type="spellStart"/>
      <w:r w:rsidRPr="004C184C">
        <w:rPr>
          <w:lang w:val="en-US"/>
        </w:rPr>
        <w:t>Dawei</w:t>
      </w:r>
      <w:proofErr w:type="spellEnd"/>
      <w:r w:rsidRPr="004C184C">
        <w:rPr>
          <w:lang w:val="en-US"/>
        </w:rPr>
        <w:t xml:space="preserve"> Hospital, Myanmar), as well as awareness</w:t>
      </w:r>
      <w:r w:rsidR="00185480" w:rsidRPr="004C184C">
        <w:rPr>
          <w:lang w:val="en-US"/>
        </w:rPr>
        <w:t>-</w:t>
      </w:r>
      <w:r w:rsidRPr="004C184C">
        <w:rPr>
          <w:lang w:val="en-US"/>
        </w:rPr>
        <w:t>raising activities on newly emerging diseases. In addition, TICA worked with UNFPA on a trilateral cooperation project on reducing maternal mortality. On the protection of those in vulnerable situations, a project to establish the first center for human trafficking victims and risk groups was executed.</w:t>
      </w:r>
    </w:p>
    <w:p w14:paraId="415DE2E4" w14:textId="2D8E9F99" w:rsidR="00EA422B" w:rsidRPr="004C184C" w:rsidRDefault="00EA422B" w:rsidP="00F251C1">
      <w:pPr>
        <w:pStyle w:val="SingleTxtG"/>
        <w:rPr>
          <w:lang w:val="en-US"/>
        </w:rPr>
      </w:pPr>
      <w:r w:rsidRPr="004C184C">
        <w:rPr>
          <w:lang w:val="en-US"/>
        </w:rPr>
        <w:t>169.</w:t>
      </w:r>
      <w:r w:rsidRPr="004C184C">
        <w:rPr>
          <w:lang w:val="en-US"/>
        </w:rPr>
        <w:tab/>
        <w:t>To disseminate knowledge regarding national mechanisms for reporting and follow</w:t>
      </w:r>
      <w:r w:rsidR="00185480" w:rsidRPr="004C184C">
        <w:rPr>
          <w:lang w:val="en-US"/>
        </w:rPr>
        <w:t>-</w:t>
      </w:r>
      <w:r w:rsidRPr="004C184C">
        <w:rPr>
          <w:lang w:val="en-US"/>
        </w:rPr>
        <w:t>up in the region and beyond, the Ministry of Foreign Affairs and the Office of the High Commissioner for Human Rights, Regional Office for South</w:t>
      </w:r>
      <w:r w:rsidR="00185480" w:rsidRPr="004C184C">
        <w:rPr>
          <w:lang w:val="en-US"/>
        </w:rPr>
        <w:t>-</w:t>
      </w:r>
      <w:r w:rsidRPr="004C184C">
        <w:rPr>
          <w:lang w:val="en-US"/>
        </w:rPr>
        <w:t>East Asia co</w:t>
      </w:r>
      <w:r w:rsidR="00185480" w:rsidRPr="004C184C">
        <w:rPr>
          <w:lang w:val="en-US"/>
        </w:rPr>
        <w:t>-</w:t>
      </w:r>
      <w:r w:rsidRPr="004C184C">
        <w:rPr>
          <w:lang w:val="en-US"/>
        </w:rPr>
        <w:t>hosted the Regional Dialogue on the National Mechanisms for Reporting and Follow</w:t>
      </w:r>
      <w:r w:rsidR="00185480" w:rsidRPr="004C184C">
        <w:rPr>
          <w:lang w:val="en-US"/>
        </w:rPr>
        <w:t>-</w:t>
      </w:r>
      <w:r w:rsidRPr="004C184C">
        <w:rPr>
          <w:lang w:val="en-US"/>
        </w:rPr>
        <w:t>up in Bangkok on 29–30 August 2019. The Dialogue was attended by approximately 50 participants from relevant agencies responsible for reporting and following up on the implementation of human rights from 12 countries in the Asia</w:t>
      </w:r>
      <w:r w:rsidR="00185480" w:rsidRPr="004C184C">
        <w:rPr>
          <w:lang w:val="en-US"/>
        </w:rPr>
        <w:t>-</w:t>
      </w:r>
      <w:r w:rsidRPr="004C184C">
        <w:rPr>
          <w:lang w:val="en-US"/>
        </w:rPr>
        <w:t>Pacific region, namely Bangladesh, Brunei Darussalam, Cambodia, China, Fiji, Laos, Malaysia, Myanmar, Pakistan, the Philippines, Timor</w:t>
      </w:r>
      <w:r w:rsidR="00185480" w:rsidRPr="004C184C">
        <w:rPr>
          <w:lang w:val="en-US"/>
        </w:rPr>
        <w:t>-</w:t>
      </w:r>
      <w:r w:rsidRPr="004C184C">
        <w:rPr>
          <w:lang w:val="en-US"/>
        </w:rPr>
        <w:t>Leste and Vietnam, as well as representatives from relevant Thai agencies. The Dialogue was a platform to exchange good practices and lessons learned in utilizing NMRFs, building capacities of line agencies, and forming inputs to relevant forums such as the Human Rights Council. In addition, such dialogue has strengthened the network of government agencies in implementing, reporting and following up on a country</w:t>
      </w:r>
      <w:r w:rsidR="00567EA4" w:rsidRPr="004C184C">
        <w:rPr>
          <w:lang w:val="en-US"/>
        </w:rPr>
        <w:t>’</w:t>
      </w:r>
      <w:r w:rsidRPr="004C184C">
        <w:rPr>
          <w:lang w:val="en-US"/>
        </w:rPr>
        <w:t>s human rights obligations and recommendations.</w:t>
      </w:r>
    </w:p>
    <w:p w14:paraId="49D62111" w14:textId="77777777" w:rsidR="00EA422B" w:rsidRPr="004C184C" w:rsidRDefault="00EA422B" w:rsidP="00F251C1">
      <w:pPr>
        <w:pStyle w:val="SingleTxtG"/>
        <w:rPr>
          <w:lang w:val="en-US"/>
        </w:rPr>
      </w:pPr>
      <w:r w:rsidRPr="004C184C">
        <w:rPr>
          <w:lang w:val="en-US"/>
        </w:rPr>
        <w:t>170.</w:t>
      </w:r>
      <w:r w:rsidRPr="004C184C">
        <w:rPr>
          <w:lang w:val="en-US"/>
        </w:rPr>
        <w:tab/>
        <w:t>The Rights and Liberties Protection Department (RLPD) of the Ministry of Justice has assigned officials as speakers to share experiences in implementing the UN Guiding Principles on Business and Human Rights (UNGPs), including preparing a national action plan on business and human rights (NAP), in different countries such as</w:t>
      </w:r>
      <w:r w:rsidRPr="004C184C">
        <w:rPr>
          <w:cs/>
          <w:lang w:val="en-US"/>
        </w:rPr>
        <w:t xml:space="preserve"> </w:t>
      </w:r>
      <w:r w:rsidRPr="004C184C">
        <w:rPr>
          <w:lang w:val="en-US"/>
        </w:rPr>
        <w:t>Malaysia, Vietnam and Pakistan. The RLPD has also collaborated with relevant UN agencies including UNDP and UNESCAP in this field.</w:t>
      </w:r>
    </w:p>
    <w:p w14:paraId="36BF53A8" w14:textId="7394B5FD" w:rsidR="00EA422B" w:rsidRPr="004C184C" w:rsidRDefault="00EA422B" w:rsidP="00F251C1">
      <w:pPr>
        <w:pStyle w:val="SingleTxtG"/>
        <w:rPr>
          <w:lang w:val="en-US"/>
        </w:rPr>
      </w:pPr>
      <w:r w:rsidRPr="004C184C">
        <w:rPr>
          <w:lang w:val="en-US"/>
        </w:rPr>
        <w:t>171.</w:t>
      </w:r>
      <w:r w:rsidRPr="004C184C">
        <w:rPr>
          <w:lang w:val="en-US"/>
        </w:rPr>
        <w:tab/>
        <w:t>Pursuant to paragraphs 127–128, the Thailand Institute of Justice (TIJ) has organized annual courses on the treatment of women prisoners in accordance with the Bangkok Rules for senior correctional officers in ASEAN since 2017. In addition, capacity</w:t>
      </w:r>
      <w:r w:rsidR="00185480" w:rsidRPr="004C184C">
        <w:rPr>
          <w:lang w:val="en-US"/>
        </w:rPr>
        <w:t>-</w:t>
      </w:r>
      <w:r w:rsidRPr="004C184C">
        <w:rPr>
          <w:lang w:val="en-US"/>
        </w:rPr>
        <w:t>building and training activities have been upon request organized in various countries such as Kenya, Indonesia and Malaysia. They took place on a bilateral basis, as well as in a trilateral framework with the ICRC and the UNODC.</w:t>
      </w:r>
    </w:p>
    <w:p w14:paraId="64F91CA3" w14:textId="77777777" w:rsidR="00EA422B" w:rsidRPr="004C184C" w:rsidRDefault="00EA422B" w:rsidP="0045148E">
      <w:pPr>
        <w:pStyle w:val="H1G"/>
        <w:rPr>
          <w:lang w:val="en-US"/>
        </w:rPr>
      </w:pPr>
      <w:r w:rsidRPr="004C184C">
        <w:rPr>
          <w:lang w:val="en-US"/>
        </w:rPr>
        <w:lastRenderedPageBreak/>
        <w:tab/>
      </w:r>
      <w:bookmarkStart w:id="24" w:name="_Toc89701539"/>
      <w:r w:rsidRPr="004C184C">
        <w:rPr>
          <w:lang w:val="en-US"/>
        </w:rPr>
        <w:t>D.</w:t>
      </w:r>
      <w:r w:rsidRPr="004C184C">
        <w:rPr>
          <w:lang w:val="en-US"/>
        </w:rPr>
        <w:tab/>
        <w:t>Reporting process to the United Nations at the national level</w:t>
      </w:r>
      <w:bookmarkEnd w:id="24"/>
    </w:p>
    <w:p w14:paraId="43CC736E" w14:textId="77777777" w:rsidR="00EA422B" w:rsidRPr="004C184C" w:rsidRDefault="00EA422B" w:rsidP="00F251C1">
      <w:pPr>
        <w:pStyle w:val="SingleTxtG"/>
        <w:rPr>
          <w:lang w:val="en-US"/>
        </w:rPr>
      </w:pPr>
      <w:r w:rsidRPr="004C184C">
        <w:rPr>
          <w:lang w:val="en-US"/>
        </w:rPr>
        <w:t>172.</w:t>
      </w:r>
      <w:r w:rsidRPr="004C184C">
        <w:rPr>
          <w:lang w:val="en-US"/>
        </w:rPr>
        <w:tab/>
        <w:t>The preparation of obligatory reports on the implementation of human rights instruments to which Thailand is a party has been achieved with the active participation of all stakeholders</w:t>
      </w:r>
      <w:r w:rsidRPr="004C184C">
        <w:rPr>
          <w:cs/>
          <w:lang w:val="en-US"/>
        </w:rPr>
        <w:t xml:space="preserve">. </w:t>
      </w:r>
      <w:r w:rsidRPr="004C184C">
        <w:rPr>
          <w:lang w:val="en-US"/>
        </w:rPr>
        <w:t>A national committee or working group has been established as a core mechanism for each report preparation, comprising relevant agencies from the public, private and academic sectors and stakeholders or target groups for which the instruments aim to provide protection</w:t>
      </w:r>
      <w:r w:rsidRPr="004C184C">
        <w:rPr>
          <w:cs/>
          <w:lang w:val="en-US"/>
        </w:rPr>
        <w:t xml:space="preserve">. </w:t>
      </w:r>
    </w:p>
    <w:p w14:paraId="1575111D" w14:textId="77777777" w:rsidR="00EA422B" w:rsidRPr="004C184C" w:rsidRDefault="00EA422B" w:rsidP="00F251C1">
      <w:pPr>
        <w:pStyle w:val="SingleTxtG"/>
        <w:rPr>
          <w:lang w:val="en-US"/>
        </w:rPr>
      </w:pPr>
      <w:r w:rsidRPr="004C184C">
        <w:rPr>
          <w:lang w:val="en-US"/>
        </w:rPr>
        <w:t>173.</w:t>
      </w:r>
      <w:r w:rsidRPr="004C184C">
        <w:rPr>
          <w:lang w:val="en-US"/>
        </w:rPr>
        <w:tab/>
        <w:t xml:space="preserve">The main facilitators in the report preparation are, depending on the relevant conventions, the Ministry of Justice </w:t>
      </w:r>
      <w:r w:rsidRPr="004C184C">
        <w:rPr>
          <w:cs/>
          <w:lang w:val="en-US"/>
        </w:rPr>
        <w:t>(</w:t>
      </w:r>
      <w:r w:rsidRPr="004C184C">
        <w:rPr>
          <w:lang w:val="en-US"/>
        </w:rPr>
        <w:t>ICCPR, ICESCR,</w:t>
      </w:r>
      <w:r w:rsidRPr="004C184C">
        <w:rPr>
          <w:cs/>
          <w:lang w:val="en-US"/>
        </w:rPr>
        <w:t xml:space="preserve"> </w:t>
      </w:r>
      <w:r w:rsidRPr="004C184C">
        <w:rPr>
          <w:lang w:val="en-US"/>
        </w:rPr>
        <w:t>CERD,</w:t>
      </w:r>
      <w:r w:rsidRPr="004C184C">
        <w:rPr>
          <w:cs/>
          <w:lang w:val="en-US"/>
        </w:rPr>
        <w:t xml:space="preserve"> </w:t>
      </w:r>
      <w:r w:rsidRPr="004C184C">
        <w:rPr>
          <w:lang w:val="en-US"/>
        </w:rPr>
        <w:t>CAT</w:t>
      </w:r>
      <w:r w:rsidRPr="004C184C">
        <w:rPr>
          <w:cs/>
          <w:lang w:val="en-US"/>
        </w:rPr>
        <w:t xml:space="preserve">) </w:t>
      </w:r>
      <w:r w:rsidRPr="004C184C">
        <w:rPr>
          <w:lang w:val="en-US"/>
        </w:rPr>
        <w:t>and</w:t>
      </w:r>
      <w:r w:rsidRPr="004C184C">
        <w:rPr>
          <w:cs/>
          <w:lang w:val="en-US"/>
        </w:rPr>
        <w:t xml:space="preserve"> </w:t>
      </w:r>
      <w:r w:rsidRPr="004C184C">
        <w:rPr>
          <w:lang w:val="en-US"/>
        </w:rPr>
        <w:t>the Ministry of Social Development and Human Security</w:t>
      </w:r>
      <w:r w:rsidRPr="004C184C">
        <w:rPr>
          <w:cs/>
          <w:lang w:val="en-US"/>
        </w:rPr>
        <w:t xml:space="preserve"> (</w:t>
      </w:r>
      <w:r w:rsidRPr="004C184C">
        <w:rPr>
          <w:lang w:val="en-US"/>
        </w:rPr>
        <w:t>CEDAW, CRC, CRPD</w:t>
      </w:r>
      <w:r w:rsidRPr="004C184C">
        <w:rPr>
          <w:cs/>
          <w:lang w:val="en-US"/>
        </w:rPr>
        <w:t xml:space="preserve">). </w:t>
      </w:r>
      <w:r w:rsidRPr="004C184C">
        <w:rPr>
          <w:lang w:val="en-US"/>
        </w:rPr>
        <w:t>The Ministry of Justice and the Ministry of Foreign Affairs are responsible for the preparation of UPR reports.</w:t>
      </w:r>
      <w:r w:rsidRPr="004C184C">
        <w:rPr>
          <w:cs/>
          <w:lang w:val="en-US"/>
        </w:rPr>
        <w:t xml:space="preserve"> </w:t>
      </w:r>
      <w:r w:rsidRPr="004C184C">
        <w:rPr>
          <w:lang w:val="en-US"/>
        </w:rPr>
        <w:t>The full lists of organizations and persons involved in preparing each report have been and will be highlighted in the respective reports</w:t>
      </w:r>
      <w:r w:rsidRPr="004C184C">
        <w:rPr>
          <w:cs/>
          <w:lang w:val="en-US"/>
        </w:rPr>
        <w:t xml:space="preserve">. </w:t>
      </w:r>
    </w:p>
    <w:p w14:paraId="471E4A52" w14:textId="77777777" w:rsidR="00EA422B" w:rsidRPr="004C184C" w:rsidRDefault="00EA422B" w:rsidP="00F251C1">
      <w:pPr>
        <w:pStyle w:val="SingleTxtG"/>
        <w:rPr>
          <w:lang w:val="en-US"/>
        </w:rPr>
      </w:pPr>
      <w:r w:rsidRPr="004C184C">
        <w:rPr>
          <w:lang w:val="en-US"/>
        </w:rPr>
        <w:t>174.</w:t>
      </w:r>
      <w:r w:rsidRPr="004C184C">
        <w:rPr>
          <w:lang w:val="en-US"/>
        </w:rPr>
        <w:tab/>
        <w:t>The format, substance and guidelines for report preparation follow the requirements and guidelines of the UN Committees responsible for such instruments</w:t>
      </w:r>
      <w:r w:rsidRPr="004C184C">
        <w:rPr>
          <w:cs/>
          <w:lang w:val="en-US"/>
        </w:rPr>
        <w:t xml:space="preserve">. </w:t>
      </w:r>
    </w:p>
    <w:p w14:paraId="7015FBE3" w14:textId="77777777" w:rsidR="00EA422B" w:rsidRPr="004C184C" w:rsidRDefault="00EA422B" w:rsidP="00F251C1">
      <w:pPr>
        <w:pStyle w:val="SingleTxtG"/>
        <w:rPr>
          <w:lang w:val="en-US"/>
        </w:rPr>
      </w:pPr>
      <w:r w:rsidRPr="004C184C">
        <w:rPr>
          <w:lang w:val="en-US"/>
        </w:rPr>
        <w:t>175.</w:t>
      </w:r>
      <w:r w:rsidRPr="004C184C">
        <w:rPr>
          <w:lang w:val="en-US"/>
        </w:rPr>
        <w:tab/>
        <w:t>In most cases, a report is first drafted in Thai, with contributions from various working groups, comprising representatives from both the public and private sectors, responsible for specific topics</w:t>
      </w:r>
      <w:r w:rsidRPr="004C184C">
        <w:rPr>
          <w:cs/>
          <w:lang w:val="en-US"/>
        </w:rPr>
        <w:t xml:space="preserve">. </w:t>
      </w:r>
      <w:r w:rsidRPr="004C184C">
        <w:rPr>
          <w:lang w:val="en-US"/>
        </w:rPr>
        <w:t>The draft report is then put to public hearings, both at the regional and national levels, to gather feedback and recommendations</w:t>
      </w:r>
      <w:r w:rsidRPr="004C184C">
        <w:rPr>
          <w:cs/>
          <w:lang w:val="en-US"/>
        </w:rPr>
        <w:t xml:space="preserve">. </w:t>
      </w:r>
      <w:r w:rsidRPr="004C184C">
        <w:rPr>
          <w:lang w:val="en-US"/>
        </w:rPr>
        <w:t>The amended report is then submitted to responsible agencies for approval and then translated into English</w:t>
      </w:r>
      <w:r w:rsidRPr="004C184C">
        <w:rPr>
          <w:cs/>
          <w:lang w:val="en-US"/>
        </w:rPr>
        <w:t xml:space="preserve">. </w:t>
      </w:r>
    </w:p>
    <w:p w14:paraId="166D13FA" w14:textId="77777777" w:rsidR="00EA422B" w:rsidRPr="004C184C" w:rsidRDefault="00EA422B" w:rsidP="00F251C1">
      <w:pPr>
        <w:pStyle w:val="SingleTxtG"/>
        <w:rPr>
          <w:lang w:val="en-US"/>
        </w:rPr>
      </w:pPr>
      <w:r w:rsidRPr="004C184C">
        <w:rPr>
          <w:lang w:val="en-US"/>
        </w:rPr>
        <w:t>176.</w:t>
      </w:r>
      <w:r w:rsidRPr="004C184C">
        <w:rPr>
          <w:lang w:val="en-US"/>
        </w:rPr>
        <w:tab/>
        <w:t>The final report is</w:t>
      </w:r>
      <w:r w:rsidRPr="004C184C">
        <w:rPr>
          <w:cs/>
          <w:lang w:val="en-US"/>
        </w:rPr>
        <w:t xml:space="preserve"> </w:t>
      </w:r>
      <w:r w:rsidRPr="004C184C">
        <w:rPr>
          <w:lang w:val="en-US"/>
        </w:rPr>
        <w:t>submitted to the Cabinet for approval, and</w:t>
      </w:r>
      <w:r w:rsidRPr="004C184C">
        <w:rPr>
          <w:cs/>
          <w:lang w:val="en-US"/>
        </w:rPr>
        <w:t xml:space="preserve"> </w:t>
      </w:r>
      <w:r w:rsidRPr="004C184C">
        <w:rPr>
          <w:lang w:val="en-US"/>
        </w:rPr>
        <w:t>subsequently to the Ministry of Foreign Affairs for formal submission to the UN</w:t>
      </w:r>
      <w:r w:rsidRPr="004C184C">
        <w:rPr>
          <w:cs/>
          <w:lang w:val="en-US"/>
        </w:rPr>
        <w:t>.</w:t>
      </w:r>
    </w:p>
    <w:p w14:paraId="71A40F7F" w14:textId="196AF610" w:rsidR="00EA422B" w:rsidRPr="004C184C" w:rsidRDefault="00EA422B" w:rsidP="0045148E">
      <w:pPr>
        <w:pStyle w:val="SingleTxtG"/>
        <w:spacing w:after="240"/>
        <w:rPr>
          <w:lang w:val="en-US"/>
        </w:rPr>
      </w:pPr>
      <w:r w:rsidRPr="004C184C">
        <w:rPr>
          <w:lang w:val="en-US"/>
        </w:rPr>
        <w:t>177.</w:t>
      </w:r>
      <w:r w:rsidRPr="004C184C">
        <w:rPr>
          <w:lang w:val="en-US"/>
        </w:rPr>
        <w:tab/>
        <w:t>Thailand</w:t>
      </w:r>
      <w:r w:rsidR="00567EA4" w:rsidRPr="004C184C">
        <w:rPr>
          <w:lang w:val="en-US"/>
        </w:rPr>
        <w:t>’</w:t>
      </w:r>
      <w:r w:rsidRPr="004C184C">
        <w:rPr>
          <w:lang w:val="en-US"/>
        </w:rPr>
        <w:t>s reports that have been submitted to the UN are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64"/>
        <w:gridCol w:w="3682"/>
        <w:gridCol w:w="2124"/>
      </w:tblGrid>
      <w:tr w:rsidR="00EA422B" w:rsidRPr="004C184C" w14:paraId="1734A4AC" w14:textId="77777777" w:rsidTr="0045148E">
        <w:trPr>
          <w:tblHeader/>
        </w:trPr>
        <w:tc>
          <w:tcPr>
            <w:tcW w:w="1565" w:type="dxa"/>
            <w:tcBorders>
              <w:top w:val="single" w:sz="4" w:space="0" w:color="auto"/>
              <w:bottom w:val="single" w:sz="12" w:space="0" w:color="auto"/>
            </w:tcBorders>
            <w:shd w:val="clear" w:color="auto" w:fill="auto"/>
            <w:vAlign w:val="bottom"/>
          </w:tcPr>
          <w:p w14:paraId="3DF36563" w14:textId="77777777" w:rsidR="00EA422B" w:rsidRPr="004C184C" w:rsidRDefault="00EA422B" w:rsidP="0045148E">
            <w:pPr>
              <w:suppressAutoHyphens w:val="0"/>
              <w:spacing w:before="80" w:after="80" w:line="200" w:lineRule="exact"/>
              <w:ind w:right="113"/>
              <w:rPr>
                <w:i/>
                <w:sz w:val="16"/>
                <w:lang w:val="en-US"/>
              </w:rPr>
            </w:pPr>
            <w:r w:rsidRPr="004C184C">
              <w:rPr>
                <w:i/>
                <w:sz w:val="16"/>
                <w:lang w:val="en-US"/>
              </w:rPr>
              <w:t>Conventions</w:t>
            </w:r>
          </w:p>
        </w:tc>
        <w:tc>
          <w:tcPr>
            <w:tcW w:w="3685" w:type="dxa"/>
            <w:tcBorders>
              <w:top w:val="single" w:sz="4" w:space="0" w:color="auto"/>
              <w:bottom w:val="single" w:sz="12" w:space="0" w:color="auto"/>
            </w:tcBorders>
            <w:shd w:val="clear" w:color="auto" w:fill="auto"/>
            <w:vAlign w:val="bottom"/>
          </w:tcPr>
          <w:p w14:paraId="3D855052" w14:textId="77777777" w:rsidR="00EA422B" w:rsidRPr="004C184C" w:rsidRDefault="00EA422B" w:rsidP="0045148E">
            <w:pPr>
              <w:suppressAutoHyphens w:val="0"/>
              <w:spacing w:before="80" w:after="80" w:line="200" w:lineRule="exact"/>
              <w:ind w:right="113"/>
              <w:rPr>
                <w:i/>
                <w:sz w:val="16"/>
                <w:lang w:val="en-US"/>
              </w:rPr>
            </w:pPr>
            <w:r w:rsidRPr="004C184C">
              <w:rPr>
                <w:i/>
                <w:sz w:val="16"/>
                <w:lang w:val="en-US"/>
              </w:rPr>
              <w:t>Documents</w:t>
            </w:r>
          </w:p>
        </w:tc>
        <w:tc>
          <w:tcPr>
            <w:tcW w:w="2126" w:type="dxa"/>
            <w:tcBorders>
              <w:top w:val="single" w:sz="4" w:space="0" w:color="auto"/>
              <w:bottom w:val="single" w:sz="12" w:space="0" w:color="auto"/>
            </w:tcBorders>
            <w:shd w:val="clear" w:color="auto" w:fill="auto"/>
            <w:vAlign w:val="bottom"/>
          </w:tcPr>
          <w:p w14:paraId="3E672CF6" w14:textId="77777777" w:rsidR="00EA422B" w:rsidRPr="004C184C" w:rsidRDefault="00EA422B" w:rsidP="0045148E">
            <w:pPr>
              <w:suppressAutoHyphens w:val="0"/>
              <w:spacing w:before="80" w:after="80" w:line="200" w:lineRule="exact"/>
              <w:ind w:right="113"/>
              <w:rPr>
                <w:i/>
                <w:sz w:val="16"/>
                <w:lang w:val="en-US"/>
              </w:rPr>
            </w:pPr>
            <w:r w:rsidRPr="004C184C">
              <w:rPr>
                <w:i/>
                <w:sz w:val="16"/>
                <w:lang w:val="en-US"/>
              </w:rPr>
              <w:t>Date</w:t>
            </w:r>
          </w:p>
        </w:tc>
      </w:tr>
      <w:tr w:rsidR="00EA422B" w:rsidRPr="004C184C" w14:paraId="39B1BA62" w14:textId="77777777" w:rsidTr="0045148E">
        <w:trPr>
          <w:trHeight w:hRule="exact" w:val="113"/>
          <w:tblHeader/>
        </w:trPr>
        <w:tc>
          <w:tcPr>
            <w:tcW w:w="1565" w:type="dxa"/>
            <w:tcBorders>
              <w:top w:val="single" w:sz="12" w:space="0" w:color="auto"/>
            </w:tcBorders>
            <w:shd w:val="clear" w:color="auto" w:fill="auto"/>
          </w:tcPr>
          <w:p w14:paraId="599E2304" w14:textId="77777777" w:rsidR="00EA422B" w:rsidRPr="004C184C" w:rsidRDefault="00EA422B" w:rsidP="0045148E">
            <w:pPr>
              <w:suppressAutoHyphens w:val="0"/>
              <w:spacing w:before="40" w:after="120" w:line="220" w:lineRule="exact"/>
              <w:ind w:right="113"/>
              <w:rPr>
                <w:lang w:val="en-US"/>
              </w:rPr>
            </w:pPr>
          </w:p>
        </w:tc>
        <w:tc>
          <w:tcPr>
            <w:tcW w:w="3685" w:type="dxa"/>
            <w:tcBorders>
              <w:top w:val="single" w:sz="12" w:space="0" w:color="auto"/>
            </w:tcBorders>
            <w:shd w:val="clear" w:color="auto" w:fill="auto"/>
          </w:tcPr>
          <w:p w14:paraId="22B223B3" w14:textId="77777777" w:rsidR="00EA422B" w:rsidRPr="004C184C" w:rsidRDefault="00EA422B" w:rsidP="0045148E">
            <w:pPr>
              <w:suppressAutoHyphens w:val="0"/>
              <w:spacing w:before="40" w:after="120" w:line="220" w:lineRule="exact"/>
              <w:ind w:right="113"/>
              <w:rPr>
                <w:lang w:val="en-US"/>
              </w:rPr>
            </w:pPr>
          </w:p>
        </w:tc>
        <w:tc>
          <w:tcPr>
            <w:tcW w:w="2126" w:type="dxa"/>
            <w:tcBorders>
              <w:top w:val="single" w:sz="12" w:space="0" w:color="auto"/>
            </w:tcBorders>
            <w:shd w:val="clear" w:color="auto" w:fill="auto"/>
          </w:tcPr>
          <w:p w14:paraId="27105C4D" w14:textId="77777777" w:rsidR="00EA422B" w:rsidRPr="004C184C" w:rsidRDefault="00EA422B" w:rsidP="0045148E">
            <w:pPr>
              <w:suppressAutoHyphens w:val="0"/>
              <w:spacing w:before="40" w:after="120" w:line="220" w:lineRule="exact"/>
              <w:ind w:right="113"/>
              <w:rPr>
                <w:lang w:val="en-US"/>
              </w:rPr>
            </w:pPr>
          </w:p>
        </w:tc>
      </w:tr>
      <w:tr w:rsidR="00EA422B" w:rsidRPr="004C184C" w14:paraId="3F6DEBD9" w14:textId="77777777" w:rsidTr="0045148E">
        <w:tc>
          <w:tcPr>
            <w:tcW w:w="1565" w:type="dxa"/>
            <w:shd w:val="clear" w:color="auto" w:fill="auto"/>
          </w:tcPr>
          <w:p w14:paraId="72481538" w14:textId="77777777" w:rsidR="00EA422B" w:rsidRPr="004C184C" w:rsidRDefault="00EA422B" w:rsidP="0045148E">
            <w:pPr>
              <w:suppressAutoHyphens w:val="0"/>
              <w:spacing w:before="40" w:after="120" w:line="220" w:lineRule="exact"/>
              <w:ind w:right="113"/>
              <w:rPr>
                <w:lang w:val="en-US"/>
              </w:rPr>
            </w:pPr>
            <w:r w:rsidRPr="004C184C">
              <w:rPr>
                <w:lang w:val="en-US"/>
              </w:rPr>
              <w:t>CAT</w:t>
            </w:r>
          </w:p>
        </w:tc>
        <w:tc>
          <w:tcPr>
            <w:tcW w:w="3685" w:type="dxa"/>
            <w:shd w:val="clear" w:color="auto" w:fill="auto"/>
          </w:tcPr>
          <w:p w14:paraId="5262FA75" w14:textId="77777777" w:rsidR="00EA422B" w:rsidRPr="004C184C" w:rsidRDefault="00EA422B" w:rsidP="0045148E">
            <w:pPr>
              <w:suppressAutoHyphens w:val="0"/>
              <w:spacing w:before="40" w:after="120" w:line="220" w:lineRule="exact"/>
              <w:ind w:right="113"/>
              <w:rPr>
                <w:lang w:val="en-US"/>
              </w:rPr>
            </w:pPr>
            <w:r w:rsidRPr="004C184C">
              <w:rPr>
                <w:lang w:val="en-US"/>
              </w:rPr>
              <w:t>1st report</w:t>
            </w:r>
          </w:p>
        </w:tc>
        <w:tc>
          <w:tcPr>
            <w:tcW w:w="2126" w:type="dxa"/>
            <w:shd w:val="clear" w:color="auto" w:fill="auto"/>
          </w:tcPr>
          <w:p w14:paraId="3A2F30BF" w14:textId="77777777" w:rsidR="00EA422B" w:rsidRPr="004C184C" w:rsidRDefault="00EA422B" w:rsidP="0045148E">
            <w:pPr>
              <w:suppressAutoHyphens w:val="0"/>
              <w:spacing w:before="40" w:after="120" w:line="220" w:lineRule="exact"/>
              <w:ind w:right="113"/>
              <w:rPr>
                <w:lang w:val="en-US"/>
              </w:rPr>
            </w:pPr>
            <w:r w:rsidRPr="004C184C">
              <w:rPr>
                <w:lang w:val="en-US"/>
              </w:rPr>
              <w:t>27 February 2013</w:t>
            </w:r>
          </w:p>
        </w:tc>
      </w:tr>
      <w:tr w:rsidR="00EA422B" w:rsidRPr="004C184C" w14:paraId="3E237EF7" w14:textId="77777777" w:rsidTr="0045148E">
        <w:tc>
          <w:tcPr>
            <w:tcW w:w="1565" w:type="dxa"/>
            <w:vMerge w:val="restart"/>
            <w:shd w:val="clear" w:color="auto" w:fill="auto"/>
          </w:tcPr>
          <w:p w14:paraId="76FDC336" w14:textId="77777777" w:rsidR="00EA422B" w:rsidRPr="004C184C" w:rsidRDefault="00EA422B" w:rsidP="0045148E">
            <w:pPr>
              <w:suppressAutoHyphens w:val="0"/>
              <w:spacing w:before="40" w:after="120" w:line="220" w:lineRule="exact"/>
              <w:ind w:right="113"/>
              <w:rPr>
                <w:lang w:val="en-US"/>
              </w:rPr>
            </w:pPr>
            <w:r w:rsidRPr="004C184C">
              <w:rPr>
                <w:lang w:val="en-US"/>
              </w:rPr>
              <w:t>ICCPR</w:t>
            </w:r>
          </w:p>
        </w:tc>
        <w:tc>
          <w:tcPr>
            <w:tcW w:w="3685" w:type="dxa"/>
            <w:shd w:val="clear" w:color="auto" w:fill="auto"/>
          </w:tcPr>
          <w:p w14:paraId="0036F797" w14:textId="77777777" w:rsidR="00EA422B" w:rsidRPr="004C184C" w:rsidRDefault="00EA422B" w:rsidP="0045148E">
            <w:pPr>
              <w:suppressAutoHyphens w:val="0"/>
              <w:spacing w:before="40" w:after="120" w:line="220" w:lineRule="exact"/>
              <w:ind w:right="113"/>
              <w:rPr>
                <w:lang w:val="en-US"/>
              </w:rPr>
            </w:pPr>
            <w:r w:rsidRPr="004C184C">
              <w:rPr>
                <w:lang w:val="en-US"/>
              </w:rPr>
              <w:t>1st report</w:t>
            </w:r>
          </w:p>
        </w:tc>
        <w:tc>
          <w:tcPr>
            <w:tcW w:w="2126" w:type="dxa"/>
            <w:shd w:val="clear" w:color="auto" w:fill="auto"/>
          </w:tcPr>
          <w:p w14:paraId="57C510D4" w14:textId="77777777" w:rsidR="00EA422B" w:rsidRPr="004C184C" w:rsidRDefault="00EA422B" w:rsidP="0045148E">
            <w:pPr>
              <w:suppressAutoHyphens w:val="0"/>
              <w:spacing w:before="40" w:after="120" w:line="220" w:lineRule="exact"/>
              <w:ind w:right="113"/>
              <w:rPr>
                <w:lang w:val="en-US"/>
              </w:rPr>
            </w:pPr>
            <w:r w:rsidRPr="004C184C">
              <w:rPr>
                <w:lang w:val="en-US"/>
              </w:rPr>
              <w:t>2 June 2004</w:t>
            </w:r>
          </w:p>
        </w:tc>
      </w:tr>
      <w:tr w:rsidR="00EA422B" w:rsidRPr="004C184C" w14:paraId="780CF3C1" w14:textId="77777777" w:rsidTr="0045148E">
        <w:tc>
          <w:tcPr>
            <w:tcW w:w="1565" w:type="dxa"/>
            <w:vMerge/>
            <w:shd w:val="clear" w:color="auto" w:fill="auto"/>
          </w:tcPr>
          <w:p w14:paraId="72CAABCF" w14:textId="77777777" w:rsidR="00EA422B" w:rsidRPr="004C184C" w:rsidRDefault="00EA422B" w:rsidP="0045148E">
            <w:pPr>
              <w:suppressAutoHyphens w:val="0"/>
              <w:spacing w:before="40" w:after="120" w:line="220" w:lineRule="exact"/>
              <w:ind w:right="113"/>
              <w:rPr>
                <w:lang w:val="en-US"/>
              </w:rPr>
            </w:pPr>
          </w:p>
        </w:tc>
        <w:tc>
          <w:tcPr>
            <w:tcW w:w="3685" w:type="dxa"/>
            <w:shd w:val="clear" w:color="auto" w:fill="auto"/>
          </w:tcPr>
          <w:p w14:paraId="642E1B7C" w14:textId="77777777" w:rsidR="00EA422B" w:rsidRPr="004C184C" w:rsidRDefault="00EA422B" w:rsidP="0045148E">
            <w:pPr>
              <w:suppressAutoHyphens w:val="0"/>
              <w:spacing w:before="40" w:after="120" w:line="220" w:lineRule="exact"/>
              <w:ind w:right="113"/>
              <w:rPr>
                <w:lang w:val="en-US"/>
              </w:rPr>
            </w:pPr>
            <w:r w:rsidRPr="004C184C">
              <w:rPr>
                <w:lang w:val="en-US"/>
              </w:rPr>
              <w:t>2nd report</w:t>
            </w:r>
          </w:p>
        </w:tc>
        <w:tc>
          <w:tcPr>
            <w:tcW w:w="2126" w:type="dxa"/>
            <w:shd w:val="clear" w:color="auto" w:fill="auto"/>
          </w:tcPr>
          <w:p w14:paraId="57E1447A" w14:textId="77777777" w:rsidR="00EA422B" w:rsidRPr="004C184C" w:rsidRDefault="00EA422B" w:rsidP="0045148E">
            <w:pPr>
              <w:suppressAutoHyphens w:val="0"/>
              <w:spacing w:before="40" w:after="120" w:line="220" w:lineRule="exact"/>
              <w:ind w:right="113"/>
              <w:rPr>
                <w:lang w:val="en-US"/>
              </w:rPr>
            </w:pPr>
            <w:r w:rsidRPr="004C184C">
              <w:rPr>
                <w:lang w:val="en-US"/>
              </w:rPr>
              <w:t>23 June 2015</w:t>
            </w:r>
          </w:p>
        </w:tc>
      </w:tr>
      <w:tr w:rsidR="00EA422B" w:rsidRPr="004C184C" w14:paraId="270C5DD1" w14:textId="77777777" w:rsidTr="0045148E">
        <w:tc>
          <w:tcPr>
            <w:tcW w:w="1565" w:type="dxa"/>
            <w:shd w:val="clear" w:color="auto" w:fill="auto"/>
          </w:tcPr>
          <w:p w14:paraId="23F0217C" w14:textId="77777777" w:rsidR="00EA422B" w:rsidRPr="004C184C" w:rsidRDefault="00EA422B" w:rsidP="0045148E">
            <w:pPr>
              <w:suppressAutoHyphens w:val="0"/>
              <w:spacing w:before="40" w:after="120" w:line="220" w:lineRule="exact"/>
              <w:ind w:right="113"/>
              <w:rPr>
                <w:lang w:val="en-US"/>
              </w:rPr>
            </w:pPr>
            <w:r w:rsidRPr="004C184C">
              <w:rPr>
                <w:lang w:val="en-US"/>
              </w:rPr>
              <w:t>CEDAW</w:t>
            </w:r>
          </w:p>
        </w:tc>
        <w:tc>
          <w:tcPr>
            <w:tcW w:w="3685" w:type="dxa"/>
            <w:shd w:val="clear" w:color="auto" w:fill="auto"/>
          </w:tcPr>
          <w:p w14:paraId="4E415AF4" w14:textId="77777777" w:rsidR="00EA422B" w:rsidRPr="004C184C" w:rsidRDefault="00EA422B" w:rsidP="0045148E">
            <w:pPr>
              <w:suppressAutoHyphens w:val="0"/>
              <w:spacing w:before="40" w:after="120" w:line="220" w:lineRule="exact"/>
              <w:ind w:right="113"/>
              <w:rPr>
                <w:lang w:val="en-US"/>
              </w:rPr>
            </w:pPr>
            <w:r w:rsidRPr="004C184C">
              <w:rPr>
                <w:lang w:val="en-US"/>
              </w:rPr>
              <w:t>1st report</w:t>
            </w:r>
          </w:p>
        </w:tc>
        <w:tc>
          <w:tcPr>
            <w:tcW w:w="2126" w:type="dxa"/>
            <w:shd w:val="clear" w:color="auto" w:fill="auto"/>
          </w:tcPr>
          <w:p w14:paraId="3C4B125D" w14:textId="77777777" w:rsidR="00EA422B" w:rsidRPr="004C184C" w:rsidRDefault="00EA422B" w:rsidP="0045148E">
            <w:pPr>
              <w:suppressAutoHyphens w:val="0"/>
              <w:spacing w:before="40" w:after="120" w:line="220" w:lineRule="exact"/>
              <w:ind w:right="113"/>
              <w:rPr>
                <w:lang w:val="en-US"/>
              </w:rPr>
            </w:pPr>
            <w:r w:rsidRPr="004C184C">
              <w:rPr>
                <w:lang w:val="en-US"/>
              </w:rPr>
              <w:t>1 June 1987</w:t>
            </w:r>
          </w:p>
        </w:tc>
      </w:tr>
      <w:tr w:rsidR="00EA422B" w:rsidRPr="004C184C" w14:paraId="407C5E82" w14:textId="77777777" w:rsidTr="0045148E">
        <w:tc>
          <w:tcPr>
            <w:tcW w:w="1565" w:type="dxa"/>
            <w:shd w:val="clear" w:color="auto" w:fill="auto"/>
          </w:tcPr>
          <w:p w14:paraId="2077E136" w14:textId="77777777" w:rsidR="00EA422B" w:rsidRPr="004C184C" w:rsidRDefault="00EA422B" w:rsidP="0045148E">
            <w:pPr>
              <w:suppressAutoHyphens w:val="0"/>
              <w:spacing w:before="40" w:after="120" w:line="220" w:lineRule="exact"/>
              <w:ind w:right="113"/>
              <w:rPr>
                <w:lang w:val="en-US"/>
              </w:rPr>
            </w:pPr>
          </w:p>
        </w:tc>
        <w:tc>
          <w:tcPr>
            <w:tcW w:w="3685" w:type="dxa"/>
            <w:shd w:val="clear" w:color="auto" w:fill="auto"/>
          </w:tcPr>
          <w:p w14:paraId="320796A1" w14:textId="77777777" w:rsidR="00EA422B" w:rsidRPr="004C184C" w:rsidRDefault="00EA422B" w:rsidP="0045148E">
            <w:pPr>
              <w:suppressAutoHyphens w:val="0"/>
              <w:spacing w:before="40" w:after="120" w:line="220" w:lineRule="exact"/>
              <w:ind w:right="113"/>
              <w:rPr>
                <w:lang w:val="en-US"/>
              </w:rPr>
            </w:pPr>
            <w:r w:rsidRPr="004C184C">
              <w:rPr>
                <w:lang w:val="en-US"/>
              </w:rPr>
              <w:t xml:space="preserve">2nd and 3rd report </w:t>
            </w:r>
            <w:r w:rsidRPr="004C184C">
              <w:rPr>
                <w:cs/>
                <w:lang w:val="en-US"/>
              </w:rPr>
              <w:t>(</w:t>
            </w:r>
            <w:r w:rsidRPr="004C184C">
              <w:rPr>
                <w:lang w:val="en-US"/>
              </w:rPr>
              <w:t>combined</w:t>
            </w:r>
            <w:r w:rsidRPr="004C184C">
              <w:rPr>
                <w:cs/>
                <w:lang w:val="en-US"/>
              </w:rPr>
              <w:t>)</w:t>
            </w:r>
          </w:p>
        </w:tc>
        <w:tc>
          <w:tcPr>
            <w:tcW w:w="2126" w:type="dxa"/>
            <w:shd w:val="clear" w:color="auto" w:fill="auto"/>
          </w:tcPr>
          <w:p w14:paraId="682A794D" w14:textId="77777777" w:rsidR="00EA422B" w:rsidRPr="004C184C" w:rsidRDefault="00EA422B" w:rsidP="0045148E">
            <w:pPr>
              <w:suppressAutoHyphens w:val="0"/>
              <w:spacing w:before="40" w:after="120" w:line="220" w:lineRule="exact"/>
              <w:ind w:right="113"/>
              <w:rPr>
                <w:lang w:val="en-US"/>
              </w:rPr>
            </w:pPr>
            <w:r w:rsidRPr="004C184C">
              <w:rPr>
                <w:lang w:val="en-US"/>
              </w:rPr>
              <w:t>3 March 1997</w:t>
            </w:r>
          </w:p>
        </w:tc>
      </w:tr>
      <w:tr w:rsidR="00EA422B" w:rsidRPr="004C184C" w14:paraId="4757506D" w14:textId="77777777" w:rsidTr="0045148E">
        <w:tc>
          <w:tcPr>
            <w:tcW w:w="1565" w:type="dxa"/>
            <w:shd w:val="clear" w:color="auto" w:fill="auto"/>
          </w:tcPr>
          <w:p w14:paraId="7E426B67" w14:textId="77777777" w:rsidR="00EA422B" w:rsidRPr="004C184C" w:rsidRDefault="00EA422B" w:rsidP="0045148E">
            <w:pPr>
              <w:suppressAutoHyphens w:val="0"/>
              <w:spacing w:before="40" w:after="120" w:line="220" w:lineRule="exact"/>
              <w:ind w:right="113"/>
              <w:rPr>
                <w:lang w:val="en-US"/>
              </w:rPr>
            </w:pPr>
          </w:p>
        </w:tc>
        <w:tc>
          <w:tcPr>
            <w:tcW w:w="3685" w:type="dxa"/>
            <w:shd w:val="clear" w:color="auto" w:fill="auto"/>
          </w:tcPr>
          <w:p w14:paraId="551F47E0" w14:textId="77777777" w:rsidR="00EA422B" w:rsidRPr="004C184C" w:rsidRDefault="00EA422B" w:rsidP="0045148E">
            <w:pPr>
              <w:suppressAutoHyphens w:val="0"/>
              <w:spacing w:before="40" w:after="120" w:line="220" w:lineRule="exact"/>
              <w:ind w:right="113"/>
              <w:rPr>
                <w:lang w:val="en-US"/>
              </w:rPr>
            </w:pPr>
            <w:r w:rsidRPr="004C184C">
              <w:rPr>
                <w:lang w:val="en-US"/>
              </w:rPr>
              <w:t xml:space="preserve">4th and 5th report </w:t>
            </w:r>
            <w:r w:rsidRPr="004C184C">
              <w:rPr>
                <w:cs/>
                <w:lang w:val="en-US"/>
              </w:rPr>
              <w:t>(</w:t>
            </w:r>
            <w:r w:rsidRPr="004C184C">
              <w:rPr>
                <w:lang w:val="en-US"/>
              </w:rPr>
              <w:t>combined</w:t>
            </w:r>
            <w:r w:rsidRPr="004C184C">
              <w:rPr>
                <w:cs/>
                <w:lang w:val="en-US"/>
              </w:rPr>
              <w:t>)</w:t>
            </w:r>
          </w:p>
        </w:tc>
        <w:tc>
          <w:tcPr>
            <w:tcW w:w="2126" w:type="dxa"/>
            <w:shd w:val="clear" w:color="auto" w:fill="auto"/>
          </w:tcPr>
          <w:p w14:paraId="2C154726" w14:textId="77777777" w:rsidR="00EA422B" w:rsidRPr="004C184C" w:rsidRDefault="00EA422B" w:rsidP="0045148E">
            <w:pPr>
              <w:suppressAutoHyphens w:val="0"/>
              <w:spacing w:before="40" w:after="120" w:line="220" w:lineRule="exact"/>
              <w:ind w:right="113"/>
              <w:rPr>
                <w:lang w:val="en-US"/>
              </w:rPr>
            </w:pPr>
            <w:r w:rsidRPr="004C184C">
              <w:rPr>
                <w:lang w:val="en-US"/>
              </w:rPr>
              <w:t>24 June 2004</w:t>
            </w:r>
          </w:p>
        </w:tc>
      </w:tr>
      <w:tr w:rsidR="00EA422B" w:rsidRPr="004C184C" w14:paraId="7B7E5A97" w14:textId="77777777" w:rsidTr="0045148E">
        <w:tc>
          <w:tcPr>
            <w:tcW w:w="1565" w:type="dxa"/>
            <w:shd w:val="clear" w:color="auto" w:fill="auto"/>
          </w:tcPr>
          <w:p w14:paraId="7BB53458" w14:textId="77777777" w:rsidR="00EA422B" w:rsidRPr="004C184C" w:rsidRDefault="00EA422B" w:rsidP="0045148E">
            <w:pPr>
              <w:suppressAutoHyphens w:val="0"/>
              <w:spacing w:before="40" w:after="120" w:line="220" w:lineRule="exact"/>
              <w:ind w:right="113"/>
              <w:rPr>
                <w:lang w:val="en-US"/>
              </w:rPr>
            </w:pPr>
          </w:p>
        </w:tc>
        <w:tc>
          <w:tcPr>
            <w:tcW w:w="3685" w:type="dxa"/>
            <w:shd w:val="clear" w:color="auto" w:fill="auto"/>
          </w:tcPr>
          <w:p w14:paraId="71A6107F" w14:textId="77777777" w:rsidR="00EA422B" w:rsidRPr="004C184C" w:rsidRDefault="00EA422B" w:rsidP="0045148E">
            <w:pPr>
              <w:suppressAutoHyphens w:val="0"/>
              <w:spacing w:before="40" w:after="120" w:line="220" w:lineRule="exact"/>
              <w:ind w:right="113"/>
              <w:rPr>
                <w:lang w:val="en-US"/>
              </w:rPr>
            </w:pPr>
            <w:r w:rsidRPr="004C184C">
              <w:rPr>
                <w:lang w:val="en-US"/>
              </w:rPr>
              <w:t xml:space="preserve">6th and 7th report </w:t>
            </w:r>
            <w:r w:rsidRPr="004C184C">
              <w:rPr>
                <w:cs/>
                <w:lang w:val="en-US"/>
              </w:rPr>
              <w:t>(</w:t>
            </w:r>
            <w:r w:rsidRPr="004C184C">
              <w:rPr>
                <w:lang w:val="en-US"/>
              </w:rPr>
              <w:t>combined</w:t>
            </w:r>
            <w:r w:rsidRPr="004C184C">
              <w:rPr>
                <w:cs/>
                <w:lang w:val="en-US"/>
              </w:rPr>
              <w:t>)</w:t>
            </w:r>
          </w:p>
        </w:tc>
        <w:tc>
          <w:tcPr>
            <w:tcW w:w="2126" w:type="dxa"/>
            <w:shd w:val="clear" w:color="auto" w:fill="auto"/>
          </w:tcPr>
          <w:p w14:paraId="0AD3D426" w14:textId="77777777" w:rsidR="00EA422B" w:rsidRPr="004C184C" w:rsidRDefault="00EA422B" w:rsidP="0045148E">
            <w:pPr>
              <w:suppressAutoHyphens w:val="0"/>
              <w:spacing w:before="40" w:after="120" w:line="220" w:lineRule="exact"/>
              <w:ind w:right="113"/>
              <w:rPr>
                <w:lang w:val="en-US"/>
              </w:rPr>
            </w:pPr>
            <w:r w:rsidRPr="004C184C">
              <w:rPr>
                <w:lang w:val="en-US"/>
              </w:rPr>
              <w:t>18 June 2015</w:t>
            </w:r>
          </w:p>
        </w:tc>
      </w:tr>
      <w:tr w:rsidR="00EA422B" w:rsidRPr="004C184C" w14:paraId="254C29F0" w14:textId="77777777" w:rsidTr="0045148E">
        <w:tc>
          <w:tcPr>
            <w:tcW w:w="1565" w:type="dxa"/>
            <w:shd w:val="clear" w:color="auto" w:fill="auto"/>
          </w:tcPr>
          <w:p w14:paraId="39665A2D" w14:textId="77777777" w:rsidR="00EA422B" w:rsidRPr="004C184C" w:rsidRDefault="00EA422B" w:rsidP="0045148E">
            <w:pPr>
              <w:suppressAutoHyphens w:val="0"/>
              <w:spacing w:before="40" w:after="120" w:line="220" w:lineRule="exact"/>
              <w:ind w:right="113"/>
              <w:rPr>
                <w:lang w:val="en-US"/>
              </w:rPr>
            </w:pPr>
            <w:r w:rsidRPr="004C184C">
              <w:rPr>
                <w:lang w:val="en-US"/>
              </w:rPr>
              <w:t>CERD</w:t>
            </w:r>
          </w:p>
        </w:tc>
        <w:tc>
          <w:tcPr>
            <w:tcW w:w="3685" w:type="dxa"/>
            <w:shd w:val="clear" w:color="auto" w:fill="auto"/>
          </w:tcPr>
          <w:p w14:paraId="269E4BFD" w14:textId="667CA478" w:rsidR="00EA422B" w:rsidRPr="004C184C" w:rsidRDefault="00EA422B" w:rsidP="0045148E">
            <w:pPr>
              <w:suppressAutoHyphens w:val="0"/>
              <w:spacing w:before="40" w:after="120" w:line="220" w:lineRule="exact"/>
              <w:ind w:right="113"/>
              <w:rPr>
                <w:lang w:val="en-US"/>
              </w:rPr>
            </w:pPr>
            <w:r w:rsidRPr="004C184C">
              <w:rPr>
                <w:lang w:val="en-US"/>
              </w:rPr>
              <w:t>1st, 2nd, and 3rd</w:t>
            </w:r>
            <w:r w:rsidR="006C6B52" w:rsidRPr="004C184C">
              <w:rPr>
                <w:lang w:val="en-US"/>
              </w:rPr>
              <w:t xml:space="preserve"> </w:t>
            </w:r>
            <w:r w:rsidRPr="004C184C">
              <w:rPr>
                <w:lang w:val="en-US"/>
              </w:rPr>
              <w:t>report</w:t>
            </w:r>
            <w:r w:rsidRPr="004C184C">
              <w:rPr>
                <w:cs/>
                <w:lang w:val="en-US"/>
              </w:rPr>
              <w:t xml:space="preserve"> (</w:t>
            </w:r>
            <w:r w:rsidRPr="004C184C">
              <w:rPr>
                <w:lang w:val="en-US"/>
              </w:rPr>
              <w:t>combined</w:t>
            </w:r>
            <w:r w:rsidRPr="004C184C">
              <w:rPr>
                <w:cs/>
                <w:lang w:val="en-US"/>
              </w:rPr>
              <w:t>)</w:t>
            </w:r>
          </w:p>
        </w:tc>
        <w:tc>
          <w:tcPr>
            <w:tcW w:w="2126" w:type="dxa"/>
            <w:shd w:val="clear" w:color="auto" w:fill="auto"/>
          </w:tcPr>
          <w:p w14:paraId="21D5E202" w14:textId="77777777" w:rsidR="00EA422B" w:rsidRPr="004C184C" w:rsidRDefault="00EA422B" w:rsidP="0045148E">
            <w:pPr>
              <w:suppressAutoHyphens w:val="0"/>
              <w:spacing w:before="40" w:after="120" w:line="220" w:lineRule="exact"/>
              <w:ind w:right="113"/>
              <w:rPr>
                <w:lang w:val="en-US"/>
              </w:rPr>
            </w:pPr>
            <w:r w:rsidRPr="004C184C">
              <w:rPr>
                <w:lang w:val="en-US"/>
              </w:rPr>
              <w:t>27 June 2011</w:t>
            </w:r>
          </w:p>
        </w:tc>
      </w:tr>
      <w:tr w:rsidR="00EA422B" w:rsidRPr="004C184C" w14:paraId="62742A82" w14:textId="77777777" w:rsidTr="0045148E">
        <w:tc>
          <w:tcPr>
            <w:tcW w:w="1565" w:type="dxa"/>
            <w:shd w:val="clear" w:color="auto" w:fill="auto"/>
          </w:tcPr>
          <w:p w14:paraId="75F1B367" w14:textId="77777777" w:rsidR="00EA422B" w:rsidRPr="004C184C" w:rsidRDefault="00EA422B" w:rsidP="0045148E">
            <w:pPr>
              <w:suppressAutoHyphens w:val="0"/>
              <w:spacing w:before="40" w:after="120" w:line="220" w:lineRule="exact"/>
              <w:ind w:right="113"/>
              <w:rPr>
                <w:lang w:val="en-US"/>
              </w:rPr>
            </w:pPr>
          </w:p>
        </w:tc>
        <w:tc>
          <w:tcPr>
            <w:tcW w:w="3685" w:type="dxa"/>
            <w:shd w:val="clear" w:color="auto" w:fill="auto"/>
          </w:tcPr>
          <w:p w14:paraId="547C60BE" w14:textId="77777777" w:rsidR="00EA422B" w:rsidRPr="004C184C" w:rsidRDefault="00EA422B" w:rsidP="0045148E">
            <w:pPr>
              <w:suppressAutoHyphens w:val="0"/>
              <w:spacing w:before="40" w:after="120" w:line="220" w:lineRule="exact"/>
              <w:ind w:right="113"/>
              <w:rPr>
                <w:lang w:val="en-US"/>
              </w:rPr>
            </w:pPr>
            <w:r w:rsidRPr="004C184C">
              <w:rPr>
                <w:lang w:val="en-US"/>
              </w:rPr>
              <w:t>4th, 5th, 6th, 7th and 8th (combined)</w:t>
            </w:r>
          </w:p>
        </w:tc>
        <w:tc>
          <w:tcPr>
            <w:tcW w:w="2126" w:type="dxa"/>
            <w:shd w:val="clear" w:color="auto" w:fill="auto"/>
          </w:tcPr>
          <w:p w14:paraId="42982946" w14:textId="77777777" w:rsidR="00EA422B" w:rsidRPr="004C184C" w:rsidRDefault="00EA422B" w:rsidP="0045148E">
            <w:pPr>
              <w:suppressAutoHyphens w:val="0"/>
              <w:spacing w:before="40" w:after="120" w:line="220" w:lineRule="exact"/>
              <w:ind w:right="113"/>
              <w:rPr>
                <w:lang w:val="en-US"/>
              </w:rPr>
            </w:pPr>
            <w:r w:rsidRPr="004C184C">
              <w:rPr>
                <w:lang w:val="en-US"/>
              </w:rPr>
              <w:t>24 April 2019</w:t>
            </w:r>
          </w:p>
        </w:tc>
      </w:tr>
      <w:tr w:rsidR="00EA422B" w:rsidRPr="004C184C" w14:paraId="45B1E394" w14:textId="77777777" w:rsidTr="006C6B52">
        <w:tc>
          <w:tcPr>
            <w:tcW w:w="1565" w:type="dxa"/>
            <w:tcBorders>
              <w:bottom w:val="nil"/>
            </w:tcBorders>
            <w:shd w:val="clear" w:color="auto" w:fill="auto"/>
          </w:tcPr>
          <w:p w14:paraId="1D8FB364" w14:textId="77777777" w:rsidR="00EA422B" w:rsidRPr="004C184C" w:rsidRDefault="00EA422B" w:rsidP="0045148E">
            <w:pPr>
              <w:suppressAutoHyphens w:val="0"/>
              <w:spacing w:before="40" w:after="120" w:line="220" w:lineRule="exact"/>
              <w:ind w:right="113"/>
              <w:rPr>
                <w:lang w:val="en-US"/>
              </w:rPr>
            </w:pPr>
            <w:r w:rsidRPr="004C184C">
              <w:rPr>
                <w:lang w:val="en-US"/>
              </w:rPr>
              <w:t>ICESCR</w:t>
            </w:r>
          </w:p>
        </w:tc>
        <w:tc>
          <w:tcPr>
            <w:tcW w:w="3685" w:type="dxa"/>
            <w:tcBorders>
              <w:bottom w:val="nil"/>
            </w:tcBorders>
            <w:shd w:val="clear" w:color="auto" w:fill="auto"/>
          </w:tcPr>
          <w:p w14:paraId="2CE1C7F7" w14:textId="77777777" w:rsidR="00EA422B" w:rsidRPr="004C184C" w:rsidRDefault="00EA422B" w:rsidP="0045148E">
            <w:pPr>
              <w:suppressAutoHyphens w:val="0"/>
              <w:spacing w:before="40" w:after="120" w:line="220" w:lineRule="exact"/>
              <w:ind w:right="113"/>
              <w:rPr>
                <w:lang w:val="en-US"/>
              </w:rPr>
            </w:pPr>
            <w:r w:rsidRPr="004C184C">
              <w:rPr>
                <w:lang w:val="en-US"/>
              </w:rPr>
              <w:t xml:space="preserve">1st and 2nd report </w:t>
            </w:r>
            <w:r w:rsidRPr="004C184C">
              <w:rPr>
                <w:cs/>
                <w:lang w:val="en-US"/>
              </w:rPr>
              <w:t>(</w:t>
            </w:r>
            <w:r w:rsidRPr="004C184C">
              <w:rPr>
                <w:lang w:val="en-US"/>
              </w:rPr>
              <w:t>combined</w:t>
            </w:r>
            <w:r w:rsidRPr="004C184C">
              <w:rPr>
                <w:cs/>
                <w:lang w:val="en-US"/>
              </w:rPr>
              <w:t>)</w:t>
            </w:r>
          </w:p>
        </w:tc>
        <w:tc>
          <w:tcPr>
            <w:tcW w:w="2126" w:type="dxa"/>
            <w:tcBorders>
              <w:bottom w:val="nil"/>
            </w:tcBorders>
            <w:shd w:val="clear" w:color="auto" w:fill="auto"/>
          </w:tcPr>
          <w:p w14:paraId="6CC110E4" w14:textId="77777777" w:rsidR="00EA422B" w:rsidRPr="004C184C" w:rsidRDefault="00EA422B" w:rsidP="0045148E">
            <w:pPr>
              <w:suppressAutoHyphens w:val="0"/>
              <w:spacing w:before="40" w:after="120" w:line="220" w:lineRule="exact"/>
              <w:ind w:right="113"/>
              <w:rPr>
                <w:lang w:val="en-US"/>
              </w:rPr>
            </w:pPr>
            <w:r w:rsidRPr="004C184C">
              <w:rPr>
                <w:lang w:val="en-US"/>
              </w:rPr>
              <w:t>21 August 2012</w:t>
            </w:r>
          </w:p>
        </w:tc>
      </w:tr>
      <w:tr w:rsidR="00EA422B" w:rsidRPr="004C184C" w14:paraId="3393C624" w14:textId="77777777" w:rsidTr="006C6B52">
        <w:tc>
          <w:tcPr>
            <w:tcW w:w="1565" w:type="dxa"/>
            <w:tcBorders>
              <w:top w:val="nil"/>
              <w:bottom w:val="nil"/>
            </w:tcBorders>
            <w:shd w:val="clear" w:color="auto" w:fill="auto"/>
          </w:tcPr>
          <w:p w14:paraId="54747C35" w14:textId="77777777" w:rsidR="00EA422B" w:rsidRPr="004C184C" w:rsidRDefault="00EA422B" w:rsidP="0045148E">
            <w:pPr>
              <w:suppressAutoHyphens w:val="0"/>
              <w:spacing w:before="40" w:after="120" w:line="220" w:lineRule="exact"/>
              <w:ind w:right="113"/>
              <w:rPr>
                <w:lang w:val="en-US"/>
              </w:rPr>
            </w:pPr>
            <w:r w:rsidRPr="004C184C">
              <w:rPr>
                <w:lang w:val="en-US"/>
              </w:rPr>
              <w:t>CRC</w:t>
            </w:r>
          </w:p>
        </w:tc>
        <w:tc>
          <w:tcPr>
            <w:tcW w:w="3685" w:type="dxa"/>
            <w:tcBorders>
              <w:top w:val="nil"/>
              <w:bottom w:val="nil"/>
            </w:tcBorders>
            <w:shd w:val="clear" w:color="auto" w:fill="auto"/>
          </w:tcPr>
          <w:p w14:paraId="13CDD61F" w14:textId="77777777" w:rsidR="00EA422B" w:rsidRPr="004C184C" w:rsidRDefault="00EA422B" w:rsidP="0045148E">
            <w:pPr>
              <w:suppressAutoHyphens w:val="0"/>
              <w:spacing w:before="40" w:after="120" w:line="220" w:lineRule="exact"/>
              <w:ind w:right="113"/>
              <w:rPr>
                <w:lang w:val="en-US"/>
              </w:rPr>
            </w:pPr>
            <w:r w:rsidRPr="004C184C">
              <w:rPr>
                <w:lang w:val="en-US"/>
              </w:rPr>
              <w:t>1st report</w:t>
            </w:r>
          </w:p>
        </w:tc>
        <w:tc>
          <w:tcPr>
            <w:tcW w:w="2126" w:type="dxa"/>
            <w:tcBorders>
              <w:top w:val="nil"/>
              <w:bottom w:val="nil"/>
            </w:tcBorders>
            <w:shd w:val="clear" w:color="auto" w:fill="auto"/>
          </w:tcPr>
          <w:p w14:paraId="5A9C2712" w14:textId="77777777" w:rsidR="00EA422B" w:rsidRPr="004C184C" w:rsidRDefault="00EA422B" w:rsidP="0045148E">
            <w:pPr>
              <w:suppressAutoHyphens w:val="0"/>
              <w:spacing w:before="40" w:after="120" w:line="220" w:lineRule="exact"/>
              <w:ind w:right="113"/>
              <w:rPr>
                <w:lang w:val="en-US"/>
              </w:rPr>
            </w:pPr>
            <w:r w:rsidRPr="004C184C">
              <w:rPr>
                <w:lang w:val="en-US"/>
              </w:rPr>
              <w:t>23 August 1996</w:t>
            </w:r>
          </w:p>
        </w:tc>
      </w:tr>
      <w:tr w:rsidR="00EA422B" w:rsidRPr="004C184C" w14:paraId="791AC7A7" w14:textId="77777777" w:rsidTr="006C6B52">
        <w:tc>
          <w:tcPr>
            <w:tcW w:w="1565" w:type="dxa"/>
            <w:tcBorders>
              <w:top w:val="nil"/>
            </w:tcBorders>
            <w:shd w:val="clear" w:color="auto" w:fill="auto"/>
          </w:tcPr>
          <w:p w14:paraId="47251C6F" w14:textId="77777777" w:rsidR="00EA422B" w:rsidRPr="004C184C" w:rsidRDefault="00EA422B" w:rsidP="0045148E">
            <w:pPr>
              <w:suppressAutoHyphens w:val="0"/>
              <w:spacing w:before="40" w:after="120" w:line="220" w:lineRule="exact"/>
              <w:ind w:right="113"/>
              <w:rPr>
                <w:lang w:val="en-US"/>
              </w:rPr>
            </w:pPr>
          </w:p>
        </w:tc>
        <w:tc>
          <w:tcPr>
            <w:tcW w:w="3685" w:type="dxa"/>
            <w:tcBorders>
              <w:top w:val="nil"/>
            </w:tcBorders>
            <w:shd w:val="clear" w:color="auto" w:fill="auto"/>
          </w:tcPr>
          <w:p w14:paraId="75C0A17E" w14:textId="77777777" w:rsidR="00EA422B" w:rsidRPr="004C184C" w:rsidRDefault="00EA422B" w:rsidP="0045148E">
            <w:pPr>
              <w:suppressAutoHyphens w:val="0"/>
              <w:spacing w:before="40" w:after="120" w:line="220" w:lineRule="exact"/>
              <w:ind w:right="113"/>
              <w:rPr>
                <w:lang w:val="en-US"/>
              </w:rPr>
            </w:pPr>
            <w:r w:rsidRPr="004C184C">
              <w:rPr>
                <w:lang w:val="en-US"/>
              </w:rPr>
              <w:t xml:space="preserve">2nd report </w:t>
            </w:r>
          </w:p>
        </w:tc>
        <w:tc>
          <w:tcPr>
            <w:tcW w:w="2126" w:type="dxa"/>
            <w:tcBorders>
              <w:top w:val="nil"/>
            </w:tcBorders>
            <w:shd w:val="clear" w:color="auto" w:fill="auto"/>
          </w:tcPr>
          <w:p w14:paraId="7A005070" w14:textId="77777777" w:rsidR="00EA422B" w:rsidRPr="004C184C" w:rsidRDefault="00EA422B" w:rsidP="0045148E">
            <w:pPr>
              <w:suppressAutoHyphens w:val="0"/>
              <w:spacing w:before="40" w:after="120" w:line="220" w:lineRule="exact"/>
              <w:ind w:right="113"/>
              <w:rPr>
                <w:lang w:val="en-US"/>
              </w:rPr>
            </w:pPr>
            <w:r w:rsidRPr="004C184C">
              <w:rPr>
                <w:lang w:val="en-US"/>
              </w:rPr>
              <w:t>7 June 2004</w:t>
            </w:r>
          </w:p>
        </w:tc>
      </w:tr>
      <w:tr w:rsidR="00EA422B" w:rsidRPr="004C184C" w14:paraId="38145810" w14:textId="77777777" w:rsidTr="0051401F">
        <w:tc>
          <w:tcPr>
            <w:tcW w:w="1565" w:type="dxa"/>
            <w:tcBorders>
              <w:bottom w:val="nil"/>
            </w:tcBorders>
            <w:shd w:val="clear" w:color="auto" w:fill="auto"/>
          </w:tcPr>
          <w:p w14:paraId="136A5253" w14:textId="77777777" w:rsidR="00EA422B" w:rsidRPr="004C184C" w:rsidRDefault="00EA422B" w:rsidP="0045148E">
            <w:pPr>
              <w:suppressAutoHyphens w:val="0"/>
              <w:spacing w:before="40" w:after="120" w:line="220" w:lineRule="exact"/>
              <w:ind w:right="113"/>
              <w:rPr>
                <w:lang w:val="en-US"/>
              </w:rPr>
            </w:pPr>
          </w:p>
        </w:tc>
        <w:tc>
          <w:tcPr>
            <w:tcW w:w="3685" w:type="dxa"/>
            <w:tcBorders>
              <w:bottom w:val="nil"/>
            </w:tcBorders>
            <w:shd w:val="clear" w:color="auto" w:fill="auto"/>
          </w:tcPr>
          <w:p w14:paraId="70E4E8FB" w14:textId="77777777" w:rsidR="00EA422B" w:rsidRPr="004C184C" w:rsidRDefault="00EA422B" w:rsidP="0045148E">
            <w:pPr>
              <w:suppressAutoHyphens w:val="0"/>
              <w:spacing w:before="40" w:after="120" w:line="220" w:lineRule="exact"/>
              <w:ind w:right="113"/>
              <w:rPr>
                <w:lang w:val="en-US"/>
              </w:rPr>
            </w:pPr>
            <w:r w:rsidRPr="004C184C">
              <w:rPr>
                <w:lang w:val="en-US"/>
              </w:rPr>
              <w:t xml:space="preserve">3rd and 4th report </w:t>
            </w:r>
            <w:r w:rsidRPr="004C184C">
              <w:rPr>
                <w:cs/>
                <w:lang w:val="en-US"/>
              </w:rPr>
              <w:t>(</w:t>
            </w:r>
            <w:r w:rsidRPr="004C184C">
              <w:rPr>
                <w:lang w:val="en-US"/>
              </w:rPr>
              <w:t>combined</w:t>
            </w:r>
            <w:r w:rsidRPr="004C184C">
              <w:rPr>
                <w:cs/>
                <w:lang w:val="en-US"/>
              </w:rPr>
              <w:t>)</w:t>
            </w:r>
          </w:p>
        </w:tc>
        <w:tc>
          <w:tcPr>
            <w:tcW w:w="2126" w:type="dxa"/>
            <w:tcBorders>
              <w:bottom w:val="nil"/>
            </w:tcBorders>
            <w:shd w:val="clear" w:color="auto" w:fill="auto"/>
          </w:tcPr>
          <w:p w14:paraId="18CAD32E" w14:textId="77777777" w:rsidR="00EA422B" w:rsidRPr="004C184C" w:rsidRDefault="00EA422B" w:rsidP="0045148E">
            <w:pPr>
              <w:suppressAutoHyphens w:val="0"/>
              <w:spacing w:before="40" w:after="120" w:line="220" w:lineRule="exact"/>
              <w:ind w:right="113"/>
              <w:rPr>
                <w:lang w:val="en-US"/>
              </w:rPr>
            </w:pPr>
            <w:r w:rsidRPr="004C184C">
              <w:rPr>
                <w:lang w:val="en-US"/>
              </w:rPr>
              <w:t>11 July 2011</w:t>
            </w:r>
          </w:p>
        </w:tc>
      </w:tr>
      <w:tr w:rsidR="00EA422B" w:rsidRPr="004C184C" w14:paraId="24E26344" w14:textId="77777777" w:rsidTr="0051401F">
        <w:tc>
          <w:tcPr>
            <w:tcW w:w="1565" w:type="dxa"/>
            <w:tcBorders>
              <w:top w:val="nil"/>
              <w:bottom w:val="nil"/>
            </w:tcBorders>
            <w:shd w:val="clear" w:color="auto" w:fill="auto"/>
          </w:tcPr>
          <w:p w14:paraId="7F833B2B" w14:textId="513802BA" w:rsidR="00EA422B" w:rsidRPr="004C184C" w:rsidRDefault="00EA422B" w:rsidP="0045148E">
            <w:pPr>
              <w:suppressAutoHyphens w:val="0"/>
              <w:spacing w:before="40" w:after="120" w:line="220" w:lineRule="exact"/>
              <w:ind w:right="113"/>
              <w:rPr>
                <w:lang w:val="en-US"/>
              </w:rPr>
            </w:pPr>
            <w:r w:rsidRPr="004C184C">
              <w:rPr>
                <w:lang w:val="en-US"/>
              </w:rPr>
              <w:t>CRC</w:t>
            </w:r>
            <w:r w:rsidR="00185480" w:rsidRPr="004C184C">
              <w:rPr>
                <w:lang w:val="en-US"/>
              </w:rPr>
              <w:t>-</w:t>
            </w:r>
            <w:r w:rsidRPr="004C184C">
              <w:rPr>
                <w:lang w:val="en-US"/>
              </w:rPr>
              <w:t>OP</w:t>
            </w:r>
            <w:r w:rsidR="00185480" w:rsidRPr="004C184C">
              <w:rPr>
                <w:lang w:val="en-US"/>
              </w:rPr>
              <w:t>-</w:t>
            </w:r>
            <w:r w:rsidRPr="004C184C">
              <w:rPr>
                <w:lang w:val="en-US"/>
              </w:rPr>
              <w:t>AC</w:t>
            </w:r>
          </w:p>
        </w:tc>
        <w:tc>
          <w:tcPr>
            <w:tcW w:w="3685" w:type="dxa"/>
            <w:tcBorders>
              <w:top w:val="nil"/>
              <w:bottom w:val="nil"/>
            </w:tcBorders>
            <w:shd w:val="clear" w:color="auto" w:fill="auto"/>
          </w:tcPr>
          <w:p w14:paraId="6881ED42" w14:textId="77777777" w:rsidR="00EA422B" w:rsidRPr="004C184C" w:rsidRDefault="00EA422B" w:rsidP="0045148E">
            <w:pPr>
              <w:suppressAutoHyphens w:val="0"/>
              <w:spacing w:before="40" w:after="120" w:line="220" w:lineRule="exact"/>
              <w:ind w:right="113"/>
              <w:rPr>
                <w:lang w:val="en-US"/>
              </w:rPr>
            </w:pPr>
            <w:r w:rsidRPr="004C184C">
              <w:rPr>
                <w:lang w:val="en-US"/>
              </w:rPr>
              <w:t>1st report</w:t>
            </w:r>
          </w:p>
        </w:tc>
        <w:tc>
          <w:tcPr>
            <w:tcW w:w="2126" w:type="dxa"/>
            <w:tcBorders>
              <w:top w:val="nil"/>
              <w:bottom w:val="nil"/>
            </w:tcBorders>
            <w:shd w:val="clear" w:color="auto" w:fill="auto"/>
          </w:tcPr>
          <w:p w14:paraId="5B77FAEE" w14:textId="77777777" w:rsidR="00EA422B" w:rsidRPr="004C184C" w:rsidRDefault="00EA422B" w:rsidP="0045148E">
            <w:pPr>
              <w:suppressAutoHyphens w:val="0"/>
              <w:spacing w:before="40" w:after="120" w:line="220" w:lineRule="exact"/>
              <w:ind w:right="113"/>
              <w:rPr>
                <w:lang w:val="en-US"/>
              </w:rPr>
            </w:pPr>
            <w:r w:rsidRPr="004C184C">
              <w:rPr>
                <w:lang w:val="en-US"/>
              </w:rPr>
              <w:t>30 October 2009</w:t>
            </w:r>
          </w:p>
        </w:tc>
      </w:tr>
      <w:tr w:rsidR="00EA422B" w:rsidRPr="004C184C" w14:paraId="70A74965" w14:textId="77777777" w:rsidTr="0051401F">
        <w:tc>
          <w:tcPr>
            <w:tcW w:w="1565" w:type="dxa"/>
            <w:tcBorders>
              <w:top w:val="nil"/>
            </w:tcBorders>
            <w:shd w:val="clear" w:color="auto" w:fill="auto"/>
          </w:tcPr>
          <w:p w14:paraId="1C06E346" w14:textId="7616EBCD" w:rsidR="00EA422B" w:rsidRPr="004C184C" w:rsidRDefault="00EA422B" w:rsidP="0051401F">
            <w:pPr>
              <w:keepNext/>
              <w:keepLines/>
              <w:suppressAutoHyphens w:val="0"/>
              <w:spacing w:before="40" w:after="120" w:line="220" w:lineRule="exact"/>
              <w:ind w:right="113"/>
              <w:rPr>
                <w:lang w:val="en-US"/>
              </w:rPr>
            </w:pPr>
            <w:r w:rsidRPr="004C184C">
              <w:rPr>
                <w:lang w:val="en-US"/>
              </w:rPr>
              <w:lastRenderedPageBreak/>
              <w:t>CRC</w:t>
            </w:r>
            <w:r w:rsidR="00185480" w:rsidRPr="004C184C">
              <w:rPr>
                <w:lang w:val="en-US"/>
              </w:rPr>
              <w:t>-</w:t>
            </w:r>
            <w:r w:rsidRPr="004C184C">
              <w:rPr>
                <w:lang w:val="en-US"/>
              </w:rPr>
              <w:t>OP</w:t>
            </w:r>
            <w:r w:rsidR="00185480" w:rsidRPr="004C184C">
              <w:rPr>
                <w:lang w:val="en-US"/>
              </w:rPr>
              <w:t>-</w:t>
            </w:r>
            <w:r w:rsidRPr="004C184C">
              <w:rPr>
                <w:lang w:val="en-US"/>
              </w:rPr>
              <w:t>SC</w:t>
            </w:r>
          </w:p>
        </w:tc>
        <w:tc>
          <w:tcPr>
            <w:tcW w:w="3685" w:type="dxa"/>
            <w:tcBorders>
              <w:top w:val="nil"/>
            </w:tcBorders>
            <w:shd w:val="clear" w:color="auto" w:fill="auto"/>
          </w:tcPr>
          <w:p w14:paraId="4F49B76A" w14:textId="77777777" w:rsidR="00EA422B" w:rsidRPr="004C184C" w:rsidRDefault="00EA422B" w:rsidP="0051401F">
            <w:pPr>
              <w:keepNext/>
              <w:keepLines/>
              <w:suppressAutoHyphens w:val="0"/>
              <w:spacing w:before="40" w:after="120" w:line="220" w:lineRule="exact"/>
              <w:ind w:right="113"/>
              <w:rPr>
                <w:lang w:val="en-US"/>
              </w:rPr>
            </w:pPr>
            <w:r w:rsidRPr="004C184C">
              <w:rPr>
                <w:lang w:val="en-US"/>
              </w:rPr>
              <w:t>1st report</w:t>
            </w:r>
          </w:p>
        </w:tc>
        <w:tc>
          <w:tcPr>
            <w:tcW w:w="2126" w:type="dxa"/>
            <w:tcBorders>
              <w:top w:val="nil"/>
            </w:tcBorders>
            <w:shd w:val="clear" w:color="auto" w:fill="auto"/>
          </w:tcPr>
          <w:p w14:paraId="5A0E462E" w14:textId="77777777" w:rsidR="00EA422B" w:rsidRPr="004C184C" w:rsidRDefault="00EA422B" w:rsidP="0051401F">
            <w:pPr>
              <w:keepNext/>
              <w:keepLines/>
              <w:suppressAutoHyphens w:val="0"/>
              <w:spacing w:before="40" w:after="120" w:line="220" w:lineRule="exact"/>
              <w:ind w:right="113"/>
              <w:rPr>
                <w:lang w:val="en-US"/>
              </w:rPr>
            </w:pPr>
            <w:r w:rsidRPr="004C184C">
              <w:rPr>
                <w:lang w:val="en-US"/>
              </w:rPr>
              <w:t>30 October 2009</w:t>
            </w:r>
          </w:p>
        </w:tc>
      </w:tr>
      <w:tr w:rsidR="00EA422B" w:rsidRPr="004C184C" w14:paraId="5206B7C4" w14:textId="77777777" w:rsidTr="0045148E">
        <w:tc>
          <w:tcPr>
            <w:tcW w:w="1565" w:type="dxa"/>
            <w:shd w:val="clear" w:color="auto" w:fill="auto"/>
          </w:tcPr>
          <w:p w14:paraId="5CB79D1A" w14:textId="77777777" w:rsidR="00EA422B" w:rsidRPr="004C184C" w:rsidRDefault="00EA422B" w:rsidP="0051401F">
            <w:pPr>
              <w:keepNext/>
              <w:keepLines/>
              <w:suppressAutoHyphens w:val="0"/>
              <w:spacing w:before="40" w:after="120" w:line="220" w:lineRule="exact"/>
              <w:ind w:right="113"/>
              <w:rPr>
                <w:lang w:val="en-US"/>
              </w:rPr>
            </w:pPr>
            <w:r w:rsidRPr="004C184C">
              <w:rPr>
                <w:lang w:val="en-US"/>
              </w:rPr>
              <w:t>CRPD</w:t>
            </w:r>
          </w:p>
        </w:tc>
        <w:tc>
          <w:tcPr>
            <w:tcW w:w="3685" w:type="dxa"/>
            <w:shd w:val="clear" w:color="auto" w:fill="auto"/>
          </w:tcPr>
          <w:p w14:paraId="0B12E091" w14:textId="77777777" w:rsidR="00EA422B" w:rsidRPr="004C184C" w:rsidRDefault="00EA422B" w:rsidP="0051401F">
            <w:pPr>
              <w:keepNext/>
              <w:keepLines/>
              <w:suppressAutoHyphens w:val="0"/>
              <w:spacing w:before="40" w:after="120" w:line="220" w:lineRule="exact"/>
              <w:ind w:right="113"/>
              <w:rPr>
                <w:lang w:val="en-US"/>
              </w:rPr>
            </w:pPr>
            <w:r w:rsidRPr="004C184C">
              <w:rPr>
                <w:lang w:val="en-US"/>
              </w:rPr>
              <w:t xml:space="preserve">1st report </w:t>
            </w:r>
          </w:p>
        </w:tc>
        <w:tc>
          <w:tcPr>
            <w:tcW w:w="2126" w:type="dxa"/>
            <w:shd w:val="clear" w:color="auto" w:fill="auto"/>
          </w:tcPr>
          <w:p w14:paraId="6E3DC04A" w14:textId="77777777" w:rsidR="00EA422B" w:rsidRPr="004C184C" w:rsidRDefault="00EA422B" w:rsidP="0051401F">
            <w:pPr>
              <w:keepNext/>
              <w:keepLines/>
              <w:suppressAutoHyphens w:val="0"/>
              <w:spacing w:before="40" w:after="120" w:line="220" w:lineRule="exact"/>
              <w:ind w:right="113"/>
              <w:rPr>
                <w:lang w:val="en-US"/>
              </w:rPr>
            </w:pPr>
            <w:r w:rsidRPr="004C184C">
              <w:rPr>
                <w:lang w:val="en-US"/>
              </w:rPr>
              <w:t>3 December 2012</w:t>
            </w:r>
          </w:p>
        </w:tc>
      </w:tr>
    </w:tbl>
    <w:p w14:paraId="66C4AECC" w14:textId="3DDED174" w:rsidR="00EA422B" w:rsidRPr="004C184C" w:rsidRDefault="00EA422B" w:rsidP="0051401F">
      <w:pPr>
        <w:pStyle w:val="HChG"/>
        <w:rPr>
          <w:lang w:val="en-US"/>
        </w:rPr>
      </w:pPr>
      <w:r w:rsidRPr="004C184C">
        <w:rPr>
          <w:lang w:val="en-US"/>
        </w:rPr>
        <w:tab/>
      </w:r>
      <w:bookmarkStart w:id="25" w:name="_Toc89701540"/>
      <w:r w:rsidRPr="004C184C">
        <w:rPr>
          <w:lang w:val="en-US"/>
        </w:rPr>
        <w:t>III.</w:t>
      </w:r>
      <w:r w:rsidRPr="004C184C">
        <w:rPr>
          <w:lang w:val="en-US"/>
        </w:rPr>
        <w:tab/>
        <w:t>Implementation of substantive human rights provisions</w:t>
      </w:r>
      <w:bookmarkEnd w:id="25"/>
    </w:p>
    <w:p w14:paraId="2272A4B9" w14:textId="6CCDFC83" w:rsidR="00EA422B" w:rsidRPr="004C184C" w:rsidRDefault="00EA422B" w:rsidP="0051401F">
      <w:pPr>
        <w:pStyle w:val="H1G"/>
        <w:rPr>
          <w:lang w:val="en-US"/>
        </w:rPr>
      </w:pPr>
      <w:r w:rsidRPr="004C184C">
        <w:rPr>
          <w:lang w:val="en-US"/>
        </w:rPr>
        <w:tab/>
      </w:r>
      <w:bookmarkStart w:id="26" w:name="_Toc89701541"/>
      <w:r w:rsidRPr="004C184C">
        <w:rPr>
          <w:lang w:val="en-US"/>
        </w:rPr>
        <w:t>A.</w:t>
      </w:r>
      <w:r w:rsidRPr="004C184C">
        <w:rPr>
          <w:lang w:val="en-US"/>
        </w:rPr>
        <w:tab/>
        <w:t>Non</w:t>
      </w:r>
      <w:r w:rsidR="00185480" w:rsidRPr="004C184C">
        <w:rPr>
          <w:lang w:val="en-US"/>
        </w:rPr>
        <w:t>-</w:t>
      </w:r>
      <w:r w:rsidRPr="004C184C">
        <w:rPr>
          <w:lang w:val="en-US"/>
        </w:rPr>
        <w:t>discrimination and equality</w:t>
      </w:r>
      <w:bookmarkEnd w:id="26"/>
    </w:p>
    <w:p w14:paraId="2326142B" w14:textId="4DF2AD1F" w:rsidR="00EA422B" w:rsidRPr="004C184C" w:rsidRDefault="00EA422B" w:rsidP="0051401F">
      <w:pPr>
        <w:pStyle w:val="SingleTxtG"/>
        <w:rPr>
          <w:lang w:val="en-US"/>
        </w:rPr>
      </w:pPr>
      <w:r w:rsidRPr="004C184C">
        <w:rPr>
          <w:lang w:val="en-US"/>
        </w:rPr>
        <w:t>178.</w:t>
      </w:r>
      <w:r w:rsidRPr="004C184C">
        <w:rPr>
          <w:lang w:val="en-US"/>
        </w:rPr>
        <w:tab/>
        <w:t>The foremost safeguard against discrimination and inequality on all grounds is the Constitution</w:t>
      </w:r>
      <w:r w:rsidRPr="004C184C">
        <w:rPr>
          <w:cs/>
          <w:lang w:val="en-US"/>
        </w:rPr>
        <w:t xml:space="preserve">. </w:t>
      </w:r>
      <w:r w:rsidRPr="004C184C">
        <w:rPr>
          <w:lang w:val="en-US"/>
        </w:rPr>
        <w:t>The principle of non</w:t>
      </w:r>
      <w:r w:rsidR="00185480" w:rsidRPr="004C184C">
        <w:rPr>
          <w:lang w:val="en-US"/>
        </w:rPr>
        <w:t>-</w:t>
      </w:r>
      <w:r w:rsidRPr="004C184C">
        <w:rPr>
          <w:lang w:val="en-US"/>
        </w:rPr>
        <w:t>discrimination and equality is explicitly enshrined in the 2017 Constitution in four sections which are:</w:t>
      </w:r>
    </w:p>
    <w:p w14:paraId="06E069A0" w14:textId="77777777" w:rsidR="00EA422B" w:rsidRPr="004C184C" w:rsidRDefault="00EA422B" w:rsidP="0095393D">
      <w:pPr>
        <w:pStyle w:val="SingleTxtG"/>
        <w:ind w:left="1701"/>
        <w:rPr>
          <w:lang w:val="en-US"/>
        </w:rPr>
      </w:pPr>
      <w:proofErr w:type="spellStart"/>
      <w:r w:rsidRPr="004C184C">
        <w:rPr>
          <w:lang w:val="en-US"/>
        </w:rPr>
        <w:t>i</w:t>
      </w:r>
      <w:proofErr w:type="spellEnd"/>
      <w:r w:rsidRPr="004C184C">
        <w:rPr>
          <w:lang w:val="en-US"/>
        </w:rPr>
        <w:t>.</w:t>
      </w:r>
      <w:r w:rsidRPr="004C184C">
        <w:rPr>
          <w:lang w:val="en-US"/>
        </w:rPr>
        <w:tab/>
        <w:t>Section 27</w:t>
      </w:r>
    </w:p>
    <w:p w14:paraId="6A40D4D9" w14:textId="02AEEA81" w:rsidR="00EA422B" w:rsidRPr="004C184C" w:rsidRDefault="00201CDE" w:rsidP="0051401F">
      <w:pPr>
        <w:pStyle w:val="SingleTxtG"/>
        <w:rPr>
          <w:lang w:val="en-US"/>
        </w:rPr>
      </w:pPr>
      <w:r w:rsidRPr="004C184C">
        <w:rPr>
          <w:lang w:val="en-US"/>
        </w:rPr>
        <w:tab/>
      </w:r>
      <w:r w:rsidR="00567EA4" w:rsidRPr="004C184C">
        <w:rPr>
          <w:lang w:val="en-US"/>
        </w:rPr>
        <w:t>“</w:t>
      </w:r>
      <w:r w:rsidR="00EA422B" w:rsidRPr="004C184C">
        <w:rPr>
          <w:lang w:val="en-US"/>
        </w:rPr>
        <w:t>All persons are equal before the law and shall have rights and liberties and be protected equally under the law</w:t>
      </w:r>
      <w:r w:rsidR="00EA422B" w:rsidRPr="004C184C">
        <w:rPr>
          <w:cs/>
          <w:lang w:val="en-US"/>
        </w:rPr>
        <w:t xml:space="preserve">. </w:t>
      </w:r>
    </w:p>
    <w:p w14:paraId="54326BBD" w14:textId="096F2F85" w:rsidR="00EA422B" w:rsidRPr="004C184C" w:rsidRDefault="00201CDE" w:rsidP="0051401F">
      <w:pPr>
        <w:pStyle w:val="SingleTxtG"/>
        <w:rPr>
          <w:lang w:val="en-US"/>
        </w:rPr>
      </w:pPr>
      <w:r w:rsidRPr="004C184C">
        <w:rPr>
          <w:lang w:val="en-US"/>
        </w:rPr>
        <w:tab/>
      </w:r>
      <w:r w:rsidR="00567EA4" w:rsidRPr="004C184C">
        <w:rPr>
          <w:lang w:val="en-US"/>
        </w:rPr>
        <w:t>“</w:t>
      </w:r>
      <w:r w:rsidR="00EA422B" w:rsidRPr="004C184C">
        <w:rPr>
          <w:lang w:val="en-US"/>
        </w:rPr>
        <w:t>Men and women shall enjoy equal rights</w:t>
      </w:r>
      <w:r w:rsidR="00EA422B" w:rsidRPr="004C184C">
        <w:rPr>
          <w:cs/>
          <w:lang w:val="en-US"/>
        </w:rPr>
        <w:t>.</w:t>
      </w:r>
    </w:p>
    <w:p w14:paraId="2D5C0282" w14:textId="5B635705" w:rsidR="00EA422B" w:rsidRPr="004C184C" w:rsidRDefault="00201CDE" w:rsidP="0051401F">
      <w:pPr>
        <w:pStyle w:val="SingleTxtG"/>
        <w:rPr>
          <w:lang w:val="en-US"/>
        </w:rPr>
      </w:pPr>
      <w:r w:rsidRPr="004C184C">
        <w:rPr>
          <w:lang w:val="en-US"/>
        </w:rPr>
        <w:tab/>
      </w:r>
      <w:r w:rsidR="00567EA4" w:rsidRPr="004C184C">
        <w:rPr>
          <w:lang w:val="en-US"/>
        </w:rPr>
        <w:t>“</w:t>
      </w:r>
      <w:r w:rsidR="00EA422B" w:rsidRPr="004C184C">
        <w:rPr>
          <w:lang w:val="en-US"/>
        </w:rPr>
        <w:t>Unjust discrimination against a person on the grounds of differences in origin, race, language, sex, age, disability, physical or health condition, personal status, economic and social standing, religious belief, education or political view which is not contrary to the provisions of the Constitution, or on any other grounds shall not be permitted</w:t>
      </w:r>
      <w:r w:rsidR="00EA422B" w:rsidRPr="004C184C">
        <w:rPr>
          <w:cs/>
          <w:lang w:val="en-US"/>
        </w:rPr>
        <w:t>.</w:t>
      </w:r>
    </w:p>
    <w:p w14:paraId="3DD90EB1" w14:textId="794235EF" w:rsidR="00EA422B" w:rsidRPr="004C184C" w:rsidRDefault="00201CDE" w:rsidP="0051401F">
      <w:pPr>
        <w:pStyle w:val="SingleTxtG"/>
        <w:rPr>
          <w:lang w:val="en-US"/>
        </w:rPr>
      </w:pPr>
      <w:r w:rsidRPr="004C184C">
        <w:rPr>
          <w:lang w:val="en-US"/>
        </w:rPr>
        <w:tab/>
      </w:r>
      <w:r w:rsidR="00567EA4" w:rsidRPr="004C184C">
        <w:rPr>
          <w:lang w:val="en-US"/>
        </w:rPr>
        <w:t>“</w:t>
      </w:r>
      <w:r w:rsidR="00EA422B" w:rsidRPr="004C184C">
        <w:rPr>
          <w:lang w:val="en-US"/>
        </w:rPr>
        <w:t>Measures determined by the State in order to eliminate an obstacle to or to promote persons</w:t>
      </w:r>
      <w:r w:rsidR="00567EA4" w:rsidRPr="004C184C">
        <w:rPr>
          <w:lang w:val="en-US"/>
        </w:rPr>
        <w:t>’</w:t>
      </w:r>
      <w:r w:rsidR="00EA422B" w:rsidRPr="004C184C">
        <w:rPr>
          <w:cs/>
          <w:lang w:val="en-US"/>
        </w:rPr>
        <w:t xml:space="preserve"> </w:t>
      </w:r>
      <w:r w:rsidR="00EA422B" w:rsidRPr="004C184C">
        <w:rPr>
          <w:lang w:val="en-US"/>
        </w:rPr>
        <w:t>ability to exercise their rights or liberties on the same basis as other person or to protect or facilitate children, women, the elderly, persons with disabilities or underprivileged persons shall not be deemed as unjust discrimination under paragraph three</w:t>
      </w:r>
      <w:r w:rsidR="00EA422B" w:rsidRPr="004C184C">
        <w:rPr>
          <w:cs/>
          <w:lang w:val="en-US"/>
        </w:rPr>
        <w:t>.</w:t>
      </w:r>
    </w:p>
    <w:p w14:paraId="4B15717E" w14:textId="58ADADBD" w:rsidR="00EA422B" w:rsidRPr="004C184C" w:rsidRDefault="00201CDE" w:rsidP="0051401F">
      <w:pPr>
        <w:pStyle w:val="SingleTxtG"/>
        <w:rPr>
          <w:lang w:val="en-US"/>
        </w:rPr>
      </w:pPr>
      <w:r w:rsidRPr="004C184C">
        <w:rPr>
          <w:lang w:val="en-US"/>
        </w:rPr>
        <w:tab/>
      </w:r>
      <w:r w:rsidR="00567EA4" w:rsidRPr="004C184C">
        <w:rPr>
          <w:lang w:val="en-US"/>
        </w:rPr>
        <w:t>“</w:t>
      </w:r>
      <w:r w:rsidR="00EA422B" w:rsidRPr="004C184C">
        <w:rPr>
          <w:lang w:val="en-US"/>
        </w:rPr>
        <w:t>Members of the armed forces, police force, government officials, other officials of the State, officers or employees of State organizations shall enjoy the same rights and liberties as those enjoyed by other persons, except those restricted by law specifically in relation to politics, capacities, disciplines or ethics</w:t>
      </w:r>
      <w:r w:rsidR="00EA422B" w:rsidRPr="004C184C">
        <w:rPr>
          <w:cs/>
          <w:lang w:val="en-US"/>
        </w:rPr>
        <w:t>.”</w:t>
      </w:r>
    </w:p>
    <w:p w14:paraId="10AFDCC5" w14:textId="77777777" w:rsidR="00EA422B" w:rsidRPr="004C184C" w:rsidRDefault="00EA422B" w:rsidP="0095393D">
      <w:pPr>
        <w:pStyle w:val="SingleTxtG"/>
        <w:ind w:left="1701"/>
        <w:rPr>
          <w:lang w:val="en-US"/>
        </w:rPr>
      </w:pPr>
      <w:r w:rsidRPr="004C184C">
        <w:rPr>
          <w:lang w:val="en-US"/>
        </w:rPr>
        <w:t>ii.</w:t>
      </w:r>
      <w:r w:rsidRPr="004C184C">
        <w:rPr>
          <w:lang w:val="en-US"/>
        </w:rPr>
        <w:tab/>
        <w:t>Section 40, Paragraph 3</w:t>
      </w:r>
    </w:p>
    <w:p w14:paraId="45B53DEB" w14:textId="03FD36CB" w:rsidR="00EA422B" w:rsidRPr="004C184C" w:rsidRDefault="00201CDE" w:rsidP="0051401F">
      <w:pPr>
        <w:pStyle w:val="SingleTxtG"/>
        <w:rPr>
          <w:lang w:val="en-US"/>
        </w:rPr>
      </w:pPr>
      <w:r w:rsidRPr="004C184C">
        <w:rPr>
          <w:lang w:val="en-US"/>
        </w:rPr>
        <w:tab/>
      </w:r>
      <w:r w:rsidR="00567EA4" w:rsidRPr="004C184C">
        <w:rPr>
          <w:lang w:val="en-US"/>
        </w:rPr>
        <w:t>“</w:t>
      </w:r>
      <w:r w:rsidR="00EA422B" w:rsidRPr="004C184C">
        <w:rPr>
          <w:lang w:val="en-US"/>
        </w:rPr>
        <w:t>Enactment of the law to regulate the engagement of occupation</w:t>
      </w:r>
      <w:r w:rsidR="00EA422B" w:rsidRPr="004C184C">
        <w:rPr>
          <w:cs/>
          <w:lang w:val="en-US"/>
        </w:rPr>
        <w:t>…</w:t>
      </w:r>
      <w:r w:rsidR="00EA422B" w:rsidRPr="004C184C">
        <w:rPr>
          <w:lang w:val="en-US"/>
        </w:rPr>
        <w:t xml:space="preserve"> shall not be in a manner of discrimination…</w:t>
      </w:r>
      <w:r w:rsidR="00567EA4" w:rsidRPr="004C184C">
        <w:rPr>
          <w:lang w:val="en-US"/>
        </w:rPr>
        <w:t>”</w:t>
      </w:r>
    </w:p>
    <w:p w14:paraId="55153DBB" w14:textId="77777777" w:rsidR="00EA422B" w:rsidRPr="004C184C" w:rsidRDefault="00EA422B" w:rsidP="0095393D">
      <w:pPr>
        <w:pStyle w:val="SingleTxtG"/>
        <w:ind w:left="1701"/>
        <w:rPr>
          <w:lang w:val="en-US"/>
        </w:rPr>
      </w:pPr>
      <w:r w:rsidRPr="004C184C">
        <w:rPr>
          <w:lang w:val="en-US"/>
        </w:rPr>
        <w:t>iii.</w:t>
      </w:r>
      <w:r w:rsidRPr="004C184C">
        <w:rPr>
          <w:lang w:val="en-US"/>
        </w:rPr>
        <w:tab/>
        <w:t>Section 68, Paragraph 1</w:t>
      </w:r>
    </w:p>
    <w:p w14:paraId="2AEE1536" w14:textId="3D744077" w:rsidR="00EA422B" w:rsidRPr="004C184C" w:rsidRDefault="00201CDE" w:rsidP="0051401F">
      <w:pPr>
        <w:pStyle w:val="SingleTxtG"/>
        <w:rPr>
          <w:lang w:val="en-US"/>
        </w:rPr>
      </w:pPr>
      <w:r w:rsidRPr="004C184C">
        <w:rPr>
          <w:lang w:val="en-US"/>
        </w:rPr>
        <w:tab/>
      </w:r>
      <w:r w:rsidR="00567EA4" w:rsidRPr="004C184C">
        <w:rPr>
          <w:lang w:val="en-US"/>
        </w:rPr>
        <w:t>“</w:t>
      </w:r>
      <w:r w:rsidR="00EA422B" w:rsidRPr="004C184C">
        <w:rPr>
          <w:lang w:val="en-US"/>
        </w:rPr>
        <w:t xml:space="preserve">The State should </w:t>
      </w:r>
      <w:proofErr w:type="spellStart"/>
      <w:r w:rsidR="00EA422B" w:rsidRPr="004C184C">
        <w:rPr>
          <w:lang w:val="en-US"/>
        </w:rPr>
        <w:t>organise</w:t>
      </w:r>
      <w:proofErr w:type="spellEnd"/>
      <w:r w:rsidR="00EA422B" w:rsidRPr="004C184C">
        <w:rPr>
          <w:lang w:val="en-US"/>
        </w:rPr>
        <w:t xml:space="preserve"> a management system for the justice process in every aspect to ensure efficiency, fairness and non</w:t>
      </w:r>
      <w:r w:rsidR="00185480" w:rsidRPr="004C184C">
        <w:rPr>
          <w:lang w:val="en-US"/>
        </w:rPr>
        <w:t>-</w:t>
      </w:r>
      <w:r w:rsidR="00EA422B" w:rsidRPr="004C184C">
        <w:rPr>
          <w:lang w:val="en-US"/>
        </w:rPr>
        <w:t>discrimination and shall ensure that the people have access to justice process in a convenient and swift manner without delay and do not have to bear excessive expenses</w:t>
      </w:r>
      <w:r w:rsidR="00EA422B" w:rsidRPr="004C184C">
        <w:rPr>
          <w:cs/>
          <w:lang w:val="en-US"/>
        </w:rPr>
        <w:t>.</w:t>
      </w:r>
      <w:r w:rsidR="00567EA4" w:rsidRPr="004C184C">
        <w:rPr>
          <w:lang w:val="en-US"/>
        </w:rPr>
        <w:t>”</w:t>
      </w:r>
    </w:p>
    <w:p w14:paraId="0AB09023" w14:textId="77777777" w:rsidR="00EA422B" w:rsidRPr="004C184C" w:rsidRDefault="00EA422B" w:rsidP="0095393D">
      <w:pPr>
        <w:pStyle w:val="SingleTxtG"/>
        <w:ind w:left="1701"/>
        <w:rPr>
          <w:lang w:val="en-US"/>
        </w:rPr>
      </w:pPr>
      <w:r w:rsidRPr="004C184C">
        <w:rPr>
          <w:lang w:val="en-US"/>
        </w:rPr>
        <w:t>iv.</w:t>
      </w:r>
      <w:r w:rsidRPr="004C184C">
        <w:rPr>
          <w:lang w:val="en-US"/>
        </w:rPr>
        <w:tab/>
        <w:t>Section 76</w:t>
      </w:r>
    </w:p>
    <w:p w14:paraId="32964830" w14:textId="562B5D6B" w:rsidR="00EA422B" w:rsidRPr="004C184C" w:rsidRDefault="00201CDE" w:rsidP="0051401F">
      <w:pPr>
        <w:pStyle w:val="SingleTxtG"/>
        <w:rPr>
          <w:lang w:val="en-US"/>
        </w:rPr>
      </w:pPr>
      <w:r w:rsidRPr="004C184C">
        <w:rPr>
          <w:lang w:val="en-US"/>
        </w:rPr>
        <w:tab/>
      </w:r>
      <w:r w:rsidR="00567EA4" w:rsidRPr="004C184C">
        <w:rPr>
          <w:lang w:val="en-US"/>
        </w:rPr>
        <w:t>“</w:t>
      </w:r>
      <w:r w:rsidR="00EA422B" w:rsidRPr="004C184C">
        <w:rPr>
          <w:lang w:val="en-US"/>
        </w:rPr>
        <w:t xml:space="preserve">The State should develop a system of administration of State affairs of central, regional and local administrations, as well as other State affairs in accordance with the principles of good public governance, provided that State agencies shall cooperate with and assist each other in performing duties, with a view to </w:t>
      </w:r>
      <w:proofErr w:type="spellStart"/>
      <w:r w:rsidR="00EA422B" w:rsidRPr="004C184C">
        <w:rPr>
          <w:lang w:val="en-US"/>
        </w:rPr>
        <w:t>maximising</w:t>
      </w:r>
      <w:proofErr w:type="spellEnd"/>
      <w:r w:rsidR="00EA422B" w:rsidRPr="004C184C">
        <w:rPr>
          <w:lang w:val="en-US"/>
        </w:rPr>
        <w:t>, for the benefit of the people, the efficiency of the administration of State affairs, provision of public services and expenditure of budget</w:t>
      </w:r>
      <w:r w:rsidR="00EA422B" w:rsidRPr="004C184C">
        <w:rPr>
          <w:cs/>
          <w:lang w:val="en-US"/>
        </w:rPr>
        <w:t xml:space="preserve">. </w:t>
      </w:r>
      <w:r w:rsidR="00EA422B" w:rsidRPr="004C184C">
        <w:rPr>
          <w:lang w:val="en-US"/>
        </w:rPr>
        <w:t>The State should also develop State officials to have integrity and to have an attitude of serving the public in an expedient, expeditious and non</w:t>
      </w:r>
      <w:r w:rsidR="00185480" w:rsidRPr="004C184C">
        <w:rPr>
          <w:lang w:val="en-US"/>
        </w:rPr>
        <w:t>-</w:t>
      </w:r>
      <w:r w:rsidR="00EA422B" w:rsidRPr="004C184C">
        <w:rPr>
          <w:lang w:val="en-US"/>
        </w:rPr>
        <w:t>discriminatory manner as well as performing duties efficiently</w:t>
      </w:r>
      <w:r w:rsidR="00EA422B" w:rsidRPr="004C184C">
        <w:rPr>
          <w:cs/>
          <w:lang w:val="en-US"/>
        </w:rPr>
        <w:t>.”</w:t>
      </w:r>
    </w:p>
    <w:p w14:paraId="4A5C1920" w14:textId="4EE293AE" w:rsidR="00EA422B" w:rsidRPr="004C184C" w:rsidRDefault="00EA422B" w:rsidP="0051401F">
      <w:pPr>
        <w:pStyle w:val="SingleTxtG"/>
        <w:rPr>
          <w:lang w:val="en-US"/>
        </w:rPr>
      </w:pPr>
      <w:r w:rsidRPr="004C184C">
        <w:rPr>
          <w:lang w:val="en-US"/>
        </w:rPr>
        <w:t>179.</w:t>
      </w:r>
      <w:r w:rsidRPr="004C184C">
        <w:rPr>
          <w:lang w:val="en-US"/>
        </w:rPr>
        <w:tab/>
        <w:t>Thailand has made continued efforts to enable all, including those in vulnerable situations, such as children, women, persons with disabilities, older persons,</w:t>
      </w:r>
      <w:r w:rsidRPr="004C184C">
        <w:rPr>
          <w:cs/>
          <w:lang w:val="en-US"/>
        </w:rPr>
        <w:t xml:space="preserve"> </w:t>
      </w:r>
      <w:r w:rsidRPr="004C184C">
        <w:rPr>
          <w:lang w:val="en-US"/>
        </w:rPr>
        <w:t>ethnic minorities, to access and exercise their rights on equal terms with others. For example, the Protection of Vulnerable Persons Act of 2014 provides better protection, including provisions of social welfare, shelters, health care, education and job opportunities,</w:t>
      </w:r>
      <w:r w:rsidRPr="004C184C">
        <w:rPr>
          <w:cs/>
          <w:lang w:val="en-US"/>
        </w:rPr>
        <w:t xml:space="preserve"> </w:t>
      </w:r>
      <w:r w:rsidRPr="004C184C">
        <w:rPr>
          <w:lang w:val="en-US"/>
        </w:rPr>
        <w:t xml:space="preserve">to persons who are </w:t>
      </w:r>
      <w:r w:rsidRPr="004C184C">
        <w:rPr>
          <w:lang w:val="en-US"/>
        </w:rPr>
        <w:lastRenderedPageBreak/>
        <w:t>homeless, living in poverty or in difficult conditions.</w:t>
      </w:r>
      <w:r w:rsidRPr="004C184C">
        <w:rPr>
          <w:cs/>
          <w:lang w:val="en-US"/>
        </w:rPr>
        <w:t xml:space="preserve"> </w:t>
      </w:r>
      <w:r w:rsidRPr="004C184C">
        <w:rPr>
          <w:lang w:val="en-US"/>
        </w:rPr>
        <w:t>In addition, the Government has introduced the Welfare Card Scheme, which has benefitted over 11 million registered low</w:t>
      </w:r>
      <w:r w:rsidR="00185480" w:rsidRPr="004C184C">
        <w:rPr>
          <w:lang w:val="en-US"/>
        </w:rPr>
        <w:t>-</w:t>
      </w:r>
      <w:r w:rsidRPr="004C184C">
        <w:rPr>
          <w:lang w:val="en-US"/>
        </w:rPr>
        <w:t>income earners. Further relevant laws, policies, and programs indicating Thailand</w:t>
      </w:r>
      <w:r w:rsidR="00567EA4" w:rsidRPr="004C184C">
        <w:rPr>
          <w:lang w:val="en-US"/>
        </w:rPr>
        <w:t>’</w:t>
      </w:r>
      <w:r w:rsidRPr="004C184C">
        <w:rPr>
          <w:lang w:val="en-US"/>
        </w:rPr>
        <w:t>s efforts to eliminate discrimination and inequality are described in paragraphs 57, 62–74, 82–136, and 141–165.</w:t>
      </w:r>
    </w:p>
    <w:p w14:paraId="4A3CC999" w14:textId="77777777" w:rsidR="00EA422B" w:rsidRPr="004C184C" w:rsidRDefault="00EA422B" w:rsidP="0095393D">
      <w:pPr>
        <w:pStyle w:val="H1G"/>
        <w:rPr>
          <w:lang w:val="en-US"/>
        </w:rPr>
      </w:pPr>
      <w:r w:rsidRPr="004C184C">
        <w:rPr>
          <w:lang w:val="en-US"/>
        </w:rPr>
        <w:tab/>
      </w:r>
      <w:bookmarkStart w:id="27" w:name="_Toc89701542"/>
      <w:r w:rsidRPr="004C184C">
        <w:rPr>
          <w:lang w:val="en-US"/>
        </w:rPr>
        <w:t>B.</w:t>
      </w:r>
      <w:r w:rsidRPr="004C184C">
        <w:rPr>
          <w:lang w:val="en-US"/>
        </w:rPr>
        <w:tab/>
        <w:t>Effective remedies</w:t>
      </w:r>
      <w:bookmarkEnd w:id="27"/>
    </w:p>
    <w:p w14:paraId="190EDEC8" w14:textId="468B96C9" w:rsidR="00EA422B" w:rsidRPr="004C184C" w:rsidRDefault="00EA422B" w:rsidP="0095393D">
      <w:pPr>
        <w:pStyle w:val="SingleTxtG"/>
        <w:rPr>
          <w:lang w:val="en-US"/>
        </w:rPr>
      </w:pPr>
      <w:r w:rsidRPr="004C184C">
        <w:rPr>
          <w:lang w:val="en-US"/>
        </w:rPr>
        <w:t>180.</w:t>
      </w:r>
      <w:r w:rsidRPr="004C184C">
        <w:rPr>
          <w:lang w:val="en-US"/>
        </w:rPr>
        <w:tab/>
        <w:t>Information on Thailand</w:t>
      </w:r>
      <w:r w:rsidR="00567EA4" w:rsidRPr="004C184C">
        <w:rPr>
          <w:lang w:val="en-US"/>
        </w:rPr>
        <w:t>’</w:t>
      </w:r>
      <w:r w:rsidRPr="004C184C">
        <w:rPr>
          <w:lang w:val="en-US"/>
        </w:rPr>
        <w:t>s effective remedies that are available can be found in paragraphs 69–71.</w:t>
      </w:r>
    </w:p>
    <w:p w14:paraId="6A855D38" w14:textId="77777777" w:rsidR="00EA422B" w:rsidRPr="004C184C" w:rsidRDefault="00EA422B" w:rsidP="0095393D">
      <w:pPr>
        <w:pStyle w:val="H1G"/>
        <w:rPr>
          <w:lang w:val="en-US"/>
        </w:rPr>
      </w:pPr>
      <w:r w:rsidRPr="004C184C">
        <w:rPr>
          <w:lang w:val="en-US"/>
        </w:rPr>
        <w:tab/>
      </w:r>
      <w:bookmarkStart w:id="28" w:name="_Toc89701543"/>
      <w:r w:rsidRPr="004C184C">
        <w:rPr>
          <w:lang w:val="en-US"/>
        </w:rPr>
        <w:t>C.</w:t>
      </w:r>
      <w:r w:rsidRPr="004C184C">
        <w:rPr>
          <w:lang w:val="en-US"/>
        </w:rPr>
        <w:tab/>
        <w:t>Procedural guarantees</w:t>
      </w:r>
      <w:bookmarkEnd w:id="28"/>
    </w:p>
    <w:p w14:paraId="195620E3" w14:textId="77777777" w:rsidR="00EA422B" w:rsidRPr="004C184C" w:rsidRDefault="00EA422B" w:rsidP="0095393D">
      <w:pPr>
        <w:pStyle w:val="SingleTxtG"/>
        <w:rPr>
          <w:lang w:val="en-US"/>
        </w:rPr>
      </w:pPr>
      <w:r w:rsidRPr="004C184C">
        <w:rPr>
          <w:lang w:val="en-US"/>
        </w:rPr>
        <w:t>181.</w:t>
      </w:r>
      <w:r w:rsidRPr="004C184C">
        <w:rPr>
          <w:lang w:val="en-US"/>
        </w:rPr>
        <w:tab/>
        <w:t>Thailand has placed efforts in ensuring that everyone, particularly those in vulnerable situations, has</w:t>
      </w:r>
      <w:r w:rsidRPr="004C184C">
        <w:rPr>
          <w:cs/>
          <w:lang w:val="en-US"/>
        </w:rPr>
        <w:t xml:space="preserve"> </w:t>
      </w:r>
      <w:r w:rsidRPr="004C184C">
        <w:rPr>
          <w:lang w:val="en-US"/>
        </w:rPr>
        <w:t>equal access to justice (see paragraphs 62–68)</w:t>
      </w:r>
      <w:r w:rsidRPr="004C184C">
        <w:rPr>
          <w:cs/>
          <w:lang w:val="en-US"/>
        </w:rPr>
        <w:t xml:space="preserve">. </w:t>
      </w:r>
      <w:r w:rsidRPr="004C184C">
        <w:rPr>
          <w:lang w:val="en-US"/>
        </w:rPr>
        <w:t>It guarantees free lawyers and legal consultations to all people, regardless of their financial status or nationality. In addition, the newly enacted Justice Fund Act of 2015</w:t>
      </w:r>
      <w:r w:rsidRPr="004C184C">
        <w:rPr>
          <w:cs/>
          <w:lang w:val="en-US"/>
        </w:rPr>
        <w:t xml:space="preserve"> </w:t>
      </w:r>
      <w:r w:rsidRPr="004C184C">
        <w:rPr>
          <w:lang w:val="en-US"/>
        </w:rPr>
        <w:t>aims to reduce social disparity, as described in paragraph 64</w:t>
      </w:r>
      <w:r w:rsidRPr="004C184C">
        <w:rPr>
          <w:cs/>
          <w:lang w:val="en-US"/>
        </w:rPr>
        <w:t xml:space="preserve">. </w:t>
      </w:r>
    </w:p>
    <w:p w14:paraId="18385B64" w14:textId="77777777" w:rsidR="00EA422B" w:rsidRPr="004C184C" w:rsidRDefault="00EA422B" w:rsidP="0095393D">
      <w:pPr>
        <w:pStyle w:val="SingleTxtG"/>
        <w:rPr>
          <w:lang w:val="en-US"/>
        </w:rPr>
      </w:pPr>
      <w:r w:rsidRPr="004C184C">
        <w:rPr>
          <w:lang w:val="en-US"/>
        </w:rPr>
        <w:t>182.</w:t>
      </w:r>
      <w:r w:rsidRPr="004C184C">
        <w:rPr>
          <w:lang w:val="en-US"/>
        </w:rPr>
        <w:tab/>
        <w:t>Regarding the criminal justice system, if a case is prosecuted, the court will hear the case fairly and without discrimination, regardless of the status of the defendant and plaintiff and whether they are stateless or have unclear legal status</w:t>
      </w:r>
      <w:r w:rsidRPr="004C184C">
        <w:rPr>
          <w:cs/>
          <w:lang w:val="en-US"/>
        </w:rPr>
        <w:t xml:space="preserve">. </w:t>
      </w:r>
      <w:r w:rsidRPr="004C184C">
        <w:rPr>
          <w:lang w:val="en-US"/>
        </w:rPr>
        <w:t>There are a number of Thai NGOs and international organizations ready to provide assistance during the trial by working closely and independently with the victims, free from any intervention and obstruction from the State</w:t>
      </w:r>
      <w:r w:rsidRPr="004C184C">
        <w:rPr>
          <w:cs/>
          <w:lang w:val="en-US"/>
        </w:rPr>
        <w:t>.</w:t>
      </w:r>
    </w:p>
    <w:p w14:paraId="4516C446" w14:textId="77777777" w:rsidR="00EA422B" w:rsidRPr="004C184C" w:rsidRDefault="00EA422B" w:rsidP="0095393D">
      <w:pPr>
        <w:pStyle w:val="H1G"/>
        <w:rPr>
          <w:lang w:val="en-US"/>
        </w:rPr>
      </w:pPr>
      <w:r w:rsidRPr="004C184C">
        <w:rPr>
          <w:lang w:val="en-US"/>
        </w:rPr>
        <w:tab/>
      </w:r>
      <w:bookmarkStart w:id="29" w:name="_Toc89701544"/>
      <w:r w:rsidRPr="004C184C">
        <w:rPr>
          <w:lang w:val="en-US"/>
        </w:rPr>
        <w:t>D.</w:t>
      </w:r>
      <w:r w:rsidRPr="004C184C">
        <w:rPr>
          <w:lang w:val="en-US"/>
        </w:rPr>
        <w:tab/>
        <w:t>Participation in public life</w:t>
      </w:r>
      <w:bookmarkEnd w:id="29"/>
    </w:p>
    <w:p w14:paraId="15748D12" w14:textId="76D50A59" w:rsidR="00EA422B" w:rsidRPr="004C184C" w:rsidRDefault="00EA422B" w:rsidP="0095393D">
      <w:pPr>
        <w:pStyle w:val="SingleTxtG"/>
        <w:rPr>
          <w:lang w:val="en-US"/>
        </w:rPr>
      </w:pPr>
      <w:r w:rsidRPr="004C184C">
        <w:rPr>
          <w:lang w:val="en-US"/>
        </w:rPr>
        <w:t>183.</w:t>
      </w:r>
      <w:r w:rsidRPr="004C184C">
        <w:rPr>
          <w:lang w:val="en-US"/>
        </w:rPr>
        <w:tab/>
        <w:t>Information on the Nationality Act, as well as related conditions in applying for Thai nationality is mentioned in paragraphs 132–133.</w:t>
      </w:r>
    </w:p>
    <w:p w14:paraId="3354A4A3" w14:textId="77777777" w:rsidR="00EA422B" w:rsidRPr="004C184C" w:rsidRDefault="00EA422B" w:rsidP="0095393D">
      <w:pPr>
        <w:pStyle w:val="SingleTxtG"/>
        <w:rPr>
          <w:lang w:val="en-US"/>
        </w:rPr>
      </w:pPr>
      <w:r w:rsidRPr="004C184C">
        <w:rPr>
          <w:lang w:val="en-US"/>
        </w:rPr>
        <w:t>184.</w:t>
      </w:r>
      <w:r w:rsidRPr="004C184C">
        <w:rPr>
          <w:lang w:val="en-US"/>
        </w:rPr>
        <w:tab/>
        <w:t>Information on the electoral system in Thailand appears in paragraphs 57–59.</w:t>
      </w:r>
    </w:p>
    <w:p w14:paraId="513CC46D" w14:textId="460684A9" w:rsidR="00EA422B" w:rsidRPr="004C184C" w:rsidRDefault="00EA422B" w:rsidP="0095393D">
      <w:pPr>
        <w:pStyle w:val="SingleTxtG"/>
        <w:rPr>
          <w:cs/>
          <w:lang w:val="en-US"/>
        </w:rPr>
      </w:pPr>
      <w:r w:rsidRPr="004C184C">
        <w:rPr>
          <w:lang w:val="en-US"/>
        </w:rPr>
        <w:t>185.</w:t>
      </w:r>
      <w:r w:rsidRPr="004C184C">
        <w:rPr>
          <w:lang w:val="en-US"/>
        </w:rPr>
        <w:tab/>
        <w:t>Thailand has a very active civil society (see paragraphs 160–164). The Government has closely collaborated with and recognized the work of civil society organizations including media, as part of the public and political life of the country</w:t>
      </w:r>
      <w:r w:rsidRPr="004C184C">
        <w:rPr>
          <w:cs/>
          <w:lang w:val="en-US"/>
        </w:rPr>
        <w:t>.</w:t>
      </w:r>
    </w:p>
    <w:p w14:paraId="031C2715" w14:textId="6E37FEF4" w:rsidR="004D2454" w:rsidRDefault="0095393D" w:rsidP="0095393D">
      <w:pPr>
        <w:spacing w:before="240"/>
        <w:jc w:val="center"/>
        <w:rPr>
          <w:u w:val="single"/>
          <w:lang w:val="en-US"/>
        </w:rPr>
      </w:pPr>
      <w:r w:rsidRPr="004C184C">
        <w:rPr>
          <w:u w:val="single"/>
          <w:lang w:val="en-US"/>
        </w:rPr>
        <w:tab/>
      </w:r>
      <w:r w:rsidRPr="004C184C">
        <w:rPr>
          <w:u w:val="single"/>
          <w:lang w:val="en-US"/>
        </w:rPr>
        <w:tab/>
      </w:r>
      <w:r w:rsidRPr="004C184C">
        <w:rPr>
          <w:u w:val="single"/>
          <w:lang w:val="en-US"/>
        </w:rPr>
        <w:tab/>
      </w:r>
    </w:p>
    <w:sectPr w:rsidR="004D2454" w:rsidSect="006C5DD3">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71DFA" w14:textId="77777777" w:rsidR="00AD1EF6" w:rsidRDefault="00AD1EF6"/>
  </w:endnote>
  <w:endnote w:type="continuationSeparator" w:id="0">
    <w:p w14:paraId="3EE08F64" w14:textId="77777777" w:rsidR="00AD1EF6" w:rsidRDefault="00AD1EF6"/>
  </w:endnote>
  <w:endnote w:type="continuationNotice" w:id="1">
    <w:p w14:paraId="6C30E6D0" w14:textId="77777777" w:rsidR="00AD1EF6" w:rsidRDefault="00AD1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01000001"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609A" w14:textId="48F721FC" w:rsidR="00AD1EF6" w:rsidRDefault="00AD1EF6" w:rsidP="00EA422B">
    <w:pPr>
      <w:pStyle w:val="Footer"/>
      <w:tabs>
        <w:tab w:val="right" w:pos="9638"/>
      </w:tabs>
    </w:pPr>
    <w:r w:rsidRPr="00EA422B">
      <w:rPr>
        <w:b/>
        <w:bCs/>
        <w:sz w:val="18"/>
      </w:rPr>
      <w:fldChar w:fldCharType="begin"/>
    </w:r>
    <w:r w:rsidRPr="00EA422B">
      <w:rPr>
        <w:b/>
        <w:bCs/>
        <w:sz w:val="18"/>
      </w:rPr>
      <w:instrText xml:space="preserve"> PAGE  \* MERGEFORMAT </w:instrText>
    </w:r>
    <w:r w:rsidRPr="00EA422B">
      <w:rPr>
        <w:b/>
        <w:bCs/>
        <w:sz w:val="18"/>
      </w:rPr>
      <w:fldChar w:fldCharType="separate"/>
    </w:r>
    <w:r>
      <w:rPr>
        <w:b/>
        <w:bCs/>
        <w:noProof/>
        <w:sz w:val="18"/>
      </w:rPr>
      <w:t>20</w:t>
    </w:r>
    <w:r w:rsidRPr="00EA422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40A47" w14:textId="42ECFE82" w:rsidR="00AD1EF6" w:rsidRDefault="00AD1EF6" w:rsidP="00EA422B">
    <w:pPr>
      <w:pStyle w:val="Footer"/>
      <w:tabs>
        <w:tab w:val="right" w:pos="9638"/>
      </w:tabs>
    </w:pPr>
    <w:r>
      <w:tab/>
    </w:r>
    <w:r w:rsidRPr="00EA422B">
      <w:rPr>
        <w:b/>
        <w:bCs/>
        <w:sz w:val="18"/>
      </w:rPr>
      <w:fldChar w:fldCharType="begin"/>
    </w:r>
    <w:r w:rsidRPr="00EA422B">
      <w:rPr>
        <w:b/>
        <w:bCs/>
        <w:sz w:val="18"/>
      </w:rPr>
      <w:instrText xml:space="preserve"> PAGE  \* MERGEFORMAT </w:instrText>
    </w:r>
    <w:r w:rsidRPr="00EA422B">
      <w:rPr>
        <w:b/>
        <w:bCs/>
        <w:sz w:val="18"/>
      </w:rPr>
      <w:fldChar w:fldCharType="separate"/>
    </w:r>
    <w:r>
      <w:rPr>
        <w:b/>
        <w:bCs/>
        <w:noProof/>
        <w:sz w:val="18"/>
      </w:rPr>
      <w:t>19</w:t>
    </w:r>
    <w:r w:rsidRPr="00EA422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F46BC" w14:textId="042C6BD9" w:rsidR="00AD1EF6" w:rsidRPr="00AD1EF6" w:rsidRDefault="00AD1EF6" w:rsidP="00AD1EF6">
    <w:pPr>
      <w:tabs>
        <w:tab w:val="right" w:pos="1020"/>
      </w:tabs>
    </w:pPr>
    <w:r w:rsidRPr="0027112F">
      <w:rPr>
        <w:noProof/>
        <w:lang w:val="en-US"/>
      </w:rPr>
      <w:drawing>
        <wp:anchor distT="0" distB="0" distL="114300" distR="114300" simplePos="0" relativeHeight="251659264" behindDoc="0" locked="1" layoutInCell="1" allowOverlap="1" wp14:anchorId="017C6688" wp14:editId="1C7615E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t>GE.21-18208(E)</w:t>
    </w:r>
    <w:r>
      <w:rPr>
        <w:noProof/>
      </w:rPr>
      <w:drawing>
        <wp:anchor distT="0" distB="0" distL="114300" distR="114300" simplePos="0" relativeHeight="251660288" behindDoc="0" locked="0" layoutInCell="1" allowOverlap="1" wp14:anchorId="7AB472B1" wp14:editId="76DD0263">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87144" w14:textId="77777777" w:rsidR="00AD1EF6" w:rsidRPr="000B175B" w:rsidRDefault="00AD1EF6" w:rsidP="000B175B">
      <w:pPr>
        <w:tabs>
          <w:tab w:val="right" w:pos="2155"/>
        </w:tabs>
        <w:spacing w:after="80"/>
        <w:ind w:left="680"/>
        <w:rPr>
          <w:u w:val="single"/>
        </w:rPr>
      </w:pPr>
      <w:r>
        <w:rPr>
          <w:u w:val="single"/>
        </w:rPr>
        <w:tab/>
      </w:r>
    </w:p>
  </w:footnote>
  <w:footnote w:type="continuationSeparator" w:id="0">
    <w:p w14:paraId="6908F9C1" w14:textId="77777777" w:rsidR="00AD1EF6" w:rsidRPr="00FC68B7" w:rsidRDefault="00AD1EF6" w:rsidP="00FC68B7">
      <w:pPr>
        <w:tabs>
          <w:tab w:val="left" w:pos="2155"/>
        </w:tabs>
        <w:spacing w:after="80"/>
        <w:ind w:left="680"/>
        <w:rPr>
          <w:u w:val="single"/>
        </w:rPr>
      </w:pPr>
      <w:r>
        <w:rPr>
          <w:u w:val="single"/>
        </w:rPr>
        <w:tab/>
      </w:r>
    </w:p>
  </w:footnote>
  <w:footnote w:type="continuationNotice" w:id="1">
    <w:p w14:paraId="0EC98E4B" w14:textId="77777777" w:rsidR="00AD1EF6" w:rsidRDefault="00AD1EF6"/>
  </w:footnote>
  <w:footnote w:id="2">
    <w:p w14:paraId="508B1DF7" w14:textId="6080EB57" w:rsidR="00AD1EF6" w:rsidRPr="00C90DF4" w:rsidRDefault="00AD1EF6" w:rsidP="00EA422B">
      <w:pPr>
        <w:pStyle w:val="FootnoteText"/>
      </w:pPr>
      <w:r>
        <w:tab/>
      </w:r>
      <w:r w:rsidRPr="00C90DF4">
        <w:rPr>
          <w:rStyle w:val="FootnoteReference"/>
          <w:sz w:val="20"/>
          <w:vertAlign w:val="baseline"/>
        </w:rPr>
        <w:t>*</w:t>
      </w:r>
      <w:r w:rsidRPr="00C90DF4">
        <w:tab/>
        <w:t>The present document is being issued without formal editing.</w:t>
      </w:r>
    </w:p>
  </w:footnote>
  <w:footnote w:id="3">
    <w:p w14:paraId="040978C8" w14:textId="0F96A3B8" w:rsidR="00AD1EF6" w:rsidRPr="00134AB1" w:rsidRDefault="00AD1EF6" w:rsidP="00EA422B">
      <w:pPr>
        <w:pStyle w:val="FootnoteText"/>
      </w:pPr>
      <w:r>
        <w:rPr>
          <w:szCs w:val="18"/>
        </w:rPr>
        <w:tab/>
      </w:r>
      <w:r w:rsidRPr="00B52014">
        <w:rPr>
          <w:rStyle w:val="FootnoteReference"/>
        </w:rPr>
        <w:footnoteRef/>
      </w:r>
      <w:r w:rsidRPr="00134AB1">
        <w:rPr>
          <w:rStyle w:val="FootnoteReference"/>
          <w:cs/>
        </w:rPr>
        <w:t xml:space="preserve"> </w:t>
      </w:r>
      <w:r w:rsidRPr="00134AB1">
        <w:rPr>
          <w:rStyle w:val="FootnoteReference"/>
          <w:szCs w:val="18"/>
          <w:vertAlign w:val="baseline"/>
          <w:cs/>
        </w:rPr>
        <w:tab/>
      </w:r>
      <w:r w:rsidRPr="00134AB1">
        <w:t>National Statistical Office</w:t>
      </w:r>
      <w:r w:rsidRPr="00134AB1">
        <w:rPr>
          <w:szCs w:val="18"/>
          <w:cs/>
        </w:rPr>
        <w:t xml:space="preserve">, </w:t>
      </w:r>
      <w:r w:rsidRPr="00134AB1">
        <w:t>Registered Population aggregated by age genders and provinces,</w:t>
      </w:r>
      <w:r w:rsidRPr="00134AB1">
        <w:rPr>
          <w:szCs w:val="18"/>
          <w:cs/>
        </w:rPr>
        <w:t xml:space="preserve"> </w:t>
      </w:r>
      <w:r w:rsidRPr="00134AB1">
        <w:t xml:space="preserve">accessed on 8 April </w:t>
      </w:r>
      <w:r w:rsidRPr="00815BA9">
        <w:t>2019 (</w:t>
      </w:r>
      <w:hyperlink r:id="rId1" w:history="1">
        <w:r w:rsidRPr="00815BA9">
          <w:t>http</w:t>
        </w:r>
        <w:r w:rsidRPr="00815BA9">
          <w:rPr>
            <w:cs/>
          </w:rPr>
          <w:t>://</w:t>
        </w:r>
        <w:proofErr w:type="spellStart"/>
        <w:r w:rsidRPr="00815BA9">
          <w:t>statbbi</w:t>
        </w:r>
        <w:proofErr w:type="spellEnd"/>
        <w:r w:rsidRPr="00815BA9">
          <w:rPr>
            <w:cs/>
          </w:rPr>
          <w:t>.</w:t>
        </w:r>
        <w:proofErr w:type="spellStart"/>
        <w:r w:rsidRPr="00815BA9">
          <w:t>nso</w:t>
        </w:r>
        <w:proofErr w:type="spellEnd"/>
        <w:r w:rsidRPr="00815BA9">
          <w:rPr>
            <w:cs/>
          </w:rPr>
          <w:t>.</w:t>
        </w:r>
        <w:r w:rsidRPr="00815BA9">
          <w:t>go</w:t>
        </w:r>
        <w:r w:rsidRPr="00815BA9">
          <w:rPr>
            <w:cs/>
          </w:rPr>
          <w:t>.</w:t>
        </w:r>
        <w:proofErr w:type="spellStart"/>
        <w:r w:rsidRPr="00815BA9">
          <w:t>th</w:t>
        </w:r>
        <w:proofErr w:type="spellEnd"/>
        <w:r w:rsidRPr="00815BA9">
          <w:rPr>
            <w:cs/>
          </w:rPr>
          <w:t>/</w:t>
        </w:r>
        <w:proofErr w:type="spellStart"/>
        <w:r w:rsidRPr="00815BA9">
          <w:t>staticreport</w:t>
        </w:r>
        <w:proofErr w:type="spellEnd"/>
        <w:r w:rsidRPr="00815BA9">
          <w:rPr>
            <w:cs/>
          </w:rPr>
          <w:t>/</w:t>
        </w:r>
        <w:r w:rsidRPr="00815BA9">
          <w:t>page</w:t>
        </w:r>
        <w:r w:rsidRPr="00815BA9">
          <w:rPr>
            <w:cs/>
          </w:rPr>
          <w:t>/</w:t>
        </w:r>
        <w:r w:rsidRPr="00815BA9">
          <w:t>sector</w:t>
        </w:r>
        <w:r w:rsidRPr="00815BA9">
          <w:rPr>
            <w:cs/>
          </w:rPr>
          <w:t>/</w:t>
        </w:r>
        <w:proofErr w:type="spellStart"/>
        <w:r w:rsidRPr="00815BA9">
          <w:t>th</w:t>
        </w:r>
        <w:proofErr w:type="spellEnd"/>
        <w:r w:rsidRPr="00815BA9">
          <w:rPr>
            <w:cs/>
          </w:rPr>
          <w:t>/</w:t>
        </w:r>
        <w:r w:rsidRPr="00815BA9">
          <w:t>01</w:t>
        </w:r>
        <w:r w:rsidRPr="00815BA9">
          <w:rPr>
            <w:cs/>
          </w:rPr>
          <w:t>.</w:t>
        </w:r>
        <w:proofErr w:type="spellStart"/>
        <w:r w:rsidRPr="00815BA9">
          <w:t>aspx</w:t>
        </w:r>
        <w:proofErr w:type="spellEnd"/>
      </w:hyperlink>
      <w:r w:rsidRPr="00815BA9">
        <w:t>).</w:t>
      </w:r>
    </w:p>
  </w:footnote>
  <w:footnote w:id="4">
    <w:p w14:paraId="7A6B4148" w14:textId="77777777" w:rsidR="00AD1EF6" w:rsidRPr="001F0481" w:rsidRDefault="00AD1EF6" w:rsidP="00EA422B">
      <w:pPr>
        <w:pStyle w:val="FootnoteText"/>
        <w:rPr>
          <w:lang w:val="en-US" w:bidi="th-TH"/>
        </w:rPr>
      </w:pPr>
      <w:r>
        <w:rPr>
          <w:rFonts w:cs="Cordia New"/>
          <w:cs/>
          <w:lang w:bidi="th-TH"/>
        </w:rPr>
        <w:tab/>
      </w:r>
      <w:r w:rsidRPr="00B52014">
        <w:rPr>
          <w:rStyle w:val="FootnoteReference"/>
        </w:rPr>
        <w:footnoteRef/>
      </w:r>
      <w:r w:rsidRPr="001F0481">
        <w:rPr>
          <w:cs/>
          <w:lang w:bidi="th-TH"/>
        </w:rPr>
        <w:t xml:space="preserve"> </w:t>
      </w:r>
      <w:r>
        <w:rPr>
          <w:rFonts w:cs="Cordia New"/>
          <w:cs/>
          <w:lang w:bidi="th-TH"/>
        </w:rPr>
        <w:tab/>
      </w:r>
      <w:r w:rsidRPr="00E1754F">
        <w:rPr>
          <w:szCs w:val="18"/>
          <w:lang w:val="en-US" w:bidi="th-TH"/>
        </w:rPr>
        <w:t>Exchange rate from the Bank of Thailand on 27 March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ED1AA" w14:textId="77777777" w:rsidR="00AD1EF6" w:rsidRDefault="00AD1EF6" w:rsidP="00EA422B">
    <w:pPr>
      <w:pStyle w:val="Header"/>
    </w:pPr>
    <w:r>
      <w:t>HRI/CORE/THA/2021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81C8" w14:textId="77777777" w:rsidR="00AD1EF6" w:rsidRDefault="00AD1EF6" w:rsidP="00EA422B">
    <w:pPr>
      <w:pStyle w:val="Header"/>
      <w:jc w:val="right"/>
    </w:pPr>
    <w:r>
      <w:t>HRI/CORE/THA/2021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ar-SA" w:vendorID="64" w:dllVersion="0" w:nlCheck="1" w:checkStyle="0"/>
  <w:activeWritingStyle w:appName="MSWord" w:lang="en-US" w:vendorID="64" w:dllVersion="0" w:nlCheck="1" w:checkStyle="0"/>
  <w:activeWritingStyle w:appName="MSWord" w:lang="en-US" w:vendorID="64" w:dllVersion="6" w:nlCheck="1" w:checkStyle="1"/>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BFA"/>
    <w:rsid w:val="00035164"/>
    <w:rsid w:val="00050F6B"/>
    <w:rsid w:val="000579D8"/>
    <w:rsid w:val="00057E97"/>
    <w:rsid w:val="00060C3A"/>
    <w:rsid w:val="000726BE"/>
    <w:rsid w:val="00072C8C"/>
    <w:rsid w:val="000733B5"/>
    <w:rsid w:val="00075AB2"/>
    <w:rsid w:val="00080958"/>
    <w:rsid w:val="00081815"/>
    <w:rsid w:val="000829CC"/>
    <w:rsid w:val="0008312D"/>
    <w:rsid w:val="00092ADA"/>
    <w:rsid w:val="000931C0"/>
    <w:rsid w:val="0009577C"/>
    <w:rsid w:val="000B13D5"/>
    <w:rsid w:val="000B175B"/>
    <w:rsid w:val="000B3A0F"/>
    <w:rsid w:val="000B4EF7"/>
    <w:rsid w:val="000C2C03"/>
    <w:rsid w:val="000C2D2E"/>
    <w:rsid w:val="000C6C14"/>
    <w:rsid w:val="000D60BF"/>
    <w:rsid w:val="000E0415"/>
    <w:rsid w:val="000F1023"/>
    <w:rsid w:val="000F3F61"/>
    <w:rsid w:val="001103AA"/>
    <w:rsid w:val="00124546"/>
    <w:rsid w:val="001657D0"/>
    <w:rsid w:val="00165F3A"/>
    <w:rsid w:val="00183968"/>
    <w:rsid w:val="00185480"/>
    <w:rsid w:val="001A11B7"/>
    <w:rsid w:val="001A6686"/>
    <w:rsid w:val="001B157D"/>
    <w:rsid w:val="001B4B04"/>
    <w:rsid w:val="001B4E45"/>
    <w:rsid w:val="001C6663"/>
    <w:rsid w:val="001C6E6A"/>
    <w:rsid w:val="001C7895"/>
    <w:rsid w:val="001D0C8C"/>
    <w:rsid w:val="001D12AE"/>
    <w:rsid w:val="001D26DF"/>
    <w:rsid w:val="001D3A03"/>
    <w:rsid w:val="001F205C"/>
    <w:rsid w:val="001F20C3"/>
    <w:rsid w:val="00200334"/>
    <w:rsid w:val="00201CDE"/>
    <w:rsid w:val="00202DA8"/>
    <w:rsid w:val="00204EBB"/>
    <w:rsid w:val="00211E0B"/>
    <w:rsid w:val="00211F4A"/>
    <w:rsid w:val="00216691"/>
    <w:rsid w:val="0023210C"/>
    <w:rsid w:val="00233FA8"/>
    <w:rsid w:val="002567E3"/>
    <w:rsid w:val="00267F5F"/>
    <w:rsid w:val="0027570A"/>
    <w:rsid w:val="00286B4D"/>
    <w:rsid w:val="002937F7"/>
    <w:rsid w:val="002A5906"/>
    <w:rsid w:val="002A7664"/>
    <w:rsid w:val="002B274B"/>
    <w:rsid w:val="002F175C"/>
    <w:rsid w:val="00314242"/>
    <w:rsid w:val="003229D8"/>
    <w:rsid w:val="00352709"/>
    <w:rsid w:val="00367567"/>
    <w:rsid w:val="00371178"/>
    <w:rsid w:val="003A226F"/>
    <w:rsid w:val="003A4183"/>
    <w:rsid w:val="003A6810"/>
    <w:rsid w:val="003C2CC4"/>
    <w:rsid w:val="003D3599"/>
    <w:rsid w:val="003D4B23"/>
    <w:rsid w:val="003D7AE1"/>
    <w:rsid w:val="003F5C11"/>
    <w:rsid w:val="00402575"/>
    <w:rsid w:val="00403A97"/>
    <w:rsid w:val="00410C89"/>
    <w:rsid w:val="00426B9B"/>
    <w:rsid w:val="004325CB"/>
    <w:rsid w:val="00436B33"/>
    <w:rsid w:val="00442A83"/>
    <w:rsid w:val="0045148E"/>
    <w:rsid w:val="0045395D"/>
    <w:rsid w:val="0045495B"/>
    <w:rsid w:val="00464716"/>
    <w:rsid w:val="0048017F"/>
    <w:rsid w:val="00487488"/>
    <w:rsid w:val="004C184C"/>
    <w:rsid w:val="004D2454"/>
    <w:rsid w:val="004D6BEF"/>
    <w:rsid w:val="0050000D"/>
    <w:rsid w:val="0051401F"/>
    <w:rsid w:val="0052136D"/>
    <w:rsid w:val="0052775E"/>
    <w:rsid w:val="005420F2"/>
    <w:rsid w:val="005628B6"/>
    <w:rsid w:val="00567EA4"/>
    <w:rsid w:val="00571964"/>
    <w:rsid w:val="00584036"/>
    <w:rsid w:val="005848B3"/>
    <w:rsid w:val="00584DAE"/>
    <w:rsid w:val="00597051"/>
    <w:rsid w:val="005B3DB3"/>
    <w:rsid w:val="005B4FE3"/>
    <w:rsid w:val="005C04D4"/>
    <w:rsid w:val="005D1FE3"/>
    <w:rsid w:val="005E4033"/>
    <w:rsid w:val="005F3B3F"/>
    <w:rsid w:val="005F7717"/>
    <w:rsid w:val="005F7B75"/>
    <w:rsid w:val="006001EE"/>
    <w:rsid w:val="00605042"/>
    <w:rsid w:val="00611FC4"/>
    <w:rsid w:val="006176FB"/>
    <w:rsid w:val="00637E99"/>
    <w:rsid w:val="00640B26"/>
    <w:rsid w:val="00652D0A"/>
    <w:rsid w:val="00654583"/>
    <w:rsid w:val="00662BB6"/>
    <w:rsid w:val="00663C71"/>
    <w:rsid w:val="00684C21"/>
    <w:rsid w:val="00687F8F"/>
    <w:rsid w:val="0069577F"/>
    <w:rsid w:val="006C5DD3"/>
    <w:rsid w:val="006C6B52"/>
    <w:rsid w:val="006D1D92"/>
    <w:rsid w:val="006D37AF"/>
    <w:rsid w:val="006D51D0"/>
    <w:rsid w:val="006E29CC"/>
    <w:rsid w:val="006E564B"/>
    <w:rsid w:val="006E7191"/>
    <w:rsid w:val="006F0338"/>
    <w:rsid w:val="00703577"/>
    <w:rsid w:val="00725C06"/>
    <w:rsid w:val="0072632A"/>
    <w:rsid w:val="00726382"/>
    <w:rsid w:val="007327D5"/>
    <w:rsid w:val="00733979"/>
    <w:rsid w:val="00754AE5"/>
    <w:rsid w:val="007629C8"/>
    <w:rsid w:val="00781D8D"/>
    <w:rsid w:val="00782B1B"/>
    <w:rsid w:val="00786240"/>
    <w:rsid w:val="007928B6"/>
    <w:rsid w:val="00796C13"/>
    <w:rsid w:val="007A51B0"/>
    <w:rsid w:val="007B6BA5"/>
    <w:rsid w:val="007C3390"/>
    <w:rsid w:val="007C4F4B"/>
    <w:rsid w:val="007C784F"/>
    <w:rsid w:val="007E01B9"/>
    <w:rsid w:val="007E0AFC"/>
    <w:rsid w:val="007E0B2D"/>
    <w:rsid w:val="007E5901"/>
    <w:rsid w:val="007F6611"/>
    <w:rsid w:val="00815BA9"/>
    <w:rsid w:val="008242D7"/>
    <w:rsid w:val="008257B1"/>
    <w:rsid w:val="0083173C"/>
    <w:rsid w:val="00836139"/>
    <w:rsid w:val="00843767"/>
    <w:rsid w:val="00860382"/>
    <w:rsid w:val="008679D9"/>
    <w:rsid w:val="0087203E"/>
    <w:rsid w:val="008732BE"/>
    <w:rsid w:val="0087353A"/>
    <w:rsid w:val="008979B1"/>
    <w:rsid w:val="008A1DB2"/>
    <w:rsid w:val="008A351E"/>
    <w:rsid w:val="008A6B25"/>
    <w:rsid w:val="008A6C4F"/>
    <w:rsid w:val="008B2335"/>
    <w:rsid w:val="008E0678"/>
    <w:rsid w:val="00910F40"/>
    <w:rsid w:val="0091168A"/>
    <w:rsid w:val="00912C08"/>
    <w:rsid w:val="00920BAF"/>
    <w:rsid w:val="009223CA"/>
    <w:rsid w:val="009230D3"/>
    <w:rsid w:val="00925FDF"/>
    <w:rsid w:val="00940F93"/>
    <w:rsid w:val="0094117C"/>
    <w:rsid w:val="0095347F"/>
    <w:rsid w:val="0095393D"/>
    <w:rsid w:val="00967D17"/>
    <w:rsid w:val="009760F3"/>
    <w:rsid w:val="009909F5"/>
    <w:rsid w:val="009A0E8D"/>
    <w:rsid w:val="009A4916"/>
    <w:rsid w:val="009B26E7"/>
    <w:rsid w:val="009C0F71"/>
    <w:rsid w:val="009C5587"/>
    <w:rsid w:val="009D00B9"/>
    <w:rsid w:val="00A00A3F"/>
    <w:rsid w:val="00A00E5E"/>
    <w:rsid w:val="00A01489"/>
    <w:rsid w:val="00A032A3"/>
    <w:rsid w:val="00A06FDE"/>
    <w:rsid w:val="00A2046E"/>
    <w:rsid w:val="00A31B6F"/>
    <w:rsid w:val="00A338F1"/>
    <w:rsid w:val="00A404FE"/>
    <w:rsid w:val="00A609B0"/>
    <w:rsid w:val="00A63B20"/>
    <w:rsid w:val="00A64FD8"/>
    <w:rsid w:val="00A72F22"/>
    <w:rsid w:val="00A7360F"/>
    <w:rsid w:val="00A748A6"/>
    <w:rsid w:val="00A769F4"/>
    <w:rsid w:val="00A776B4"/>
    <w:rsid w:val="00A864AC"/>
    <w:rsid w:val="00A94361"/>
    <w:rsid w:val="00AA293C"/>
    <w:rsid w:val="00AB7141"/>
    <w:rsid w:val="00AD1EF6"/>
    <w:rsid w:val="00B10BFA"/>
    <w:rsid w:val="00B13E9B"/>
    <w:rsid w:val="00B30179"/>
    <w:rsid w:val="00B30325"/>
    <w:rsid w:val="00B339A7"/>
    <w:rsid w:val="00B52014"/>
    <w:rsid w:val="00B56E4A"/>
    <w:rsid w:val="00B56E9C"/>
    <w:rsid w:val="00B64B1F"/>
    <w:rsid w:val="00B6553F"/>
    <w:rsid w:val="00B66E5E"/>
    <w:rsid w:val="00B77D05"/>
    <w:rsid w:val="00B81206"/>
    <w:rsid w:val="00B81E12"/>
    <w:rsid w:val="00B9067B"/>
    <w:rsid w:val="00BC2C23"/>
    <w:rsid w:val="00BC74E9"/>
    <w:rsid w:val="00BE0C8E"/>
    <w:rsid w:val="00BF5011"/>
    <w:rsid w:val="00BF68A8"/>
    <w:rsid w:val="00C11A03"/>
    <w:rsid w:val="00C16492"/>
    <w:rsid w:val="00C31678"/>
    <w:rsid w:val="00C429C5"/>
    <w:rsid w:val="00C463DD"/>
    <w:rsid w:val="00C4724C"/>
    <w:rsid w:val="00C629A0"/>
    <w:rsid w:val="00C71BA6"/>
    <w:rsid w:val="00C745C3"/>
    <w:rsid w:val="00CA59C7"/>
    <w:rsid w:val="00CD7579"/>
    <w:rsid w:val="00CE4A8F"/>
    <w:rsid w:val="00D00828"/>
    <w:rsid w:val="00D15534"/>
    <w:rsid w:val="00D2031B"/>
    <w:rsid w:val="00D25FE2"/>
    <w:rsid w:val="00D35EEF"/>
    <w:rsid w:val="00D41E8D"/>
    <w:rsid w:val="00D43252"/>
    <w:rsid w:val="00D47EEA"/>
    <w:rsid w:val="00D60CA7"/>
    <w:rsid w:val="00D87F85"/>
    <w:rsid w:val="00D95303"/>
    <w:rsid w:val="00D978C6"/>
    <w:rsid w:val="00D97E73"/>
    <w:rsid w:val="00DA3111"/>
    <w:rsid w:val="00DA3C1C"/>
    <w:rsid w:val="00DB0C79"/>
    <w:rsid w:val="00DC1590"/>
    <w:rsid w:val="00DC2F8A"/>
    <w:rsid w:val="00E010DC"/>
    <w:rsid w:val="00E0416B"/>
    <w:rsid w:val="00E27346"/>
    <w:rsid w:val="00E71BC8"/>
    <w:rsid w:val="00E7260F"/>
    <w:rsid w:val="00E779FC"/>
    <w:rsid w:val="00E96630"/>
    <w:rsid w:val="00EA422B"/>
    <w:rsid w:val="00EA4C9B"/>
    <w:rsid w:val="00EA7AE7"/>
    <w:rsid w:val="00EB0165"/>
    <w:rsid w:val="00EB0B21"/>
    <w:rsid w:val="00EB2581"/>
    <w:rsid w:val="00ED7A2A"/>
    <w:rsid w:val="00EE6918"/>
    <w:rsid w:val="00EF1D7F"/>
    <w:rsid w:val="00EF77B0"/>
    <w:rsid w:val="00F20C3D"/>
    <w:rsid w:val="00F22DD1"/>
    <w:rsid w:val="00F251C1"/>
    <w:rsid w:val="00F30BE6"/>
    <w:rsid w:val="00F43E9E"/>
    <w:rsid w:val="00F65DE9"/>
    <w:rsid w:val="00F7110B"/>
    <w:rsid w:val="00F82EDF"/>
    <w:rsid w:val="00F9057C"/>
    <w:rsid w:val="00F906D7"/>
    <w:rsid w:val="00F91642"/>
    <w:rsid w:val="00F93781"/>
    <w:rsid w:val="00FA5E53"/>
    <w:rsid w:val="00FB613B"/>
    <w:rsid w:val="00FC03C7"/>
    <w:rsid w:val="00FC68B7"/>
    <w:rsid w:val="00FD5A14"/>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4D8CDE6"/>
  <w15:docId w15:val="{5293493E-BD32-4411-8451-DA15574F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Date" w:qFormat="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iPriority="99" w:unhideWhenUsed="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165"/>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B0165"/>
    <w:pPr>
      <w:tabs>
        <w:tab w:val="left" w:pos="1701"/>
        <w:tab w:val="left" w:pos="2268"/>
      </w:tabs>
      <w:spacing w:after="120"/>
      <w:ind w:left="1134" w:right="1134"/>
      <w:jc w:val="both"/>
    </w:pPr>
  </w:style>
  <w:style w:type="character" w:customStyle="1" w:styleId="SingleTxtGChar">
    <w:name w:val="_ Single Txt_G Char"/>
    <w:link w:val="SingleTxtG"/>
    <w:locked/>
    <w:rsid w:val="00EA422B"/>
    <w:rPr>
      <w:lang w:eastAsia="en-US"/>
    </w:rPr>
  </w:style>
  <w:style w:type="character" w:customStyle="1" w:styleId="Heading1Char">
    <w:name w:val="Heading 1 Char"/>
    <w:aliases w:val="Table_G Char"/>
    <w:basedOn w:val="DefaultParagraphFont"/>
    <w:link w:val="Heading1"/>
    <w:rsid w:val="00EA422B"/>
    <w:rPr>
      <w:lang w:eastAsia="en-US"/>
    </w:rPr>
  </w:style>
  <w:style w:type="character" w:customStyle="1" w:styleId="Heading2Char">
    <w:name w:val="Heading 2 Char"/>
    <w:basedOn w:val="DefaultParagraphFont"/>
    <w:link w:val="Heading2"/>
    <w:rsid w:val="00EA422B"/>
    <w:rPr>
      <w:lang w:eastAsia="en-US"/>
    </w:rPr>
  </w:style>
  <w:style w:type="character" w:customStyle="1" w:styleId="Heading3Char">
    <w:name w:val="Heading 3 Char"/>
    <w:basedOn w:val="DefaultParagraphFont"/>
    <w:link w:val="Heading3"/>
    <w:rsid w:val="00EA422B"/>
    <w:rPr>
      <w:lang w:eastAsia="en-US"/>
    </w:rPr>
  </w:style>
  <w:style w:type="character" w:customStyle="1" w:styleId="Heading4Char">
    <w:name w:val="Heading 4 Char"/>
    <w:basedOn w:val="DefaultParagraphFont"/>
    <w:link w:val="Heading4"/>
    <w:rsid w:val="00EA422B"/>
    <w:rPr>
      <w:lang w:eastAsia="en-US"/>
    </w:rPr>
  </w:style>
  <w:style w:type="character" w:customStyle="1" w:styleId="Heading5Char">
    <w:name w:val="Heading 5 Char"/>
    <w:basedOn w:val="DefaultParagraphFont"/>
    <w:link w:val="Heading5"/>
    <w:qFormat/>
    <w:rsid w:val="00EA422B"/>
    <w:rPr>
      <w:lang w:eastAsia="en-US"/>
    </w:rPr>
  </w:style>
  <w:style w:type="character" w:customStyle="1" w:styleId="Heading6Char">
    <w:name w:val="Heading 6 Char"/>
    <w:basedOn w:val="DefaultParagraphFont"/>
    <w:link w:val="Heading6"/>
    <w:rsid w:val="00EA422B"/>
    <w:rPr>
      <w:lang w:eastAsia="en-US"/>
    </w:rPr>
  </w:style>
  <w:style w:type="character" w:customStyle="1" w:styleId="Heading7Char">
    <w:name w:val="Heading 7 Char"/>
    <w:basedOn w:val="DefaultParagraphFont"/>
    <w:link w:val="Heading7"/>
    <w:rsid w:val="00EA422B"/>
    <w:rPr>
      <w:lang w:eastAsia="en-US"/>
    </w:rPr>
  </w:style>
  <w:style w:type="character" w:customStyle="1" w:styleId="Heading8Char">
    <w:name w:val="Heading 8 Char"/>
    <w:basedOn w:val="DefaultParagraphFont"/>
    <w:link w:val="Heading8"/>
    <w:rsid w:val="00EA422B"/>
    <w:rPr>
      <w:lang w:eastAsia="en-US"/>
    </w:rPr>
  </w:style>
  <w:style w:type="character" w:customStyle="1" w:styleId="Heading9Char">
    <w:name w:val="Heading 9 Char"/>
    <w:basedOn w:val="DefaultParagraphFont"/>
    <w:link w:val="Heading9"/>
    <w:rsid w:val="00EA422B"/>
    <w:rPr>
      <w:lang w:eastAsia="en-US"/>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outlineLvl w:val="1"/>
    </w:pPr>
    <w:rPr>
      <w:b/>
      <w:sz w:val="28"/>
    </w:rPr>
  </w:style>
  <w:style w:type="paragraph" w:customStyle="1" w:styleId="ParaNoG">
    <w:name w:val="_ParaNo._G"/>
    <w:basedOn w:val="SingleTxtG"/>
    <w:pPr>
      <w:numPr>
        <w:numId w:val="3"/>
      </w:numPr>
      <w:tabs>
        <w:tab w:val="clear" w:pos="1494"/>
      </w:tabs>
    </w:pPr>
  </w:style>
  <w:style w:type="character" w:styleId="PageNumber">
    <w:name w:val="page number"/>
    <w:aliases w:val="7_G"/>
    <w:basedOn w:val="DefaultParagraphFont"/>
    <w:qFormat/>
    <w:rsid w:val="008979B1"/>
    <w:rPr>
      <w:rFonts w:ascii="Times New Roman" w:hAnsi="Times New Roman"/>
      <w:b/>
      <w:sz w:val="18"/>
    </w:rPr>
  </w:style>
  <w:style w:type="paragraph" w:styleId="PlainText">
    <w:name w:val="Plain Text"/>
    <w:basedOn w:val="Normal"/>
    <w:link w:val="PlainTextChar"/>
    <w:semiHidden/>
    <w:qFormat/>
    <w:rPr>
      <w:rFonts w:cs="Courier New"/>
    </w:rPr>
  </w:style>
  <w:style w:type="character" w:customStyle="1" w:styleId="PlainTextChar">
    <w:name w:val="Plain Text Char"/>
    <w:basedOn w:val="DefaultParagraphFont"/>
    <w:link w:val="PlainText"/>
    <w:semiHidden/>
    <w:rsid w:val="00EA422B"/>
    <w:rPr>
      <w:rFonts w:cs="Courier New"/>
      <w:lang w:eastAsia="en-US"/>
    </w:rPr>
  </w:style>
  <w:style w:type="paragraph" w:styleId="FootnoteText">
    <w:name w:val="footnote text"/>
    <w:aliases w:val="5_G"/>
    <w:basedOn w:val="Normal"/>
    <w:link w:val="FootnoteTextChar"/>
    <w:rsid w:val="00EA422B"/>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EA422B"/>
    <w:rPr>
      <w:rFonts w:eastAsia="SimSun"/>
      <w:sz w:val="18"/>
    </w:rPr>
  </w:style>
  <w:style w:type="paragraph" w:customStyle="1" w:styleId="SMG">
    <w:name w:val="__S_M_G"/>
    <w:basedOn w:val="Normal"/>
    <w:next w:val="Normal"/>
    <w:qFormat/>
    <w:rsid w:val="00E96630"/>
    <w:pPr>
      <w:keepNext/>
      <w:keepLines/>
      <w:spacing w:before="240" w:after="240" w:line="420" w:lineRule="exact"/>
      <w:ind w:left="1134" w:right="1134"/>
    </w:pPr>
    <w:rPr>
      <w:b/>
      <w:sz w:val="40"/>
    </w:rPr>
  </w:style>
  <w:style w:type="paragraph" w:customStyle="1" w:styleId="SLG">
    <w:name w:val="__S_L_G"/>
    <w:basedOn w:val="Normal"/>
    <w:next w:val="Normal"/>
    <w:qFormat/>
    <w:rsid w:val="008A6B25"/>
    <w:pPr>
      <w:keepNext/>
      <w:keepLines/>
      <w:spacing w:before="240" w:after="240" w:line="580" w:lineRule="exact"/>
      <w:ind w:left="1134" w:right="1134"/>
    </w:pPr>
    <w:rPr>
      <w:b/>
      <w:sz w:val="56"/>
    </w:rPr>
  </w:style>
  <w:style w:type="paragraph" w:customStyle="1" w:styleId="SSG">
    <w:name w:val="__S_S_G"/>
    <w:basedOn w:val="Normal"/>
    <w:next w:val="Normal"/>
    <w:qFormat/>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7B6BA5"/>
    <w:rPr>
      <w:rFonts w:ascii="Times New Roman" w:hAnsi="Times New Roman"/>
      <w:sz w:val="18"/>
      <w:vertAlign w:val="superscript"/>
    </w:rPr>
  </w:style>
  <w:style w:type="character" w:styleId="FootnoteReference">
    <w:name w:val="footnote reference"/>
    <w:aliases w:val="4_G"/>
    <w:rsid w:val="00EA422B"/>
    <w:rPr>
      <w:rFonts w:ascii="Times New Roman" w:hAnsi="Times New Roman"/>
      <w:sz w:val="18"/>
      <w:vertAlign w:val="superscript"/>
    </w:rPr>
  </w:style>
  <w:style w:type="paragraph" w:customStyle="1" w:styleId="XLargeG">
    <w:name w:val="__XLarge_G"/>
    <w:basedOn w:val="Normal"/>
    <w:next w:val="Normal"/>
    <w:qFormat/>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EndnoteText">
    <w:name w:val="endnote text"/>
    <w:aliases w:val="2_G"/>
    <w:basedOn w:val="Normal"/>
    <w:link w:val="EndnoteTextChar"/>
    <w:qFormat/>
    <w:rsid w:val="00EA422B"/>
    <w:pPr>
      <w:tabs>
        <w:tab w:val="right" w:pos="1021"/>
      </w:tabs>
      <w:spacing w:line="220" w:lineRule="exact"/>
      <w:ind w:left="1134" w:right="1134" w:hanging="1134"/>
    </w:pPr>
    <w:rPr>
      <w:sz w:val="18"/>
    </w:rPr>
  </w:style>
  <w:style w:type="character" w:customStyle="1" w:styleId="EndnoteTextChar">
    <w:name w:val="Endnote Text Char"/>
    <w:aliases w:val="2_G Char"/>
    <w:basedOn w:val="DefaultParagraphFont"/>
    <w:link w:val="EndnoteText"/>
    <w:rsid w:val="00EA422B"/>
    <w:rPr>
      <w:sz w:val="18"/>
      <w:lang w:eastAsia="en-US"/>
    </w:rPr>
  </w:style>
  <w:style w:type="paragraph" w:styleId="CommentText">
    <w:name w:val="annotation text"/>
    <w:basedOn w:val="Normal"/>
    <w:link w:val="CommentTextChar"/>
    <w:semiHidden/>
    <w:qFormat/>
  </w:style>
  <w:style w:type="character" w:customStyle="1" w:styleId="CommentTextChar">
    <w:name w:val="Comment Text Char"/>
    <w:basedOn w:val="DefaultParagraphFont"/>
    <w:link w:val="CommentText"/>
    <w:semiHidden/>
    <w:rsid w:val="00EA422B"/>
    <w:rPr>
      <w:lang w:eastAsia="en-US"/>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outlineLvl w:val="5"/>
    </w:pPr>
  </w:style>
  <w:style w:type="paragraph" w:styleId="EnvelopeReturn">
    <w:name w:val="envelope return"/>
    <w:basedOn w:val="Normal"/>
    <w:semiHidden/>
    <w:qFormat/>
    <w:rsid w:val="008A6C4F"/>
    <w:rPr>
      <w:rFonts w:ascii="Arial" w:hAnsi="Arial" w:cs="Arial"/>
    </w:rPr>
  </w:style>
  <w:style w:type="character" w:styleId="FollowedHyperlink">
    <w:name w:val="FollowedHyperlink"/>
    <w:basedOn w:val="DefaultParagraphFont"/>
    <w:semiHidden/>
    <w:qFormat/>
    <w:rsid w:val="008A6C4F"/>
    <w:rPr>
      <w:color w:val="800080"/>
      <w:u w:val="single"/>
    </w:rPr>
  </w:style>
  <w:style w:type="character" w:styleId="Hyperlink">
    <w:name w:val="Hyperlink"/>
    <w:basedOn w:val="DefaultParagraphFont"/>
    <w:uiPriority w:val="99"/>
    <w:rsid w:val="008732BE"/>
    <w:rPr>
      <w:color w:val="0000FF"/>
      <w:u w:val="none"/>
    </w:r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EA422B"/>
    <w:rPr>
      <w:rFonts w:ascii="Arial" w:hAnsi="Arial" w:cs="Arial"/>
      <w:sz w:val="24"/>
      <w:szCs w:val="24"/>
      <w:shd w:val="pct20" w:color="auto" w:fill="auto"/>
      <w:lang w:eastAsia="en-US"/>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qFormat/>
    <w:rsid w:val="0095347F"/>
    <w:pPr>
      <w:spacing w:line="240" w:lineRule="auto"/>
    </w:pPr>
    <w:rPr>
      <w:sz w:val="16"/>
    </w:rPr>
  </w:style>
  <w:style w:type="character" w:customStyle="1" w:styleId="FooterChar">
    <w:name w:val="Footer Char"/>
    <w:aliases w:val="3_G Char"/>
    <w:basedOn w:val="DefaultParagraphFont"/>
    <w:link w:val="Footer"/>
    <w:rsid w:val="00EA422B"/>
    <w:rPr>
      <w:sz w:val="16"/>
      <w:lang w:eastAsia="en-US"/>
    </w:rPr>
  </w:style>
  <w:style w:type="paragraph" w:styleId="Header">
    <w:name w:val="header"/>
    <w:aliases w:val="6_G"/>
    <w:basedOn w:val="Normal"/>
    <w:link w:val="HeaderChar"/>
    <w:uiPriority w:val="99"/>
    <w:qFormat/>
    <w:rsid w:val="00050F6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EA422B"/>
    <w:rPr>
      <w:b/>
      <w:sz w:val="18"/>
      <w:lang w:eastAsia="en-US"/>
    </w:rPr>
  </w:style>
  <w:style w:type="paragraph" w:styleId="CommentSubject">
    <w:name w:val="annotation subject"/>
    <w:basedOn w:val="CommentText"/>
    <w:next w:val="CommentText"/>
    <w:link w:val="CommentSubjectChar"/>
    <w:semiHidden/>
    <w:rsid w:val="00EA422B"/>
    <w:rPr>
      <w:b/>
      <w:bCs/>
      <w:lang w:val="en-US"/>
    </w:rPr>
  </w:style>
  <w:style w:type="character" w:customStyle="1" w:styleId="CommentSubjectChar">
    <w:name w:val="Comment Subject Char"/>
    <w:basedOn w:val="CommentTextChar"/>
    <w:link w:val="CommentSubject"/>
    <w:semiHidden/>
    <w:rsid w:val="00EA422B"/>
    <w:rPr>
      <w:b/>
      <w:bCs/>
      <w:lang w:val="en-US" w:eastAsia="en-US"/>
    </w:rPr>
  </w:style>
  <w:style w:type="paragraph" w:styleId="Revision">
    <w:name w:val="Revision"/>
    <w:hidden/>
    <w:uiPriority w:val="99"/>
    <w:unhideWhenUsed/>
    <w:rsid w:val="00EA422B"/>
    <w:rPr>
      <w:lang w:val="en-US" w:eastAsia="en-US"/>
    </w:rPr>
  </w:style>
  <w:style w:type="character" w:customStyle="1" w:styleId="UnresolvedMention1">
    <w:name w:val="Unresolved Mention1"/>
    <w:basedOn w:val="DefaultParagraphFont"/>
    <w:uiPriority w:val="99"/>
    <w:semiHidden/>
    <w:unhideWhenUsed/>
    <w:rsid w:val="000D60BF"/>
    <w:rPr>
      <w:color w:val="605E5C"/>
      <w:shd w:val="clear" w:color="auto" w:fill="E1DFDD"/>
    </w:rPr>
  </w:style>
  <w:style w:type="character" w:styleId="CommentReference">
    <w:name w:val="annotation reference"/>
    <w:basedOn w:val="DefaultParagraphFont"/>
    <w:semiHidden/>
    <w:unhideWhenUsed/>
    <w:qFormat/>
    <w:rsid w:val="003A226F"/>
    <w:rPr>
      <w:sz w:val="16"/>
      <w:szCs w:val="16"/>
    </w:rPr>
  </w:style>
  <w:style w:type="paragraph" w:styleId="TOC1">
    <w:name w:val="toc 1"/>
    <w:basedOn w:val="Normal"/>
    <w:next w:val="Normal"/>
    <w:autoRedefine/>
    <w:uiPriority w:val="39"/>
    <w:unhideWhenUsed/>
    <w:rsid w:val="004D2454"/>
    <w:pPr>
      <w:spacing w:after="100"/>
    </w:pPr>
  </w:style>
  <w:style w:type="paragraph" w:styleId="TOC2">
    <w:name w:val="toc 2"/>
    <w:basedOn w:val="Normal"/>
    <w:next w:val="Normal"/>
    <w:autoRedefine/>
    <w:uiPriority w:val="39"/>
    <w:unhideWhenUsed/>
    <w:rsid w:val="004D245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humanrights.mfa.go.th/en/humanrightsinmedia.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tatbbi.nso.go.th/staticreport/page/sector/th/01.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HRI.dot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Ronnakorn\Downloads\PyramidG12%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lang="en-US" sz="1800" b="1" i="0" u="none" strike="noStrike" kern="1200" cap="all" spc="50" baseline="0">
                <a:solidFill>
                  <a:srgbClr val="595959">
                    <a:lumMod val="65000"/>
                    <a:lumOff val="35000"/>
                  </a:srgbClr>
                </a:solidFill>
                <a:latin typeface="+mn-lt"/>
                <a:ea typeface="+mn-ea"/>
                <a:cs typeface="+mn-cs"/>
              </a:defRPr>
            </a:pPr>
            <a:r>
              <a:rPr lang="en-GB"/>
              <a:t>  </a:t>
            </a:r>
          </a:p>
        </c:rich>
      </c:tx>
      <c:overlay val="0"/>
      <c:spPr>
        <a:noFill/>
        <a:ln>
          <a:noFill/>
        </a:ln>
        <a:effectLst/>
      </c:spPr>
    </c:title>
    <c:autoTitleDeleted val="0"/>
    <c:plotArea>
      <c:layout>
        <c:manualLayout>
          <c:layoutTarget val="inner"/>
          <c:xMode val="edge"/>
          <c:yMode val="edge"/>
          <c:x val="0.12202690349980801"/>
          <c:y val="0.16101685143945799"/>
          <c:w val="0.77042399172699005"/>
          <c:h val="0.59830508474576205"/>
        </c:manualLayout>
      </c:layout>
      <c:barChart>
        <c:barDir val="bar"/>
        <c:grouping val="clustered"/>
        <c:varyColors val="0"/>
        <c:ser>
          <c:idx val="0"/>
          <c:order val="0"/>
          <c:tx>
            <c:strRef>
              <c:f>'ข้อมูล '!$F$4</c:f>
              <c:strCache>
                <c:ptCount val="1"/>
                <c:pt idx="0">
                  <c:v>% ชาย</c:v>
                </c:pt>
              </c:strCache>
            </c:strRef>
          </c:tx>
          <c:spPr>
            <a:gradFill flip="none" rotWithShape="1">
              <a:gsLst>
                <a:gs pos="0">
                  <a:srgbClr val="5F5F5F">
                    <a:tint val="88500"/>
                  </a:srgbClr>
                </a:gs>
                <a:gs pos="75000">
                  <a:srgbClr val="9F9F9F">
                    <a:tint val="88500"/>
                    <a:lumMod val="60000"/>
                    <a:lumOff val="40000"/>
                  </a:srgbClr>
                </a:gs>
                <a:gs pos="51000">
                  <a:srgbClr val="5F5F5F">
                    <a:tint val="88500"/>
                    <a:alpha val="75000"/>
                  </a:srgbClr>
                </a:gs>
                <a:gs pos="100000">
                  <a:srgbClr val="DFDFDF">
                    <a:tint val="88500"/>
                    <a:lumMod val="20000"/>
                    <a:lumOff val="80000"/>
                    <a:alpha val="15000"/>
                  </a:srgb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rgbClr val="404040">
                        <a:lumMod val="75000"/>
                        <a:lumOff val="25000"/>
                      </a:srgb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'ข้อมูล '!$B$5:$B$21</c:f>
              <c:strCache>
                <c:ptCount val="17"/>
                <c:pt idx="0">
                  <c:v>00-04</c:v>
                </c:pt>
                <c:pt idx="1">
                  <c:v>05-09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c:v>
                </c:pt>
              </c:strCache>
            </c:strRef>
          </c:cat>
          <c:val>
            <c:numRef>
              <c:f>'ข้อมูล '!$F$5:$F$21</c:f>
              <c:numCache>
                <c:formatCode>0;0.00</c:formatCode>
                <c:ptCount val="17"/>
                <c:pt idx="0">
                  <c:v>-2.7274549605187199</c:v>
                </c:pt>
                <c:pt idx="1">
                  <c:v>-3.0918464773452001</c:v>
                </c:pt>
                <c:pt idx="2">
                  <c:v>-3.17347895356873</c:v>
                </c:pt>
                <c:pt idx="3">
                  <c:v>-3.29492112989423</c:v>
                </c:pt>
                <c:pt idx="4">
                  <c:v>-3.7782527908219801</c:v>
                </c:pt>
                <c:pt idx="5">
                  <c:v>-3.6514862527874201</c:v>
                </c:pt>
                <c:pt idx="6">
                  <c:v>-3.6434741792827499</c:v>
                </c:pt>
                <c:pt idx="7">
                  <c:v>-3.9473589131184399</c:v>
                </c:pt>
                <c:pt idx="8">
                  <c:v>-3.9507800592209499</c:v>
                </c:pt>
                <c:pt idx="9">
                  <c:v>-3.93169993593281</c:v>
                </c:pt>
                <c:pt idx="10">
                  <c:v>-3.6464589783925399</c:v>
                </c:pt>
                <c:pt idx="11">
                  <c:v>-3.0842042156535201</c:v>
                </c:pt>
                <c:pt idx="12">
                  <c:v>-2.32985001036324</c:v>
                </c:pt>
                <c:pt idx="13">
                  <c:v>-1.8042360163747699</c:v>
                </c:pt>
                <c:pt idx="14">
                  <c:v>-1.1504922868319201</c:v>
                </c:pt>
                <c:pt idx="15">
                  <c:v>-0.813261049307752</c:v>
                </c:pt>
                <c:pt idx="16">
                  <c:v>-0.90231297173732505</c:v>
                </c:pt>
              </c:numCache>
            </c:numRef>
          </c:val>
          <c:extLst>
            <c:ext xmlns:c16="http://schemas.microsoft.com/office/drawing/2014/chart" uri="{C3380CC4-5D6E-409C-BE32-E72D297353CC}">
              <c16:uniqueId val="{00000000-2643-466B-A603-83620B77AA96}"/>
            </c:ext>
          </c:extLst>
        </c:ser>
        <c:ser>
          <c:idx val="1"/>
          <c:order val="1"/>
          <c:tx>
            <c:strRef>
              <c:f>'ข้อมูล '!$G$4</c:f>
              <c:strCache>
                <c:ptCount val="1"/>
                <c:pt idx="0">
                  <c:v>% หญิง</c:v>
                </c:pt>
              </c:strCache>
            </c:strRef>
          </c:tx>
          <c:spPr>
            <a:gradFill flip="none" rotWithShape="1">
              <a:gsLst>
                <a:gs pos="0">
                  <a:srgbClr val="B3B3B3">
                    <a:tint val="55000"/>
                  </a:srgbClr>
                </a:gs>
                <a:gs pos="75000">
                  <a:srgbClr val="D1D1D1">
                    <a:tint val="55000"/>
                    <a:lumMod val="60000"/>
                    <a:lumOff val="40000"/>
                  </a:srgbClr>
                </a:gs>
                <a:gs pos="51000">
                  <a:srgbClr val="B3B3B3">
                    <a:tint val="55000"/>
                    <a:alpha val="75000"/>
                  </a:srgbClr>
                </a:gs>
                <a:gs pos="100000">
                  <a:srgbClr val="F0F0F0">
                    <a:tint val="55000"/>
                    <a:lumMod val="20000"/>
                    <a:lumOff val="80000"/>
                    <a:alpha val="15000"/>
                  </a:srgbClr>
                </a:gs>
              </a:gsLst>
              <a:lin ang="10800000" scaled="1"/>
              <a:tileRect/>
            </a:gradFill>
            <a:ln>
              <a:noFill/>
            </a:ln>
            <a:effectLst/>
          </c:spPr>
          <c:invertIfNegative val="1"/>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rgbClr val="404040">
                        <a:lumMod val="75000"/>
                        <a:lumOff val="25000"/>
                      </a:srgb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'ข้อมูล '!$B$5:$B$21</c:f>
              <c:strCache>
                <c:ptCount val="17"/>
                <c:pt idx="0">
                  <c:v>00-04</c:v>
                </c:pt>
                <c:pt idx="1">
                  <c:v>05-09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c:v>
                </c:pt>
              </c:strCache>
            </c:strRef>
          </c:cat>
          <c:val>
            <c:numRef>
              <c:f>'ข้อมูล '!$G$5:$G$21</c:f>
              <c:numCache>
                <c:formatCode>0.00</c:formatCode>
                <c:ptCount val="17"/>
                <c:pt idx="0">
                  <c:v>2.5761384884893799</c:v>
                </c:pt>
                <c:pt idx="1">
                  <c:v>2.9207319210184099</c:v>
                </c:pt>
                <c:pt idx="2">
                  <c:v>3.00271254643827</c:v>
                </c:pt>
                <c:pt idx="3">
                  <c:v>3.1350231670080202</c:v>
                </c:pt>
                <c:pt idx="4">
                  <c:v>3.6558249654384598</c:v>
                </c:pt>
                <c:pt idx="5">
                  <c:v>3.55780471971166</c:v>
                </c:pt>
                <c:pt idx="6">
                  <c:v>3.6093168747992799</c:v>
                </c:pt>
                <c:pt idx="7">
                  <c:v>3.9707127612076398</c:v>
                </c:pt>
                <c:pt idx="8">
                  <c:v>4.0935955015410199</c:v>
                </c:pt>
                <c:pt idx="9">
                  <c:v>4.2298316977155102</c:v>
                </c:pt>
                <c:pt idx="10">
                  <c:v>4.0296196052251201</c:v>
                </c:pt>
                <c:pt idx="11">
                  <c:v>3.47532585410862</c:v>
                </c:pt>
                <c:pt idx="12">
                  <c:v>2.71406282143358</c:v>
                </c:pt>
                <c:pt idx="13">
                  <c:v>2.1737290794246702</c:v>
                </c:pt>
                <c:pt idx="14">
                  <c:v>1.4349054229498199</c:v>
                </c:pt>
                <c:pt idx="15">
                  <c:v>1.0919212133726699</c:v>
                </c:pt>
                <c:pt idx="16">
                  <c:v>1.4071741789655501</c:v>
                </c:pt>
              </c:numCache>
            </c:numRef>
          </c:val>
          <c:extLst>
            <c:ext xmlns:c16="http://schemas.microsoft.com/office/drawing/2014/chart" uri="{C3380CC4-5D6E-409C-BE32-E72D297353CC}">
              <c16:uniqueId val="{00000001-2643-466B-A603-83620B77AA96}"/>
            </c:ext>
          </c:extLst>
        </c:ser>
        <c:dLbls>
          <c:showLegendKey val="0"/>
          <c:showVal val="1"/>
          <c:showCatName val="0"/>
          <c:showSerName val="0"/>
          <c:showPercent val="0"/>
          <c:showBubbleSize val="0"/>
        </c:dLbls>
        <c:gapWidth val="326"/>
        <c:overlap val="-58"/>
        <c:axId val="-260875728"/>
        <c:axId val="-260872464"/>
      </c:barChart>
      <c:catAx>
        <c:axId val="-260875728"/>
        <c:scaling>
          <c:orientation val="minMax"/>
        </c:scaling>
        <c:delete val="0"/>
        <c:axPos val="l"/>
        <c:numFmt formatCode="General" sourceLinked="1"/>
        <c:majorTickMark val="none"/>
        <c:minorTickMark val="none"/>
        <c:tickLblPos val="low"/>
        <c:spPr>
          <a:noFill/>
          <a:ln w="19050" cap="flat" cmpd="sng" algn="ctr">
            <a:solidFill>
              <a:srgbClr val="D9D9D9">
                <a:lumMod val="15000"/>
                <a:lumOff val="85000"/>
              </a:srgbClr>
            </a:solidFill>
            <a:prstDash val="solid"/>
            <a:round/>
            <a:headEnd type="none" w="sm" len="sm"/>
            <a:tailEnd type="none" w="sm" len="sm"/>
          </a:ln>
          <a:effectLst/>
        </c:spPr>
        <c:txPr>
          <a:bodyPr rot="0" spcFirstLastPara="1" vertOverflow="ellipsis" vert="horz" wrap="square" anchor="ctr" anchorCtr="1"/>
          <a:lstStyle/>
          <a:p>
            <a:pPr>
              <a:defRPr lang="en-US" sz="900" b="0" i="0" u="none" strike="noStrike" kern="1200" baseline="0">
                <a:solidFill>
                  <a:srgbClr val="595959">
                    <a:lumMod val="65000"/>
                    <a:lumOff val="35000"/>
                  </a:srgbClr>
                </a:solidFill>
                <a:latin typeface="+mn-lt"/>
                <a:ea typeface="+mn-ea"/>
                <a:cs typeface="+mn-cs"/>
              </a:defRPr>
            </a:pPr>
            <a:endParaRPr lang="en-US"/>
          </a:p>
        </c:txPr>
        <c:crossAx val="-260872464"/>
        <c:crosses val="autoZero"/>
        <c:auto val="1"/>
        <c:lblAlgn val="ctr"/>
        <c:lblOffset val="100"/>
        <c:tickLblSkip val="1"/>
        <c:noMultiLvlLbl val="0"/>
      </c:catAx>
      <c:valAx>
        <c:axId val="-260872464"/>
        <c:scaling>
          <c:orientation val="minMax"/>
        </c:scaling>
        <c:delete val="0"/>
        <c:axPos val="b"/>
        <c:majorGridlines>
          <c:spPr>
            <a:ln w="9525" cap="flat" cmpd="sng" algn="ctr">
              <a:gradFill>
                <a:gsLst>
                  <a:gs pos="99000">
                    <a:srgbClr val="BFBFBF">
                      <a:lumMod val="25000"/>
                      <a:lumOff val="75000"/>
                    </a:srgbClr>
                  </a:gs>
                  <a:gs pos="0">
                    <a:srgbClr val="D9D9D9">
                      <a:lumMod val="15000"/>
                      <a:lumOff val="85000"/>
                    </a:srgbClr>
                  </a:gs>
                </a:gsLst>
                <a:lin ang="5400000" scaled="0"/>
              </a:gradFill>
              <a:prstDash val="solid"/>
              <a:round/>
            </a:ln>
            <a:effectLst/>
          </c:spPr>
        </c:majorGridlines>
        <c:title>
          <c:tx>
            <c:rich>
              <a:bodyPr rot="0" spcFirstLastPara="1" vertOverflow="ellipsis" vert="horz" wrap="square" anchor="ctr" anchorCtr="1"/>
              <a:lstStyle/>
              <a:p>
                <a:pPr>
                  <a:defRPr lang="en-US" sz="900" b="0" i="0" u="none" strike="noStrike" kern="1200" cap="all" baseline="0">
                    <a:solidFill>
                      <a:srgbClr val="595959">
                        <a:lumMod val="65000"/>
                        <a:lumOff val="35000"/>
                      </a:srgbClr>
                    </a:solidFill>
                    <a:latin typeface="+mn-lt"/>
                    <a:ea typeface="+mn-ea"/>
                    <a:cs typeface="+mn-cs"/>
                  </a:defRPr>
                </a:pPr>
                <a:r>
                  <a:rPr lang="en-US"/>
                  <a:t>Percentage</a:t>
                </a:r>
                <a:endParaRPr lang="th-TH"/>
              </a:p>
            </c:rich>
          </c:tx>
          <c:layout>
            <c:manualLayout>
              <c:xMode val="edge"/>
              <c:yMode val="edge"/>
              <c:x val="0.42812822040745702"/>
              <c:y val="0.83220339406199595"/>
            </c:manualLayout>
          </c:layout>
          <c:overlay val="0"/>
          <c:spPr>
            <a:noFill/>
            <a:ln>
              <a:noFill/>
            </a:ln>
            <a:effectLst/>
          </c:spPr>
        </c:title>
        <c:numFmt formatCode="0;0" sourceLinked="0"/>
        <c:majorTickMark val="none"/>
        <c:minorTickMark val="none"/>
        <c:tickLblPos val="nextTo"/>
        <c:spPr>
          <a:noFill/>
          <a:ln w="9525" cap="flat" cmpd="sng" algn="ctr">
            <a:noFill/>
            <a:prstDash val="solid"/>
            <a:round/>
          </a:ln>
          <a:effectLst/>
        </c:spPr>
        <c:txPr>
          <a:bodyPr rot="0" spcFirstLastPara="1" vertOverflow="ellipsis" vert="horz" wrap="square" anchor="ctr" anchorCtr="1"/>
          <a:lstStyle/>
          <a:p>
            <a:pPr>
              <a:defRPr lang="en-US" sz="900" b="0" i="0" u="none" strike="noStrike" kern="1200" baseline="0">
                <a:solidFill>
                  <a:srgbClr val="595959">
                    <a:lumMod val="65000"/>
                    <a:lumOff val="35000"/>
                  </a:srgbClr>
                </a:solidFill>
                <a:latin typeface="+mn-lt"/>
                <a:ea typeface="+mn-ea"/>
                <a:cs typeface="+mn-cs"/>
              </a:defRPr>
            </a:pPr>
            <a:endParaRPr lang="en-US"/>
          </a:p>
        </c:txPr>
        <c:crossAx val="-260875728"/>
        <c:crosses val="autoZero"/>
        <c:crossBetween val="between"/>
      </c:valAx>
      <c:spPr>
        <a:noFill/>
        <a:ln>
          <a:noFill/>
        </a:ln>
        <a:effectLst/>
      </c:spPr>
    </c:plotArea>
    <c:plotVisOnly val="1"/>
    <c:dispBlanksAs val="gap"/>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th-TH"/>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0.14675</cdr:x>
      <cdr:y>0.20688</cdr:y>
    </cdr:from>
    <cdr:to>
      <cdr:x>0.24</cdr:x>
      <cdr:y>0.31475</cdr:y>
    </cdr:to>
    <cdr:sp macro="" textlink="">
      <cdr:nvSpPr>
        <cdr:cNvPr id="2" name="Rectangle 1"/>
        <cdr:cNvSpPr/>
      </cdr:nvSpPr>
      <cdr:spPr>
        <a:xfrm xmlns:a="http://schemas.openxmlformats.org/drawingml/2006/main">
          <a:off x="898222" y="771525"/>
          <a:ext cx="570762" cy="402289"/>
        </a:xfrm>
        <a:prstGeom xmlns:a="http://schemas.openxmlformats.org/drawingml/2006/main" prst="rect">
          <a:avLst/>
        </a:prstGeom>
        <a:noFill xmlns:a="http://schemas.openxmlformats.org/drawingml/2006/main"/>
        <a:ln xmlns:a="http://schemas.openxmlformats.org/drawingml/2006/main" w="9525">
          <a:solidFill>
            <a:srgbClr val="000000"/>
          </a:solidFill>
          <a:miter lim="800000"/>
        </a:ln>
      </cdr:spPr>
      <cdr:txBody>
        <a:bodyPr xmlns:a="http://schemas.openxmlformats.org/drawingml/2006/main" vertOverflow="clip" vert="horz" wrap="square" lIns="36576" tIns="59436" rIns="36576" bIns="0" anchor="t" anchorCtr="0" upright="1">
          <a:normAutofit/>
        </a:bodyPr>
        <a:lstStyle xmlns:a="http://schemas.openxmlformats.org/drawingml/2006/main"/>
        <a:p xmlns:a="http://schemas.openxmlformats.org/drawingml/2006/main">
          <a:pPr algn="ctr" rtl="0">
            <a:defRPr sz="1000"/>
          </a:pPr>
          <a:r>
            <a:rPr lang="en-GB" sz="1600" b="1" i="0" u="none" strike="noStrike" baseline="0">
              <a:solidFill>
                <a:srgbClr val="000000"/>
              </a:solidFill>
              <a:latin typeface="TH SarabunPSK" panose="020B0500040200020003" pitchFamily="34" charset="-34"/>
              <a:cs typeface="TH SarabunPSK" panose="020B0500040200020003" pitchFamily="34" charset="-34"/>
            </a:rPr>
            <a:t>Male</a:t>
          </a:r>
        </a:p>
      </cdr:txBody>
    </cdr:sp>
  </cdr:relSizeAnchor>
  <cdr:relSizeAnchor xmlns:cdr="http://schemas.openxmlformats.org/drawingml/2006/chartDrawing">
    <cdr:from>
      <cdr:x>0.73432</cdr:x>
      <cdr:y>0.19922</cdr:y>
    </cdr:from>
    <cdr:to>
      <cdr:x>0.84207</cdr:x>
      <cdr:y>0.31475</cdr:y>
    </cdr:to>
    <cdr:sp macro="" textlink="">
      <cdr:nvSpPr>
        <cdr:cNvPr id="3" name="Rectangle 2"/>
        <cdr:cNvSpPr/>
      </cdr:nvSpPr>
      <cdr:spPr>
        <a:xfrm xmlns:a="http://schemas.openxmlformats.org/drawingml/2006/main">
          <a:off x="4494618" y="742951"/>
          <a:ext cx="659513" cy="430864"/>
        </a:xfrm>
        <a:prstGeom xmlns:a="http://schemas.openxmlformats.org/drawingml/2006/main" prst="rect">
          <a:avLst/>
        </a:prstGeom>
        <a:noFill xmlns:a="http://schemas.openxmlformats.org/drawingml/2006/main"/>
        <a:ln xmlns:a="http://schemas.openxmlformats.org/drawingml/2006/main" w="9525">
          <a:solidFill>
            <a:srgbClr val="000000"/>
          </a:solidFill>
          <a:miter lim="800000"/>
        </a:ln>
      </cdr:spPr>
      <cdr:txBody>
        <a:bodyPr xmlns:a="http://schemas.openxmlformats.org/drawingml/2006/main" vertOverflow="clip" vert="horz" wrap="square" lIns="36576" tIns="59436" rIns="36576" bIns="0" anchor="t" anchorCtr="0" upright="1">
          <a:normAutofit/>
        </a:bodyPr>
        <a:lstStyle xmlns:a="http://schemas.openxmlformats.org/drawingml/2006/main"/>
        <a:p xmlns:a="http://schemas.openxmlformats.org/drawingml/2006/main">
          <a:pPr algn="ctr" rtl="0">
            <a:defRPr sz="1000"/>
          </a:pPr>
          <a:r>
            <a:rPr lang="en-GB" sz="1600" b="1" i="0" u="none" strike="noStrike" baseline="0">
              <a:solidFill>
                <a:srgbClr val="000000"/>
              </a:solidFill>
              <a:latin typeface="TH SarabunPSK" panose="020B0500040200020003" pitchFamily="34" charset="-34"/>
              <a:cs typeface="TH SarabunPSK" panose="020B0500040200020003" pitchFamily="34" charset="-34"/>
            </a:rPr>
            <a:t>Female</a:t>
          </a:r>
        </a:p>
      </cdr:txBody>
    </cdr:sp>
  </cdr:relSizeAnchor>
  <cdr:relSizeAnchor xmlns:cdr="http://schemas.openxmlformats.org/drawingml/2006/chartDrawing">
    <cdr:from>
      <cdr:x>0.01089</cdr:x>
      <cdr:y>0.05313</cdr:y>
    </cdr:from>
    <cdr:to>
      <cdr:x>0.19297</cdr:x>
      <cdr:y>0.1465</cdr:y>
    </cdr:to>
    <cdr:sp macro="" textlink="">
      <cdr:nvSpPr>
        <cdr:cNvPr id="4" name="Rectangle 3"/>
        <cdr:cNvSpPr/>
      </cdr:nvSpPr>
      <cdr:spPr>
        <a:xfrm xmlns:a="http://schemas.openxmlformats.org/drawingml/2006/main">
          <a:off x="59609" y="190500"/>
          <a:ext cx="996651" cy="334733"/>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vert="horz" wrap="square" lIns="36576" tIns="59436" rIns="36576" bIns="0" anchor="t" anchorCtr="0" upright="1">
          <a:normAutofit/>
        </a:bodyPr>
        <a:lstStyle xmlns:a="http://schemas.openxmlformats.org/drawingml/2006/main"/>
        <a:p xmlns:a="http://schemas.openxmlformats.org/drawingml/2006/main">
          <a:pPr algn="ctr" rtl="0">
            <a:defRPr sz="1000"/>
          </a:pPr>
          <a:r>
            <a:rPr lang="en-GB" sz="1600" b="1" i="0" u="none" strike="noStrike" baseline="0">
              <a:solidFill>
                <a:srgbClr val="000000"/>
              </a:solidFill>
              <a:latin typeface="TH SarabunPSK" panose="020B0500040200020003" pitchFamily="34" charset="-34"/>
              <a:cs typeface="TH SarabunPSK" panose="020B0500040200020003" pitchFamily="34" charset="-34"/>
            </a:rPr>
            <a:t>Age groups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A4F57-C9F5-49C7-87BA-4031246EB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31</Pages>
  <Words>14878</Words>
  <Characters>82372</Characters>
  <Application>Microsoft Office Word</Application>
  <DocSecurity>0</DocSecurity>
  <Lines>1758</Lines>
  <Paragraphs>656</Paragraphs>
  <ScaleCrop>false</ScaleCrop>
  <HeadingPairs>
    <vt:vector size="2" baseType="variant">
      <vt:variant>
        <vt:lpstr>Title</vt:lpstr>
      </vt:variant>
      <vt:variant>
        <vt:i4>1</vt:i4>
      </vt:variant>
    </vt:vector>
  </HeadingPairs>
  <TitlesOfParts>
    <vt:vector size="1" baseType="lpstr">
      <vt:lpstr>HRI/CORE/THA/2021</vt:lpstr>
    </vt:vector>
  </TitlesOfParts>
  <Company>CSD</Company>
  <LinksUpToDate>false</LinksUpToDate>
  <CharactersWithSpaces>96821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HRI/CORE/THA/2021</dc:title>
  <dc:subject>2118208</dc:subject>
  <dc:creator>Una Philippa GILTSOFF</dc:creator>
  <cp:keywords/>
  <dc:description/>
  <cp:lastModifiedBy>Una Philippa GILTSOFF</cp:lastModifiedBy>
  <cp:revision>2</cp:revision>
  <cp:lastPrinted>2021-12-07T14:10:00Z</cp:lastPrinted>
  <dcterms:created xsi:type="dcterms:W3CDTF">2021-12-07T14:14:00Z</dcterms:created>
  <dcterms:modified xsi:type="dcterms:W3CDTF">2021-12-07T14:14:00Z</dcterms:modified>
</cp:coreProperties>
</file>